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482595" w:rsidP="00FE645A">
      <w:pPr>
        <w:pStyle w:val="Title"/>
      </w:pPr>
      <w:proofErr w:type="spellStart"/>
      <w:r>
        <w:t>Ivacaftor</w:t>
      </w:r>
      <w:proofErr w:type="spellEnd"/>
      <w:r>
        <w:t xml:space="preserve"> for cystic fibrosis</w:t>
      </w:r>
      <w:r w:rsidR="001C4016">
        <w:t xml:space="preserve">: </w:t>
      </w:r>
      <w:r w:rsidR="001E17DF">
        <w:t>P</w:t>
      </w:r>
      <w:r>
        <w:t xml:space="preserve">redicted versus actual analysis </w:t>
      </w:r>
      <w:r w:rsidR="001C4016">
        <w:t xml:space="preserve"> </w:t>
      </w:r>
    </w:p>
    <w:p w:rsidR="00736041" w:rsidRDefault="009053D3" w:rsidP="00A35800">
      <w:pPr>
        <w:pStyle w:val="Heading1"/>
      </w:pPr>
      <w:r>
        <w:t>D</w:t>
      </w:r>
      <w:r w:rsidR="00832324" w:rsidRPr="0063631C">
        <w:t xml:space="preserve">rug utilisation sub-committee </w:t>
      </w:r>
      <w:r w:rsidR="00832324">
        <w:t>(DUSC)</w:t>
      </w:r>
    </w:p>
    <w:p w:rsidR="009053D3" w:rsidRPr="000C46BB" w:rsidRDefault="00482595" w:rsidP="000C46BB">
      <w:pPr>
        <w:pStyle w:val="Heading2"/>
      </w:pPr>
      <w:r>
        <w:t>February 2018</w:t>
      </w:r>
    </w:p>
    <w:p w:rsidR="005C6661" w:rsidRDefault="005C6661" w:rsidP="005C6661">
      <w:pPr>
        <w:pStyle w:val="Heading3"/>
      </w:pPr>
      <w:r>
        <w:t>Abstract</w:t>
      </w:r>
    </w:p>
    <w:p w:rsidR="005C6661" w:rsidRDefault="005C6661" w:rsidP="005C6661">
      <w:pPr>
        <w:pStyle w:val="Heading2"/>
      </w:pPr>
      <w:r>
        <w:t>Purpose</w:t>
      </w:r>
    </w:p>
    <w:p w:rsidR="001E17DF" w:rsidRPr="00E449F5" w:rsidRDefault="00482595" w:rsidP="006B5F85">
      <w:proofErr w:type="gramStart"/>
      <w:r w:rsidRPr="005D57C1">
        <w:t>To compare the predicted and actual utilisation o</w:t>
      </w:r>
      <w:r w:rsidR="001E17DF">
        <w:t xml:space="preserve">f </w:t>
      </w:r>
      <w:proofErr w:type="spellStart"/>
      <w:r w:rsidR="001E17DF">
        <w:t>ivacaftor</w:t>
      </w:r>
      <w:proofErr w:type="spellEnd"/>
      <w:r w:rsidR="001E17DF">
        <w:t xml:space="preserve"> for cystic fibrosis</w:t>
      </w:r>
      <w:r w:rsidR="00D26A5C">
        <w:t xml:space="preserve"> (CF)</w:t>
      </w:r>
      <w:r w:rsidR="006628CC">
        <w:t xml:space="preserve"> since </w:t>
      </w:r>
      <w:r w:rsidR="00D100B9" w:rsidRPr="00D100B9">
        <w:t xml:space="preserve">Pharmaceutical Benefits Scheme </w:t>
      </w:r>
      <w:r w:rsidR="00D100B9">
        <w:t>(</w:t>
      </w:r>
      <w:r w:rsidR="001E17DF">
        <w:t>PBS</w:t>
      </w:r>
      <w:r w:rsidR="00D100B9">
        <w:t>)</w:t>
      </w:r>
      <w:r w:rsidR="006628CC">
        <w:t xml:space="preserve"> listing</w:t>
      </w:r>
      <w:r w:rsidR="001E17DF">
        <w:t xml:space="preserve"> </w:t>
      </w:r>
      <w:r w:rsidR="00D100B9">
        <w:t xml:space="preserve">on 1 </w:t>
      </w:r>
      <w:r w:rsidR="001E17DF">
        <w:t xml:space="preserve">December </w:t>
      </w:r>
      <w:r w:rsidR="001E17DF" w:rsidRPr="00E449F5">
        <w:t>2014.</w:t>
      </w:r>
      <w:proofErr w:type="gramEnd"/>
      <w:r w:rsidR="001E17DF" w:rsidRPr="00E449F5">
        <w:t xml:space="preserve"> </w:t>
      </w:r>
    </w:p>
    <w:p w:rsidR="002D144A" w:rsidRDefault="00D100B9" w:rsidP="005C6661">
      <w:pPr>
        <w:pStyle w:val="Heading2"/>
      </w:pPr>
      <w:r>
        <w:t>L</w:t>
      </w:r>
      <w:r w:rsidR="002D144A">
        <w:t>isting on the P</w:t>
      </w:r>
      <w:r w:rsidR="00A95FA5">
        <w:t xml:space="preserve">harmaceutical </w:t>
      </w:r>
      <w:r w:rsidR="002D144A">
        <w:t>B</w:t>
      </w:r>
      <w:r w:rsidR="00A95FA5">
        <w:t xml:space="preserve">enefits </w:t>
      </w:r>
      <w:r w:rsidR="002D144A">
        <w:t>S</w:t>
      </w:r>
      <w:r w:rsidR="00A95FA5">
        <w:t>cheme (</w:t>
      </w:r>
      <w:r>
        <w:t>abridged</w:t>
      </w:r>
      <w:r w:rsidR="00A95FA5">
        <w:t>)</w:t>
      </w:r>
    </w:p>
    <w:p w:rsidR="00D100B9" w:rsidRDefault="00D100B9" w:rsidP="00D100B9">
      <w:r>
        <w:t>Cystic fibrosis p</w:t>
      </w:r>
      <w:r w:rsidRPr="00264339">
        <w:t>atients</w:t>
      </w:r>
      <w:r>
        <w:t xml:space="preserve"> with a G551D mutation in the CFTR gene on at least 1 allele, or </w:t>
      </w:r>
      <w:proofErr w:type="gramStart"/>
      <w:r>
        <w:t>another gating</w:t>
      </w:r>
      <w:proofErr w:type="gramEnd"/>
      <w:r>
        <w:t xml:space="preserve"> (class III) mutation in the CFTR gene on at least 1 allele</w:t>
      </w:r>
      <w:r w:rsidRPr="001D0FDB">
        <w:t xml:space="preserve">. </w:t>
      </w:r>
    </w:p>
    <w:p w:rsidR="00D100B9" w:rsidRDefault="00D100B9" w:rsidP="00D100B9">
      <w:r w:rsidRPr="001D0FDB">
        <w:t>To qualify for initial PBS therapy, a patient must have a sweat</w:t>
      </w:r>
      <w:r>
        <w:t xml:space="preserve"> chloride value </w:t>
      </w:r>
      <w:proofErr w:type="gramStart"/>
      <w:r>
        <w:t>of at least 60</w:t>
      </w:r>
      <w:r w:rsidR="00F34309">
        <w:t> </w:t>
      </w:r>
      <w:proofErr w:type="spellStart"/>
      <w:r>
        <w:t>mmol</w:t>
      </w:r>
      <w:proofErr w:type="spellEnd"/>
      <w:r>
        <w:t>/L</w:t>
      </w:r>
      <w:proofErr w:type="gramEnd"/>
      <w:r>
        <w:t xml:space="preserve"> by quantitative pilocarpine iontophoresis.</w:t>
      </w:r>
    </w:p>
    <w:p w:rsidR="00D100B9" w:rsidRPr="00264339" w:rsidRDefault="00D100B9" w:rsidP="00D100B9">
      <w:r>
        <w:t>For the full restriction</w:t>
      </w:r>
      <w:r w:rsidR="00150061">
        <w:t>,</w:t>
      </w:r>
      <w:r>
        <w:t xml:space="preserve"> refer to the </w:t>
      </w:r>
      <w:r w:rsidRPr="006F065A">
        <w:t>PBS schedule</w:t>
      </w:r>
      <w:r>
        <w:t>.</w:t>
      </w:r>
    </w:p>
    <w:p w:rsidR="005C6661" w:rsidRDefault="00614034" w:rsidP="005C6661">
      <w:pPr>
        <w:pStyle w:val="Heading2"/>
      </w:pPr>
      <w:r>
        <w:t>Data Source</w:t>
      </w:r>
    </w:p>
    <w:p w:rsidR="005C6661" w:rsidRDefault="001E17DF" w:rsidP="005C6661">
      <w:pPr>
        <w:pStyle w:val="NoSpacing"/>
      </w:pPr>
      <w:proofErr w:type="gramStart"/>
      <w:r w:rsidRPr="00D26A5C">
        <w:t xml:space="preserve">Department of Human Services (DHS) </w:t>
      </w:r>
      <w:r w:rsidR="00077CC8">
        <w:t xml:space="preserve">PBS </w:t>
      </w:r>
      <w:r w:rsidRPr="00D26A5C">
        <w:t xml:space="preserve">prescription </w:t>
      </w:r>
      <w:r w:rsidR="00077CC8">
        <w:t xml:space="preserve">data </w:t>
      </w:r>
      <w:r w:rsidRPr="00D26A5C">
        <w:t xml:space="preserve">for dates of supply </w:t>
      </w:r>
      <w:r w:rsidR="003E022C">
        <w:t xml:space="preserve">from 1 December 2014 to </w:t>
      </w:r>
      <w:r w:rsidR="00D26A5C" w:rsidRPr="00D26A5C">
        <w:t>30 September 2017</w:t>
      </w:r>
      <w:r w:rsidR="003E022C">
        <w:t>, inclusive</w:t>
      </w:r>
      <w:r w:rsidRPr="00D26A5C">
        <w:t>.</w:t>
      </w:r>
      <w:proofErr w:type="gramEnd"/>
      <w:r>
        <w:t xml:space="preserve"> </w:t>
      </w:r>
    </w:p>
    <w:p w:rsidR="005C6661" w:rsidRDefault="005C6661" w:rsidP="005C6661">
      <w:pPr>
        <w:pStyle w:val="Heading2"/>
      </w:pPr>
      <w:r>
        <w:t>Key Findings</w:t>
      </w:r>
    </w:p>
    <w:p w:rsidR="00D26A5C" w:rsidRDefault="00D26A5C" w:rsidP="00D26A5C">
      <w:pPr>
        <w:pStyle w:val="NoSpacing"/>
        <w:numPr>
          <w:ilvl w:val="0"/>
          <w:numId w:val="1"/>
        </w:numPr>
      </w:pPr>
      <w:r>
        <w:t xml:space="preserve">Since its listing in December 2014, a </w:t>
      </w:r>
      <w:r w:rsidRPr="000A7FC4">
        <w:t>total of 268 patients</w:t>
      </w:r>
      <w:r>
        <w:t xml:space="preserve"> have been supplied </w:t>
      </w:r>
      <w:proofErr w:type="spellStart"/>
      <w:r>
        <w:t>ivacaftor</w:t>
      </w:r>
      <w:proofErr w:type="spellEnd"/>
      <w:r>
        <w:t xml:space="preserve"> for CF. </w:t>
      </w:r>
    </w:p>
    <w:p w:rsidR="00752AD5" w:rsidRPr="00BB2DAF" w:rsidRDefault="00752AD5" w:rsidP="00900AFB">
      <w:pPr>
        <w:pStyle w:val="NoSpacing"/>
        <w:numPr>
          <w:ilvl w:val="0"/>
          <w:numId w:val="1"/>
        </w:numPr>
      </w:pPr>
      <w:r>
        <w:t xml:space="preserve">The number of patients treated with </w:t>
      </w:r>
      <w:proofErr w:type="spellStart"/>
      <w:r>
        <w:t>ivacaftor</w:t>
      </w:r>
      <w:proofErr w:type="spellEnd"/>
      <w:r>
        <w:t xml:space="preserve"> in each of the first two years of listing </w:t>
      </w:r>
      <w:r w:rsidRPr="00BB2DAF">
        <w:t xml:space="preserve">was less than predicted. </w:t>
      </w:r>
      <w:r w:rsidR="00900AFB" w:rsidRPr="00BB2DAF">
        <w:t xml:space="preserve">This may be due to an overestimation of the proportion of the CF population having a G551D mutation. </w:t>
      </w:r>
    </w:p>
    <w:p w:rsidR="00D26A5C" w:rsidRPr="00BB2DAF" w:rsidRDefault="004D5567" w:rsidP="00900AFB">
      <w:pPr>
        <w:pStyle w:val="NoSpacing"/>
        <w:numPr>
          <w:ilvl w:val="0"/>
          <w:numId w:val="1"/>
        </w:numPr>
      </w:pPr>
      <w:r w:rsidRPr="00BB2DAF">
        <w:t xml:space="preserve">The number of prescriptions per patient </w:t>
      </w:r>
      <w:r w:rsidR="00D26A5C" w:rsidRPr="00BB2DAF">
        <w:t xml:space="preserve">was higher than predicted. </w:t>
      </w:r>
      <w:r w:rsidR="00900AFB" w:rsidRPr="00BB2DAF">
        <w:t>This may be due to higher adherence and/or less dose reduction for patients with hepatic impairment or concomitant CYP3A4 inhibitor use than anticipated.</w:t>
      </w:r>
    </w:p>
    <w:p w:rsidR="004D5567" w:rsidRPr="00677B7A" w:rsidRDefault="00D26A5C" w:rsidP="005C6661">
      <w:pPr>
        <w:pStyle w:val="NoSpacing"/>
        <w:numPr>
          <w:ilvl w:val="0"/>
          <w:numId w:val="1"/>
        </w:numPr>
      </w:pPr>
      <w:r w:rsidRPr="00677B7A">
        <w:t>Overall expenditure was</w:t>
      </w:r>
      <w:r w:rsidR="00752AD5" w:rsidRPr="00677B7A">
        <w:t xml:space="preserve"> close to </w:t>
      </w:r>
      <w:r w:rsidRPr="00677B7A">
        <w:t>that predicted</w:t>
      </w:r>
      <w:r w:rsidR="00752AD5" w:rsidRPr="00677B7A">
        <w:t xml:space="preserve"> in the submission</w:t>
      </w:r>
      <w:r w:rsidR="00FD0E24" w:rsidRPr="00677B7A">
        <w:t xml:space="preserve"> (</w:t>
      </w:r>
      <w:r w:rsidR="00ED61D9" w:rsidRPr="00677B7A">
        <w:t>notwithstanding</w:t>
      </w:r>
      <w:r w:rsidR="00FD0E24" w:rsidRPr="00677B7A">
        <w:t xml:space="preserve"> </w:t>
      </w:r>
      <w:r w:rsidR="00F57FD1" w:rsidRPr="00677B7A">
        <w:t xml:space="preserve">performance </w:t>
      </w:r>
      <w:r w:rsidR="00FD0E24" w:rsidRPr="00677B7A">
        <w:t>rebates)</w:t>
      </w:r>
      <w:r w:rsidR="00F34309" w:rsidRPr="00677B7A">
        <w:t>.</w:t>
      </w:r>
      <w:r w:rsidR="00FD0E24" w:rsidRPr="00677B7A">
        <w:t xml:space="preserve"> </w:t>
      </w:r>
    </w:p>
    <w:p w:rsidR="00BB0D1A" w:rsidRPr="00BB2DAF" w:rsidRDefault="00BB0D1A" w:rsidP="00752AD5">
      <w:pPr>
        <w:tabs>
          <w:tab w:val="left" w:pos="3510"/>
        </w:tabs>
        <w:spacing w:line="276" w:lineRule="auto"/>
        <w:rPr>
          <w:rFonts w:eastAsiaTheme="majorEastAsia" w:cstheme="majorBidi"/>
          <w:b/>
          <w:bCs/>
          <w:sz w:val="32"/>
          <w:szCs w:val="26"/>
        </w:rPr>
      </w:pPr>
      <w:r w:rsidRPr="00BB2DAF">
        <w:br w:type="page"/>
      </w:r>
    </w:p>
    <w:p w:rsidR="00E677DD" w:rsidRDefault="00E677DD" w:rsidP="000C46BB">
      <w:pPr>
        <w:pStyle w:val="Heading4"/>
      </w:pPr>
      <w:r w:rsidRPr="000C46BB">
        <w:lastRenderedPageBreak/>
        <w:t xml:space="preserve">Purpose of </w:t>
      </w:r>
      <w:r w:rsidR="00D151EB" w:rsidRPr="000C46BB">
        <w:t>analysis</w:t>
      </w:r>
    </w:p>
    <w:p w:rsidR="001E17DF" w:rsidRPr="005D57C1" w:rsidRDefault="001E17DF" w:rsidP="001E17DF">
      <w:r w:rsidRPr="005D57C1">
        <w:t>To compare the predicted and actual utilisation o</w:t>
      </w:r>
      <w:r>
        <w:t xml:space="preserve">f </w:t>
      </w:r>
      <w:proofErr w:type="spellStart"/>
      <w:r>
        <w:t>ivacaftor</w:t>
      </w:r>
      <w:proofErr w:type="spellEnd"/>
      <w:r>
        <w:t xml:space="preserve"> for cystic fibrosis since it was PB</w:t>
      </w:r>
      <w:r w:rsidR="004D5567">
        <w:t xml:space="preserve">S listed for this indication on 1 </w:t>
      </w:r>
      <w:r>
        <w:t xml:space="preserve">December 2014. </w:t>
      </w:r>
    </w:p>
    <w:p w:rsidR="006537D9" w:rsidRPr="005E22C2" w:rsidRDefault="00736041" w:rsidP="001E4CAB">
      <w:pPr>
        <w:pStyle w:val="Heading4"/>
      </w:pPr>
      <w:r w:rsidRPr="005E22C2">
        <w:t>Background</w:t>
      </w:r>
    </w:p>
    <w:p w:rsidR="00224E35" w:rsidRPr="007247B9" w:rsidRDefault="00224E35" w:rsidP="00224E35">
      <w:pPr>
        <w:pStyle w:val="Heading3"/>
      </w:pPr>
      <w:r w:rsidRPr="007247B9">
        <w:t>Clinical situation</w:t>
      </w:r>
    </w:p>
    <w:p w:rsidR="00A17903" w:rsidRDefault="00A17903" w:rsidP="00A17903">
      <w:r>
        <w:t>Cystic fibrosis (CF) is an autosomal recessive disease caused by mutations in the cystic fibrosis transmembrane regulator (CFTR) gene. The encoded protein, CFTR, is an epithelial chloride ion channel responsible for the regulation of salt and water absorption and secretion in multiple organ systems (lungs, pancreas, intestinal tract, biliary tract, sweat glands, and reproductive tract).</w:t>
      </w:r>
      <w:r>
        <w:rPr>
          <w:rStyle w:val="FootnoteReference"/>
        </w:rPr>
        <w:t xml:space="preserve"> </w:t>
      </w:r>
      <w:r>
        <w:rPr>
          <w:rStyle w:val="FootnoteReference"/>
        </w:rPr>
        <w:footnoteReference w:id="1"/>
      </w:r>
    </w:p>
    <w:p w:rsidR="00A17903" w:rsidRDefault="00A17903" w:rsidP="00A17903">
      <w:r>
        <w:t xml:space="preserve">CF in Australia is predominantly diagnosed by the Newborn Screening Program, a heel-prick blood sample taken on day </w:t>
      </w:r>
      <w:r w:rsidR="0002437A">
        <w:t>three</w:t>
      </w:r>
      <w:r>
        <w:t xml:space="preserve"> or </w:t>
      </w:r>
      <w:r w:rsidR="0002437A">
        <w:t>four</w:t>
      </w:r>
      <w:r>
        <w:t xml:space="preserve"> of life. The majority of patients with CF are diagnosed before 12 months of age.</w:t>
      </w:r>
      <w:r>
        <w:rPr>
          <w:rStyle w:val="FootnoteReference"/>
        </w:rPr>
        <w:t xml:space="preserve"> </w:t>
      </w:r>
      <w:r>
        <w:rPr>
          <w:rStyle w:val="FootnoteReference"/>
        </w:rPr>
        <w:footnoteReference w:id="2"/>
      </w:r>
      <w:r>
        <w:t xml:space="preserve"> Infants with two CF mutations are referred directly to a specialist CF centre.</w:t>
      </w:r>
      <w:r>
        <w:rPr>
          <w:rStyle w:val="FootnoteReference"/>
        </w:rPr>
        <w:footnoteReference w:id="3"/>
      </w:r>
      <w:r>
        <w:t xml:space="preserve"> </w:t>
      </w:r>
    </w:p>
    <w:p w:rsidR="00A17903" w:rsidRDefault="00A17903" w:rsidP="00A17903">
      <w:r>
        <w:t>Many patients with CF are now surviving into adulthood, with improvements in respiratory and nutritional management increasing media</w:t>
      </w:r>
      <w:r w:rsidR="0070669F">
        <w:t>n</w:t>
      </w:r>
      <w:r>
        <w:t xml:space="preserve"> survival to over 35 years of age.</w:t>
      </w:r>
      <w:r>
        <w:rPr>
          <w:vertAlign w:val="superscript"/>
        </w:rPr>
        <w:t>3</w:t>
      </w:r>
      <w:r>
        <w:t xml:space="preserve"> </w:t>
      </w:r>
      <w:proofErr w:type="gramStart"/>
      <w:r>
        <w:t>In</w:t>
      </w:r>
      <w:proofErr w:type="gramEnd"/>
      <w:r>
        <w:t xml:space="preserve"> 2014, the estimated number of patients in Australia with CF was </w:t>
      </w:r>
      <w:r w:rsidR="00E82907">
        <w:t xml:space="preserve">over </w:t>
      </w:r>
      <w:r>
        <w:t>3,000.</w:t>
      </w:r>
      <w:r>
        <w:rPr>
          <w:vertAlign w:val="superscript"/>
        </w:rPr>
        <w:t>2</w:t>
      </w:r>
    </w:p>
    <w:p w:rsidR="0070669F" w:rsidRDefault="0070669F" w:rsidP="00A17903">
      <w:r>
        <w:t>There are a range of identified CFTR mutations, with around 50% of</w:t>
      </w:r>
      <w:r w:rsidR="00E82907">
        <w:t xml:space="preserve"> patients identified as having </w:t>
      </w:r>
      <w:r w:rsidR="00752AD5">
        <w:t>a</w:t>
      </w:r>
      <w:r>
        <w:t xml:space="preserve"> F508 deletion. </w:t>
      </w:r>
      <w:r w:rsidR="00FF5E16">
        <w:t>G551D mutation is the second most common</w:t>
      </w:r>
      <w:r w:rsidR="00E82907">
        <w:t xml:space="preserve"> identified</w:t>
      </w:r>
      <w:r w:rsidR="00FF5E16">
        <w:t>, with a prevalence of 231 patients (7.6%) in 2014.</w:t>
      </w:r>
      <w:r w:rsidR="00FF5E16" w:rsidRPr="00FF5E16">
        <w:rPr>
          <w:vertAlign w:val="superscript"/>
        </w:rPr>
        <w:t>2</w:t>
      </w:r>
      <w:r w:rsidR="00FF5E16">
        <w:t xml:space="preserve"> </w:t>
      </w:r>
    </w:p>
    <w:p w:rsidR="00A17903" w:rsidRDefault="00A17903" w:rsidP="00A17903">
      <w:r>
        <w:t xml:space="preserve">Conventional treatment options for CF include antibiotics, osmotic agents, bronchodilation, </w:t>
      </w:r>
      <w:proofErr w:type="spellStart"/>
      <w:r>
        <w:t>mucolytics</w:t>
      </w:r>
      <w:proofErr w:type="spellEnd"/>
      <w:r>
        <w:t xml:space="preserve">, pancreatic enzymes, </w:t>
      </w:r>
      <w:proofErr w:type="gramStart"/>
      <w:r>
        <w:t>diet</w:t>
      </w:r>
      <w:proofErr w:type="gramEnd"/>
      <w:r>
        <w:t xml:space="preserve"> therapy and chest physiothera</w:t>
      </w:r>
      <w:r w:rsidR="00AB69D7">
        <w:t xml:space="preserve">py. </w:t>
      </w:r>
      <w:proofErr w:type="spellStart"/>
      <w:r w:rsidR="00AB69D7">
        <w:t>Ivacaftor</w:t>
      </w:r>
      <w:proofErr w:type="spellEnd"/>
      <w:r w:rsidR="00AB69D7">
        <w:t xml:space="preserve"> is used as an add-</w:t>
      </w:r>
      <w:r>
        <w:t xml:space="preserve">on </w:t>
      </w:r>
      <w:r w:rsidR="00AB69D7">
        <w:t>to conventional therapy for CF</w:t>
      </w:r>
      <w:r>
        <w:t xml:space="preserve"> patients with a G551D mutation. </w:t>
      </w:r>
    </w:p>
    <w:p w:rsidR="007247B9" w:rsidRDefault="007247B9" w:rsidP="00FE645A">
      <w:pPr>
        <w:pStyle w:val="Heading3"/>
      </w:pPr>
      <w:r>
        <w:t>Pharmacology</w:t>
      </w:r>
    </w:p>
    <w:p w:rsidR="00A81DC5" w:rsidRPr="00C40D86" w:rsidRDefault="00A81DC5" w:rsidP="00AE4BAC">
      <w:proofErr w:type="spellStart"/>
      <w:r w:rsidRPr="00C40D86">
        <w:t>Ivacaftor</w:t>
      </w:r>
      <w:proofErr w:type="spellEnd"/>
      <w:r w:rsidRPr="00C40D86">
        <w:t xml:space="preserve"> is a selective </w:t>
      </w:r>
      <w:proofErr w:type="spellStart"/>
      <w:r w:rsidRPr="00C40D86">
        <w:t>potentiator</w:t>
      </w:r>
      <w:proofErr w:type="spellEnd"/>
      <w:r w:rsidRPr="00C40D86">
        <w:t xml:space="preserve"> of</w:t>
      </w:r>
      <w:r w:rsidR="00224E35">
        <w:t xml:space="preserve"> the </w:t>
      </w:r>
      <w:r w:rsidRPr="00C40D86">
        <w:t>CFTR protein</w:t>
      </w:r>
      <w:r w:rsidR="00DA1315" w:rsidRPr="00DA1315">
        <w:t xml:space="preserve"> </w:t>
      </w:r>
      <w:r w:rsidR="002E17CB">
        <w:t xml:space="preserve">that </w:t>
      </w:r>
      <w:r w:rsidR="00DA1315" w:rsidRPr="00DA1315">
        <w:t xml:space="preserve">improves the function of the CFTR protein in patients with CF expressing </w:t>
      </w:r>
      <w:r w:rsidR="00DA1315">
        <w:t>the G551D mutation</w:t>
      </w:r>
      <w:r w:rsidR="00224E35">
        <w:t xml:space="preserve"> </w:t>
      </w:r>
      <w:r w:rsidR="00B56AED">
        <w:t xml:space="preserve">and acts by </w:t>
      </w:r>
      <w:r w:rsidR="00B56AED" w:rsidRPr="00C40D86">
        <w:t>enhancin</w:t>
      </w:r>
      <w:r w:rsidR="00B56AED">
        <w:t>g chloride transpor</w:t>
      </w:r>
      <w:r w:rsidR="00D429D5">
        <w:t>t</w:t>
      </w:r>
      <w:r w:rsidR="00D429D5" w:rsidRPr="00D429D5">
        <w:t>.</w:t>
      </w:r>
      <w:r w:rsidR="00224E35" w:rsidRPr="00C40D86">
        <w:rPr>
          <w:rStyle w:val="FootnoteReference"/>
        </w:rPr>
        <w:footnoteReference w:id="4"/>
      </w:r>
    </w:p>
    <w:p w:rsidR="001D33CA" w:rsidRDefault="001D33CA">
      <w:pPr>
        <w:spacing w:line="276" w:lineRule="auto"/>
        <w:rPr>
          <w:b/>
          <w:sz w:val="28"/>
          <w:szCs w:val="28"/>
        </w:rPr>
      </w:pPr>
      <w:r>
        <w:br w:type="page"/>
      </w:r>
    </w:p>
    <w:p w:rsidR="001420B3" w:rsidRPr="005E22C2" w:rsidRDefault="00A52918" w:rsidP="00FE645A">
      <w:pPr>
        <w:pStyle w:val="Heading3"/>
      </w:pPr>
      <w:r w:rsidRPr="00A52918">
        <w:lastRenderedPageBreak/>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D429D5" w:rsidRPr="00D429D5" w:rsidRDefault="00D429D5" w:rsidP="00A35800">
      <w:proofErr w:type="spellStart"/>
      <w:r w:rsidRPr="00D429D5">
        <w:t>Ivacaftor</w:t>
      </w:r>
      <w:proofErr w:type="spellEnd"/>
      <w:r w:rsidRPr="00D429D5">
        <w:t xml:space="preserve"> is indicated for the treatment of patients with cystic fibrosis: </w:t>
      </w:r>
    </w:p>
    <w:p w:rsidR="00D429D5" w:rsidRPr="00D429D5" w:rsidRDefault="00D429D5" w:rsidP="00D429D5">
      <w:pPr>
        <w:pStyle w:val="ListParagraph"/>
        <w:numPr>
          <w:ilvl w:val="0"/>
          <w:numId w:val="1"/>
        </w:numPr>
      </w:pPr>
      <w:r w:rsidRPr="00D429D5">
        <w:t xml:space="preserve">Aged 2 years and older who have a G551D or other gating (class III) mutation in the CFTR gene; or </w:t>
      </w:r>
    </w:p>
    <w:p w:rsidR="00D429D5" w:rsidRPr="00D429D5" w:rsidRDefault="00D429D5" w:rsidP="00D429D5">
      <w:pPr>
        <w:pStyle w:val="ListParagraph"/>
        <w:numPr>
          <w:ilvl w:val="0"/>
          <w:numId w:val="1"/>
        </w:numPr>
      </w:pPr>
      <w:r w:rsidRPr="00D429D5">
        <w:t xml:space="preserve">Aged 6 years and older who have a R117H mutation in the CFTR gene </w:t>
      </w:r>
    </w:p>
    <w:p w:rsidR="006B709B" w:rsidRDefault="006B709B" w:rsidP="00FE645A">
      <w:pPr>
        <w:pStyle w:val="Heading3"/>
      </w:pPr>
      <w:r>
        <w:t>Dosage and administration</w:t>
      </w:r>
    </w:p>
    <w:p w:rsidR="00D429D5" w:rsidRDefault="00077CC8" w:rsidP="00A35800">
      <w:r>
        <w:t>The recommended dose for a</w:t>
      </w:r>
      <w:r w:rsidR="00D429D5" w:rsidRPr="009F7578">
        <w:t xml:space="preserve">dults, adolescents and children aged 2 years and older </w:t>
      </w:r>
      <w:r>
        <w:t xml:space="preserve">is outlined in </w:t>
      </w:r>
      <w:r w:rsidR="009F7578">
        <w:t>Table </w:t>
      </w:r>
      <w:r w:rsidR="00D429D5" w:rsidRPr="009F7578">
        <w:t xml:space="preserve">1. </w:t>
      </w:r>
    </w:p>
    <w:p w:rsidR="003018F3" w:rsidRPr="003018F3" w:rsidRDefault="003018F3" w:rsidP="003018F3">
      <w:pPr>
        <w:spacing w:after="0"/>
        <w:rPr>
          <w:b/>
        </w:rPr>
      </w:pPr>
      <w:r w:rsidRPr="003018F3">
        <w:rPr>
          <w:b/>
        </w:rPr>
        <w:t xml:space="preserve">Table 1: Dosage of </w:t>
      </w:r>
      <w:proofErr w:type="spellStart"/>
      <w:r w:rsidRPr="003018F3">
        <w:rPr>
          <w:b/>
        </w:rPr>
        <w:t>ivacaftor</w:t>
      </w:r>
      <w:proofErr w:type="spellEnd"/>
      <w:r w:rsidRPr="003018F3">
        <w:rPr>
          <w:b/>
        </w:rPr>
        <w:t xml:space="preserve"> </w:t>
      </w:r>
      <w:r>
        <w:rPr>
          <w:b/>
        </w:rPr>
        <w:t>for CF</w:t>
      </w:r>
    </w:p>
    <w:tbl>
      <w:tblPr>
        <w:tblStyle w:val="TableGrid"/>
        <w:tblW w:w="9233" w:type="dxa"/>
        <w:tblLook w:val="04A0" w:firstRow="1" w:lastRow="0" w:firstColumn="1" w:lastColumn="0" w:noHBand="0" w:noVBand="1"/>
        <w:tblCaption w:val="Table 1. Dosage of ivacaftor for cystic fibrosis"/>
        <w:tblDescription w:val="First column is weight range. Second column is dose. Third column is total daily dose. "/>
      </w:tblPr>
      <w:tblGrid>
        <w:gridCol w:w="3077"/>
        <w:gridCol w:w="3078"/>
        <w:gridCol w:w="3078"/>
      </w:tblGrid>
      <w:tr w:rsidR="009F7578" w:rsidRPr="004D5567" w:rsidTr="00507204">
        <w:trPr>
          <w:trHeight w:val="317"/>
          <w:tblHeader/>
        </w:trPr>
        <w:tc>
          <w:tcPr>
            <w:tcW w:w="3077" w:type="dxa"/>
            <w:shd w:val="clear" w:color="auto" w:fill="BFBFBF" w:themeFill="background1" w:themeFillShade="BF"/>
          </w:tcPr>
          <w:p w:rsidR="009F7578" w:rsidRPr="004D5567" w:rsidRDefault="009F7578" w:rsidP="00A35800">
            <w:pPr>
              <w:rPr>
                <w:b/>
                <w:sz w:val="20"/>
              </w:rPr>
            </w:pPr>
            <w:r w:rsidRPr="004D5567">
              <w:rPr>
                <w:b/>
                <w:sz w:val="20"/>
              </w:rPr>
              <w:t>Weight</w:t>
            </w:r>
          </w:p>
        </w:tc>
        <w:tc>
          <w:tcPr>
            <w:tcW w:w="3078" w:type="dxa"/>
            <w:shd w:val="clear" w:color="auto" w:fill="BFBFBF" w:themeFill="background1" w:themeFillShade="BF"/>
          </w:tcPr>
          <w:p w:rsidR="009F7578" w:rsidRPr="004D5567" w:rsidRDefault="009F7578" w:rsidP="00A35800">
            <w:pPr>
              <w:rPr>
                <w:b/>
                <w:sz w:val="20"/>
              </w:rPr>
            </w:pPr>
            <w:r w:rsidRPr="004D5567">
              <w:rPr>
                <w:b/>
                <w:sz w:val="20"/>
              </w:rPr>
              <w:t>Dose</w:t>
            </w:r>
          </w:p>
        </w:tc>
        <w:tc>
          <w:tcPr>
            <w:tcW w:w="3078" w:type="dxa"/>
            <w:shd w:val="clear" w:color="auto" w:fill="BFBFBF" w:themeFill="background1" w:themeFillShade="BF"/>
          </w:tcPr>
          <w:p w:rsidR="009F7578" w:rsidRPr="004D5567" w:rsidRDefault="009F7578" w:rsidP="00A35800">
            <w:pPr>
              <w:rPr>
                <w:b/>
                <w:sz w:val="20"/>
              </w:rPr>
            </w:pPr>
            <w:r w:rsidRPr="004D5567">
              <w:rPr>
                <w:b/>
                <w:sz w:val="20"/>
              </w:rPr>
              <w:t>Total daily dose</w:t>
            </w:r>
          </w:p>
        </w:tc>
      </w:tr>
      <w:tr w:rsidR="009F7578" w:rsidRPr="004D5567" w:rsidTr="00507204">
        <w:trPr>
          <w:trHeight w:val="317"/>
        </w:trPr>
        <w:tc>
          <w:tcPr>
            <w:tcW w:w="3077" w:type="dxa"/>
          </w:tcPr>
          <w:p w:rsidR="009F7578" w:rsidRPr="004D5567" w:rsidRDefault="009F7578" w:rsidP="00A35800">
            <w:pPr>
              <w:rPr>
                <w:sz w:val="20"/>
              </w:rPr>
            </w:pPr>
            <w:r w:rsidRPr="004D5567">
              <w:rPr>
                <w:sz w:val="20"/>
              </w:rPr>
              <w:t>&lt; 14 kg</w:t>
            </w:r>
          </w:p>
        </w:tc>
        <w:tc>
          <w:tcPr>
            <w:tcW w:w="3078" w:type="dxa"/>
          </w:tcPr>
          <w:p w:rsidR="009F7578" w:rsidRPr="004D5567" w:rsidRDefault="009F7578" w:rsidP="00A35800">
            <w:pPr>
              <w:rPr>
                <w:sz w:val="20"/>
              </w:rPr>
            </w:pPr>
            <w:r w:rsidRPr="004D5567">
              <w:rPr>
                <w:sz w:val="20"/>
              </w:rPr>
              <w:t xml:space="preserve">50 mg granules </w:t>
            </w:r>
            <w:proofErr w:type="spellStart"/>
            <w:r w:rsidRPr="004D5567">
              <w:rPr>
                <w:sz w:val="20"/>
              </w:rPr>
              <w:t>bd</w:t>
            </w:r>
            <w:proofErr w:type="spellEnd"/>
          </w:p>
        </w:tc>
        <w:tc>
          <w:tcPr>
            <w:tcW w:w="3078" w:type="dxa"/>
          </w:tcPr>
          <w:p w:rsidR="009F7578" w:rsidRPr="004D5567" w:rsidRDefault="009F7578" w:rsidP="00A35800">
            <w:pPr>
              <w:rPr>
                <w:sz w:val="20"/>
              </w:rPr>
            </w:pPr>
            <w:r w:rsidRPr="004D5567">
              <w:rPr>
                <w:sz w:val="20"/>
              </w:rPr>
              <w:t xml:space="preserve">100 mg </w:t>
            </w:r>
          </w:p>
        </w:tc>
      </w:tr>
      <w:tr w:rsidR="009F7578" w:rsidRPr="004D5567" w:rsidTr="00507204">
        <w:trPr>
          <w:trHeight w:val="317"/>
        </w:trPr>
        <w:tc>
          <w:tcPr>
            <w:tcW w:w="3077" w:type="dxa"/>
          </w:tcPr>
          <w:p w:rsidR="009F7578" w:rsidRPr="004D5567" w:rsidRDefault="009F7578" w:rsidP="00A35800">
            <w:pPr>
              <w:rPr>
                <w:sz w:val="20"/>
              </w:rPr>
            </w:pPr>
            <w:r w:rsidRPr="004D5567">
              <w:rPr>
                <w:sz w:val="20"/>
              </w:rPr>
              <w:t>≥ 14 kg to &lt; 25 kg</w:t>
            </w:r>
          </w:p>
        </w:tc>
        <w:tc>
          <w:tcPr>
            <w:tcW w:w="3078" w:type="dxa"/>
          </w:tcPr>
          <w:p w:rsidR="009F7578" w:rsidRPr="004D5567" w:rsidRDefault="009F7578" w:rsidP="00A35800">
            <w:pPr>
              <w:rPr>
                <w:sz w:val="20"/>
              </w:rPr>
            </w:pPr>
            <w:r w:rsidRPr="004D5567">
              <w:rPr>
                <w:sz w:val="20"/>
              </w:rPr>
              <w:t xml:space="preserve">75 mg granules </w:t>
            </w:r>
            <w:proofErr w:type="spellStart"/>
            <w:r w:rsidRPr="004D5567">
              <w:rPr>
                <w:sz w:val="20"/>
              </w:rPr>
              <w:t>bd</w:t>
            </w:r>
            <w:proofErr w:type="spellEnd"/>
            <w:r w:rsidRPr="004D5567">
              <w:rPr>
                <w:sz w:val="20"/>
              </w:rPr>
              <w:t xml:space="preserve"> </w:t>
            </w:r>
          </w:p>
        </w:tc>
        <w:tc>
          <w:tcPr>
            <w:tcW w:w="3078" w:type="dxa"/>
          </w:tcPr>
          <w:p w:rsidR="009F7578" w:rsidRPr="004D5567" w:rsidRDefault="009F7578" w:rsidP="00A35800">
            <w:pPr>
              <w:rPr>
                <w:sz w:val="20"/>
              </w:rPr>
            </w:pPr>
            <w:r w:rsidRPr="004D5567">
              <w:rPr>
                <w:sz w:val="20"/>
              </w:rPr>
              <w:t xml:space="preserve">150 mg </w:t>
            </w:r>
          </w:p>
        </w:tc>
      </w:tr>
      <w:tr w:rsidR="009F7578" w:rsidRPr="004D5567" w:rsidTr="00507204">
        <w:trPr>
          <w:trHeight w:val="334"/>
        </w:trPr>
        <w:tc>
          <w:tcPr>
            <w:tcW w:w="3077" w:type="dxa"/>
          </w:tcPr>
          <w:p w:rsidR="009F7578" w:rsidRPr="004D5567" w:rsidRDefault="009F7578" w:rsidP="00A35800">
            <w:pPr>
              <w:rPr>
                <w:sz w:val="20"/>
              </w:rPr>
            </w:pPr>
            <w:r w:rsidRPr="004D5567">
              <w:rPr>
                <w:sz w:val="20"/>
              </w:rPr>
              <w:t>≥ 25 kg</w:t>
            </w:r>
          </w:p>
        </w:tc>
        <w:tc>
          <w:tcPr>
            <w:tcW w:w="3078" w:type="dxa"/>
          </w:tcPr>
          <w:p w:rsidR="009F7578" w:rsidRPr="004D5567" w:rsidRDefault="009F7578" w:rsidP="00A35800">
            <w:pPr>
              <w:rPr>
                <w:sz w:val="20"/>
              </w:rPr>
            </w:pPr>
            <w:r w:rsidRPr="004D5567">
              <w:rPr>
                <w:sz w:val="20"/>
              </w:rPr>
              <w:t xml:space="preserve">150 mg tablet </w:t>
            </w:r>
            <w:proofErr w:type="spellStart"/>
            <w:r w:rsidRPr="004D5567">
              <w:rPr>
                <w:sz w:val="20"/>
              </w:rPr>
              <w:t>bd</w:t>
            </w:r>
            <w:proofErr w:type="spellEnd"/>
            <w:r w:rsidRPr="004D5567">
              <w:rPr>
                <w:sz w:val="20"/>
              </w:rPr>
              <w:t xml:space="preserve"> </w:t>
            </w:r>
          </w:p>
        </w:tc>
        <w:tc>
          <w:tcPr>
            <w:tcW w:w="3078" w:type="dxa"/>
          </w:tcPr>
          <w:p w:rsidR="009F7578" w:rsidRPr="004D5567" w:rsidRDefault="009F7578" w:rsidP="00A35800">
            <w:pPr>
              <w:rPr>
                <w:sz w:val="20"/>
              </w:rPr>
            </w:pPr>
            <w:r w:rsidRPr="004D5567">
              <w:rPr>
                <w:sz w:val="20"/>
              </w:rPr>
              <w:t>300mg</w:t>
            </w:r>
          </w:p>
        </w:tc>
      </w:tr>
    </w:tbl>
    <w:p w:rsidR="00E82907" w:rsidRPr="00E82907" w:rsidRDefault="009F7578" w:rsidP="00E82907">
      <w:pPr>
        <w:spacing w:after="0"/>
        <w:rPr>
          <w:sz w:val="20"/>
        </w:rPr>
      </w:pPr>
      <w:proofErr w:type="spellStart"/>
      <w:proofErr w:type="gramStart"/>
      <w:r w:rsidRPr="00E82907">
        <w:rPr>
          <w:sz w:val="20"/>
        </w:rPr>
        <w:t>bd</w:t>
      </w:r>
      <w:proofErr w:type="spellEnd"/>
      <w:proofErr w:type="gramEnd"/>
      <w:r w:rsidRPr="00E82907">
        <w:rPr>
          <w:sz w:val="20"/>
        </w:rPr>
        <w:t xml:space="preserve">: Twice daily (every 12 hours) </w:t>
      </w:r>
    </w:p>
    <w:p w:rsidR="00D429D5" w:rsidRPr="00E82907" w:rsidRDefault="009F7578" w:rsidP="00A35800">
      <w:pPr>
        <w:rPr>
          <w:sz w:val="20"/>
        </w:rPr>
      </w:pPr>
      <w:r w:rsidRPr="00E82907">
        <w:rPr>
          <w:sz w:val="20"/>
        </w:rPr>
        <w:t xml:space="preserve">Source: Table 9, </w:t>
      </w:r>
      <w:proofErr w:type="spellStart"/>
      <w:r w:rsidRPr="00E82907">
        <w:rPr>
          <w:sz w:val="20"/>
        </w:rPr>
        <w:t>Kalydeco</w:t>
      </w:r>
      <w:proofErr w:type="spellEnd"/>
      <w:r w:rsidRPr="00E82907">
        <w:rPr>
          <w:sz w:val="20"/>
        </w:rPr>
        <w:t xml:space="preserve"> Australian Approved Product Information</w:t>
      </w:r>
    </w:p>
    <w:p w:rsidR="009F7578" w:rsidRPr="009F7578" w:rsidRDefault="009F7578" w:rsidP="00A35800">
      <w:r w:rsidRPr="009F7578">
        <w:t xml:space="preserve">When </w:t>
      </w:r>
      <w:proofErr w:type="spellStart"/>
      <w:r w:rsidRPr="009F7578">
        <w:t>ivacaftor</w:t>
      </w:r>
      <w:proofErr w:type="spellEnd"/>
      <w:r w:rsidRPr="009F7578">
        <w:t xml:space="preserve"> is co</w:t>
      </w:r>
      <w:r w:rsidR="00CA3F5F">
        <w:t>-</w:t>
      </w:r>
      <w:r w:rsidRPr="009F7578">
        <w:t>administered with strong inhibitors of CYP3A4</w:t>
      </w:r>
      <w:r w:rsidR="00F15937">
        <w:t>,</w:t>
      </w:r>
      <w:r w:rsidR="00E82907">
        <w:rPr>
          <w:rStyle w:val="FootnoteReference"/>
        </w:rPr>
        <w:footnoteReference w:id="5"/>
      </w:r>
      <w:r w:rsidRPr="009F7578">
        <w:t xml:space="preserve"> </w:t>
      </w:r>
      <w:r w:rsidR="0002437A">
        <w:t xml:space="preserve">the </w:t>
      </w:r>
      <w:r w:rsidRPr="009F7578">
        <w:t>dose should not exceed one d</w:t>
      </w:r>
      <w:r w:rsidR="00E82907">
        <w:t xml:space="preserve">ose twice weekly. </w:t>
      </w:r>
      <w:r w:rsidRPr="009F7578">
        <w:t xml:space="preserve">When </w:t>
      </w:r>
      <w:proofErr w:type="spellStart"/>
      <w:r w:rsidRPr="009F7578">
        <w:t>ivacaftor</w:t>
      </w:r>
      <w:proofErr w:type="spellEnd"/>
      <w:r w:rsidRPr="009F7578">
        <w:t xml:space="preserve"> is co</w:t>
      </w:r>
      <w:r w:rsidR="00CA3F5F">
        <w:t>-</w:t>
      </w:r>
      <w:r w:rsidRPr="009F7578">
        <w:t>administered with a moderate inhibitor of CYP3A4</w:t>
      </w:r>
      <w:r w:rsidR="00F15937">
        <w:t>,</w:t>
      </w:r>
      <w:r w:rsidR="00E82907">
        <w:rPr>
          <w:rStyle w:val="FootnoteReference"/>
        </w:rPr>
        <w:footnoteReference w:id="6"/>
      </w:r>
      <w:r w:rsidRPr="009F7578">
        <w:t xml:space="preserve"> </w:t>
      </w:r>
      <w:r w:rsidR="0002437A">
        <w:t xml:space="preserve">the </w:t>
      </w:r>
      <w:r w:rsidRPr="009F7578">
        <w:t xml:space="preserve">dose should not exceed one dose daily.  </w:t>
      </w:r>
    </w:p>
    <w:p w:rsidR="00F17D4B" w:rsidRPr="002F61CA" w:rsidRDefault="00F17D4B" w:rsidP="00F17D4B">
      <w:r w:rsidRPr="002F61CA">
        <w:t xml:space="preserve">The current Product Information (PI) and Consumer Medicine Information (CMI) are available from </w:t>
      </w:r>
      <w:r w:rsidRPr="006F065A">
        <w:t>the TGA (Product Information)</w:t>
      </w:r>
      <w:r>
        <w:t xml:space="preserve"> and </w:t>
      </w:r>
      <w:r w:rsidRPr="006F065A">
        <w:t>the TGA (Consumer Medicines Information)</w:t>
      </w:r>
      <w:r>
        <w:t>.</w:t>
      </w:r>
    </w:p>
    <w:p w:rsidR="00DF0B13" w:rsidRPr="007247B9" w:rsidRDefault="00DF0B13" w:rsidP="00FE645A">
      <w:pPr>
        <w:pStyle w:val="Heading3"/>
      </w:pPr>
      <w:r w:rsidRPr="007247B9">
        <w:t>PBS listing details</w:t>
      </w:r>
    </w:p>
    <w:p w:rsidR="003018F3" w:rsidRPr="003018F3" w:rsidRDefault="003018F3" w:rsidP="00A35800">
      <w:proofErr w:type="spellStart"/>
      <w:r w:rsidRPr="003018F3">
        <w:t>Ivacaftor</w:t>
      </w:r>
      <w:proofErr w:type="spellEnd"/>
      <w:r w:rsidRPr="003018F3">
        <w:t xml:space="preserve"> for the treatment of CF was PBS-listed on 1 December 2014. </w:t>
      </w:r>
      <w:r>
        <w:t>Table 2</w:t>
      </w:r>
      <w:r w:rsidRPr="003018F3">
        <w:t xml:space="preserve"> provides the PBS listing details as at 1 December 2017. </w:t>
      </w:r>
    </w:p>
    <w:p w:rsidR="007554A9" w:rsidRDefault="007554A9">
      <w:pPr>
        <w:spacing w:line="276" w:lineRule="auto"/>
        <w:rPr>
          <w:b/>
        </w:rPr>
      </w:pPr>
      <w:r>
        <w:br w:type="page"/>
      </w:r>
    </w:p>
    <w:p w:rsidR="001420B3" w:rsidRPr="001420B3" w:rsidRDefault="003018F3" w:rsidP="00C245EA">
      <w:pPr>
        <w:pStyle w:val="Tabletitle"/>
      </w:pPr>
      <w:r>
        <w:lastRenderedPageBreak/>
        <w:t>Table 2</w:t>
      </w:r>
      <w:r w:rsidR="001420B3" w:rsidRPr="001420B3">
        <w:t xml:space="preserve">: </w:t>
      </w:r>
      <w:r w:rsidR="009663B6">
        <w:t>PB</w:t>
      </w:r>
      <w:r>
        <w:t xml:space="preserve">S listing of </w:t>
      </w:r>
      <w:proofErr w:type="spellStart"/>
      <w:r>
        <w:t>ivacaftor</w:t>
      </w:r>
      <w:proofErr w:type="spellEnd"/>
      <w:r>
        <w:t xml:space="preserve"> for CF </w:t>
      </w:r>
    </w:p>
    <w:tbl>
      <w:tblPr>
        <w:tblStyle w:val="TableGrid"/>
        <w:tblW w:w="9064" w:type="dxa"/>
        <w:tblLayout w:type="fixed"/>
        <w:tblLook w:val="04A0" w:firstRow="1" w:lastRow="0" w:firstColumn="1" w:lastColumn="0" w:noHBand="0" w:noVBand="1"/>
        <w:tblCaption w:val="Table 2. PBS listing of ivacaftor"/>
        <w:tblDescription w:val="Provides summary of the six PBS items; three are for private hospitals and three are for public hospitals. "/>
      </w:tblPr>
      <w:tblGrid>
        <w:gridCol w:w="969"/>
        <w:gridCol w:w="2967"/>
        <w:gridCol w:w="1275"/>
        <w:gridCol w:w="709"/>
        <w:gridCol w:w="1134"/>
        <w:gridCol w:w="2010"/>
      </w:tblGrid>
      <w:tr w:rsidR="0093111F" w:rsidRPr="00A35800" w:rsidTr="000A7FC4">
        <w:trPr>
          <w:trHeight w:val="694"/>
          <w:tblHeader/>
        </w:trPr>
        <w:tc>
          <w:tcPr>
            <w:tcW w:w="969"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Item</w:t>
            </w:r>
          </w:p>
        </w:tc>
        <w:tc>
          <w:tcPr>
            <w:tcW w:w="2967"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Name, form &amp; strength, pack size</w:t>
            </w:r>
          </w:p>
        </w:tc>
        <w:tc>
          <w:tcPr>
            <w:tcW w:w="1275"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Max</w:t>
            </w:r>
            <w:r w:rsidR="00A13C60" w:rsidRPr="00A35800">
              <w:rPr>
                <w:sz w:val="20"/>
                <w:szCs w:val="20"/>
              </w:rPr>
              <w:t xml:space="preserve">. </w:t>
            </w:r>
            <w:r w:rsidRPr="00A35800">
              <w:rPr>
                <w:sz w:val="20"/>
                <w:szCs w:val="20"/>
              </w:rPr>
              <w:t xml:space="preserve">quant. </w:t>
            </w:r>
          </w:p>
        </w:tc>
        <w:tc>
          <w:tcPr>
            <w:tcW w:w="709" w:type="dxa"/>
            <w:shd w:val="clear" w:color="auto" w:fill="BFBFBF" w:themeFill="background1" w:themeFillShade="BF"/>
          </w:tcPr>
          <w:p w:rsidR="0093111F" w:rsidRPr="00A35800" w:rsidRDefault="0093111F" w:rsidP="00A35800">
            <w:pPr>
              <w:pStyle w:val="Tableheading"/>
              <w:rPr>
                <w:sz w:val="20"/>
                <w:szCs w:val="20"/>
              </w:rPr>
            </w:pPr>
            <w:proofErr w:type="spellStart"/>
            <w:r w:rsidRPr="00A35800">
              <w:rPr>
                <w:sz w:val="20"/>
                <w:szCs w:val="20"/>
              </w:rPr>
              <w:t>Rpts</w:t>
            </w:r>
            <w:proofErr w:type="spellEnd"/>
            <w:r w:rsidRPr="00A35800">
              <w:rPr>
                <w:sz w:val="20"/>
                <w:szCs w:val="20"/>
              </w:rPr>
              <w:t xml:space="preserve"> </w:t>
            </w:r>
          </w:p>
        </w:tc>
        <w:tc>
          <w:tcPr>
            <w:tcW w:w="1134"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DPMQ</w:t>
            </w:r>
          </w:p>
        </w:tc>
        <w:tc>
          <w:tcPr>
            <w:tcW w:w="201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Brand name and manufacturer</w:t>
            </w:r>
          </w:p>
        </w:tc>
      </w:tr>
      <w:tr w:rsidR="003018F3" w:rsidRPr="00A35800" w:rsidTr="004D5567">
        <w:trPr>
          <w:trHeight w:val="251"/>
          <w:tblHeader/>
        </w:trPr>
        <w:tc>
          <w:tcPr>
            <w:tcW w:w="9064" w:type="dxa"/>
            <w:gridSpan w:val="6"/>
            <w:shd w:val="clear" w:color="auto" w:fill="auto"/>
          </w:tcPr>
          <w:p w:rsidR="003018F3" w:rsidRPr="003018F3" w:rsidRDefault="003018F3" w:rsidP="00A35800">
            <w:pPr>
              <w:pStyle w:val="Tablewriting"/>
              <w:rPr>
                <w:b/>
              </w:rPr>
            </w:pPr>
            <w:r w:rsidRPr="003018F3">
              <w:rPr>
                <w:b/>
              </w:rPr>
              <w:t xml:space="preserve">S100 (Highly Specialised Drugs) Private </w:t>
            </w:r>
          </w:p>
        </w:tc>
      </w:tr>
      <w:tr w:rsidR="007554A9" w:rsidRPr="00A35800" w:rsidTr="000A7FC4">
        <w:trPr>
          <w:trHeight w:val="441"/>
          <w:tblHeader/>
        </w:trPr>
        <w:tc>
          <w:tcPr>
            <w:tcW w:w="969" w:type="dxa"/>
            <w:shd w:val="clear" w:color="auto" w:fill="auto"/>
          </w:tcPr>
          <w:p w:rsidR="007554A9" w:rsidRPr="00A35800" w:rsidRDefault="007554A9" w:rsidP="00A35800">
            <w:pPr>
              <w:pStyle w:val="Tablewriting"/>
            </w:pPr>
            <w:r>
              <w:t xml:space="preserve">10175M </w:t>
            </w:r>
          </w:p>
        </w:tc>
        <w:tc>
          <w:tcPr>
            <w:tcW w:w="2967" w:type="dxa"/>
            <w:shd w:val="clear" w:color="auto" w:fill="auto"/>
          </w:tcPr>
          <w:p w:rsidR="007554A9" w:rsidRPr="00A35800" w:rsidRDefault="007554A9" w:rsidP="00A35800">
            <w:pPr>
              <w:pStyle w:val="Tablewriting"/>
            </w:pPr>
            <w:proofErr w:type="spellStart"/>
            <w:r>
              <w:t>Ivacaftor</w:t>
            </w:r>
            <w:proofErr w:type="spellEnd"/>
            <w:r>
              <w:t xml:space="preserve"> 150 mg tablet, 56</w:t>
            </w:r>
          </w:p>
        </w:tc>
        <w:tc>
          <w:tcPr>
            <w:tcW w:w="1275" w:type="dxa"/>
            <w:vMerge w:val="restart"/>
            <w:shd w:val="clear" w:color="auto" w:fill="auto"/>
            <w:vAlign w:val="center"/>
          </w:tcPr>
          <w:p w:rsidR="007554A9" w:rsidRPr="00A35800" w:rsidRDefault="007554A9" w:rsidP="00752AD5">
            <w:pPr>
              <w:pStyle w:val="Tablewriting"/>
              <w:jc w:val="center"/>
            </w:pPr>
            <w:r>
              <w:t>56</w:t>
            </w:r>
          </w:p>
        </w:tc>
        <w:tc>
          <w:tcPr>
            <w:tcW w:w="709" w:type="dxa"/>
            <w:vMerge w:val="restart"/>
            <w:shd w:val="clear" w:color="auto" w:fill="auto"/>
            <w:vAlign w:val="center"/>
          </w:tcPr>
          <w:p w:rsidR="007554A9" w:rsidRPr="00A35800" w:rsidRDefault="007554A9" w:rsidP="00752AD5">
            <w:pPr>
              <w:pStyle w:val="Tablewriting"/>
              <w:jc w:val="center"/>
            </w:pPr>
            <w:r>
              <w:t>5</w:t>
            </w:r>
          </w:p>
        </w:tc>
        <w:tc>
          <w:tcPr>
            <w:tcW w:w="1134" w:type="dxa"/>
            <w:vMerge w:val="restart"/>
            <w:shd w:val="clear" w:color="auto" w:fill="auto"/>
            <w:vAlign w:val="center"/>
          </w:tcPr>
          <w:p w:rsidR="007554A9" w:rsidRPr="00A35800" w:rsidRDefault="007554A9" w:rsidP="00752AD5">
            <w:pPr>
              <w:pStyle w:val="Tablewriting"/>
              <w:jc w:val="center"/>
            </w:pPr>
            <w:r w:rsidRPr="00523176">
              <w:t>$22,547.15</w:t>
            </w:r>
          </w:p>
        </w:tc>
        <w:tc>
          <w:tcPr>
            <w:tcW w:w="2010" w:type="dxa"/>
            <w:vMerge w:val="restart"/>
            <w:shd w:val="clear" w:color="auto" w:fill="auto"/>
          </w:tcPr>
          <w:p w:rsidR="007554A9" w:rsidRDefault="007554A9" w:rsidP="00A35800">
            <w:pPr>
              <w:pStyle w:val="Tablewriting"/>
            </w:pPr>
            <w:proofErr w:type="spellStart"/>
            <w:r>
              <w:t>Kalydeco</w:t>
            </w:r>
            <w:proofErr w:type="spellEnd"/>
            <w:r w:rsidR="00752AD5">
              <w:t>®</w:t>
            </w:r>
            <w:r>
              <w:t xml:space="preserve"> </w:t>
            </w:r>
          </w:p>
          <w:p w:rsidR="007554A9" w:rsidRPr="00A35800" w:rsidRDefault="007554A9" w:rsidP="007554A9">
            <w:pPr>
              <w:pStyle w:val="Tablewriting"/>
            </w:pPr>
            <w:r>
              <w:t xml:space="preserve">Vertex Pharmaceuticals (Australia) Pty Ltd </w:t>
            </w:r>
          </w:p>
        </w:tc>
      </w:tr>
      <w:tr w:rsidR="007554A9" w:rsidRPr="00A35800" w:rsidTr="000A7FC4">
        <w:trPr>
          <w:trHeight w:val="546"/>
          <w:tblHeader/>
        </w:trPr>
        <w:tc>
          <w:tcPr>
            <w:tcW w:w="969" w:type="dxa"/>
            <w:shd w:val="clear" w:color="auto" w:fill="auto"/>
          </w:tcPr>
          <w:p w:rsidR="007554A9" w:rsidRDefault="007554A9" w:rsidP="00A35800">
            <w:pPr>
              <w:pStyle w:val="Tablewriting"/>
            </w:pPr>
            <w:r>
              <w:t>11109Q</w:t>
            </w:r>
          </w:p>
        </w:tc>
        <w:tc>
          <w:tcPr>
            <w:tcW w:w="2967" w:type="dxa"/>
            <w:shd w:val="clear" w:color="auto" w:fill="auto"/>
          </w:tcPr>
          <w:p w:rsidR="007554A9" w:rsidRPr="00A35800" w:rsidRDefault="007554A9" w:rsidP="00A35800">
            <w:pPr>
              <w:pStyle w:val="Tablewriting"/>
            </w:pPr>
            <w:proofErr w:type="spellStart"/>
            <w:r>
              <w:t>Ivacaftor</w:t>
            </w:r>
            <w:proofErr w:type="spellEnd"/>
            <w:r>
              <w:t xml:space="preserve"> 75 mg granules, 4 x 14 sachets </w:t>
            </w:r>
          </w:p>
        </w:tc>
        <w:tc>
          <w:tcPr>
            <w:tcW w:w="1275" w:type="dxa"/>
            <w:vMerge/>
            <w:shd w:val="clear" w:color="auto" w:fill="auto"/>
          </w:tcPr>
          <w:p w:rsidR="007554A9" w:rsidRPr="00A35800" w:rsidRDefault="007554A9" w:rsidP="00A35800">
            <w:pPr>
              <w:pStyle w:val="Tablewriting"/>
            </w:pPr>
          </w:p>
        </w:tc>
        <w:tc>
          <w:tcPr>
            <w:tcW w:w="709" w:type="dxa"/>
            <w:vMerge/>
            <w:shd w:val="clear" w:color="auto" w:fill="auto"/>
          </w:tcPr>
          <w:p w:rsidR="007554A9" w:rsidRPr="00A35800" w:rsidRDefault="007554A9" w:rsidP="00A35800">
            <w:pPr>
              <w:pStyle w:val="Tablewriting"/>
            </w:pPr>
          </w:p>
        </w:tc>
        <w:tc>
          <w:tcPr>
            <w:tcW w:w="1134" w:type="dxa"/>
            <w:vMerge/>
            <w:shd w:val="clear" w:color="auto" w:fill="auto"/>
          </w:tcPr>
          <w:p w:rsidR="007554A9" w:rsidRPr="00A35800" w:rsidRDefault="007554A9" w:rsidP="00A35800">
            <w:pPr>
              <w:pStyle w:val="Tablewriting"/>
            </w:pPr>
          </w:p>
        </w:tc>
        <w:tc>
          <w:tcPr>
            <w:tcW w:w="2010" w:type="dxa"/>
            <w:vMerge/>
            <w:shd w:val="clear" w:color="auto" w:fill="auto"/>
          </w:tcPr>
          <w:p w:rsidR="007554A9" w:rsidRPr="00A35800" w:rsidRDefault="007554A9" w:rsidP="00A35800">
            <w:pPr>
              <w:pStyle w:val="Tablewriting"/>
            </w:pPr>
          </w:p>
        </w:tc>
      </w:tr>
      <w:tr w:rsidR="007554A9" w:rsidRPr="00A35800" w:rsidTr="000A7FC4">
        <w:trPr>
          <w:trHeight w:val="546"/>
          <w:tblHeader/>
        </w:trPr>
        <w:tc>
          <w:tcPr>
            <w:tcW w:w="969" w:type="dxa"/>
            <w:shd w:val="clear" w:color="auto" w:fill="auto"/>
          </w:tcPr>
          <w:p w:rsidR="007554A9" w:rsidRDefault="007554A9" w:rsidP="00A35800">
            <w:pPr>
              <w:pStyle w:val="Tablewriting"/>
            </w:pPr>
            <w:r>
              <w:t>11097C</w:t>
            </w:r>
          </w:p>
        </w:tc>
        <w:tc>
          <w:tcPr>
            <w:tcW w:w="2967" w:type="dxa"/>
            <w:shd w:val="clear" w:color="auto" w:fill="auto"/>
          </w:tcPr>
          <w:p w:rsidR="007554A9" w:rsidRDefault="007554A9" w:rsidP="00A35800">
            <w:pPr>
              <w:pStyle w:val="Tablewriting"/>
            </w:pPr>
            <w:proofErr w:type="spellStart"/>
            <w:r>
              <w:t>Ivacaftor</w:t>
            </w:r>
            <w:proofErr w:type="spellEnd"/>
            <w:r>
              <w:t xml:space="preserve"> 50 mg granules, 4 x 14 sachets</w:t>
            </w:r>
          </w:p>
        </w:tc>
        <w:tc>
          <w:tcPr>
            <w:tcW w:w="1275" w:type="dxa"/>
            <w:vMerge/>
            <w:shd w:val="clear" w:color="auto" w:fill="auto"/>
          </w:tcPr>
          <w:p w:rsidR="007554A9" w:rsidRDefault="007554A9" w:rsidP="00A35800">
            <w:pPr>
              <w:pStyle w:val="Tablewriting"/>
            </w:pPr>
          </w:p>
        </w:tc>
        <w:tc>
          <w:tcPr>
            <w:tcW w:w="709" w:type="dxa"/>
            <w:vMerge/>
            <w:shd w:val="clear" w:color="auto" w:fill="auto"/>
          </w:tcPr>
          <w:p w:rsidR="007554A9" w:rsidRDefault="007554A9" w:rsidP="00A35800">
            <w:pPr>
              <w:pStyle w:val="Tablewriting"/>
            </w:pPr>
          </w:p>
        </w:tc>
        <w:tc>
          <w:tcPr>
            <w:tcW w:w="1134" w:type="dxa"/>
            <w:vMerge/>
            <w:shd w:val="clear" w:color="auto" w:fill="auto"/>
          </w:tcPr>
          <w:p w:rsidR="007554A9" w:rsidRDefault="007554A9" w:rsidP="00A35800">
            <w:pPr>
              <w:pStyle w:val="Tablewriting"/>
            </w:pPr>
          </w:p>
        </w:tc>
        <w:tc>
          <w:tcPr>
            <w:tcW w:w="2010" w:type="dxa"/>
            <w:vMerge/>
            <w:shd w:val="clear" w:color="auto" w:fill="auto"/>
          </w:tcPr>
          <w:p w:rsidR="007554A9" w:rsidRPr="00A35800" w:rsidRDefault="007554A9" w:rsidP="00A35800">
            <w:pPr>
              <w:pStyle w:val="Tablewriting"/>
            </w:pPr>
          </w:p>
        </w:tc>
      </w:tr>
      <w:tr w:rsidR="003018F3" w:rsidRPr="00A35800" w:rsidTr="004D5567">
        <w:trPr>
          <w:trHeight w:val="313"/>
          <w:tblHeader/>
        </w:trPr>
        <w:tc>
          <w:tcPr>
            <w:tcW w:w="9064" w:type="dxa"/>
            <w:gridSpan w:val="6"/>
            <w:shd w:val="clear" w:color="auto" w:fill="auto"/>
          </w:tcPr>
          <w:p w:rsidR="003018F3" w:rsidRPr="003018F3" w:rsidRDefault="003018F3" w:rsidP="00A35800">
            <w:pPr>
              <w:pStyle w:val="Tablewriting"/>
              <w:rPr>
                <w:b/>
              </w:rPr>
            </w:pPr>
            <w:r w:rsidRPr="003018F3">
              <w:rPr>
                <w:b/>
              </w:rPr>
              <w:t xml:space="preserve">S100 (Highly Specialised Drugs) Public </w:t>
            </w:r>
          </w:p>
        </w:tc>
      </w:tr>
      <w:tr w:rsidR="007554A9" w:rsidRPr="00A35800" w:rsidTr="000A7FC4">
        <w:trPr>
          <w:trHeight w:val="414"/>
          <w:tblHeader/>
        </w:trPr>
        <w:tc>
          <w:tcPr>
            <w:tcW w:w="969" w:type="dxa"/>
            <w:shd w:val="clear" w:color="auto" w:fill="auto"/>
          </w:tcPr>
          <w:p w:rsidR="007554A9" w:rsidRPr="00A35800" w:rsidRDefault="007554A9" w:rsidP="00A35800">
            <w:pPr>
              <w:pStyle w:val="Tablewriting"/>
            </w:pPr>
            <w:r>
              <w:t>10170G</w:t>
            </w:r>
          </w:p>
        </w:tc>
        <w:tc>
          <w:tcPr>
            <w:tcW w:w="2967" w:type="dxa"/>
            <w:shd w:val="clear" w:color="auto" w:fill="auto"/>
          </w:tcPr>
          <w:p w:rsidR="007554A9" w:rsidRPr="00A35800" w:rsidRDefault="007554A9" w:rsidP="00A35800">
            <w:pPr>
              <w:pStyle w:val="Tablewriting"/>
            </w:pPr>
            <w:proofErr w:type="spellStart"/>
            <w:r>
              <w:t>Ivacaftor</w:t>
            </w:r>
            <w:proofErr w:type="spellEnd"/>
            <w:r>
              <w:t xml:space="preserve"> 150 mg tablet, 56</w:t>
            </w:r>
          </w:p>
        </w:tc>
        <w:tc>
          <w:tcPr>
            <w:tcW w:w="1275" w:type="dxa"/>
            <w:vMerge w:val="restart"/>
            <w:shd w:val="clear" w:color="auto" w:fill="auto"/>
            <w:vAlign w:val="center"/>
          </w:tcPr>
          <w:p w:rsidR="007554A9" w:rsidRPr="00A35800" w:rsidRDefault="007554A9" w:rsidP="007554A9">
            <w:pPr>
              <w:pStyle w:val="Tablewriting"/>
              <w:jc w:val="center"/>
            </w:pPr>
            <w:r>
              <w:t>56</w:t>
            </w:r>
          </w:p>
        </w:tc>
        <w:tc>
          <w:tcPr>
            <w:tcW w:w="709" w:type="dxa"/>
            <w:vMerge w:val="restart"/>
            <w:shd w:val="clear" w:color="auto" w:fill="auto"/>
            <w:vAlign w:val="center"/>
          </w:tcPr>
          <w:p w:rsidR="007554A9" w:rsidRPr="00A35800" w:rsidRDefault="007554A9" w:rsidP="007554A9">
            <w:pPr>
              <w:pStyle w:val="Tablewriting"/>
              <w:jc w:val="center"/>
            </w:pPr>
            <w:r>
              <w:t>5</w:t>
            </w:r>
          </w:p>
        </w:tc>
        <w:tc>
          <w:tcPr>
            <w:tcW w:w="1134" w:type="dxa"/>
            <w:vMerge w:val="restart"/>
            <w:shd w:val="clear" w:color="auto" w:fill="auto"/>
            <w:vAlign w:val="center"/>
          </w:tcPr>
          <w:p w:rsidR="007554A9" w:rsidRPr="00A35800" w:rsidRDefault="007554A9" w:rsidP="007554A9">
            <w:pPr>
              <w:pStyle w:val="Tablewriting"/>
              <w:jc w:val="center"/>
            </w:pPr>
            <w:r w:rsidRPr="00523176">
              <w:t>$22,500</w:t>
            </w:r>
          </w:p>
        </w:tc>
        <w:tc>
          <w:tcPr>
            <w:tcW w:w="2010" w:type="dxa"/>
            <w:vMerge w:val="restart"/>
            <w:shd w:val="clear" w:color="auto" w:fill="auto"/>
          </w:tcPr>
          <w:p w:rsidR="007554A9" w:rsidRDefault="007554A9" w:rsidP="007554A9">
            <w:pPr>
              <w:pStyle w:val="Tablewriting"/>
            </w:pPr>
            <w:proofErr w:type="spellStart"/>
            <w:r>
              <w:t>Kalydeco</w:t>
            </w:r>
            <w:proofErr w:type="spellEnd"/>
            <w:r w:rsidR="00752AD5">
              <w:t>®</w:t>
            </w:r>
            <w:r>
              <w:t xml:space="preserve"> </w:t>
            </w:r>
          </w:p>
          <w:p w:rsidR="007554A9" w:rsidRPr="00A35800" w:rsidRDefault="007554A9" w:rsidP="007554A9">
            <w:pPr>
              <w:pStyle w:val="Tablewriting"/>
            </w:pPr>
            <w:r>
              <w:t>Vertex  Pharmaceuticals (Australia) Pty Ltd</w:t>
            </w:r>
          </w:p>
        </w:tc>
      </w:tr>
      <w:tr w:rsidR="007554A9" w:rsidRPr="00A35800" w:rsidTr="000A7FC4">
        <w:trPr>
          <w:trHeight w:val="546"/>
          <w:tblHeader/>
        </w:trPr>
        <w:tc>
          <w:tcPr>
            <w:tcW w:w="969" w:type="dxa"/>
            <w:shd w:val="clear" w:color="auto" w:fill="auto"/>
          </w:tcPr>
          <w:p w:rsidR="007554A9" w:rsidRDefault="007554A9" w:rsidP="00A35800">
            <w:pPr>
              <w:pStyle w:val="Tablewriting"/>
            </w:pPr>
            <w:r>
              <w:t>11098D</w:t>
            </w:r>
          </w:p>
        </w:tc>
        <w:tc>
          <w:tcPr>
            <w:tcW w:w="2967" w:type="dxa"/>
            <w:shd w:val="clear" w:color="auto" w:fill="auto"/>
          </w:tcPr>
          <w:p w:rsidR="007554A9" w:rsidRPr="00A35800" w:rsidRDefault="007554A9" w:rsidP="00A35800">
            <w:pPr>
              <w:pStyle w:val="Tablewriting"/>
            </w:pPr>
            <w:proofErr w:type="spellStart"/>
            <w:r>
              <w:t>Ivacaftor</w:t>
            </w:r>
            <w:proofErr w:type="spellEnd"/>
            <w:r>
              <w:t xml:space="preserve"> 75 mg granules, 4 x 14 sachets </w:t>
            </w:r>
          </w:p>
        </w:tc>
        <w:tc>
          <w:tcPr>
            <w:tcW w:w="1275" w:type="dxa"/>
            <w:vMerge/>
            <w:shd w:val="clear" w:color="auto" w:fill="auto"/>
          </w:tcPr>
          <w:p w:rsidR="007554A9" w:rsidRPr="00A35800" w:rsidRDefault="007554A9" w:rsidP="00A35800">
            <w:pPr>
              <w:pStyle w:val="Tablewriting"/>
            </w:pPr>
          </w:p>
        </w:tc>
        <w:tc>
          <w:tcPr>
            <w:tcW w:w="709" w:type="dxa"/>
            <w:vMerge/>
            <w:shd w:val="clear" w:color="auto" w:fill="auto"/>
          </w:tcPr>
          <w:p w:rsidR="007554A9" w:rsidRPr="00A35800" w:rsidRDefault="007554A9" w:rsidP="00A35800">
            <w:pPr>
              <w:pStyle w:val="Tablewriting"/>
            </w:pPr>
          </w:p>
        </w:tc>
        <w:tc>
          <w:tcPr>
            <w:tcW w:w="1134" w:type="dxa"/>
            <w:vMerge/>
            <w:shd w:val="clear" w:color="auto" w:fill="auto"/>
          </w:tcPr>
          <w:p w:rsidR="007554A9" w:rsidRPr="00A35800" w:rsidRDefault="007554A9" w:rsidP="00A35800">
            <w:pPr>
              <w:pStyle w:val="Tablewriting"/>
            </w:pPr>
          </w:p>
        </w:tc>
        <w:tc>
          <w:tcPr>
            <w:tcW w:w="2010" w:type="dxa"/>
            <w:vMerge/>
            <w:shd w:val="clear" w:color="auto" w:fill="auto"/>
          </w:tcPr>
          <w:p w:rsidR="007554A9" w:rsidRPr="00A35800" w:rsidRDefault="007554A9" w:rsidP="00A35800">
            <w:pPr>
              <w:pStyle w:val="Tablewriting"/>
            </w:pPr>
          </w:p>
        </w:tc>
      </w:tr>
      <w:tr w:rsidR="007554A9" w:rsidRPr="00A35800" w:rsidTr="000A7FC4">
        <w:trPr>
          <w:trHeight w:val="546"/>
          <w:tblHeader/>
        </w:trPr>
        <w:tc>
          <w:tcPr>
            <w:tcW w:w="969" w:type="dxa"/>
            <w:shd w:val="clear" w:color="auto" w:fill="auto"/>
          </w:tcPr>
          <w:p w:rsidR="007554A9" w:rsidRDefault="007554A9" w:rsidP="00A35800">
            <w:pPr>
              <w:pStyle w:val="Tablewriting"/>
            </w:pPr>
            <w:r>
              <w:t>11105L</w:t>
            </w:r>
          </w:p>
        </w:tc>
        <w:tc>
          <w:tcPr>
            <w:tcW w:w="2967" w:type="dxa"/>
            <w:shd w:val="clear" w:color="auto" w:fill="auto"/>
          </w:tcPr>
          <w:p w:rsidR="007554A9" w:rsidRDefault="007554A9" w:rsidP="00A35800">
            <w:pPr>
              <w:pStyle w:val="Tablewriting"/>
            </w:pPr>
            <w:proofErr w:type="spellStart"/>
            <w:r>
              <w:t>Ivacaftor</w:t>
            </w:r>
            <w:proofErr w:type="spellEnd"/>
            <w:r>
              <w:t xml:space="preserve"> 50 mg granules, 4 x 14 sachets</w:t>
            </w:r>
          </w:p>
        </w:tc>
        <w:tc>
          <w:tcPr>
            <w:tcW w:w="1275" w:type="dxa"/>
            <w:vMerge/>
            <w:shd w:val="clear" w:color="auto" w:fill="auto"/>
          </w:tcPr>
          <w:p w:rsidR="007554A9" w:rsidRDefault="007554A9" w:rsidP="00A35800">
            <w:pPr>
              <w:pStyle w:val="Tablewriting"/>
            </w:pPr>
          </w:p>
        </w:tc>
        <w:tc>
          <w:tcPr>
            <w:tcW w:w="709" w:type="dxa"/>
            <w:vMerge/>
            <w:shd w:val="clear" w:color="auto" w:fill="auto"/>
          </w:tcPr>
          <w:p w:rsidR="007554A9" w:rsidRDefault="007554A9" w:rsidP="00A35800">
            <w:pPr>
              <w:pStyle w:val="Tablewriting"/>
            </w:pPr>
          </w:p>
        </w:tc>
        <w:tc>
          <w:tcPr>
            <w:tcW w:w="1134" w:type="dxa"/>
            <w:vMerge/>
            <w:shd w:val="clear" w:color="auto" w:fill="auto"/>
          </w:tcPr>
          <w:p w:rsidR="007554A9" w:rsidRDefault="007554A9" w:rsidP="00A35800">
            <w:pPr>
              <w:pStyle w:val="Tablewriting"/>
            </w:pPr>
          </w:p>
        </w:tc>
        <w:tc>
          <w:tcPr>
            <w:tcW w:w="2010" w:type="dxa"/>
            <w:vMerge/>
            <w:shd w:val="clear" w:color="auto" w:fill="auto"/>
          </w:tcPr>
          <w:p w:rsidR="007554A9" w:rsidRPr="00A35800" w:rsidRDefault="007554A9" w:rsidP="00A35800">
            <w:pPr>
              <w:pStyle w:val="Tablewriting"/>
            </w:pPr>
          </w:p>
        </w:tc>
      </w:tr>
    </w:tbl>
    <w:p w:rsidR="007247B9" w:rsidRPr="00A35800" w:rsidRDefault="007408C7" w:rsidP="00BB1D3B">
      <w:pPr>
        <w:pStyle w:val="Notes"/>
      </w:pPr>
      <w:r w:rsidRPr="00A35800">
        <w:t xml:space="preserve">Source: </w:t>
      </w:r>
      <w:r w:rsidR="001624D7">
        <w:t xml:space="preserve">the </w:t>
      </w:r>
      <w:r w:rsidR="001624D7" w:rsidRPr="006F065A">
        <w:t>PBS website</w:t>
      </w:r>
      <w:r w:rsidR="001624D7">
        <w:t>.</w:t>
      </w:r>
      <w:r w:rsidR="0080485E">
        <w:t xml:space="preserve">  </w:t>
      </w:r>
      <w:r w:rsidR="0080485E" w:rsidRPr="0080485E">
        <w:t>Special Pricing Arrangement</w:t>
      </w:r>
      <w:r w:rsidR="007554A9">
        <w:t xml:space="preserve">s apply. </w:t>
      </w:r>
      <w:r w:rsidR="0080485E" w:rsidRPr="0080485E">
        <w:t xml:space="preserve"> </w:t>
      </w:r>
    </w:p>
    <w:p w:rsidR="004C3186" w:rsidRDefault="004C3186" w:rsidP="00C245EA">
      <w:pPr>
        <w:pStyle w:val="Heading2"/>
      </w:pPr>
      <w:r>
        <w:t>Restriction</w:t>
      </w:r>
      <w:r w:rsidR="00DD1BF7">
        <w:t xml:space="preserve"> (abridged)</w:t>
      </w:r>
    </w:p>
    <w:p w:rsidR="00264339" w:rsidRPr="00264339" w:rsidRDefault="00176D37" w:rsidP="00A35800">
      <w:r>
        <w:t>P</w:t>
      </w:r>
      <w:r w:rsidR="00264339" w:rsidRPr="00264339">
        <w:t xml:space="preserve">atients must </w:t>
      </w:r>
      <w:r w:rsidR="00264339">
        <w:t>have a G551D mutation in the CFTR gene on at least 1 allele, or another gating (class III) mutation in the</w:t>
      </w:r>
      <w:r w:rsidR="00BB0277">
        <w:t xml:space="preserve"> CFTR gene on at least 1 allele</w:t>
      </w:r>
      <w:r w:rsidR="00264339">
        <w:t xml:space="preserve"> and </w:t>
      </w:r>
      <w:r w:rsidR="00264339" w:rsidRPr="00264339">
        <w:t xml:space="preserve">be assessed through </w:t>
      </w:r>
      <w:r w:rsidR="00264339">
        <w:t xml:space="preserve">a </w:t>
      </w:r>
      <w:r w:rsidR="00264339" w:rsidRPr="001D0FDB">
        <w:t>cystic fibrosis clinic/centre. To qualify for initial PBS therapy, a patient must have a sweat</w:t>
      </w:r>
      <w:r w:rsidR="00264339">
        <w:t xml:space="preserve"> chloride value </w:t>
      </w:r>
      <w:proofErr w:type="gramStart"/>
      <w:r w:rsidR="00264339">
        <w:t xml:space="preserve">of at least 60 </w:t>
      </w:r>
      <w:proofErr w:type="spellStart"/>
      <w:r w:rsidR="00264339">
        <w:t>mmol</w:t>
      </w:r>
      <w:proofErr w:type="spellEnd"/>
      <w:r w:rsidR="00264339">
        <w:t>/L</w:t>
      </w:r>
      <w:proofErr w:type="gramEnd"/>
      <w:r w:rsidR="00264339">
        <w:t xml:space="preserve"> by quantitative pilocarpine iontophoresis. </w:t>
      </w:r>
    </w:p>
    <w:p w:rsidR="00264339" w:rsidRDefault="00264339" w:rsidP="00A35800">
      <w:r w:rsidRPr="001D0FDB">
        <w:t xml:space="preserve">Patients must use </w:t>
      </w:r>
      <w:proofErr w:type="spellStart"/>
      <w:r w:rsidRPr="001D0FDB">
        <w:t>ivacaftor</w:t>
      </w:r>
      <w:proofErr w:type="spellEnd"/>
      <w:r w:rsidRPr="001D0FDB">
        <w:t xml:space="preserve"> conc</w:t>
      </w:r>
      <w:r w:rsidR="00BB0277">
        <w:t>omitantly with standard therapy</w:t>
      </w:r>
      <w:r w:rsidRPr="001D0FDB">
        <w:t xml:space="preserve"> and treatment is not to be given to a patient who has an acute upper or lower respiratory infection, pulmonary exacerbation, or changes in therap</w:t>
      </w:r>
      <w:r w:rsidR="00902A2F">
        <w:t>y for pulmonary disease in the four</w:t>
      </w:r>
      <w:r w:rsidRPr="001D0FDB">
        <w:t xml:space="preserve"> weeks prior to commenci</w:t>
      </w:r>
      <w:r w:rsidR="00D55CAF">
        <w:t xml:space="preserve">ng therapy. </w:t>
      </w:r>
    </w:p>
    <w:p w:rsidR="001D0FDB" w:rsidRDefault="001D0FDB" w:rsidP="00A35800">
      <w:r>
        <w:t xml:space="preserve">The PBS restriction specifies that the dose of </w:t>
      </w:r>
      <w:proofErr w:type="spellStart"/>
      <w:r>
        <w:t>ivacaftor</w:t>
      </w:r>
      <w:proofErr w:type="spellEnd"/>
      <w:r>
        <w:t xml:space="preserve"> must not exceed 150 mg twice a week or </w:t>
      </w:r>
      <w:r w:rsidR="00BB0277">
        <w:t xml:space="preserve">150mg </w:t>
      </w:r>
      <w:r>
        <w:t>once daily if a patient is concomitantly receiving a strong or moderate C</w:t>
      </w:r>
      <w:r w:rsidR="00D55CAF">
        <w:t xml:space="preserve">YP3A4 inhibitor, respectively. </w:t>
      </w:r>
      <w:r w:rsidR="007530D2">
        <w:t xml:space="preserve">Patients are unable to access </w:t>
      </w:r>
      <w:r w:rsidR="00752AD5">
        <w:t xml:space="preserve">PBS-subsidised </w:t>
      </w:r>
      <w:proofErr w:type="spellStart"/>
      <w:r w:rsidR="007530D2">
        <w:t>ivacaftor</w:t>
      </w:r>
      <w:proofErr w:type="spellEnd"/>
      <w:r w:rsidR="007530D2">
        <w:t xml:space="preserve"> if concomitantly receiving a CYP3A4 inducer. </w:t>
      </w:r>
    </w:p>
    <w:p w:rsidR="006775F1" w:rsidRDefault="006775F1" w:rsidP="00A35800">
      <w:pPr>
        <w:rPr>
          <w:rStyle w:val="Hyperlink"/>
        </w:rPr>
      </w:pPr>
      <w:r w:rsidRPr="006775F1">
        <w:t xml:space="preserve">For </w:t>
      </w:r>
      <w:r w:rsidR="00835337">
        <w:t xml:space="preserve">details of the current PBS listing refer to the </w:t>
      </w:r>
      <w:r w:rsidR="00835337" w:rsidRPr="006F065A">
        <w:t>PBS website</w:t>
      </w:r>
      <w:r w:rsidR="00835337">
        <w:rPr>
          <w:rStyle w:val="Hyperlink"/>
        </w:rPr>
        <w:t>.</w:t>
      </w:r>
    </w:p>
    <w:p w:rsidR="008A1ECA" w:rsidRDefault="008A1ECA" w:rsidP="00A35800">
      <w:r w:rsidRPr="003018F3">
        <w:t xml:space="preserve">Written applications for authority to prescribe </w:t>
      </w:r>
      <w:r w:rsidR="003E022C">
        <w:t>are</w:t>
      </w:r>
      <w:r w:rsidRPr="003018F3">
        <w:t xml:space="preserve"> submitted to the Department of Human Services (DHS).</w:t>
      </w:r>
      <w:r w:rsidR="00DD1BF7">
        <w:t xml:space="preserve"> For the initial application</w:t>
      </w:r>
      <w:r w:rsidR="00684742">
        <w:t>,</w:t>
      </w:r>
      <w:r w:rsidR="00DD1BF7">
        <w:t xml:space="preserve"> prescribers are required to confirm that the patient meets all of the PBS criteria and provide a copy of the pathology report demonstrating the </w:t>
      </w:r>
      <w:r w:rsidR="00DD1BF7" w:rsidRPr="00DD1BF7">
        <w:t>G551D mutation in the CFTR gene on at least 1 allele, or another gating (class III) mutation in the CFTR gene on at least 1 allele</w:t>
      </w:r>
      <w:r w:rsidR="00DD1BF7">
        <w:t xml:space="preserve">, and provide the results of the sweat chloride test. </w:t>
      </w:r>
    </w:p>
    <w:p w:rsidR="00DD1BF7" w:rsidRDefault="00EF7A6D" w:rsidP="00D55CAF">
      <w:pPr>
        <w:keepNext/>
      </w:pPr>
      <w:r>
        <w:lastRenderedPageBreak/>
        <w:t>D</w:t>
      </w:r>
      <w:r w:rsidR="00DD1BF7">
        <w:t>ata collected through the initial</w:t>
      </w:r>
      <w:r>
        <w:t xml:space="preserve"> and continuing </w:t>
      </w:r>
      <w:r w:rsidR="00DD1BF7">
        <w:t xml:space="preserve">written authority application </w:t>
      </w:r>
      <w:r>
        <w:t xml:space="preserve">process </w:t>
      </w:r>
      <w:r w:rsidR="00DD1BF7">
        <w:t>includes:</w:t>
      </w:r>
    </w:p>
    <w:p w:rsidR="00DD1BF7" w:rsidRDefault="00DD1BF7" w:rsidP="00900AFB">
      <w:pPr>
        <w:pStyle w:val="ListParagraph"/>
        <w:numPr>
          <w:ilvl w:val="0"/>
          <w:numId w:val="8"/>
        </w:numPr>
      </w:pPr>
      <w:r>
        <w:t>Weight and height</w:t>
      </w:r>
    </w:p>
    <w:p w:rsidR="00DD1BF7" w:rsidRDefault="00DD1BF7" w:rsidP="00900AFB">
      <w:pPr>
        <w:pStyle w:val="ListParagraph"/>
        <w:numPr>
          <w:ilvl w:val="0"/>
          <w:numId w:val="8"/>
        </w:numPr>
      </w:pPr>
      <w:r>
        <w:t>Baseline measurement of the number of days of CF-related hospitalisation (including hospital</w:t>
      </w:r>
      <w:r w:rsidR="00EF7A6D">
        <w:noBreakHyphen/>
      </w:r>
      <w:r>
        <w:t>in</w:t>
      </w:r>
      <w:r w:rsidR="00EF7A6D">
        <w:noBreakHyphen/>
      </w:r>
      <w:r>
        <w:t>the</w:t>
      </w:r>
      <w:r w:rsidR="00EF7A6D">
        <w:noBreakHyphen/>
      </w:r>
      <w:r>
        <w:t>home) in the last 12 months</w:t>
      </w:r>
      <w:r w:rsidR="00EF7A6D">
        <w:t xml:space="preserve"> (6 months for continuing)</w:t>
      </w:r>
    </w:p>
    <w:p w:rsidR="00DD1BF7" w:rsidRDefault="00DD1BF7" w:rsidP="00900AFB">
      <w:pPr>
        <w:pStyle w:val="ListParagraph"/>
        <w:numPr>
          <w:ilvl w:val="0"/>
          <w:numId w:val="8"/>
        </w:numPr>
      </w:pPr>
      <w:r>
        <w:t>Forced Expiratory Volume in one second (FEV</w:t>
      </w:r>
      <w:r w:rsidRPr="00900AFB">
        <w:rPr>
          <w:vertAlign w:val="subscript"/>
        </w:rPr>
        <w:t>1</w:t>
      </w:r>
      <w:r>
        <w:t>) for patients aged 6 years or older (measured</w:t>
      </w:r>
      <w:r w:rsidR="00631586">
        <w:t xml:space="preserve"> </w:t>
      </w:r>
      <w:r>
        <w:t>in an accredited pulmonary function laboratory, with documented no acute infective exacerbation at the time</w:t>
      </w:r>
      <w:r w:rsidR="00631586">
        <w:t xml:space="preserve"> </w:t>
      </w:r>
      <w:r>
        <w:t>of measurement)</w:t>
      </w:r>
    </w:p>
    <w:p w:rsidR="00EF7A6D" w:rsidRDefault="00EF7A6D" w:rsidP="00900AFB">
      <w:pPr>
        <w:pStyle w:val="ListParagraph"/>
        <w:numPr>
          <w:ilvl w:val="0"/>
          <w:numId w:val="8"/>
        </w:numPr>
      </w:pPr>
      <w:r>
        <w:t>Concomitant use of CYP3A4 inhibitors and/or inducers</w:t>
      </w:r>
    </w:p>
    <w:p w:rsidR="00675BB1" w:rsidRPr="00675BB1" w:rsidRDefault="00675BB1" w:rsidP="00C245EA">
      <w:pPr>
        <w:pStyle w:val="Heading2"/>
      </w:pPr>
      <w:r w:rsidRPr="00675BB1">
        <w:t>Changes to listing</w:t>
      </w:r>
    </w:p>
    <w:p w:rsidR="009C35F2" w:rsidRDefault="00E202EA" w:rsidP="00A35800">
      <w:r w:rsidRPr="00AA3AEA">
        <w:t>A</w:t>
      </w:r>
      <w:r w:rsidR="009C35F2" w:rsidRPr="00AA3AEA">
        <w:t xml:space="preserve"> summary of relevant changes to the listing</w:t>
      </w:r>
      <w:r w:rsidR="007247B9" w:rsidRPr="00AA3AEA">
        <w:t xml:space="preserve"> </w:t>
      </w:r>
      <w:r w:rsidRPr="00AA3AEA">
        <w:t xml:space="preserve">of </w:t>
      </w:r>
      <w:proofErr w:type="spellStart"/>
      <w:r w:rsidRPr="00AA3AEA">
        <w:t>ivacaftor</w:t>
      </w:r>
      <w:proofErr w:type="spellEnd"/>
      <w:r>
        <w:t xml:space="preserve"> is shown in Table 3. </w:t>
      </w:r>
    </w:p>
    <w:p w:rsidR="00085C77" w:rsidRPr="00085C77" w:rsidRDefault="00085C77" w:rsidP="00EE331B">
      <w:pPr>
        <w:pStyle w:val="Tabletitle"/>
      </w:pPr>
      <w:r w:rsidRPr="00085C77">
        <w:t xml:space="preserve">Table 3: Changes to </w:t>
      </w:r>
      <w:proofErr w:type="spellStart"/>
      <w:r w:rsidRPr="00085C77">
        <w:t>ivacaftor</w:t>
      </w:r>
      <w:proofErr w:type="spellEnd"/>
      <w:r w:rsidRPr="00085C77">
        <w:t xml:space="preserve"> restrictions</w:t>
      </w:r>
    </w:p>
    <w:tbl>
      <w:tblPr>
        <w:tblStyle w:val="TableGrid"/>
        <w:tblW w:w="0" w:type="auto"/>
        <w:tblLook w:val="04A0" w:firstRow="1" w:lastRow="0" w:firstColumn="1" w:lastColumn="0" w:noHBand="0" w:noVBand="1"/>
        <w:tblCaption w:val="Table 3. Changes to ivacaftor restrictions"/>
        <w:tblDescription w:val="Column one is date of change. Column two describes the restriction change. "/>
      </w:tblPr>
      <w:tblGrid>
        <w:gridCol w:w="1951"/>
        <w:gridCol w:w="7222"/>
      </w:tblGrid>
      <w:tr w:rsidR="00E202EA" w:rsidRPr="00E202EA" w:rsidTr="00507204">
        <w:trPr>
          <w:tblHeader/>
        </w:trPr>
        <w:tc>
          <w:tcPr>
            <w:tcW w:w="1951" w:type="dxa"/>
            <w:shd w:val="clear" w:color="auto" w:fill="A6A6A6" w:themeFill="background1" w:themeFillShade="A6"/>
          </w:tcPr>
          <w:p w:rsidR="00E202EA" w:rsidRPr="004D5567" w:rsidRDefault="00E202EA" w:rsidP="004D5567">
            <w:pPr>
              <w:pStyle w:val="Tableheading"/>
              <w:jc w:val="left"/>
              <w:rPr>
                <w:sz w:val="20"/>
                <w:szCs w:val="20"/>
              </w:rPr>
            </w:pPr>
            <w:r w:rsidRPr="00E202EA">
              <w:rPr>
                <w:sz w:val="20"/>
                <w:szCs w:val="20"/>
              </w:rPr>
              <w:t>Date</w:t>
            </w:r>
          </w:p>
        </w:tc>
        <w:tc>
          <w:tcPr>
            <w:tcW w:w="7222" w:type="dxa"/>
            <w:shd w:val="clear" w:color="auto" w:fill="A6A6A6" w:themeFill="background1" w:themeFillShade="A6"/>
          </w:tcPr>
          <w:p w:rsidR="00E202EA" w:rsidRPr="004D5567" w:rsidRDefault="00E202EA" w:rsidP="004D5567">
            <w:pPr>
              <w:pStyle w:val="Tableheading"/>
              <w:jc w:val="left"/>
              <w:rPr>
                <w:sz w:val="20"/>
                <w:szCs w:val="20"/>
              </w:rPr>
            </w:pPr>
            <w:r w:rsidRPr="00E202EA">
              <w:rPr>
                <w:sz w:val="20"/>
                <w:szCs w:val="20"/>
              </w:rPr>
              <w:t xml:space="preserve">Changes to restriction </w:t>
            </w:r>
          </w:p>
        </w:tc>
      </w:tr>
      <w:tr w:rsidR="00E202EA" w:rsidRPr="00E202EA" w:rsidTr="00085C77">
        <w:tc>
          <w:tcPr>
            <w:tcW w:w="1951" w:type="dxa"/>
          </w:tcPr>
          <w:p w:rsidR="00E202EA" w:rsidRPr="00E202EA" w:rsidRDefault="00E202EA" w:rsidP="00A35800">
            <w:pPr>
              <w:rPr>
                <w:sz w:val="20"/>
                <w:szCs w:val="20"/>
              </w:rPr>
            </w:pPr>
            <w:r w:rsidRPr="00E202EA">
              <w:rPr>
                <w:sz w:val="20"/>
                <w:szCs w:val="20"/>
              </w:rPr>
              <w:t>1 June 2015</w:t>
            </w:r>
          </w:p>
        </w:tc>
        <w:tc>
          <w:tcPr>
            <w:tcW w:w="7222" w:type="dxa"/>
          </w:tcPr>
          <w:p w:rsidR="00E202EA" w:rsidRDefault="00085C77" w:rsidP="00085C77">
            <w:pPr>
              <w:rPr>
                <w:sz w:val="20"/>
                <w:szCs w:val="20"/>
              </w:rPr>
            </w:pPr>
            <w:r>
              <w:rPr>
                <w:sz w:val="20"/>
                <w:szCs w:val="20"/>
              </w:rPr>
              <w:t xml:space="preserve">Ciprofloxacin was removed from list of moderate CYP3A4 inhibitors that require dose reduction if co-administered with </w:t>
            </w:r>
            <w:proofErr w:type="spellStart"/>
            <w:r>
              <w:rPr>
                <w:sz w:val="20"/>
                <w:szCs w:val="20"/>
              </w:rPr>
              <w:t>ivacaftor</w:t>
            </w:r>
            <w:proofErr w:type="spellEnd"/>
          </w:p>
          <w:p w:rsidR="00085C77" w:rsidRDefault="00085C77" w:rsidP="00085C77">
            <w:pPr>
              <w:rPr>
                <w:sz w:val="20"/>
                <w:szCs w:val="20"/>
              </w:rPr>
            </w:pPr>
          </w:p>
          <w:p w:rsidR="00085C77" w:rsidRPr="00E202EA" w:rsidRDefault="00085C77" w:rsidP="00085C77">
            <w:pPr>
              <w:rPr>
                <w:sz w:val="20"/>
                <w:szCs w:val="20"/>
              </w:rPr>
            </w:pPr>
            <w:r>
              <w:rPr>
                <w:sz w:val="20"/>
                <w:szCs w:val="20"/>
              </w:rPr>
              <w:t xml:space="preserve">Details of requirement to submit to DHS a baseline measurement of number of days of hospitalisation was amended to specify only CF-related hospitalisations </w:t>
            </w:r>
          </w:p>
        </w:tc>
      </w:tr>
      <w:tr w:rsidR="00E202EA" w:rsidRPr="00E202EA" w:rsidTr="00085C77">
        <w:tc>
          <w:tcPr>
            <w:tcW w:w="1951" w:type="dxa"/>
          </w:tcPr>
          <w:p w:rsidR="00E202EA" w:rsidRPr="00E202EA" w:rsidRDefault="00E202EA" w:rsidP="00A35800">
            <w:pPr>
              <w:rPr>
                <w:sz w:val="20"/>
                <w:szCs w:val="20"/>
              </w:rPr>
            </w:pPr>
            <w:r w:rsidRPr="00E202EA">
              <w:rPr>
                <w:sz w:val="20"/>
                <w:szCs w:val="20"/>
              </w:rPr>
              <w:t>1 October 2015</w:t>
            </w:r>
          </w:p>
        </w:tc>
        <w:tc>
          <w:tcPr>
            <w:tcW w:w="7222" w:type="dxa"/>
          </w:tcPr>
          <w:p w:rsidR="00E202EA" w:rsidRPr="00E202EA" w:rsidRDefault="00085C77" w:rsidP="00A35800">
            <w:pPr>
              <w:rPr>
                <w:sz w:val="20"/>
                <w:szCs w:val="20"/>
              </w:rPr>
            </w:pPr>
            <w:r>
              <w:rPr>
                <w:sz w:val="20"/>
                <w:szCs w:val="20"/>
              </w:rPr>
              <w:t xml:space="preserve">Prednisone was removed from </w:t>
            </w:r>
            <w:r w:rsidR="00CB76B4">
              <w:rPr>
                <w:sz w:val="20"/>
                <w:szCs w:val="20"/>
              </w:rPr>
              <w:t xml:space="preserve">the </w:t>
            </w:r>
            <w:r>
              <w:rPr>
                <w:sz w:val="20"/>
                <w:szCs w:val="20"/>
              </w:rPr>
              <w:t xml:space="preserve">list of weak CYP3A4 inducers that precludes patients from receiving PBS-subsidised </w:t>
            </w:r>
            <w:proofErr w:type="spellStart"/>
            <w:r>
              <w:rPr>
                <w:sz w:val="20"/>
                <w:szCs w:val="20"/>
              </w:rPr>
              <w:t>ivacaftor</w:t>
            </w:r>
            <w:proofErr w:type="spellEnd"/>
            <w:r>
              <w:rPr>
                <w:sz w:val="20"/>
                <w:szCs w:val="20"/>
              </w:rPr>
              <w:t xml:space="preserve">. </w:t>
            </w:r>
          </w:p>
        </w:tc>
      </w:tr>
      <w:tr w:rsidR="00E202EA" w:rsidRPr="00E202EA" w:rsidTr="00085C77">
        <w:tc>
          <w:tcPr>
            <w:tcW w:w="1951" w:type="dxa"/>
          </w:tcPr>
          <w:p w:rsidR="00E202EA" w:rsidRPr="00E202EA" w:rsidRDefault="00E202EA" w:rsidP="00A35800">
            <w:pPr>
              <w:rPr>
                <w:sz w:val="20"/>
                <w:szCs w:val="20"/>
              </w:rPr>
            </w:pPr>
            <w:r w:rsidRPr="00E202EA">
              <w:rPr>
                <w:sz w:val="20"/>
                <w:szCs w:val="20"/>
              </w:rPr>
              <w:t>1 May 2017</w:t>
            </w:r>
          </w:p>
        </w:tc>
        <w:tc>
          <w:tcPr>
            <w:tcW w:w="7222" w:type="dxa"/>
          </w:tcPr>
          <w:p w:rsidR="00E202EA" w:rsidRDefault="00085C77" w:rsidP="00A35800">
            <w:pPr>
              <w:rPr>
                <w:sz w:val="20"/>
                <w:szCs w:val="20"/>
              </w:rPr>
            </w:pPr>
            <w:r>
              <w:rPr>
                <w:sz w:val="20"/>
                <w:szCs w:val="20"/>
              </w:rPr>
              <w:t xml:space="preserve">Population expanded to include children aged 2-5 years. </w:t>
            </w:r>
          </w:p>
          <w:p w:rsidR="00085C77" w:rsidRDefault="00085C77" w:rsidP="00A35800">
            <w:pPr>
              <w:rPr>
                <w:sz w:val="20"/>
                <w:szCs w:val="20"/>
              </w:rPr>
            </w:pPr>
          </w:p>
          <w:p w:rsidR="00085C77" w:rsidRPr="00E202EA" w:rsidRDefault="00085C77" w:rsidP="00A35800">
            <w:pPr>
              <w:rPr>
                <w:sz w:val="20"/>
                <w:szCs w:val="20"/>
              </w:rPr>
            </w:pPr>
            <w:r>
              <w:rPr>
                <w:sz w:val="20"/>
                <w:szCs w:val="20"/>
              </w:rPr>
              <w:t xml:space="preserve">Granule formulation added. </w:t>
            </w:r>
          </w:p>
        </w:tc>
      </w:tr>
    </w:tbl>
    <w:p w:rsidR="00085C77" w:rsidRDefault="00085C77" w:rsidP="00085C77">
      <w:pPr>
        <w:spacing w:after="0"/>
      </w:pPr>
    </w:p>
    <w:p w:rsidR="00BF544D" w:rsidRPr="002F61CA" w:rsidRDefault="00BF544D" w:rsidP="00BF544D">
      <w:r w:rsidRPr="002F61CA">
        <w:t xml:space="preserve">Current PBS listing details are available from </w:t>
      </w:r>
      <w:r>
        <w:t xml:space="preserve">the </w:t>
      </w:r>
      <w:r w:rsidRPr="006F065A">
        <w:t>PBS website</w:t>
      </w:r>
      <w:r>
        <w:t>.</w:t>
      </w:r>
    </w:p>
    <w:p w:rsidR="00736041" w:rsidRPr="005E22C2" w:rsidRDefault="00394AEE" w:rsidP="00FE645A">
      <w:pPr>
        <w:pStyle w:val="Heading3"/>
      </w:pPr>
      <w:r>
        <w:t>Relevant aspects of</w:t>
      </w:r>
      <w:r w:rsidR="00736041" w:rsidRPr="005E22C2">
        <w:t xml:space="preserve"> consideration</w:t>
      </w:r>
      <w:r>
        <w:t xml:space="preserve"> by the Pharmaceutical Benefits Advisory Committee (PBAC)</w:t>
      </w:r>
    </w:p>
    <w:p w:rsidR="003910B2" w:rsidRPr="00677B7A" w:rsidRDefault="00E82907" w:rsidP="003910B2">
      <w:r>
        <w:t xml:space="preserve">Seven submissions for </w:t>
      </w:r>
      <w:proofErr w:type="spellStart"/>
      <w:r>
        <w:t>i</w:t>
      </w:r>
      <w:r w:rsidR="003960CE" w:rsidRPr="001E5ADE">
        <w:t>vacaftor</w:t>
      </w:r>
      <w:proofErr w:type="spellEnd"/>
      <w:r>
        <w:t xml:space="preserve"> for the treatment of CF have been</w:t>
      </w:r>
      <w:r w:rsidR="003960CE" w:rsidRPr="001E5ADE">
        <w:t xml:space="preserve"> considered by the </w:t>
      </w:r>
      <w:r w:rsidR="008B2B09" w:rsidRPr="001E5ADE">
        <w:t xml:space="preserve">PBAC, </w:t>
      </w:r>
      <w:r>
        <w:t>with the</w:t>
      </w:r>
      <w:r w:rsidR="008B2B09" w:rsidRPr="001E5ADE">
        <w:t xml:space="preserve"> first</w:t>
      </w:r>
      <w:r>
        <w:t xml:space="preserve"> positive recommendation </w:t>
      </w:r>
      <w:r w:rsidR="008B2B09" w:rsidRPr="001E5ADE">
        <w:t>for PBS listing</w:t>
      </w:r>
      <w:r>
        <w:t xml:space="preserve"> made</w:t>
      </w:r>
      <w:r w:rsidR="008B2B09" w:rsidRPr="001E5ADE">
        <w:t xml:space="preserve"> at the November 2013 meeting. </w:t>
      </w:r>
      <w:r w:rsidR="008B2B09" w:rsidRPr="00677B7A">
        <w:t xml:space="preserve">At that time, the PBAC considered that the cost-effectiveness of </w:t>
      </w:r>
      <w:proofErr w:type="spellStart"/>
      <w:r w:rsidR="008B2B09" w:rsidRPr="00677B7A">
        <w:t>ivacaftor</w:t>
      </w:r>
      <w:proofErr w:type="spellEnd"/>
      <w:r w:rsidR="008B2B09" w:rsidRPr="00677B7A">
        <w:t xml:space="preserve"> would be acceptable </w:t>
      </w:r>
      <w:r w:rsidR="006F3EEF" w:rsidRPr="00677B7A">
        <w:t xml:space="preserve">if the incremental cost-effectiveness ratio (ICER) was between $60,000 and $80,000 per quality-adjusted life-years gained and </w:t>
      </w:r>
      <w:r w:rsidR="008B2B09" w:rsidRPr="00677B7A">
        <w:t>if a risk sharing agreement was entered into</w:t>
      </w:r>
      <w:r w:rsidR="003910B2" w:rsidRPr="00677B7A">
        <w:t xml:space="preserve"> which included</w:t>
      </w:r>
      <w:r w:rsidR="008B2B09" w:rsidRPr="00677B7A">
        <w:t xml:space="preserve"> a cap on patient numbers with 100% rebates beyond the agreed patient numbers. </w:t>
      </w:r>
    </w:p>
    <w:p w:rsidR="003910B2" w:rsidRPr="00677B7A" w:rsidRDefault="00145FC7" w:rsidP="00145FC7">
      <w:r w:rsidRPr="00677B7A">
        <w:t>In a</w:t>
      </w:r>
      <w:r w:rsidR="003910B2" w:rsidRPr="00677B7A">
        <w:t xml:space="preserve"> subsequent consideration </w:t>
      </w:r>
      <w:r w:rsidR="007530D2" w:rsidRPr="00677B7A">
        <w:t>in March 2014</w:t>
      </w:r>
      <w:r w:rsidRPr="00677B7A">
        <w:t xml:space="preserve">, the base case ICER </w:t>
      </w:r>
      <w:r w:rsidR="00EC3606" w:rsidRPr="00677B7A">
        <w:t xml:space="preserve">presented in the </w:t>
      </w:r>
      <w:r w:rsidRPr="00677B7A">
        <w:t xml:space="preserve">resubmission was more than $100,000 per QALY gained. The PBAC remained of the view, previously expressed in November </w:t>
      </w:r>
      <w:proofErr w:type="gramStart"/>
      <w:r w:rsidRPr="00677B7A">
        <w:t>2013, that</w:t>
      </w:r>
      <w:proofErr w:type="gramEnd"/>
      <w:r w:rsidRPr="00677B7A">
        <w:t xml:space="preserve"> the cost-effectiveness of </w:t>
      </w:r>
      <w:proofErr w:type="spellStart"/>
      <w:r w:rsidRPr="00677B7A">
        <w:t>ivacaftor</w:t>
      </w:r>
      <w:proofErr w:type="spellEnd"/>
      <w:r w:rsidRPr="00677B7A">
        <w:t xml:space="preserve"> would be acceptable if the ICER was between $60,000 and $80,000 per QALY gained. The PBAC considered that, in the absence of a lower price, the cost-effectiveness of </w:t>
      </w:r>
      <w:proofErr w:type="spellStart"/>
      <w:r w:rsidRPr="00677B7A">
        <w:t>ivacaftor</w:t>
      </w:r>
      <w:proofErr w:type="spellEnd"/>
      <w:r w:rsidRPr="00677B7A">
        <w:t xml:space="preserve"> could be improved under a “pay for performance” arrangement, </w:t>
      </w:r>
      <w:r w:rsidR="003910B2" w:rsidRPr="00677B7A">
        <w:t>added to other risk sharing me</w:t>
      </w:r>
      <w:r w:rsidR="00D55CAF" w:rsidRPr="00677B7A">
        <w:t xml:space="preserve">asures previously </w:t>
      </w:r>
      <w:r w:rsidR="00D55CAF" w:rsidRPr="00FB4C04">
        <w:t xml:space="preserve">recommended. </w:t>
      </w:r>
      <w:r w:rsidR="006F065A">
        <w:rPr>
          <w:noProof/>
          <w:color w:val="000000"/>
          <w:highlight w:val="black"/>
        </w:rPr>
        <w:t xml:space="preserve">'''''''' '''''''''''''''''''''''''''''''''''''' ''''''''''''''''''''''' '''''''''''''''' '''''''' </w:t>
      </w:r>
      <w:r w:rsidR="006F065A">
        <w:rPr>
          <w:noProof/>
          <w:color w:val="000000"/>
          <w:highlight w:val="black"/>
        </w:rPr>
        <w:lastRenderedPageBreak/>
        <w:t>''''''' '''''''''''''' ''''''''''' '''''''''''' '''''' ''''''''''''''''''''''''''''''' ''''''''''' '''' '''''' ''''''''' '''' ''''''''''''''''''' '''''''' ''''''''''''''''' ''''''''''''''' ''''' ''''''''''''''' '''''''' ''''''''''' ''''''''''''''''''''''' ''''''''''''''' '''' ''''''' '''''''''''''''''''' ''''' ''''''''''''''''''''' ''''''''''' ''''''''''' '''''''' ''''' ''''''''''''''''''''''''''''''''' ''''' ''''''''' ''''''''''''''''' ''''''' '''''''''''''''' '''' '''' ''''''''' '' '''''' ''''''''''''''''''''''' ''' ''''''''''''''''''' ''''''''''' ''''''''''''''' ''''' '''''''''''''''''' '''''''' '''' '''''''''' ''''''' ''''''''''''''''''''''''' '''''''' ''''' '''''''''''''' '''''''''''''''''''' '''''' '''''''''''''''' ''''''''' ''''' ''''' ''''' ''''''''''' '''''''' ''''''''''' '''''''' '''' '''''''''' '''''''''''''''''''''''' '''' '''''''''''''''''' ''''''' '''''''''' ''''''' '''''''''''''''''''' ''''' ''''''' '''''''''''''' '''''' ''''''''''''''''''''' '''' ''''''''''' ''''''''''''''''' '''''''' '''''''' ''''''''''''''' ''' '''''''''''' ''''''''' '''' ''''''''' ''''' ''''''''''' ''''''''''''' '''''''''''''' ''''''' '''' ''''' ''''''''''''''</w:t>
      </w:r>
    </w:p>
    <w:p w:rsidR="003910B2" w:rsidRPr="00677B7A" w:rsidRDefault="003910B2" w:rsidP="003910B2">
      <w:r w:rsidRPr="00677B7A">
        <w:t xml:space="preserve">In November 2014, the PBAC extended the recommendation for PBS listing to include </w:t>
      </w:r>
      <w:r w:rsidR="00064BCB" w:rsidRPr="00677B7A">
        <w:t>other gating (class III) mut</w:t>
      </w:r>
      <w:r w:rsidR="001F7EA6" w:rsidRPr="00677B7A">
        <w:t>ations in the CFTR gene</w:t>
      </w:r>
      <w:r w:rsidR="00822B3A" w:rsidRPr="00677B7A">
        <w:t xml:space="preserve"> </w:t>
      </w:r>
      <w:r w:rsidR="006F065A">
        <w:rPr>
          <w:noProof/>
          <w:color w:val="000000"/>
          <w:highlight w:val="black"/>
        </w:rPr>
        <w:t>'''''' '''''''''''' '''''''' ''''''''''' '''''''''''''''''' '''''''''''''''' '''''''''''''' ''''' '''''''''''''''''' '''''''''''' '''''' '''''''''''''' '''''''''</w:t>
      </w:r>
      <w:r w:rsidR="00F62420" w:rsidRPr="00677B7A">
        <w:t xml:space="preserve"> </w:t>
      </w:r>
    </w:p>
    <w:p w:rsidR="00F62420" w:rsidRPr="001E5ADE" w:rsidRDefault="00901FD4" w:rsidP="003910B2">
      <w:r w:rsidRPr="00677B7A">
        <w:t>Subsequent to the November 2016 PBAC meeting, in January 2017</w:t>
      </w:r>
      <w:r w:rsidR="001F7EA6" w:rsidRPr="00677B7A">
        <w:t>,</w:t>
      </w:r>
      <w:r w:rsidRPr="00677B7A">
        <w:t xml:space="preserve"> the PBAC recommended the listing of </w:t>
      </w:r>
      <w:proofErr w:type="spellStart"/>
      <w:r w:rsidRPr="00677B7A">
        <w:t>ivacaftor</w:t>
      </w:r>
      <w:proofErr w:type="spellEnd"/>
      <w:r w:rsidRPr="00677B7A">
        <w:t xml:space="preserve"> be extended to </w:t>
      </w:r>
      <w:r w:rsidR="00822B3A" w:rsidRPr="00677B7A">
        <w:t>include patients aged 2-5 years</w:t>
      </w:r>
      <w:r w:rsidRPr="00677B7A">
        <w:t xml:space="preserve"> and recommended the addition of a new granule formulation of </w:t>
      </w:r>
      <w:proofErr w:type="spellStart"/>
      <w:r w:rsidRPr="00677B7A">
        <w:t>ivacaftor</w:t>
      </w:r>
      <w:proofErr w:type="spellEnd"/>
      <w:r w:rsidRPr="00677B7A">
        <w:t xml:space="preserve">. </w:t>
      </w:r>
      <w:r w:rsidR="006F065A">
        <w:rPr>
          <w:noProof/>
          <w:color w:val="000000"/>
          <w:highlight w:val="black"/>
        </w:rPr>
        <w:t>'''''''' ''''''''''' '''''''''''''''''''''''''''' '''''''' '''''''''' ''''''''''''''''''' ''''''''''''''''' '''''''''''' ''''' ''''''''''''''''' '''' '''''' ''''''''''''''' '''''''''''''''' '''''' '''''''''' '''''''''''''''''''''' '''''''' ''''''' ''''''' ''''''''''''' ''''''''''''' ''''''' '''''''''''' ''''' '''''''''''''''' ''''' ''''' ''''''''''''''' '''''' '''''''''</w:t>
      </w:r>
      <w:r w:rsidRPr="001762C8">
        <w:rPr>
          <w:highlight w:val="lightGray"/>
        </w:rPr>
        <w:t xml:space="preserve"> </w:t>
      </w:r>
    </w:p>
    <w:p w:rsidR="006A44F5" w:rsidRPr="001E5ADE" w:rsidRDefault="008D639F" w:rsidP="00A35800">
      <w:r w:rsidRPr="001E5ADE">
        <w:t xml:space="preserve">For further details, refer to the Public Summary Documents from the </w:t>
      </w:r>
      <w:r w:rsidRPr="006F065A">
        <w:t>July 2013</w:t>
      </w:r>
      <w:r w:rsidRPr="001E5ADE">
        <w:t xml:space="preserve">, </w:t>
      </w:r>
      <w:r w:rsidRPr="006F065A">
        <w:t>November 2013</w:t>
      </w:r>
      <w:r w:rsidRPr="001E5ADE">
        <w:t xml:space="preserve">, </w:t>
      </w:r>
      <w:r w:rsidRPr="006F065A">
        <w:t>March 2014</w:t>
      </w:r>
      <w:r w:rsidRPr="001E5ADE">
        <w:t xml:space="preserve">, </w:t>
      </w:r>
      <w:r w:rsidRPr="006F065A">
        <w:t>November 2014</w:t>
      </w:r>
      <w:r w:rsidRPr="001E5ADE">
        <w:t xml:space="preserve">, </w:t>
      </w:r>
      <w:r w:rsidRPr="006F065A">
        <w:t>July 2015</w:t>
      </w:r>
      <w:r w:rsidRPr="001E5ADE">
        <w:t xml:space="preserve">, </w:t>
      </w:r>
      <w:r w:rsidRPr="006F065A">
        <w:t>November 2015</w:t>
      </w:r>
      <w:r w:rsidRPr="001E5ADE">
        <w:t xml:space="preserve">, and </w:t>
      </w:r>
      <w:r w:rsidRPr="006F065A">
        <w:t>November 2016</w:t>
      </w:r>
      <w:r w:rsidRPr="001E5ADE">
        <w:t xml:space="preserve"> meetings. </w:t>
      </w:r>
    </w:p>
    <w:p w:rsidR="000F2F51" w:rsidRDefault="00ED633B" w:rsidP="00FE645A">
      <w:pPr>
        <w:pStyle w:val="Heading3"/>
      </w:pPr>
      <w:r>
        <w:t>A</w:t>
      </w:r>
      <w:r w:rsidR="000F2F51">
        <w:t xml:space="preserve">pproach </w:t>
      </w:r>
      <w:r>
        <w:t xml:space="preserve">taken to </w:t>
      </w:r>
      <w:r w:rsidR="000F2F51">
        <w:t>estimat</w:t>
      </w:r>
      <w:r>
        <w:t>e</w:t>
      </w:r>
      <w:r w:rsidR="000F2F51">
        <w:t xml:space="preserve"> utilisation</w:t>
      </w:r>
    </w:p>
    <w:p w:rsidR="004D5567" w:rsidRDefault="004D5567" w:rsidP="00A35800">
      <w:r>
        <w:t xml:space="preserve">The modelling steps used to derive the utilisation and </w:t>
      </w:r>
      <w:r w:rsidR="001529FE">
        <w:t xml:space="preserve">cost of </w:t>
      </w:r>
      <w:proofErr w:type="spellStart"/>
      <w:r w:rsidR="001529FE">
        <w:t>ivacaftor</w:t>
      </w:r>
      <w:proofErr w:type="spellEnd"/>
      <w:r w:rsidR="001529FE">
        <w:t xml:space="preserve"> to the PBS is</w:t>
      </w:r>
      <w:r>
        <w:t xml:space="preserve"> </w:t>
      </w:r>
      <w:r w:rsidRPr="00E045C5">
        <w:t>presented in Appendix 1.</w:t>
      </w:r>
      <w:r>
        <w:t xml:space="preserve"> </w:t>
      </w:r>
    </w:p>
    <w:p w:rsidR="00901FD4" w:rsidRPr="00C121D8" w:rsidRDefault="00901FD4" w:rsidP="00A35800">
      <w:r w:rsidRPr="00C121D8">
        <w:t xml:space="preserve">The submission presented an epidemiological approach to estimate utilisation of </w:t>
      </w:r>
      <w:proofErr w:type="spellStart"/>
      <w:r w:rsidRPr="00C121D8">
        <w:t>ivacaftor</w:t>
      </w:r>
      <w:proofErr w:type="spellEnd"/>
      <w:r w:rsidRPr="00C121D8">
        <w:t xml:space="preserve"> for CF. The approach</w:t>
      </w:r>
      <w:r w:rsidR="004D5567">
        <w:t xml:space="preserve"> to estimate the number of patients treated</w:t>
      </w:r>
      <w:r w:rsidRPr="00C121D8">
        <w:t xml:space="preserve"> was based o</w:t>
      </w:r>
      <w:r w:rsidR="00C121D8" w:rsidRPr="00C121D8">
        <w:t>n data from the Australian Cystic Fibrosis Data Registry</w:t>
      </w:r>
      <w:r w:rsidR="00C121D8">
        <w:t>, with data collected from 22 specialist CF clinics across Australia.</w:t>
      </w:r>
      <w:r w:rsidR="00C121D8" w:rsidRPr="00C121D8">
        <w:t xml:space="preserve"> </w:t>
      </w:r>
      <w:r w:rsidR="008A2A40">
        <w:t xml:space="preserve">The </w:t>
      </w:r>
      <w:r w:rsidR="001541E6">
        <w:t xml:space="preserve">number of patients aged </w:t>
      </w:r>
      <w:r w:rsidR="00C749C3">
        <w:t>6</w:t>
      </w:r>
      <w:r w:rsidR="001541E6">
        <w:t xml:space="preserve"> years older </w:t>
      </w:r>
      <w:r w:rsidR="001541E6" w:rsidRPr="001541E6">
        <w:t xml:space="preserve">with at least one copy of a </w:t>
      </w:r>
      <w:r w:rsidR="001541E6" w:rsidRPr="00FB4C04">
        <w:t xml:space="preserve">G551D-CFTR¬ genetic mutation in 2011 was </w:t>
      </w:r>
      <w:r w:rsidR="006F065A">
        <w:rPr>
          <w:noProof/>
          <w:color w:val="000000"/>
          <w:highlight w:val="black"/>
        </w:rPr>
        <w:t>''''''''</w:t>
      </w:r>
      <w:r w:rsidR="001541E6" w:rsidRPr="00FB4C04">
        <w:t xml:space="preserve">, corresponding to a prevalence rate of </w:t>
      </w:r>
      <w:r w:rsidR="006F065A">
        <w:rPr>
          <w:noProof/>
          <w:color w:val="000000"/>
          <w:highlight w:val="black"/>
        </w:rPr>
        <w:t>'''''''''</w:t>
      </w:r>
      <w:r w:rsidR="00EC3606" w:rsidRPr="00FB4C04">
        <w:t>.</w:t>
      </w:r>
      <w:r w:rsidR="001541E6" w:rsidRPr="00FB4C04">
        <w:t xml:space="preserve"> The submission</w:t>
      </w:r>
      <w:r w:rsidR="001F27B3" w:rsidRPr="00FB4C04">
        <w:t xml:space="preserve"> adjusted this estimate to </w:t>
      </w:r>
      <w:r w:rsidR="006F065A">
        <w:rPr>
          <w:noProof/>
          <w:color w:val="000000"/>
          <w:highlight w:val="black"/>
        </w:rPr>
        <w:t>'''''''''</w:t>
      </w:r>
      <w:r w:rsidR="001F27B3" w:rsidRPr="00FB4C04">
        <w:t xml:space="preserve"> to account for people </w:t>
      </w:r>
      <w:r w:rsidR="00684192" w:rsidRPr="00FB4C04">
        <w:t>over 30 years of age who may not have undergone genotypic screening.</w:t>
      </w:r>
      <w:r w:rsidR="00684192">
        <w:t xml:space="preserve"> </w:t>
      </w:r>
      <w:r w:rsidR="00684192" w:rsidRPr="00684192">
        <w:t xml:space="preserve"> </w:t>
      </w:r>
    </w:p>
    <w:p w:rsidR="00901FD4" w:rsidRPr="00FB4C04" w:rsidRDefault="00B12303" w:rsidP="00A35800">
      <w:r w:rsidRPr="004D5567">
        <w:t xml:space="preserve">The PBAC considered that the submission’s estimates of the number of patients treated was reasonable, but noted that there was a potential for leakage into other subgroups of CF patients given the biological plausibility that </w:t>
      </w:r>
      <w:proofErr w:type="spellStart"/>
      <w:r w:rsidRPr="004D5567">
        <w:t>ivacaftor</w:t>
      </w:r>
      <w:proofErr w:type="spellEnd"/>
      <w:r w:rsidRPr="004D5567">
        <w:t xml:space="preserve"> would be effective in some of </w:t>
      </w:r>
      <w:r w:rsidRPr="00FB4C04">
        <w:t xml:space="preserve">those subgroups. </w:t>
      </w:r>
    </w:p>
    <w:p w:rsidR="004D5567" w:rsidRPr="004D5567" w:rsidRDefault="004D5567" w:rsidP="00A35800">
      <w:r w:rsidRPr="00FB4C04">
        <w:t xml:space="preserve">The total projected costs were calculated by multiplying the forecasted number of patients by </w:t>
      </w:r>
      <w:r w:rsidR="006F065A">
        <w:rPr>
          <w:noProof/>
          <w:color w:val="000000"/>
          <w:highlight w:val="black"/>
        </w:rPr>
        <w:t>''''''</w:t>
      </w:r>
      <w:r w:rsidR="00A72FB9" w:rsidRPr="00FB4C04">
        <w:t xml:space="preserve"> prescriptions per year to account for an adherence rate of </w:t>
      </w:r>
      <w:r w:rsidR="006F065A">
        <w:rPr>
          <w:noProof/>
          <w:color w:val="000000"/>
          <w:highlight w:val="black"/>
        </w:rPr>
        <w:t>'''''''''''' ''''''''''''''''''' ''''''''' '''''''''' ''''''' '''''''''''''' ''''''' ''''''''''' ''''''' ''' '''''' '''''''''' ''''''''''''''''''' '''' '''''''''''</w:t>
      </w:r>
      <w:r w:rsidR="007B0331" w:rsidRPr="00FB4C04">
        <w:t xml:space="preserve"> </w:t>
      </w:r>
      <w:r w:rsidR="00A72FB9" w:rsidRPr="00FB4C04">
        <w:t>to</w:t>
      </w:r>
      <w:r w:rsidR="007B0331" w:rsidRPr="00FB4C04">
        <w:t xml:space="preserve"> account for</w:t>
      </w:r>
      <w:r w:rsidR="00A72FB9" w:rsidRPr="00FB4C04">
        <w:t xml:space="preserve"> moderate or</w:t>
      </w:r>
      <w:r w:rsidR="00A72FB9">
        <w:t xml:space="preserve"> severe hepatic impairment or CYP3A4 inhibitor use. </w:t>
      </w:r>
      <w:r w:rsidR="001F27B3">
        <w:t xml:space="preserve">The </w:t>
      </w:r>
      <w:r w:rsidR="00F34309">
        <w:t>dose adjustment</w:t>
      </w:r>
      <w:r w:rsidR="001F27B3">
        <w:t xml:space="preserve"> was estimated from a clinician survey. </w:t>
      </w:r>
      <w:r w:rsidR="00A72FB9">
        <w:t xml:space="preserve">These assumptions were uncertain. </w:t>
      </w:r>
    </w:p>
    <w:p w:rsidR="000E57DF" w:rsidRPr="000E57DF" w:rsidRDefault="00A72FB9" w:rsidP="00A72FB9">
      <w:r>
        <w:lastRenderedPageBreak/>
        <w:t>The submission assumed 1</w:t>
      </w:r>
      <w:r w:rsidR="000E57DF" w:rsidRPr="000E57DF">
        <w:t xml:space="preserve">00% of prevalent and incident patients with a G551D </w:t>
      </w:r>
      <w:r w:rsidR="000E57DF">
        <w:t>m</w:t>
      </w:r>
      <w:r>
        <w:t>utation would commence therapy and a d</w:t>
      </w:r>
      <w:r w:rsidR="000E57DF" w:rsidRPr="000E57DF">
        <w:t xml:space="preserve">iscontinuation rate </w:t>
      </w:r>
      <w:r w:rsidR="000E57DF">
        <w:t>of</w:t>
      </w:r>
      <w:r w:rsidR="000E57DF" w:rsidRPr="000E57DF">
        <w:t xml:space="preserve"> 0%. </w:t>
      </w:r>
    </w:p>
    <w:p w:rsidR="000E57DF" w:rsidRPr="000E57DF" w:rsidRDefault="000E57DF" w:rsidP="000E57DF">
      <w:r w:rsidRPr="00677B7A">
        <w:t xml:space="preserve">When the PBAC recommended expanding the eligible population to include patients with other gating (class III) mutations, patient numbers for the purpose of the cap were not changed. When the patient population was expanded to include children aged 2-5 years, </w:t>
      </w:r>
      <w:r w:rsidR="00A72FB9" w:rsidRPr="00677B7A">
        <w:t>patient caps</w:t>
      </w:r>
      <w:r w:rsidRPr="00677B7A">
        <w:t xml:space="preserve"> were </w:t>
      </w:r>
      <w:r w:rsidR="006F065A">
        <w:rPr>
          <w:noProof/>
          <w:color w:val="000000"/>
          <w:highlight w:val="black"/>
        </w:rPr>
        <w:t>'''''''''''''''' ''''' '''''' ''''''''''''''' '''''' ''''''''</w:t>
      </w:r>
      <w:r w:rsidRPr="00677B7A">
        <w:t>.</w:t>
      </w:r>
      <w:r w:rsidRPr="000E57DF">
        <w:t xml:space="preserve"> </w:t>
      </w:r>
    </w:p>
    <w:p w:rsidR="00E677DD" w:rsidRPr="005E22C2" w:rsidRDefault="00E677DD" w:rsidP="00587724">
      <w:pPr>
        <w:pStyle w:val="Heading4"/>
      </w:pPr>
      <w:r w:rsidRPr="005E22C2">
        <w:t>Method</w:t>
      </w:r>
      <w:r w:rsidR="001B5D37" w:rsidRPr="005E22C2">
        <w:t>s</w:t>
      </w:r>
    </w:p>
    <w:p w:rsidR="001D33CA" w:rsidRPr="001D33CA" w:rsidRDefault="001D33CA" w:rsidP="001D33CA">
      <w:r w:rsidRPr="001D33CA">
        <w:t xml:space="preserve">PBS prescription data for all </w:t>
      </w:r>
      <w:proofErr w:type="spellStart"/>
      <w:r w:rsidRPr="001D33CA">
        <w:t>ivacaftor</w:t>
      </w:r>
      <w:proofErr w:type="spellEnd"/>
      <w:r w:rsidRPr="001D33CA">
        <w:t xml:space="preserve"> PBS item codes were extracted from the Department of Human Services (DHS) prescription database for date of supply from December 2014 (the month </w:t>
      </w:r>
      <w:proofErr w:type="spellStart"/>
      <w:r w:rsidRPr="001D33CA">
        <w:t>ivacaftor</w:t>
      </w:r>
      <w:proofErr w:type="spellEnd"/>
      <w:r w:rsidRPr="001D33CA">
        <w:t xml:space="preserve"> was listed on the PBS) to the end of September 2017. </w:t>
      </w:r>
      <w:r w:rsidR="00D26A5C">
        <w:t xml:space="preserve">The data was extracted on 11 December </w:t>
      </w:r>
      <w:r w:rsidRPr="001D33CA">
        <w:t xml:space="preserve">2017. There are six PBS item code for </w:t>
      </w:r>
      <w:proofErr w:type="spellStart"/>
      <w:r w:rsidRPr="001D33CA">
        <w:t>ivacaftor</w:t>
      </w:r>
      <w:proofErr w:type="spellEnd"/>
      <w:r w:rsidRPr="001D33CA">
        <w:t xml:space="preserve"> (10170G, 10175M, 11097C, 11098D, 11105L and 11109Q), all of which are indicated for the treatment of cystic fibrosis</w:t>
      </w:r>
      <w:r>
        <w:t xml:space="preserve"> with G551D mutation</w:t>
      </w:r>
      <w:r w:rsidRPr="001D33CA">
        <w:t>.</w:t>
      </w:r>
    </w:p>
    <w:p w:rsidR="00EC3606" w:rsidRDefault="001D33CA" w:rsidP="001D33CA">
      <w:r w:rsidRPr="001D33CA">
        <w:t>PBS prescription data were used to determine the number of prescriptions supplied and the PBS expenditure. These data were also used to count the number of patients, both incident (new to treatment) and prevalent (number treated in each time period, i</w:t>
      </w:r>
      <w:r w:rsidR="00CA3F5F">
        <w:t>.</w:t>
      </w:r>
      <w:r w:rsidRPr="001D33CA">
        <w:t xml:space="preserve">e. year or quarter). Patients were considered incident to PBS treatment at their first prescription in the data, which starts at the date of PBS listing 1 December 2014. </w:t>
      </w:r>
    </w:p>
    <w:p w:rsidR="001D33CA" w:rsidRPr="001D33CA" w:rsidRDefault="00EC3606" w:rsidP="001D33CA">
      <w:r w:rsidRPr="00EC3606">
        <w:t xml:space="preserve">When </w:t>
      </w:r>
      <w:proofErr w:type="spellStart"/>
      <w:r w:rsidRPr="00EC3606">
        <w:t>ivacaftor</w:t>
      </w:r>
      <w:proofErr w:type="spellEnd"/>
      <w:r w:rsidRPr="00EC3606">
        <w:t xml:space="preserve"> was first listed on the PBS there was a separate restriction for grandfather</w:t>
      </w:r>
      <w:r>
        <w:t>ed</w:t>
      </w:r>
      <w:r w:rsidRPr="00EC3606">
        <w:t xml:space="preserve"> patients</w:t>
      </w:r>
      <w:r>
        <w:t>. Gr</w:t>
      </w:r>
      <w:r w:rsidR="001D33CA" w:rsidRPr="001D33CA">
        <w:t>andfathered patients (</w:t>
      </w:r>
      <w:r w:rsidR="008E4824" w:rsidRPr="001D33CA">
        <w:t>i.e.</w:t>
      </w:r>
      <w:r w:rsidR="001D33CA" w:rsidRPr="001D33CA">
        <w:t xml:space="preserve"> received non-PBS </w:t>
      </w:r>
      <w:proofErr w:type="spellStart"/>
      <w:r w:rsidR="001D33CA" w:rsidRPr="001D33CA">
        <w:t>ivacaftor</w:t>
      </w:r>
      <w:proofErr w:type="spellEnd"/>
      <w:r w:rsidR="001D33CA" w:rsidRPr="001D33CA">
        <w:t xml:space="preserve"> prior to PBS </w:t>
      </w:r>
      <w:proofErr w:type="spellStart"/>
      <w:r w:rsidR="001D33CA" w:rsidRPr="001D33CA">
        <w:t>ivacaftor</w:t>
      </w:r>
      <w:proofErr w:type="spellEnd"/>
      <w:r w:rsidR="001D33CA" w:rsidRPr="001D33CA">
        <w:t>) are not distinguished in this analysis.</w:t>
      </w:r>
    </w:p>
    <w:p w:rsidR="001D33CA" w:rsidRPr="001D33CA" w:rsidRDefault="001D33CA" w:rsidP="001D33CA">
      <w:r w:rsidRPr="001D33CA">
        <w:t xml:space="preserve">An analysis of scripts per patient in the 12 months after initiation to PBS </w:t>
      </w:r>
      <w:proofErr w:type="spellStart"/>
      <w:r w:rsidRPr="001D33CA">
        <w:t>ivacaftor</w:t>
      </w:r>
      <w:proofErr w:type="spellEnd"/>
      <w:r w:rsidRPr="001D33CA">
        <w:t xml:space="preserve"> was also performed. This analysis was limited to the cohort of patients that had at least 12 months of </w:t>
      </w:r>
      <w:r w:rsidR="00D26A5C" w:rsidRPr="001D33CA">
        <w:t>follow-up</w:t>
      </w:r>
      <w:r w:rsidRPr="001D33CA">
        <w:t xml:space="preserve"> data after initiation. That is, patients that initiated from December 2014 to the end of September 2016.</w:t>
      </w:r>
    </w:p>
    <w:p w:rsidR="00C714D0" w:rsidRPr="005E22C2" w:rsidRDefault="00C714D0" w:rsidP="001F4906">
      <w:pPr>
        <w:pStyle w:val="Heading4"/>
      </w:pPr>
      <w:r w:rsidRPr="005E22C2">
        <w:t>Results</w:t>
      </w:r>
    </w:p>
    <w:p w:rsidR="00736041" w:rsidRPr="005E22C2" w:rsidRDefault="001B5D37" w:rsidP="00FE645A">
      <w:pPr>
        <w:pStyle w:val="Heading3"/>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2076EC" w:rsidRDefault="005C01E1" w:rsidP="001F4906">
      <w:pPr>
        <w:pStyle w:val="Heading2"/>
      </w:pPr>
      <w:r>
        <w:t xml:space="preserve">Overall utilisation </w:t>
      </w:r>
    </w:p>
    <w:p w:rsidR="00002213" w:rsidRDefault="00002213" w:rsidP="005C01E1">
      <w:pPr>
        <w:spacing w:after="0"/>
      </w:pPr>
      <w:r>
        <w:t xml:space="preserve">Figure 1 shows the total number of patients who were supplied </w:t>
      </w:r>
      <w:proofErr w:type="spellStart"/>
      <w:r>
        <w:t>ivacaftor</w:t>
      </w:r>
      <w:proofErr w:type="spellEnd"/>
      <w:r>
        <w:t xml:space="preserve"> in each quarter and of those patients</w:t>
      </w:r>
      <w:r w:rsidR="00746862">
        <w:t>,</w:t>
      </w:r>
      <w:r>
        <w:t xml:space="preserve"> </w:t>
      </w:r>
      <w:r w:rsidR="00746862">
        <w:t>those that</w:t>
      </w:r>
      <w:r>
        <w:t xml:space="preserve"> received their first ever PBS supply of </w:t>
      </w:r>
      <w:proofErr w:type="spellStart"/>
      <w:r>
        <w:t>ivacaftor</w:t>
      </w:r>
      <w:proofErr w:type="spellEnd"/>
      <w:r>
        <w:t xml:space="preserve"> in that quarter. Initiating patients include people receiving supply under the initial treatment restriction and </w:t>
      </w:r>
      <w:r w:rsidRPr="006A4B1D">
        <w:t xml:space="preserve">the </w:t>
      </w:r>
      <w:r w:rsidRPr="0044733D">
        <w:t>grandfather restriction</w:t>
      </w:r>
      <w:r>
        <w:t xml:space="preserve">. While grandfathered patients are continuing </w:t>
      </w:r>
      <w:proofErr w:type="spellStart"/>
      <w:r>
        <w:t>ivacaftor</w:t>
      </w:r>
      <w:proofErr w:type="spellEnd"/>
      <w:r>
        <w:t xml:space="preserve"> </w:t>
      </w:r>
      <w:r w:rsidR="00B85F00">
        <w:t>treatment</w:t>
      </w:r>
      <w:r w:rsidR="00746862">
        <w:t>,</w:t>
      </w:r>
      <w:r w:rsidR="00B85F00">
        <w:t xml:space="preserve"> </w:t>
      </w:r>
      <w:r>
        <w:t>they are new to PBS supply.</w:t>
      </w:r>
    </w:p>
    <w:p w:rsidR="00002213" w:rsidRDefault="00002213" w:rsidP="005C01E1">
      <w:pPr>
        <w:spacing w:after="0"/>
      </w:pPr>
    </w:p>
    <w:p w:rsidR="005C01E1" w:rsidRDefault="00E045C5" w:rsidP="005C01E1">
      <w:pPr>
        <w:spacing w:after="0"/>
      </w:pPr>
      <w:r>
        <w:t xml:space="preserve">Following </w:t>
      </w:r>
      <w:r w:rsidR="00002213">
        <w:t>PBS listing, a large proportion of the total number of</w:t>
      </w:r>
      <w:r>
        <w:t xml:space="preserve"> </w:t>
      </w:r>
      <w:r w:rsidR="005C01E1">
        <w:t>patients</w:t>
      </w:r>
      <w:r w:rsidR="00002213">
        <w:t xml:space="preserve"> received their first PBS supplied</w:t>
      </w:r>
      <w:r w:rsidR="00EC1E01">
        <w:t xml:space="preserve"> prescription of</w:t>
      </w:r>
      <w:r w:rsidR="00002213">
        <w:t xml:space="preserve"> </w:t>
      </w:r>
      <w:proofErr w:type="spellStart"/>
      <w:r w:rsidR="00002213">
        <w:t>ivacaftor</w:t>
      </w:r>
      <w:proofErr w:type="spellEnd"/>
      <w:r w:rsidR="00002213">
        <w:t>. T</w:t>
      </w:r>
      <w:r w:rsidR="005C01E1">
        <w:t xml:space="preserve">he number of new patients being treated with </w:t>
      </w:r>
      <w:proofErr w:type="spellStart"/>
      <w:r w:rsidR="005C01E1">
        <w:t>ivacaftor</w:t>
      </w:r>
      <w:proofErr w:type="spellEnd"/>
      <w:r w:rsidR="00002213">
        <w:t xml:space="preserve"> since this time</w:t>
      </w:r>
      <w:r w:rsidR="005C01E1">
        <w:t xml:space="preserve"> has remained low. There was a slight increase in</w:t>
      </w:r>
      <w:r>
        <w:t xml:space="preserve"> initiating patients in</w:t>
      </w:r>
      <w:r w:rsidR="005C01E1">
        <w:t xml:space="preserve"> the second quarter of 2017 as a result of the population expanding to </w:t>
      </w:r>
      <w:r w:rsidR="00EC1E01">
        <w:t xml:space="preserve">children aged </w:t>
      </w:r>
      <w:r w:rsidR="00EC1E01">
        <w:lastRenderedPageBreak/>
        <w:t>2</w:t>
      </w:r>
      <w:r w:rsidR="00B85F00">
        <w:noBreakHyphen/>
      </w:r>
      <w:r w:rsidR="00EC1E01">
        <w:t>5</w:t>
      </w:r>
      <w:r w:rsidR="00B85F00">
        <w:t> </w:t>
      </w:r>
      <w:r w:rsidR="00EC1E01">
        <w:t>years</w:t>
      </w:r>
      <w:r w:rsidR="005C01E1">
        <w:t xml:space="preserve">. </w:t>
      </w:r>
      <w:r w:rsidR="00752AD5">
        <w:t xml:space="preserve">A total of 268 </w:t>
      </w:r>
      <w:r w:rsidR="00002213">
        <w:t xml:space="preserve">unique patients have been supplied </w:t>
      </w:r>
      <w:proofErr w:type="spellStart"/>
      <w:r w:rsidR="00002213">
        <w:t>ivacaftor</w:t>
      </w:r>
      <w:proofErr w:type="spellEnd"/>
      <w:r w:rsidR="00002213">
        <w:t xml:space="preserve"> from the time of PBS listing (1 December 2014) to the most recent data (30 September 2017). </w:t>
      </w:r>
    </w:p>
    <w:p w:rsidR="00B22B97" w:rsidRPr="002076EC" w:rsidRDefault="00B22B97" w:rsidP="005C01E1">
      <w:pPr>
        <w:spacing w:after="0"/>
      </w:pPr>
      <w:bookmarkStart w:id="0" w:name="_GoBack"/>
      <w:bookmarkEnd w:id="0"/>
    </w:p>
    <w:p w:rsidR="00874601" w:rsidRDefault="00874601" w:rsidP="005C01E1">
      <w:pPr>
        <w:pStyle w:val="Heading2"/>
        <w:spacing w:before="0" w:after="0"/>
        <w:rPr>
          <w:i w:val="0"/>
        </w:rPr>
      </w:pPr>
      <w:r>
        <w:rPr>
          <w:noProof/>
        </w:rPr>
        <w:drawing>
          <wp:inline distT="0" distB="0" distL="0" distR="0" wp14:anchorId="61E95E56" wp14:editId="13857DE1">
            <wp:extent cx="5686425" cy="3657600"/>
            <wp:effectExtent l="0" t="0" r="9525" b="19050"/>
            <wp:docPr id="4" name="Chart 4" descr="A line graph showing initiating patients and prevalent patients by quarter from quarter 4 2014 to quarter 3 2017." title="Figure 1: Initiating patients and total number of patients supplied ivacafto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01E1" w:rsidRDefault="005C01E1" w:rsidP="005C01E1">
      <w:pPr>
        <w:pStyle w:val="Heading2"/>
        <w:spacing w:before="0" w:after="0"/>
        <w:rPr>
          <w:i w:val="0"/>
        </w:rPr>
      </w:pPr>
      <w:r w:rsidRPr="005C01E1">
        <w:rPr>
          <w:i w:val="0"/>
        </w:rPr>
        <w:t xml:space="preserve">Figure 1: </w:t>
      </w:r>
      <w:r w:rsidR="00002213">
        <w:rPr>
          <w:i w:val="0"/>
        </w:rPr>
        <w:t xml:space="preserve">Initiating patients and total number of patients supplied </w:t>
      </w:r>
      <w:proofErr w:type="spellStart"/>
      <w:r w:rsidR="00002213">
        <w:rPr>
          <w:i w:val="0"/>
        </w:rPr>
        <w:t>ivacaftor</w:t>
      </w:r>
      <w:proofErr w:type="spellEnd"/>
    </w:p>
    <w:p w:rsidR="00002213" w:rsidRDefault="00002213" w:rsidP="00002213">
      <w:pPr>
        <w:pStyle w:val="Figurecaption"/>
      </w:pPr>
      <w:r>
        <w:t>Data are presented by quarter of supply. Initiators are total number of people supplied their first PBS-subsidised prescription; this is a subset of PBS patients.</w:t>
      </w:r>
      <w:r w:rsidRPr="00450A5E">
        <w:t xml:space="preserve"> </w:t>
      </w:r>
      <w:r w:rsidR="00B85F00">
        <w:t>There were no new patients in the first quarter of 2017.</w:t>
      </w:r>
      <w:r w:rsidR="00874601">
        <w:t xml:space="preserve"> Data points </w:t>
      </w:r>
      <w:r w:rsidR="004D6E8B">
        <w:t xml:space="preserve">that equal 6 may represent 6 or fewer patients. </w:t>
      </w:r>
    </w:p>
    <w:p w:rsidR="00E045C5" w:rsidRPr="00E045C5" w:rsidRDefault="00E045C5" w:rsidP="00E045C5">
      <w:pPr>
        <w:spacing w:after="0"/>
      </w:pPr>
    </w:p>
    <w:p w:rsidR="00E045C5" w:rsidRDefault="00E045C5" w:rsidP="00A35800">
      <w:r>
        <w:t xml:space="preserve">The average number of prescriptions per patient per year at an aggregate level is shown in Table 4. </w:t>
      </w:r>
    </w:p>
    <w:p w:rsidR="00E045C5" w:rsidRPr="00E045C5" w:rsidRDefault="00E045C5" w:rsidP="00E045C5">
      <w:pPr>
        <w:spacing w:after="0"/>
        <w:rPr>
          <w:b/>
        </w:rPr>
      </w:pPr>
      <w:r>
        <w:rPr>
          <w:b/>
        </w:rPr>
        <w:t>Table 4: Aggregate prescriptions per patient per year</w:t>
      </w:r>
    </w:p>
    <w:tbl>
      <w:tblPr>
        <w:tblStyle w:val="TableGrid"/>
        <w:tblW w:w="0" w:type="auto"/>
        <w:tblInd w:w="108" w:type="dxa"/>
        <w:tblLook w:val="04A0" w:firstRow="1" w:lastRow="0" w:firstColumn="1" w:lastColumn="0" w:noHBand="0" w:noVBand="1"/>
        <w:tblCaption w:val="Table 4. Aggregate prescriptions per patient per year."/>
        <w:tblDescription w:val="prescriptions, patients and prescriptions per patient in year 1 and year 2 of listing"/>
      </w:tblPr>
      <w:tblGrid>
        <w:gridCol w:w="2949"/>
        <w:gridCol w:w="3058"/>
        <w:gridCol w:w="3058"/>
      </w:tblGrid>
      <w:tr w:rsidR="00E045C5" w:rsidRPr="001C1A5B" w:rsidTr="00507204">
        <w:trPr>
          <w:tblHeader/>
        </w:trPr>
        <w:tc>
          <w:tcPr>
            <w:tcW w:w="2949" w:type="dxa"/>
            <w:shd w:val="clear" w:color="auto" w:fill="A6A6A6" w:themeFill="background1" w:themeFillShade="A6"/>
          </w:tcPr>
          <w:p w:rsidR="00E045C5" w:rsidRPr="001C1A5B" w:rsidRDefault="00E045C5" w:rsidP="00A35800">
            <w:pPr>
              <w:rPr>
                <w:b/>
                <w:sz w:val="20"/>
              </w:rPr>
            </w:pPr>
          </w:p>
        </w:tc>
        <w:tc>
          <w:tcPr>
            <w:tcW w:w="3058" w:type="dxa"/>
            <w:shd w:val="clear" w:color="auto" w:fill="A6A6A6" w:themeFill="background1" w:themeFillShade="A6"/>
            <w:vAlign w:val="center"/>
          </w:tcPr>
          <w:p w:rsidR="00E045C5" w:rsidRPr="000A7FC4" w:rsidRDefault="00E045C5" w:rsidP="00F34309">
            <w:pPr>
              <w:jc w:val="center"/>
              <w:rPr>
                <w:b/>
                <w:sz w:val="20"/>
              </w:rPr>
            </w:pPr>
            <w:r w:rsidRPr="000A7FC4">
              <w:rPr>
                <w:b/>
                <w:sz w:val="20"/>
              </w:rPr>
              <w:t>Year 1</w:t>
            </w:r>
          </w:p>
        </w:tc>
        <w:tc>
          <w:tcPr>
            <w:tcW w:w="3058" w:type="dxa"/>
            <w:shd w:val="clear" w:color="auto" w:fill="A6A6A6" w:themeFill="background1" w:themeFillShade="A6"/>
            <w:vAlign w:val="center"/>
          </w:tcPr>
          <w:p w:rsidR="00E045C5" w:rsidRPr="000A7FC4" w:rsidRDefault="00E045C5" w:rsidP="00F34309">
            <w:pPr>
              <w:jc w:val="center"/>
              <w:rPr>
                <w:b/>
                <w:sz w:val="20"/>
              </w:rPr>
            </w:pPr>
            <w:r w:rsidRPr="000A7FC4">
              <w:rPr>
                <w:b/>
                <w:sz w:val="20"/>
              </w:rPr>
              <w:t>Year 2</w:t>
            </w:r>
          </w:p>
        </w:tc>
      </w:tr>
      <w:tr w:rsidR="00E045C5" w:rsidRPr="001C1A5B" w:rsidTr="00F34309">
        <w:tc>
          <w:tcPr>
            <w:tcW w:w="2949" w:type="dxa"/>
          </w:tcPr>
          <w:p w:rsidR="00E045C5" w:rsidRPr="001C1A5B" w:rsidRDefault="00E045C5" w:rsidP="00A35800">
            <w:pPr>
              <w:rPr>
                <w:sz w:val="20"/>
              </w:rPr>
            </w:pPr>
            <w:r w:rsidRPr="001C1A5B">
              <w:rPr>
                <w:sz w:val="20"/>
              </w:rPr>
              <w:t>Prescriptions</w:t>
            </w:r>
          </w:p>
        </w:tc>
        <w:tc>
          <w:tcPr>
            <w:tcW w:w="3058" w:type="dxa"/>
            <w:vAlign w:val="center"/>
          </w:tcPr>
          <w:p w:rsidR="00E045C5" w:rsidRPr="000A7FC4" w:rsidRDefault="00E045C5" w:rsidP="00F34309">
            <w:pPr>
              <w:jc w:val="center"/>
              <w:rPr>
                <w:sz w:val="20"/>
              </w:rPr>
            </w:pPr>
            <w:r w:rsidRPr="000A7FC4">
              <w:rPr>
                <w:sz w:val="20"/>
              </w:rPr>
              <w:t>2,211</w:t>
            </w:r>
          </w:p>
        </w:tc>
        <w:tc>
          <w:tcPr>
            <w:tcW w:w="3058" w:type="dxa"/>
            <w:vAlign w:val="center"/>
          </w:tcPr>
          <w:p w:rsidR="00E045C5" w:rsidRPr="000A7FC4" w:rsidRDefault="00E045C5" w:rsidP="00F34309">
            <w:pPr>
              <w:jc w:val="center"/>
              <w:rPr>
                <w:sz w:val="20"/>
              </w:rPr>
            </w:pPr>
            <w:r w:rsidRPr="000A7FC4">
              <w:rPr>
                <w:sz w:val="20"/>
              </w:rPr>
              <w:t>2,384</w:t>
            </w:r>
          </w:p>
        </w:tc>
      </w:tr>
      <w:tr w:rsidR="00E045C5" w:rsidRPr="001C1A5B" w:rsidTr="00F34309">
        <w:tc>
          <w:tcPr>
            <w:tcW w:w="2949" w:type="dxa"/>
          </w:tcPr>
          <w:p w:rsidR="00E045C5" w:rsidRPr="001C1A5B" w:rsidRDefault="00E045C5" w:rsidP="00A35800">
            <w:pPr>
              <w:rPr>
                <w:sz w:val="20"/>
              </w:rPr>
            </w:pPr>
            <w:r w:rsidRPr="001C1A5B">
              <w:rPr>
                <w:sz w:val="20"/>
              </w:rPr>
              <w:t>Patients</w:t>
            </w:r>
          </w:p>
        </w:tc>
        <w:tc>
          <w:tcPr>
            <w:tcW w:w="3058" w:type="dxa"/>
            <w:vAlign w:val="center"/>
          </w:tcPr>
          <w:p w:rsidR="00E045C5" w:rsidRPr="000A7FC4" w:rsidRDefault="00E045C5" w:rsidP="00F34309">
            <w:pPr>
              <w:jc w:val="center"/>
              <w:rPr>
                <w:sz w:val="20"/>
              </w:rPr>
            </w:pPr>
            <w:r w:rsidRPr="000A7FC4">
              <w:rPr>
                <w:sz w:val="20"/>
              </w:rPr>
              <w:t>225</w:t>
            </w:r>
          </w:p>
        </w:tc>
        <w:tc>
          <w:tcPr>
            <w:tcW w:w="3058" w:type="dxa"/>
            <w:vAlign w:val="center"/>
          </w:tcPr>
          <w:p w:rsidR="00E045C5" w:rsidRPr="000A7FC4" w:rsidRDefault="00E045C5" w:rsidP="00F34309">
            <w:pPr>
              <w:jc w:val="center"/>
              <w:rPr>
                <w:sz w:val="20"/>
              </w:rPr>
            </w:pPr>
            <w:r w:rsidRPr="000A7FC4">
              <w:rPr>
                <w:sz w:val="20"/>
              </w:rPr>
              <w:t>230</w:t>
            </w:r>
          </w:p>
        </w:tc>
      </w:tr>
      <w:tr w:rsidR="00E045C5" w:rsidRPr="001C1A5B" w:rsidTr="00F34309">
        <w:tc>
          <w:tcPr>
            <w:tcW w:w="2949" w:type="dxa"/>
          </w:tcPr>
          <w:p w:rsidR="00E045C5" w:rsidRPr="001C1A5B" w:rsidRDefault="00E045C5" w:rsidP="00A35800">
            <w:pPr>
              <w:rPr>
                <w:sz w:val="20"/>
              </w:rPr>
            </w:pPr>
            <w:r w:rsidRPr="001C1A5B">
              <w:rPr>
                <w:sz w:val="20"/>
              </w:rPr>
              <w:t>Prescriptions per patient</w:t>
            </w:r>
          </w:p>
        </w:tc>
        <w:tc>
          <w:tcPr>
            <w:tcW w:w="3058" w:type="dxa"/>
            <w:vAlign w:val="center"/>
          </w:tcPr>
          <w:p w:rsidR="00E045C5" w:rsidRPr="000A7FC4" w:rsidRDefault="00E045C5" w:rsidP="00F34309">
            <w:pPr>
              <w:jc w:val="center"/>
              <w:rPr>
                <w:sz w:val="20"/>
              </w:rPr>
            </w:pPr>
            <w:r w:rsidRPr="000A7FC4">
              <w:rPr>
                <w:sz w:val="20"/>
              </w:rPr>
              <w:t>9.83</w:t>
            </w:r>
          </w:p>
        </w:tc>
        <w:tc>
          <w:tcPr>
            <w:tcW w:w="3058" w:type="dxa"/>
            <w:vAlign w:val="center"/>
          </w:tcPr>
          <w:p w:rsidR="00E045C5" w:rsidRPr="000A7FC4" w:rsidRDefault="00E045C5" w:rsidP="00F34309">
            <w:pPr>
              <w:jc w:val="center"/>
              <w:rPr>
                <w:sz w:val="20"/>
              </w:rPr>
            </w:pPr>
            <w:r w:rsidRPr="000A7FC4">
              <w:rPr>
                <w:sz w:val="20"/>
              </w:rPr>
              <w:t>10.37</w:t>
            </w:r>
          </w:p>
        </w:tc>
      </w:tr>
    </w:tbl>
    <w:p w:rsidR="00E045C5" w:rsidRDefault="00E045C5" w:rsidP="00E045C5">
      <w:pPr>
        <w:spacing w:after="0"/>
      </w:pPr>
    </w:p>
    <w:p w:rsidR="005C01E1" w:rsidRDefault="005C01E1" w:rsidP="00A35800">
      <w:r>
        <w:t xml:space="preserve">The </w:t>
      </w:r>
      <w:r w:rsidR="001820C4">
        <w:t>distribution of</w:t>
      </w:r>
      <w:r>
        <w:t xml:space="preserve"> </w:t>
      </w:r>
      <w:r w:rsidR="004B0F65">
        <w:t xml:space="preserve">the </w:t>
      </w:r>
      <w:r>
        <w:t>number of prescriptions per patient per year, based on</w:t>
      </w:r>
      <w:r w:rsidR="00E045C5">
        <w:t xml:space="preserve"> individual patient data for</w:t>
      </w:r>
      <w:r w:rsidR="004B0F65">
        <w:t xml:space="preserve"> the first 12 months post-</w:t>
      </w:r>
      <w:r>
        <w:t xml:space="preserve">initiation, </w:t>
      </w:r>
      <w:r w:rsidR="00E045C5">
        <w:t xml:space="preserve">is shown in Figure 2 and </w:t>
      </w:r>
      <w:r w:rsidR="001820C4">
        <w:t xml:space="preserve">indicates that the majority of patients received between 12 and 14 prescriptions per year. </w:t>
      </w:r>
    </w:p>
    <w:p w:rsidR="005C01E1" w:rsidRDefault="005C01E1" w:rsidP="00A35800"/>
    <w:p w:rsidR="001820C4" w:rsidRDefault="00A460A6" w:rsidP="001820C4">
      <w:pPr>
        <w:pStyle w:val="Heading2"/>
        <w:spacing w:before="0" w:after="0"/>
        <w:rPr>
          <w:i w:val="0"/>
        </w:rPr>
      </w:pPr>
      <w:r>
        <w:rPr>
          <w:noProof/>
        </w:rPr>
        <w:lastRenderedPageBreak/>
        <w:drawing>
          <wp:inline distT="0" distB="0" distL="0" distR="0" wp14:anchorId="0EBA30B8" wp14:editId="6F9EDC9F">
            <wp:extent cx="5686425" cy="4686300"/>
            <wp:effectExtent l="0" t="0" r="9525" b="19050"/>
            <wp:docPr id="1" name="Chart 1" descr="Prescriptions per patient per year in their first year of PBS treatment. Range from 2 to 16 per patient. " title="Figure 2: Distribution of the number of packs per individual patient in their first year of PBS treat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820C4" w:rsidRPr="001820C4">
        <w:rPr>
          <w:i w:val="0"/>
        </w:rPr>
        <w:t xml:space="preserve">Figure 2: Distribution of </w:t>
      </w:r>
      <w:r w:rsidR="004B0F65">
        <w:rPr>
          <w:i w:val="0"/>
        </w:rPr>
        <w:t xml:space="preserve">the </w:t>
      </w:r>
      <w:r w:rsidR="001820C4" w:rsidRPr="001820C4">
        <w:rPr>
          <w:i w:val="0"/>
        </w:rPr>
        <w:t xml:space="preserve">number of packs per </w:t>
      </w:r>
      <w:r w:rsidR="00B85F00">
        <w:rPr>
          <w:i w:val="0"/>
        </w:rPr>
        <w:t xml:space="preserve">individual </w:t>
      </w:r>
      <w:r w:rsidR="001820C4" w:rsidRPr="001820C4">
        <w:rPr>
          <w:i w:val="0"/>
        </w:rPr>
        <w:t xml:space="preserve">patient </w:t>
      </w:r>
      <w:r w:rsidR="00B85F00">
        <w:rPr>
          <w:i w:val="0"/>
        </w:rPr>
        <w:t xml:space="preserve">in their first </w:t>
      </w:r>
      <w:r w:rsidR="001820C4" w:rsidRPr="001820C4">
        <w:rPr>
          <w:i w:val="0"/>
        </w:rPr>
        <w:t>year</w:t>
      </w:r>
      <w:r w:rsidR="00B85F00">
        <w:rPr>
          <w:i w:val="0"/>
        </w:rPr>
        <w:t xml:space="preserve"> of PBS treatment.</w:t>
      </w:r>
    </w:p>
    <w:p w:rsidR="00B85F00" w:rsidRPr="000B4364" w:rsidRDefault="000B4364" w:rsidP="00900AFB">
      <w:pPr>
        <w:rPr>
          <w:sz w:val="20"/>
        </w:rPr>
      </w:pPr>
      <w:r w:rsidRPr="000B4364">
        <w:rPr>
          <w:sz w:val="20"/>
        </w:rPr>
        <w:t>Data points that equal 6 may represent 6 or fewer patients.</w:t>
      </w:r>
    </w:p>
    <w:p w:rsidR="00B85F00" w:rsidRPr="00B85F00" w:rsidRDefault="00B85F00" w:rsidP="00900AFB">
      <w:r>
        <w:t>An analysis of patients who have at least two years of d</w:t>
      </w:r>
      <w:r w:rsidR="001F27B3">
        <w:t>ata available from their first P</w:t>
      </w:r>
      <w:r w:rsidR="002B047B">
        <w:t>BS supply shows</w:t>
      </w:r>
      <w:r w:rsidR="004B0F65">
        <w:t xml:space="preserve"> that</w:t>
      </w:r>
      <w:r>
        <w:t xml:space="preserve"> the majority of patients receive</w:t>
      </w:r>
      <w:r w:rsidR="006A4B1D">
        <w:t>d</w:t>
      </w:r>
      <w:r>
        <w:t xml:space="preserve"> 12-1</w:t>
      </w:r>
      <w:r w:rsidR="006A4B1D">
        <w:t>3</w:t>
      </w:r>
      <w:r>
        <w:t xml:space="preserve"> prescriptions </w:t>
      </w:r>
      <w:r w:rsidR="004B0F65">
        <w:t>in the second year (</w:t>
      </w:r>
      <w:r w:rsidR="006A4B1D">
        <w:t>data not shown)</w:t>
      </w:r>
      <w:r>
        <w:t>.</w:t>
      </w:r>
    </w:p>
    <w:p w:rsidR="00736041" w:rsidRPr="005E22C2" w:rsidRDefault="001B5D37" w:rsidP="00FE645A">
      <w:pPr>
        <w:pStyle w:val="Heading3"/>
      </w:pPr>
      <w:r w:rsidRPr="005E22C2">
        <w:t xml:space="preserve">Analysis </w:t>
      </w:r>
      <w:r w:rsidR="00481108" w:rsidRPr="005E22C2">
        <w:t xml:space="preserve">of </w:t>
      </w:r>
      <w:r w:rsidR="0063631C">
        <w:t>e</w:t>
      </w:r>
      <w:r w:rsidR="00736041" w:rsidRPr="005E22C2">
        <w:t>xpenditure</w:t>
      </w:r>
    </w:p>
    <w:p w:rsidR="00E045C5" w:rsidRDefault="00A42A79" w:rsidP="00A42A79">
      <w:pPr>
        <w:tabs>
          <w:tab w:val="left" w:pos="3660"/>
        </w:tabs>
      </w:pPr>
      <w:r>
        <w:t>$</w:t>
      </w:r>
      <w:r w:rsidRPr="000A7FC4">
        <w:t>149.7 million in PBS</w:t>
      </w:r>
      <w:r>
        <w:t xml:space="preserve"> benefits have been paid for </w:t>
      </w:r>
      <w:proofErr w:type="spellStart"/>
      <w:r>
        <w:t>ivacaftor</w:t>
      </w:r>
      <w:proofErr w:type="spellEnd"/>
      <w:r>
        <w:t xml:space="preserve"> since its listing on 1</w:t>
      </w:r>
      <w:r w:rsidR="008E4824">
        <w:t> </w:t>
      </w:r>
      <w:r>
        <w:t>December</w:t>
      </w:r>
      <w:r w:rsidR="008E4824">
        <w:t> </w:t>
      </w:r>
      <w:r>
        <w:t>2014</w:t>
      </w:r>
      <w:r w:rsidR="008E4824">
        <w:t xml:space="preserve"> (Table 5)</w:t>
      </w:r>
      <w:r>
        <w:t xml:space="preserve">. </w:t>
      </w:r>
    </w:p>
    <w:p w:rsidR="00A42A79" w:rsidRPr="00A42A79" w:rsidRDefault="00A42A79" w:rsidP="00EE331B">
      <w:pPr>
        <w:pStyle w:val="Tabletitle"/>
      </w:pPr>
      <w:r w:rsidRPr="00A42A79">
        <w:t xml:space="preserve">Table 5: Government cost (Benefits paid) for </w:t>
      </w:r>
      <w:proofErr w:type="spellStart"/>
      <w:r w:rsidRPr="00A42A79">
        <w:t>ivacaftor</w:t>
      </w:r>
      <w:proofErr w:type="spellEnd"/>
      <w:r w:rsidRPr="00A42A79">
        <w:t xml:space="preserve"> for the treatment of CF</w:t>
      </w:r>
    </w:p>
    <w:tbl>
      <w:tblPr>
        <w:tblStyle w:val="TableGrid"/>
        <w:tblW w:w="0" w:type="auto"/>
        <w:tblLook w:val="04A0" w:firstRow="1" w:lastRow="0" w:firstColumn="1" w:lastColumn="0" w:noHBand="0" w:noVBand="1"/>
        <w:tblCaption w:val="Table 5. Benefits paid for ivacaftor for the treatment of cystic fibrosis"/>
        <w:tblDescription w:val="Benefits paid also known as Government cost. Shows PBS benefits for the first three years of PBS listing and the total over the period. "/>
      </w:tblPr>
      <w:tblGrid>
        <w:gridCol w:w="4586"/>
        <w:gridCol w:w="2893"/>
      </w:tblGrid>
      <w:tr w:rsidR="00A42A79" w:rsidTr="00507204">
        <w:trPr>
          <w:tblHeader/>
        </w:trPr>
        <w:tc>
          <w:tcPr>
            <w:tcW w:w="4586" w:type="dxa"/>
            <w:shd w:val="clear" w:color="auto" w:fill="A6A6A6" w:themeFill="background1" w:themeFillShade="A6"/>
          </w:tcPr>
          <w:p w:rsidR="00A42A79" w:rsidRPr="00A42A79" w:rsidRDefault="00A42A79" w:rsidP="00A42A79">
            <w:pPr>
              <w:pStyle w:val="Tablewriting"/>
              <w:jc w:val="center"/>
              <w:rPr>
                <w:b/>
              </w:rPr>
            </w:pPr>
            <w:r w:rsidRPr="00A42A79">
              <w:rPr>
                <w:b/>
              </w:rPr>
              <w:t>Year</w:t>
            </w:r>
          </w:p>
        </w:tc>
        <w:tc>
          <w:tcPr>
            <w:tcW w:w="2893" w:type="dxa"/>
            <w:shd w:val="clear" w:color="auto" w:fill="A6A6A6" w:themeFill="background1" w:themeFillShade="A6"/>
          </w:tcPr>
          <w:p w:rsidR="00A42A79" w:rsidRPr="00A42A79" w:rsidRDefault="00A42A79" w:rsidP="00A42A79">
            <w:pPr>
              <w:pStyle w:val="Tablewriting"/>
              <w:jc w:val="center"/>
              <w:rPr>
                <w:b/>
              </w:rPr>
            </w:pPr>
            <w:r w:rsidRPr="00A42A79">
              <w:rPr>
                <w:b/>
              </w:rPr>
              <w:t xml:space="preserve">PBS benefits </w:t>
            </w:r>
          </w:p>
        </w:tc>
      </w:tr>
      <w:tr w:rsidR="00A42A79" w:rsidTr="00A42A79">
        <w:tc>
          <w:tcPr>
            <w:tcW w:w="4586" w:type="dxa"/>
          </w:tcPr>
          <w:p w:rsidR="00A42A79" w:rsidRPr="00A42A79" w:rsidRDefault="00A42A79" w:rsidP="00A42A79">
            <w:pPr>
              <w:pStyle w:val="Tablewriting"/>
            </w:pPr>
            <w:r w:rsidRPr="00A42A79">
              <w:t>Year 1 (December 2014 – November 2015)</w:t>
            </w:r>
          </w:p>
        </w:tc>
        <w:tc>
          <w:tcPr>
            <w:tcW w:w="2893" w:type="dxa"/>
          </w:tcPr>
          <w:p w:rsidR="00A42A79" w:rsidRPr="000A7FC4" w:rsidRDefault="00A42A79" w:rsidP="00A42A79">
            <w:pPr>
              <w:pStyle w:val="Tablewriting"/>
              <w:jc w:val="right"/>
            </w:pPr>
            <w:r w:rsidRPr="000A7FC4">
              <w:t xml:space="preserve">$49,695,770 </w:t>
            </w:r>
          </w:p>
        </w:tc>
      </w:tr>
      <w:tr w:rsidR="00A42A79" w:rsidTr="00A42A79">
        <w:tc>
          <w:tcPr>
            <w:tcW w:w="4586" w:type="dxa"/>
          </w:tcPr>
          <w:p w:rsidR="00A42A79" w:rsidRPr="00A42A79" w:rsidRDefault="00A42A79" w:rsidP="00A42A79">
            <w:pPr>
              <w:pStyle w:val="Tablewriting"/>
            </w:pPr>
            <w:r w:rsidRPr="00A42A79">
              <w:t>Year 2 (December 2015 – November 2016)</w:t>
            </w:r>
          </w:p>
        </w:tc>
        <w:tc>
          <w:tcPr>
            <w:tcW w:w="2893" w:type="dxa"/>
          </w:tcPr>
          <w:p w:rsidR="00A42A79" w:rsidRPr="000A7FC4" w:rsidRDefault="00A42A79" w:rsidP="00A42A79">
            <w:pPr>
              <w:pStyle w:val="Tablewriting"/>
              <w:jc w:val="right"/>
            </w:pPr>
            <w:r w:rsidRPr="000A7FC4">
              <w:t>$53,607,327</w:t>
            </w:r>
          </w:p>
        </w:tc>
      </w:tr>
      <w:tr w:rsidR="00A42A79" w:rsidTr="00A42A79">
        <w:tc>
          <w:tcPr>
            <w:tcW w:w="4586" w:type="dxa"/>
          </w:tcPr>
          <w:p w:rsidR="00A42A79" w:rsidRPr="00A42A79" w:rsidRDefault="00A42A79" w:rsidP="00A42A79">
            <w:pPr>
              <w:pStyle w:val="Tablewriting"/>
            </w:pPr>
            <w:r w:rsidRPr="00A42A79">
              <w:t>Year 3 (December 2016 – September 2017)</w:t>
            </w:r>
          </w:p>
        </w:tc>
        <w:tc>
          <w:tcPr>
            <w:tcW w:w="2893" w:type="dxa"/>
          </w:tcPr>
          <w:p w:rsidR="00A42A79" w:rsidRPr="000A7FC4" w:rsidRDefault="00A42A79" w:rsidP="00A42A79">
            <w:pPr>
              <w:pStyle w:val="Tablewriting"/>
              <w:jc w:val="right"/>
            </w:pPr>
            <w:r w:rsidRPr="000A7FC4">
              <w:t>$46,430,155</w:t>
            </w:r>
          </w:p>
        </w:tc>
      </w:tr>
      <w:tr w:rsidR="00A42A79" w:rsidTr="00A42A79">
        <w:tc>
          <w:tcPr>
            <w:tcW w:w="4586" w:type="dxa"/>
          </w:tcPr>
          <w:p w:rsidR="00A42A79" w:rsidRPr="00A42A79" w:rsidRDefault="00A42A79" w:rsidP="00A42A79">
            <w:pPr>
              <w:pStyle w:val="Tablewriting"/>
              <w:rPr>
                <w:b/>
              </w:rPr>
            </w:pPr>
            <w:r w:rsidRPr="00A42A79">
              <w:rPr>
                <w:b/>
              </w:rPr>
              <w:t xml:space="preserve">Total </w:t>
            </w:r>
          </w:p>
        </w:tc>
        <w:tc>
          <w:tcPr>
            <w:tcW w:w="2893" w:type="dxa"/>
          </w:tcPr>
          <w:p w:rsidR="00A42A79" w:rsidRPr="000A7FC4" w:rsidRDefault="00A42A79" w:rsidP="00A42A79">
            <w:pPr>
              <w:pStyle w:val="Tablewriting"/>
              <w:jc w:val="right"/>
              <w:rPr>
                <w:b/>
              </w:rPr>
            </w:pPr>
            <w:r w:rsidRPr="000A7FC4">
              <w:rPr>
                <w:b/>
              </w:rPr>
              <w:t>$149,773,252</w:t>
            </w:r>
          </w:p>
        </w:tc>
      </w:tr>
    </w:tbl>
    <w:p w:rsidR="00D26A5C" w:rsidRDefault="00D26A5C" w:rsidP="00D26A5C">
      <w:pPr>
        <w:tabs>
          <w:tab w:val="left" w:pos="3660"/>
        </w:tabs>
        <w:spacing w:after="0"/>
        <w:rPr>
          <w:sz w:val="20"/>
        </w:rPr>
      </w:pPr>
    </w:p>
    <w:p w:rsidR="00736041" w:rsidRDefault="00D151EB" w:rsidP="00EE331B">
      <w:pPr>
        <w:pStyle w:val="Heading3"/>
        <w:keepNext/>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rsidR="001820C4" w:rsidRDefault="001820C4" w:rsidP="001820C4">
      <w:r>
        <w:t xml:space="preserve">A comparison of the predicted utilisation of </w:t>
      </w:r>
      <w:proofErr w:type="spellStart"/>
      <w:r>
        <w:t>ivacaftor</w:t>
      </w:r>
      <w:proofErr w:type="spellEnd"/>
      <w:r>
        <w:t xml:space="preserve"> versus actual use is shown in Table </w:t>
      </w:r>
      <w:r w:rsidR="00A42A79">
        <w:t>6</w:t>
      </w:r>
      <w:r>
        <w:t xml:space="preserve">. </w:t>
      </w:r>
    </w:p>
    <w:p w:rsidR="001820C4" w:rsidRDefault="001820C4" w:rsidP="00EE331B">
      <w:pPr>
        <w:pStyle w:val="Tabletitle"/>
      </w:pPr>
      <w:r>
        <w:t xml:space="preserve">Table </w:t>
      </w:r>
      <w:r w:rsidR="00A42A79">
        <w:t>6</w:t>
      </w:r>
      <w:r>
        <w:t xml:space="preserve">: Comparison of the predicted versus actual utilisation of </w:t>
      </w:r>
      <w:proofErr w:type="spellStart"/>
      <w:r>
        <w:t>ivacaftor</w:t>
      </w:r>
      <w:proofErr w:type="spellEnd"/>
      <w:r>
        <w:t xml:space="preserve"> for the treatment of cystic fibrosis </w:t>
      </w:r>
    </w:p>
    <w:tbl>
      <w:tblPr>
        <w:tblStyle w:val="TableGrid"/>
        <w:tblW w:w="0" w:type="auto"/>
        <w:tblLook w:val="04A0" w:firstRow="1" w:lastRow="0" w:firstColumn="1" w:lastColumn="0" w:noHBand="0" w:noVBand="1"/>
        <w:tblCaption w:val="Table 6. predicted versus actual "/>
        <w:tblDescription w:val="Predicted values are redacted. Shows the actual number of treated patients, prescriptions, prescriptions per patient and expenditure for years 1 and 2 of listing. "/>
      </w:tblPr>
      <w:tblGrid>
        <w:gridCol w:w="2293"/>
        <w:gridCol w:w="2293"/>
        <w:gridCol w:w="2293"/>
        <w:gridCol w:w="2294"/>
      </w:tblGrid>
      <w:tr w:rsidR="001820C4" w:rsidRPr="00FB4C04" w:rsidTr="00507204">
        <w:trPr>
          <w:tblHeader/>
        </w:trPr>
        <w:tc>
          <w:tcPr>
            <w:tcW w:w="2293" w:type="dxa"/>
            <w:shd w:val="clear" w:color="auto" w:fill="A6A6A6" w:themeFill="background1" w:themeFillShade="A6"/>
          </w:tcPr>
          <w:p w:rsidR="001820C4" w:rsidRPr="00FB4C04" w:rsidRDefault="001820C4" w:rsidP="001820C4">
            <w:pPr>
              <w:rPr>
                <w:b/>
                <w:sz w:val="20"/>
              </w:rPr>
            </w:pPr>
            <w:r w:rsidRPr="00FB4C04">
              <w:rPr>
                <w:b/>
                <w:sz w:val="20"/>
              </w:rPr>
              <w:t>Parameter</w:t>
            </w:r>
          </w:p>
        </w:tc>
        <w:tc>
          <w:tcPr>
            <w:tcW w:w="2293" w:type="dxa"/>
            <w:shd w:val="clear" w:color="auto" w:fill="A6A6A6" w:themeFill="background1" w:themeFillShade="A6"/>
          </w:tcPr>
          <w:p w:rsidR="001820C4" w:rsidRPr="00FB4C04" w:rsidRDefault="001820C4" w:rsidP="001820C4">
            <w:pPr>
              <w:rPr>
                <w:b/>
                <w:sz w:val="20"/>
              </w:rPr>
            </w:pPr>
            <w:r w:rsidRPr="00FB4C04">
              <w:rPr>
                <w:b/>
                <w:sz w:val="20"/>
              </w:rPr>
              <w:t>Comparison</w:t>
            </w:r>
          </w:p>
        </w:tc>
        <w:tc>
          <w:tcPr>
            <w:tcW w:w="2293" w:type="dxa"/>
            <w:shd w:val="clear" w:color="auto" w:fill="A6A6A6" w:themeFill="background1" w:themeFillShade="A6"/>
            <w:vAlign w:val="center"/>
          </w:tcPr>
          <w:p w:rsidR="001820C4" w:rsidRPr="00FB4C04" w:rsidRDefault="001820C4" w:rsidP="00F34309">
            <w:pPr>
              <w:jc w:val="right"/>
              <w:rPr>
                <w:b/>
                <w:sz w:val="20"/>
              </w:rPr>
            </w:pPr>
            <w:r w:rsidRPr="00FB4C04">
              <w:rPr>
                <w:b/>
                <w:sz w:val="20"/>
              </w:rPr>
              <w:t>Year 1 (December 2014 – November 2015)</w:t>
            </w:r>
          </w:p>
        </w:tc>
        <w:tc>
          <w:tcPr>
            <w:tcW w:w="2294" w:type="dxa"/>
            <w:shd w:val="clear" w:color="auto" w:fill="A6A6A6" w:themeFill="background1" w:themeFillShade="A6"/>
            <w:vAlign w:val="center"/>
          </w:tcPr>
          <w:p w:rsidR="001820C4" w:rsidRPr="00FB4C04" w:rsidRDefault="001820C4" w:rsidP="00F34309">
            <w:pPr>
              <w:jc w:val="right"/>
              <w:rPr>
                <w:b/>
                <w:sz w:val="20"/>
              </w:rPr>
            </w:pPr>
            <w:r w:rsidRPr="00FB4C04">
              <w:rPr>
                <w:b/>
                <w:sz w:val="20"/>
              </w:rPr>
              <w:t>Year 2 (December 2015 – November 2016)</w:t>
            </w:r>
          </w:p>
        </w:tc>
      </w:tr>
      <w:tr w:rsidR="001820C4" w:rsidRPr="00FB4C04" w:rsidTr="00F34309">
        <w:trPr>
          <w:trHeight w:val="80"/>
        </w:trPr>
        <w:tc>
          <w:tcPr>
            <w:tcW w:w="2293" w:type="dxa"/>
            <w:vMerge w:val="restart"/>
          </w:tcPr>
          <w:p w:rsidR="001820C4" w:rsidRPr="00FB4C04" w:rsidRDefault="001820C4" w:rsidP="001820C4">
            <w:pPr>
              <w:rPr>
                <w:sz w:val="20"/>
              </w:rPr>
            </w:pPr>
            <w:r w:rsidRPr="00FB4C04">
              <w:rPr>
                <w:sz w:val="20"/>
              </w:rPr>
              <w:t>Treated patients</w:t>
            </w:r>
          </w:p>
        </w:tc>
        <w:tc>
          <w:tcPr>
            <w:tcW w:w="2293" w:type="dxa"/>
          </w:tcPr>
          <w:p w:rsidR="001820C4" w:rsidRPr="00FB4C04" w:rsidRDefault="001820C4" w:rsidP="001820C4">
            <w:pPr>
              <w:rPr>
                <w:sz w:val="20"/>
              </w:rPr>
            </w:pPr>
            <w:r w:rsidRPr="00FB4C04">
              <w:rPr>
                <w:sz w:val="20"/>
              </w:rPr>
              <w:t>Predicted</w:t>
            </w:r>
          </w:p>
        </w:tc>
        <w:tc>
          <w:tcPr>
            <w:tcW w:w="2293" w:type="dxa"/>
            <w:vAlign w:val="center"/>
          </w:tcPr>
          <w:p w:rsidR="001820C4" w:rsidRPr="006F065A" w:rsidRDefault="006F065A" w:rsidP="00F34309">
            <w:pPr>
              <w:jc w:val="right"/>
              <w:rPr>
                <w:sz w:val="20"/>
                <w:highlight w:val="black"/>
              </w:rPr>
            </w:pPr>
            <w:r>
              <w:rPr>
                <w:noProof/>
                <w:color w:val="000000"/>
                <w:sz w:val="20"/>
                <w:highlight w:val="black"/>
              </w:rPr>
              <w:t>'''''''</w:t>
            </w:r>
          </w:p>
        </w:tc>
        <w:tc>
          <w:tcPr>
            <w:tcW w:w="2294" w:type="dxa"/>
            <w:vAlign w:val="center"/>
          </w:tcPr>
          <w:p w:rsidR="001820C4" w:rsidRPr="006F065A" w:rsidRDefault="006F065A" w:rsidP="00F34309">
            <w:pPr>
              <w:jc w:val="right"/>
              <w:rPr>
                <w:sz w:val="20"/>
                <w:highlight w:val="black"/>
              </w:rPr>
            </w:pPr>
            <w:r>
              <w:rPr>
                <w:noProof/>
                <w:color w:val="000000"/>
                <w:sz w:val="20"/>
                <w:highlight w:val="black"/>
              </w:rPr>
              <w:t>''''''''</w:t>
            </w:r>
          </w:p>
        </w:tc>
      </w:tr>
      <w:tr w:rsidR="001820C4" w:rsidRPr="00FB4C04" w:rsidTr="00F34309">
        <w:trPr>
          <w:trHeight w:val="80"/>
        </w:trPr>
        <w:tc>
          <w:tcPr>
            <w:tcW w:w="2293" w:type="dxa"/>
            <w:vMerge/>
          </w:tcPr>
          <w:p w:rsidR="001820C4" w:rsidRPr="00FB4C04" w:rsidRDefault="001820C4" w:rsidP="001820C4">
            <w:pPr>
              <w:rPr>
                <w:sz w:val="20"/>
              </w:rPr>
            </w:pPr>
          </w:p>
        </w:tc>
        <w:tc>
          <w:tcPr>
            <w:tcW w:w="2293" w:type="dxa"/>
          </w:tcPr>
          <w:p w:rsidR="001820C4" w:rsidRPr="00FB4C04" w:rsidRDefault="001820C4" w:rsidP="001820C4">
            <w:pPr>
              <w:rPr>
                <w:sz w:val="20"/>
              </w:rPr>
            </w:pPr>
            <w:r w:rsidRPr="00FB4C04">
              <w:rPr>
                <w:sz w:val="20"/>
              </w:rPr>
              <w:t>Actual</w:t>
            </w:r>
          </w:p>
        </w:tc>
        <w:tc>
          <w:tcPr>
            <w:tcW w:w="2293" w:type="dxa"/>
            <w:vAlign w:val="center"/>
          </w:tcPr>
          <w:p w:rsidR="001820C4" w:rsidRPr="00FB4C04" w:rsidRDefault="001820C4" w:rsidP="00F34309">
            <w:pPr>
              <w:jc w:val="right"/>
              <w:rPr>
                <w:sz w:val="20"/>
              </w:rPr>
            </w:pPr>
            <w:r w:rsidRPr="00FB4C04">
              <w:rPr>
                <w:sz w:val="20"/>
              </w:rPr>
              <w:t>225</w:t>
            </w:r>
          </w:p>
        </w:tc>
        <w:tc>
          <w:tcPr>
            <w:tcW w:w="2294" w:type="dxa"/>
            <w:vAlign w:val="center"/>
          </w:tcPr>
          <w:p w:rsidR="001820C4" w:rsidRPr="00FB4C04" w:rsidRDefault="001820C4" w:rsidP="00F34309">
            <w:pPr>
              <w:jc w:val="right"/>
              <w:rPr>
                <w:sz w:val="20"/>
              </w:rPr>
            </w:pPr>
            <w:r w:rsidRPr="00FB4C04">
              <w:rPr>
                <w:sz w:val="20"/>
              </w:rPr>
              <w:t>230</w:t>
            </w:r>
          </w:p>
        </w:tc>
      </w:tr>
      <w:tr w:rsidR="001820C4" w:rsidRPr="00FB4C04" w:rsidTr="00F34309">
        <w:trPr>
          <w:trHeight w:val="80"/>
        </w:trPr>
        <w:tc>
          <w:tcPr>
            <w:tcW w:w="2293" w:type="dxa"/>
            <w:vMerge/>
          </w:tcPr>
          <w:p w:rsidR="001820C4" w:rsidRPr="00FB4C04" w:rsidRDefault="001820C4" w:rsidP="001820C4">
            <w:pPr>
              <w:rPr>
                <w:sz w:val="20"/>
              </w:rPr>
            </w:pPr>
          </w:p>
        </w:tc>
        <w:tc>
          <w:tcPr>
            <w:tcW w:w="2293" w:type="dxa"/>
          </w:tcPr>
          <w:p w:rsidR="001820C4" w:rsidRPr="00FB4C04" w:rsidRDefault="001820C4" w:rsidP="001820C4">
            <w:pPr>
              <w:rPr>
                <w:sz w:val="20"/>
              </w:rPr>
            </w:pPr>
            <w:r w:rsidRPr="00FB4C04">
              <w:rPr>
                <w:sz w:val="20"/>
              </w:rPr>
              <w:t xml:space="preserve">% of predicted </w:t>
            </w:r>
          </w:p>
        </w:tc>
        <w:tc>
          <w:tcPr>
            <w:tcW w:w="2293" w:type="dxa"/>
            <w:vAlign w:val="center"/>
          </w:tcPr>
          <w:p w:rsidR="001820C4" w:rsidRPr="006F065A" w:rsidRDefault="006F065A" w:rsidP="00F34309">
            <w:pPr>
              <w:jc w:val="right"/>
              <w:rPr>
                <w:sz w:val="20"/>
                <w:highlight w:val="black"/>
              </w:rPr>
            </w:pPr>
            <w:r>
              <w:rPr>
                <w:noProof/>
                <w:color w:val="000000"/>
                <w:sz w:val="20"/>
                <w:highlight w:val="black"/>
              </w:rPr>
              <w:t>''''''''</w:t>
            </w:r>
          </w:p>
        </w:tc>
        <w:tc>
          <w:tcPr>
            <w:tcW w:w="2294" w:type="dxa"/>
            <w:vAlign w:val="center"/>
          </w:tcPr>
          <w:p w:rsidR="001820C4" w:rsidRPr="006F065A" w:rsidRDefault="006F065A" w:rsidP="00F34309">
            <w:pPr>
              <w:jc w:val="right"/>
              <w:rPr>
                <w:sz w:val="20"/>
                <w:highlight w:val="black"/>
              </w:rPr>
            </w:pPr>
            <w:r>
              <w:rPr>
                <w:noProof/>
                <w:color w:val="000000"/>
                <w:sz w:val="20"/>
                <w:highlight w:val="black"/>
              </w:rPr>
              <w:t>''''''''</w:t>
            </w:r>
          </w:p>
        </w:tc>
      </w:tr>
      <w:tr w:rsidR="007D35CC" w:rsidRPr="00FB4C04" w:rsidTr="00F34309">
        <w:trPr>
          <w:trHeight w:val="80"/>
        </w:trPr>
        <w:tc>
          <w:tcPr>
            <w:tcW w:w="2293" w:type="dxa"/>
            <w:vMerge w:val="restart"/>
          </w:tcPr>
          <w:p w:rsidR="007D35CC" w:rsidRPr="00FB4C04" w:rsidRDefault="007D35CC" w:rsidP="001820C4">
            <w:pPr>
              <w:rPr>
                <w:sz w:val="20"/>
              </w:rPr>
            </w:pPr>
            <w:r w:rsidRPr="00FB4C04">
              <w:rPr>
                <w:sz w:val="20"/>
              </w:rPr>
              <w:t>Number of prescriptions</w:t>
            </w:r>
          </w:p>
        </w:tc>
        <w:tc>
          <w:tcPr>
            <w:tcW w:w="2293" w:type="dxa"/>
          </w:tcPr>
          <w:p w:rsidR="007D35CC" w:rsidRPr="00FB4C04" w:rsidRDefault="007D35CC" w:rsidP="001820C4">
            <w:pPr>
              <w:rPr>
                <w:sz w:val="20"/>
              </w:rPr>
            </w:pPr>
            <w:r w:rsidRPr="00FB4C04">
              <w:rPr>
                <w:sz w:val="20"/>
              </w:rPr>
              <w:t>Predicted</w:t>
            </w:r>
          </w:p>
        </w:tc>
        <w:tc>
          <w:tcPr>
            <w:tcW w:w="2293" w:type="dxa"/>
            <w:vAlign w:val="center"/>
          </w:tcPr>
          <w:p w:rsidR="007D35CC" w:rsidRPr="006F065A" w:rsidRDefault="006F065A" w:rsidP="00F34309">
            <w:pPr>
              <w:jc w:val="right"/>
              <w:rPr>
                <w:sz w:val="20"/>
                <w:highlight w:val="black"/>
              </w:rPr>
            </w:pPr>
            <w:r>
              <w:rPr>
                <w:noProof/>
                <w:color w:val="000000"/>
                <w:sz w:val="20"/>
                <w:highlight w:val="black"/>
              </w:rPr>
              <w:t>''''''''''''</w:t>
            </w:r>
          </w:p>
        </w:tc>
        <w:tc>
          <w:tcPr>
            <w:tcW w:w="2294" w:type="dxa"/>
            <w:vAlign w:val="center"/>
          </w:tcPr>
          <w:p w:rsidR="007D35CC" w:rsidRPr="006F065A" w:rsidRDefault="006F065A" w:rsidP="00F34309">
            <w:pPr>
              <w:jc w:val="right"/>
              <w:rPr>
                <w:sz w:val="20"/>
                <w:highlight w:val="black"/>
              </w:rPr>
            </w:pPr>
            <w:r>
              <w:rPr>
                <w:noProof/>
                <w:color w:val="000000"/>
                <w:sz w:val="20"/>
                <w:highlight w:val="black"/>
              </w:rPr>
              <w:t>'''''''''''</w:t>
            </w:r>
          </w:p>
        </w:tc>
      </w:tr>
      <w:tr w:rsidR="007D35CC" w:rsidRPr="00FB4C04" w:rsidTr="00F34309">
        <w:trPr>
          <w:trHeight w:val="80"/>
        </w:trPr>
        <w:tc>
          <w:tcPr>
            <w:tcW w:w="2293" w:type="dxa"/>
            <w:vMerge/>
          </w:tcPr>
          <w:p w:rsidR="007D35CC" w:rsidRPr="00FB4C04" w:rsidRDefault="007D35CC" w:rsidP="001820C4">
            <w:pPr>
              <w:rPr>
                <w:sz w:val="20"/>
              </w:rPr>
            </w:pPr>
          </w:p>
        </w:tc>
        <w:tc>
          <w:tcPr>
            <w:tcW w:w="2293" w:type="dxa"/>
          </w:tcPr>
          <w:p w:rsidR="007D35CC" w:rsidRPr="00FB4C04" w:rsidRDefault="007D35CC" w:rsidP="001820C4">
            <w:pPr>
              <w:rPr>
                <w:sz w:val="20"/>
              </w:rPr>
            </w:pPr>
            <w:r w:rsidRPr="00FB4C04">
              <w:rPr>
                <w:sz w:val="20"/>
              </w:rPr>
              <w:t>Actual</w:t>
            </w:r>
          </w:p>
        </w:tc>
        <w:tc>
          <w:tcPr>
            <w:tcW w:w="2293" w:type="dxa"/>
            <w:vAlign w:val="center"/>
          </w:tcPr>
          <w:p w:rsidR="007D35CC" w:rsidRPr="00FB4C04" w:rsidRDefault="007D35CC" w:rsidP="00F34309">
            <w:pPr>
              <w:jc w:val="right"/>
              <w:rPr>
                <w:sz w:val="20"/>
              </w:rPr>
            </w:pPr>
            <w:r w:rsidRPr="00FB4C04">
              <w:rPr>
                <w:sz w:val="20"/>
              </w:rPr>
              <w:t>2</w:t>
            </w:r>
            <w:r w:rsidR="00F34309" w:rsidRPr="00FB4C04">
              <w:rPr>
                <w:sz w:val="20"/>
              </w:rPr>
              <w:t>,</w:t>
            </w:r>
            <w:r w:rsidRPr="00FB4C04">
              <w:rPr>
                <w:sz w:val="20"/>
              </w:rPr>
              <w:t>211</w:t>
            </w:r>
          </w:p>
        </w:tc>
        <w:tc>
          <w:tcPr>
            <w:tcW w:w="2294" w:type="dxa"/>
            <w:vAlign w:val="center"/>
          </w:tcPr>
          <w:p w:rsidR="007D35CC" w:rsidRPr="00FB4C04" w:rsidRDefault="007D35CC" w:rsidP="00F34309">
            <w:pPr>
              <w:jc w:val="right"/>
              <w:rPr>
                <w:sz w:val="20"/>
              </w:rPr>
            </w:pPr>
            <w:r w:rsidRPr="00FB4C04">
              <w:rPr>
                <w:sz w:val="20"/>
              </w:rPr>
              <w:t>2</w:t>
            </w:r>
            <w:r w:rsidR="00F34309" w:rsidRPr="00FB4C04">
              <w:rPr>
                <w:sz w:val="20"/>
              </w:rPr>
              <w:t>,</w:t>
            </w:r>
            <w:r w:rsidRPr="00FB4C04">
              <w:rPr>
                <w:sz w:val="20"/>
              </w:rPr>
              <w:t>384</w:t>
            </w:r>
          </w:p>
        </w:tc>
      </w:tr>
      <w:tr w:rsidR="007D35CC" w:rsidRPr="00FB4C04" w:rsidTr="00F34309">
        <w:trPr>
          <w:trHeight w:val="80"/>
        </w:trPr>
        <w:tc>
          <w:tcPr>
            <w:tcW w:w="2293" w:type="dxa"/>
            <w:vMerge/>
          </w:tcPr>
          <w:p w:rsidR="007D35CC" w:rsidRPr="00FB4C04" w:rsidRDefault="007D35CC" w:rsidP="001820C4">
            <w:pPr>
              <w:rPr>
                <w:sz w:val="20"/>
              </w:rPr>
            </w:pPr>
          </w:p>
        </w:tc>
        <w:tc>
          <w:tcPr>
            <w:tcW w:w="2293" w:type="dxa"/>
          </w:tcPr>
          <w:p w:rsidR="007D35CC" w:rsidRPr="00FB4C04" w:rsidRDefault="007D35CC" w:rsidP="001820C4">
            <w:pPr>
              <w:rPr>
                <w:sz w:val="20"/>
              </w:rPr>
            </w:pPr>
            <w:r w:rsidRPr="00FB4C04">
              <w:rPr>
                <w:sz w:val="20"/>
              </w:rPr>
              <w:t>% of predicted</w:t>
            </w:r>
          </w:p>
        </w:tc>
        <w:tc>
          <w:tcPr>
            <w:tcW w:w="2293" w:type="dxa"/>
            <w:vAlign w:val="center"/>
          </w:tcPr>
          <w:p w:rsidR="007D35CC" w:rsidRPr="006F065A" w:rsidRDefault="006F065A" w:rsidP="00F34309">
            <w:pPr>
              <w:jc w:val="right"/>
              <w:rPr>
                <w:sz w:val="20"/>
                <w:highlight w:val="black"/>
              </w:rPr>
            </w:pPr>
            <w:r>
              <w:rPr>
                <w:noProof/>
                <w:color w:val="000000"/>
                <w:sz w:val="20"/>
                <w:highlight w:val="black"/>
              </w:rPr>
              <w:t>'''''''''''</w:t>
            </w:r>
          </w:p>
        </w:tc>
        <w:tc>
          <w:tcPr>
            <w:tcW w:w="2294" w:type="dxa"/>
            <w:vAlign w:val="center"/>
          </w:tcPr>
          <w:p w:rsidR="007D35CC" w:rsidRPr="006F065A" w:rsidRDefault="006F065A" w:rsidP="00F34309">
            <w:pPr>
              <w:jc w:val="right"/>
              <w:rPr>
                <w:sz w:val="20"/>
                <w:highlight w:val="black"/>
              </w:rPr>
            </w:pPr>
            <w:r>
              <w:rPr>
                <w:noProof/>
                <w:color w:val="000000"/>
                <w:sz w:val="20"/>
                <w:highlight w:val="black"/>
              </w:rPr>
              <w:t>'''''''''''</w:t>
            </w:r>
          </w:p>
        </w:tc>
      </w:tr>
      <w:tr w:rsidR="001820C4" w:rsidRPr="00FB4C04" w:rsidTr="00F34309">
        <w:tc>
          <w:tcPr>
            <w:tcW w:w="2293" w:type="dxa"/>
            <w:vMerge w:val="restart"/>
          </w:tcPr>
          <w:p w:rsidR="001820C4" w:rsidRPr="00FB4C04" w:rsidRDefault="001820C4" w:rsidP="001820C4">
            <w:pPr>
              <w:rPr>
                <w:sz w:val="20"/>
              </w:rPr>
            </w:pPr>
            <w:r w:rsidRPr="00FB4C04">
              <w:rPr>
                <w:sz w:val="20"/>
              </w:rPr>
              <w:t>Average number of prescriptions per patient per year</w:t>
            </w:r>
          </w:p>
        </w:tc>
        <w:tc>
          <w:tcPr>
            <w:tcW w:w="2293" w:type="dxa"/>
          </w:tcPr>
          <w:p w:rsidR="001820C4" w:rsidRPr="00FB4C04" w:rsidRDefault="001820C4" w:rsidP="001820C4">
            <w:pPr>
              <w:rPr>
                <w:sz w:val="20"/>
              </w:rPr>
            </w:pPr>
            <w:r w:rsidRPr="00FB4C04">
              <w:rPr>
                <w:sz w:val="20"/>
              </w:rPr>
              <w:t>Predicted</w:t>
            </w:r>
          </w:p>
        </w:tc>
        <w:tc>
          <w:tcPr>
            <w:tcW w:w="2293" w:type="dxa"/>
            <w:vAlign w:val="center"/>
          </w:tcPr>
          <w:p w:rsidR="001820C4" w:rsidRPr="006F065A" w:rsidRDefault="006F065A" w:rsidP="00F34309">
            <w:pPr>
              <w:jc w:val="right"/>
              <w:rPr>
                <w:sz w:val="20"/>
                <w:highlight w:val="black"/>
              </w:rPr>
            </w:pPr>
            <w:r>
              <w:rPr>
                <w:noProof/>
                <w:color w:val="000000"/>
                <w:sz w:val="20"/>
                <w:highlight w:val="black"/>
              </w:rPr>
              <w:t>''''''</w:t>
            </w:r>
          </w:p>
        </w:tc>
        <w:tc>
          <w:tcPr>
            <w:tcW w:w="2294" w:type="dxa"/>
            <w:vAlign w:val="center"/>
          </w:tcPr>
          <w:p w:rsidR="001820C4" w:rsidRPr="006F065A" w:rsidRDefault="006F065A" w:rsidP="00F34309">
            <w:pPr>
              <w:jc w:val="right"/>
              <w:rPr>
                <w:sz w:val="20"/>
                <w:highlight w:val="black"/>
              </w:rPr>
            </w:pPr>
            <w:r>
              <w:rPr>
                <w:noProof/>
                <w:color w:val="000000"/>
                <w:sz w:val="20"/>
                <w:highlight w:val="black"/>
              </w:rPr>
              <w:t>''''''</w:t>
            </w:r>
          </w:p>
        </w:tc>
      </w:tr>
      <w:tr w:rsidR="001820C4" w:rsidRPr="00FB4C04" w:rsidTr="00F34309">
        <w:tc>
          <w:tcPr>
            <w:tcW w:w="2293" w:type="dxa"/>
            <w:vMerge/>
          </w:tcPr>
          <w:p w:rsidR="001820C4" w:rsidRPr="00FB4C04" w:rsidRDefault="001820C4" w:rsidP="001820C4">
            <w:pPr>
              <w:rPr>
                <w:sz w:val="20"/>
              </w:rPr>
            </w:pPr>
          </w:p>
        </w:tc>
        <w:tc>
          <w:tcPr>
            <w:tcW w:w="2293" w:type="dxa"/>
          </w:tcPr>
          <w:p w:rsidR="001820C4" w:rsidRPr="00FB4C04" w:rsidRDefault="001820C4" w:rsidP="001820C4">
            <w:pPr>
              <w:rPr>
                <w:sz w:val="20"/>
              </w:rPr>
            </w:pPr>
            <w:r w:rsidRPr="00FB4C04">
              <w:rPr>
                <w:sz w:val="20"/>
              </w:rPr>
              <w:t>Actual</w:t>
            </w:r>
          </w:p>
        </w:tc>
        <w:tc>
          <w:tcPr>
            <w:tcW w:w="2293" w:type="dxa"/>
            <w:vAlign w:val="center"/>
          </w:tcPr>
          <w:p w:rsidR="001820C4" w:rsidRPr="00FB4C04" w:rsidRDefault="007D35CC" w:rsidP="00F34309">
            <w:pPr>
              <w:jc w:val="right"/>
              <w:rPr>
                <w:sz w:val="20"/>
              </w:rPr>
            </w:pPr>
            <w:r w:rsidRPr="00FB4C04">
              <w:rPr>
                <w:sz w:val="20"/>
              </w:rPr>
              <w:t>9.83</w:t>
            </w:r>
          </w:p>
        </w:tc>
        <w:tc>
          <w:tcPr>
            <w:tcW w:w="2294" w:type="dxa"/>
            <w:vAlign w:val="center"/>
          </w:tcPr>
          <w:p w:rsidR="001820C4" w:rsidRPr="00FB4C04" w:rsidRDefault="007D35CC" w:rsidP="00F34309">
            <w:pPr>
              <w:jc w:val="right"/>
              <w:rPr>
                <w:sz w:val="20"/>
              </w:rPr>
            </w:pPr>
            <w:r w:rsidRPr="00FB4C04">
              <w:rPr>
                <w:sz w:val="20"/>
              </w:rPr>
              <w:t>10.37</w:t>
            </w:r>
          </w:p>
        </w:tc>
      </w:tr>
      <w:tr w:rsidR="001820C4" w:rsidRPr="00FB4C04" w:rsidTr="00F34309">
        <w:tc>
          <w:tcPr>
            <w:tcW w:w="2293" w:type="dxa"/>
            <w:vMerge/>
          </w:tcPr>
          <w:p w:rsidR="001820C4" w:rsidRPr="00FB4C04" w:rsidRDefault="001820C4" w:rsidP="001820C4">
            <w:pPr>
              <w:rPr>
                <w:sz w:val="20"/>
              </w:rPr>
            </w:pPr>
          </w:p>
        </w:tc>
        <w:tc>
          <w:tcPr>
            <w:tcW w:w="2293" w:type="dxa"/>
          </w:tcPr>
          <w:p w:rsidR="001820C4" w:rsidRPr="00FB4C04" w:rsidRDefault="001820C4" w:rsidP="001820C4">
            <w:pPr>
              <w:rPr>
                <w:sz w:val="20"/>
              </w:rPr>
            </w:pPr>
            <w:r w:rsidRPr="00FB4C04">
              <w:rPr>
                <w:sz w:val="20"/>
              </w:rPr>
              <w:t>% of predicted</w:t>
            </w:r>
          </w:p>
        </w:tc>
        <w:tc>
          <w:tcPr>
            <w:tcW w:w="2293" w:type="dxa"/>
            <w:vAlign w:val="center"/>
          </w:tcPr>
          <w:p w:rsidR="001820C4" w:rsidRPr="006F065A" w:rsidRDefault="006F065A" w:rsidP="00F34309">
            <w:pPr>
              <w:jc w:val="right"/>
              <w:rPr>
                <w:sz w:val="20"/>
                <w:highlight w:val="black"/>
              </w:rPr>
            </w:pPr>
            <w:r>
              <w:rPr>
                <w:noProof/>
                <w:color w:val="000000"/>
                <w:sz w:val="20"/>
                <w:highlight w:val="black"/>
              </w:rPr>
              <w:t>''''''''''''</w:t>
            </w:r>
          </w:p>
        </w:tc>
        <w:tc>
          <w:tcPr>
            <w:tcW w:w="2294" w:type="dxa"/>
            <w:vAlign w:val="center"/>
          </w:tcPr>
          <w:p w:rsidR="001820C4" w:rsidRPr="006F065A" w:rsidRDefault="006F065A" w:rsidP="00F34309">
            <w:pPr>
              <w:jc w:val="right"/>
              <w:rPr>
                <w:sz w:val="20"/>
                <w:highlight w:val="black"/>
              </w:rPr>
            </w:pPr>
            <w:r>
              <w:rPr>
                <w:noProof/>
                <w:color w:val="000000"/>
                <w:sz w:val="20"/>
                <w:highlight w:val="black"/>
              </w:rPr>
              <w:t>'''''''''''</w:t>
            </w:r>
          </w:p>
        </w:tc>
      </w:tr>
      <w:tr w:rsidR="00282CC6" w:rsidRPr="00FB4C04" w:rsidTr="00F34309">
        <w:tc>
          <w:tcPr>
            <w:tcW w:w="2293" w:type="dxa"/>
            <w:vMerge w:val="restart"/>
          </w:tcPr>
          <w:p w:rsidR="00282CC6" w:rsidRPr="00FB4C04" w:rsidRDefault="00282CC6" w:rsidP="002C196A">
            <w:pPr>
              <w:rPr>
                <w:sz w:val="20"/>
              </w:rPr>
            </w:pPr>
            <w:r w:rsidRPr="00FB4C04">
              <w:rPr>
                <w:sz w:val="20"/>
              </w:rPr>
              <w:t>Overall expenditure</w:t>
            </w:r>
          </w:p>
        </w:tc>
        <w:tc>
          <w:tcPr>
            <w:tcW w:w="2293" w:type="dxa"/>
          </w:tcPr>
          <w:p w:rsidR="00282CC6" w:rsidRPr="00FB4C04" w:rsidRDefault="00282CC6" w:rsidP="002C196A">
            <w:pPr>
              <w:rPr>
                <w:sz w:val="20"/>
              </w:rPr>
            </w:pPr>
            <w:r w:rsidRPr="00FB4C04">
              <w:rPr>
                <w:sz w:val="20"/>
              </w:rPr>
              <w:t>Predicted</w:t>
            </w:r>
          </w:p>
        </w:tc>
        <w:tc>
          <w:tcPr>
            <w:tcW w:w="2293" w:type="dxa"/>
            <w:vAlign w:val="center"/>
          </w:tcPr>
          <w:p w:rsidR="00282CC6" w:rsidRPr="006F065A" w:rsidRDefault="006F065A" w:rsidP="00F34309">
            <w:pPr>
              <w:jc w:val="right"/>
              <w:rPr>
                <w:sz w:val="20"/>
                <w:highlight w:val="black"/>
              </w:rPr>
            </w:pPr>
            <w:r>
              <w:rPr>
                <w:noProof/>
                <w:color w:val="000000"/>
                <w:sz w:val="20"/>
                <w:highlight w:val="black"/>
              </w:rPr>
              <w:t>'''''''''''''''''''''''</w:t>
            </w:r>
          </w:p>
        </w:tc>
        <w:tc>
          <w:tcPr>
            <w:tcW w:w="2294" w:type="dxa"/>
            <w:vAlign w:val="center"/>
          </w:tcPr>
          <w:p w:rsidR="00282CC6" w:rsidRPr="006F065A" w:rsidRDefault="006F065A" w:rsidP="00F34309">
            <w:pPr>
              <w:jc w:val="right"/>
              <w:rPr>
                <w:sz w:val="20"/>
                <w:highlight w:val="black"/>
              </w:rPr>
            </w:pPr>
            <w:r>
              <w:rPr>
                <w:noProof/>
                <w:color w:val="000000"/>
                <w:sz w:val="20"/>
                <w:highlight w:val="black"/>
              </w:rPr>
              <w:t>''''''''''''''''''''''</w:t>
            </w:r>
          </w:p>
        </w:tc>
      </w:tr>
      <w:tr w:rsidR="00282CC6" w:rsidRPr="00FB4C04" w:rsidTr="00F34309">
        <w:tc>
          <w:tcPr>
            <w:tcW w:w="2293" w:type="dxa"/>
            <w:vMerge/>
          </w:tcPr>
          <w:p w:rsidR="00282CC6" w:rsidRPr="00FB4C04" w:rsidRDefault="00282CC6" w:rsidP="002C196A">
            <w:pPr>
              <w:rPr>
                <w:sz w:val="20"/>
              </w:rPr>
            </w:pPr>
          </w:p>
        </w:tc>
        <w:tc>
          <w:tcPr>
            <w:tcW w:w="2293" w:type="dxa"/>
          </w:tcPr>
          <w:p w:rsidR="00282CC6" w:rsidRPr="00FB4C04" w:rsidRDefault="00282CC6" w:rsidP="002C196A">
            <w:pPr>
              <w:rPr>
                <w:sz w:val="20"/>
              </w:rPr>
            </w:pPr>
            <w:r w:rsidRPr="00FB4C04">
              <w:rPr>
                <w:sz w:val="20"/>
              </w:rPr>
              <w:t>Actual</w:t>
            </w:r>
          </w:p>
        </w:tc>
        <w:tc>
          <w:tcPr>
            <w:tcW w:w="2293" w:type="dxa"/>
            <w:vAlign w:val="center"/>
          </w:tcPr>
          <w:p w:rsidR="00282CC6" w:rsidRPr="00FB4C04" w:rsidRDefault="00282CC6" w:rsidP="00F34309">
            <w:pPr>
              <w:jc w:val="right"/>
              <w:rPr>
                <w:sz w:val="20"/>
              </w:rPr>
            </w:pPr>
            <w:r w:rsidRPr="00FB4C04">
              <w:rPr>
                <w:sz w:val="20"/>
              </w:rPr>
              <w:t>$49,695,770</w:t>
            </w:r>
          </w:p>
        </w:tc>
        <w:tc>
          <w:tcPr>
            <w:tcW w:w="2294" w:type="dxa"/>
            <w:vAlign w:val="center"/>
          </w:tcPr>
          <w:p w:rsidR="00282CC6" w:rsidRPr="00FB4C04" w:rsidRDefault="00282CC6" w:rsidP="00F34309">
            <w:pPr>
              <w:jc w:val="right"/>
              <w:rPr>
                <w:sz w:val="20"/>
              </w:rPr>
            </w:pPr>
            <w:r w:rsidRPr="00FB4C04">
              <w:rPr>
                <w:sz w:val="20"/>
              </w:rPr>
              <w:t>$53,607,327</w:t>
            </w:r>
          </w:p>
        </w:tc>
      </w:tr>
      <w:tr w:rsidR="00282CC6" w:rsidRPr="001820C4" w:rsidTr="00F34309">
        <w:tc>
          <w:tcPr>
            <w:tcW w:w="2293" w:type="dxa"/>
            <w:vMerge/>
          </w:tcPr>
          <w:p w:rsidR="00282CC6" w:rsidRPr="00FB4C04" w:rsidRDefault="00282CC6" w:rsidP="002C196A">
            <w:pPr>
              <w:rPr>
                <w:sz w:val="20"/>
              </w:rPr>
            </w:pPr>
          </w:p>
        </w:tc>
        <w:tc>
          <w:tcPr>
            <w:tcW w:w="2293" w:type="dxa"/>
          </w:tcPr>
          <w:p w:rsidR="00282CC6" w:rsidRPr="00FB4C04" w:rsidRDefault="00282CC6" w:rsidP="002C196A">
            <w:pPr>
              <w:rPr>
                <w:sz w:val="20"/>
              </w:rPr>
            </w:pPr>
            <w:r w:rsidRPr="00FB4C04">
              <w:rPr>
                <w:sz w:val="20"/>
              </w:rPr>
              <w:t xml:space="preserve">% of predicted </w:t>
            </w:r>
          </w:p>
        </w:tc>
        <w:tc>
          <w:tcPr>
            <w:tcW w:w="2293" w:type="dxa"/>
            <w:vAlign w:val="center"/>
          </w:tcPr>
          <w:p w:rsidR="00282CC6" w:rsidRPr="006F065A" w:rsidRDefault="006F065A" w:rsidP="00F34309">
            <w:pPr>
              <w:jc w:val="right"/>
              <w:rPr>
                <w:sz w:val="20"/>
                <w:highlight w:val="black"/>
              </w:rPr>
            </w:pPr>
            <w:r>
              <w:rPr>
                <w:noProof/>
                <w:color w:val="000000"/>
                <w:sz w:val="20"/>
                <w:highlight w:val="black"/>
              </w:rPr>
              <w:t>''''''''''</w:t>
            </w:r>
          </w:p>
        </w:tc>
        <w:tc>
          <w:tcPr>
            <w:tcW w:w="2294" w:type="dxa"/>
            <w:vAlign w:val="center"/>
          </w:tcPr>
          <w:p w:rsidR="00282CC6" w:rsidRPr="006F065A" w:rsidRDefault="006F065A" w:rsidP="00F34309">
            <w:pPr>
              <w:jc w:val="right"/>
              <w:rPr>
                <w:sz w:val="20"/>
                <w:highlight w:val="black"/>
              </w:rPr>
            </w:pPr>
            <w:r>
              <w:rPr>
                <w:noProof/>
                <w:color w:val="000000"/>
                <w:sz w:val="20"/>
                <w:highlight w:val="black"/>
              </w:rPr>
              <w:t>'''''''''''</w:t>
            </w:r>
          </w:p>
        </w:tc>
      </w:tr>
    </w:tbl>
    <w:p w:rsidR="00330471" w:rsidRPr="00677B7A" w:rsidRDefault="008A2A40" w:rsidP="00900AFB">
      <w:r w:rsidRPr="008A2A40">
        <w:rPr>
          <w:color w:val="000000" w:themeColor="text1"/>
          <w:sz w:val="20"/>
          <w:szCs w:val="20"/>
        </w:rPr>
        <w:t xml:space="preserve">Source: </w:t>
      </w:r>
      <w:r w:rsidRPr="00843225">
        <w:rPr>
          <w:color w:val="000000" w:themeColor="text1"/>
          <w:sz w:val="20"/>
          <w:szCs w:val="20"/>
        </w:rPr>
        <w:t>The predicted figures were sourced from the financial estimates model agreed with the sponsor</w:t>
      </w:r>
    </w:p>
    <w:p w:rsidR="00145FC7" w:rsidRPr="00677B7A" w:rsidRDefault="00145FC7" w:rsidP="00145FC7">
      <w:pPr>
        <w:pStyle w:val="Heading4"/>
      </w:pPr>
      <w:r w:rsidRPr="00677B7A">
        <w:t>Pay for performance arrangement</w:t>
      </w:r>
    </w:p>
    <w:p w:rsidR="00F46BB5" w:rsidRDefault="00B85F00" w:rsidP="00B85F00">
      <w:pPr>
        <w:tabs>
          <w:tab w:val="left" w:pos="3660"/>
        </w:tabs>
      </w:pPr>
      <w:r w:rsidRPr="00677B7A">
        <w:t xml:space="preserve">The PBAC recommended pay-for-performance arrangements whereby the sponsor would </w:t>
      </w:r>
      <w:r w:rsidRPr="00FB4C04">
        <w:t xml:space="preserve">rebate the Commonwealth </w:t>
      </w:r>
      <w:r w:rsidR="006F065A">
        <w:rPr>
          <w:noProof/>
          <w:color w:val="000000"/>
          <w:highlight w:val="black"/>
        </w:rPr>
        <w:t>''''''''''</w:t>
      </w:r>
      <w:r w:rsidRPr="00FB4C04">
        <w:t xml:space="preserve"> of the cost of treatment with </w:t>
      </w:r>
      <w:proofErr w:type="spellStart"/>
      <w:r w:rsidRPr="00FB4C04">
        <w:t>ivacaftor</w:t>
      </w:r>
      <w:proofErr w:type="spellEnd"/>
      <w:r w:rsidRPr="00FB4C04">
        <w:t xml:space="preserve"> received by</w:t>
      </w:r>
      <w:r w:rsidRPr="00677B7A">
        <w:t xml:space="preserve"> patients who were subsequently assessed as not responding to treatment. Analysis of </w:t>
      </w:r>
      <w:r w:rsidR="00504578" w:rsidRPr="00677B7A">
        <w:t>these arrangements is ongoing.</w:t>
      </w:r>
      <w:r w:rsidR="00160184">
        <w:t xml:space="preserve"> The overall expenditure reported in Table 6 is expenditure prior to rebates.</w:t>
      </w:r>
    </w:p>
    <w:p w:rsidR="00987340" w:rsidRPr="00987340" w:rsidRDefault="00022CD7" w:rsidP="00987340">
      <w:pPr>
        <w:pStyle w:val="Heading1"/>
        <w:spacing w:before="0" w:after="200"/>
        <w:contextualSpacing/>
        <w:rPr>
          <w:sz w:val="32"/>
          <w:szCs w:val="32"/>
        </w:rPr>
      </w:pPr>
      <w:r>
        <w:rPr>
          <w:sz w:val="32"/>
          <w:szCs w:val="32"/>
        </w:rPr>
        <w:t xml:space="preserve">Discussion and </w:t>
      </w:r>
      <w:r w:rsidR="00F43D78" w:rsidRPr="00C160D3">
        <w:rPr>
          <w:sz w:val="32"/>
          <w:szCs w:val="32"/>
        </w:rPr>
        <w:t>DUSC consideration</w:t>
      </w:r>
    </w:p>
    <w:p w:rsidR="00987340" w:rsidRPr="00980D38" w:rsidRDefault="00987340" w:rsidP="00987340">
      <w:pPr>
        <w:rPr>
          <w:rFonts w:cs="Times New Roman"/>
          <w:b/>
        </w:rPr>
      </w:pPr>
      <w:r w:rsidRPr="0093738E">
        <w:rPr>
          <w:rFonts w:cs="Times New Roman"/>
        </w:rPr>
        <w:t xml:space="preserve">The number of patients treated with </w:t>
      </w:r>
      <w:proofErr w:type="spellStart"/>
      <w:r w:rsidRPr="0093738E">
        <w:rPr>
          <w:rFonts w:cs="Times New Roman"/>
        </w:rPr>
        <w:t>ivacaftor</w:t>
      </w:r>
      <w:proofErr w:type="spellEnd"/>
      <w:r w:rsidRPr="0093738E">
        <w:rPr>
          <w:rFonts w:cs="Times New Roman"/>
        </w:rPr>
        <w:t xml:space="preserve"> in the first two years of listing was lower than predicted. This may be due to an overestimated proportion of the CF population having a G551D mutation. The Cystic Fibrosis Data Registry Report (2014) noted that 7.6 per cent of the CF population have a G551D mutation, compared to the submission’s </w:t>
      </w:r>
      <w:r w:rsidRPr="00FB4C04">
        <w:rPr>
          <w:rFonts w:cs="Times New Roman"/>
        </w:rPr>
        <w:t xml:space="preserve">estimate of </w:t>
      </w:r>
      <w:r w:rsidR="006F065A">
        <w:rPr>
          <w:rFonts w:cs="Times New Roman"/>
          <w:noProof/>
          <w:color w:val="000000"/>
          <w:highlight w:val="black"/>
        </w:rPr>
        <w:t>'''''' '''''' ''''''''</w:t>
      </w:r>
      <w:r w:rsidRPr="00FB4C04">
        <w:rPr>
          <w:rFonts w:cs="Times New Roman"/>
        </w:rPr>
        <w:t>. The original submission justified this difference on the assumption</w:t>
      </w:r>
      <w:r w:rsidRPr="0093738E">
        <w:rPr>
          <w:rFonts w:cs="Times New Roman"/>
        </w:rPr>
        <w:t xml:space="preserve"> that patients over 30 years of age may not have undergone genotypic screening and therefore adjusted the prevalence of G551D mutation in this population upwards to match younger patients. </w:t>
      </w:r>
      <w:r w:rsidRPr="00436334">
        <w:rPr>
          <w:rFonts w:cs="Times New Roman"/>
        </w:rPr>
        <w:t xml:space="preserve">DUSC noted the Australian cystic fibrosis data registry (ACFDR) 2015 report was released in October 2017. The findings were similar to the 2014 report.  </w:t>
      </w:r>
    </w:p>
    <w:p w:rsidR="00987340" w:rsidRPr="000649FD" w:rsidRDefault="00987340" w:rsidP="00987340">
      <w:pPr>
        <w:rPr>
          <w:i/>
        </w:rPr>
      </w:pPr>
      <w:r w:rsidRPr="00FB4C04">
        <w:rPr>
          <w:rFonts w:cs="Times New Roman"/>
        </w:rPr>
        <w:t xml:space="preserve">The submission anticipated that patients would use an average of </w:t>
      </w:r>
      <w:r w:rsidR="006F065A">
        <w:rPr>
          <w:rFonts w:cs="Times New Roman"/>
          <w:noProof/>
          <w:color w:val="000000"/>
          <w:highlight w:val="black"/>
        </w:rPr>
        <w:t>''''''' ''''''''''''''''''''''' ''''''' ''''''''''' ''''''' ''''''' ''''''''''' '''''' '''''''''''''''''''''' '''' '''''''''''' '''''''' '' ''''''''''''''''''''''' ''''''''''''''''''''' ''''' ''''''''''' ''''' '''''''''''''''' '''''' '''''''''' '''''''''''''''' ''''''' '''' ''''''''''''''' ''''''''''''''''''''''' ''''''' '''''''''''''' ''''''''</w:t>
      </w:r>
      <w:r w:rsidRPr="00FB4C04">
        <w:rPr>
          <w:rFonts w:cs="Times New Roman"/>
        </w:rPr>
        <w:t xml:space="preserve">. Actual use was higher than predicted with an average of </w:t>
      </w:r>
      <w:r w:rsidR="006F065A">
        <w:rPr>
          <w:rFonts w:cs="Times New Roman"/>
          <w:noProof/>
          <w:color w:val="000000"/>
          <w:highlight w:val="black"/>
        </w:rPr>
        <w:t>'''''''' ''''''' '''''''''' '''''''''''''''''''''''' '''''' '''''''''''' '''' '''''''' '' '''''''' ''' '''' ''''''''''''' ''''''''''''''''''''''</w:t>
      </w:r>
      <w:r w:rsidRPr="00FB4C04">
        <w:rPr>
          <w:rFonts w:cs="Times New Roman"/>
        </w:rPr>
        <w:t xml:space="preserve">. DUSC considered the assumption of </w:t>
      </w:r>
      <w:r w:rsidR="006F065A">
        <w:rPr>
          <w:rFonts w:cs="Times New Roman"/>
          <w:noProof/>
          <w:color w:val="000000"/>
          <w:highlight w:val="black"/>
        </w:rPr>
        <w:t>''''''''''''</w:t>
      </w:r>
      <w:r w:rsidRPr="00FB4C04">
        <w:rPr>
          <w:rFonts w:cs="Times New Roman"/>
        </w:rPr>
        <w:t xml:space="preserve"> adherence was underestimated. The distribution of the actual number of dispensed packs per patient</w:t>
      </w:r>
      <w:r w:rsidRPr="0093738E">
        <w:rPr>
          <w:rFonts w:cs="Times New Roman"/>
        </w:rPr>
        <w:t xml:space="preserve"> demonstrates that the majority of patients receive between 12 and 14 prescriptions per </w:t>
      </w:r>
      <w:r w:rsidRPr="0093738E">
        <w:rPr>
          <w:rFonts w:cs="Times New Roman"/>
        </w:rPr>
        <w:lastRenderedPageBreak/>
        <w:t xml:space="preserve">year. The assumption that there would be a net dose reduction </w:t>
      </w:r>
      <w:r w:rsidRPr="001762C8">
        <w:rPr>
          <w:rFonts w:cs="Times New Roman"/>
        </w:rPr>
        <w:t xml:space="preserve">of </w:t>
      </w:r>
      <w:r w:rsidR="006F065A">
        <w:rPr>
          <w:rFonts w:cs="Times New Roman"/>
          <w:noProof/>
          <w:color w:val="000000"/>
          <w:highlight w:val="black"/>
        </w:rPr>
        <w:t>'''''''''''</w:t>
      </w:r>
      <w:r w:rsidRPr="001762C8">
        <w:rPr>
          <w:rFonts w:cs="Times New Roman"/>
        </w:rPr>
        <w:t xml:space="preserve"> </w:t>
      </w:r>
      <w:r w:rsidRPr="0093738E">
        <w:rPr>
          <w:rFonts w:cs="Times New Roman"/>
        </w:rPr>
        <w:t xml:space="preserve">due to less frequent dosing of </w:t>
      </w:r>
      <w:proofErr w:type="spellStart"/>
      <w:r w:rsidRPr="0093738E">
        <w:rPr>
          <w:rFonts w:cs="Times New Roman"/>
        </w:rPr>
        <w:t>ivacaftor</w:t>
      </w:r>
      <w:proofErr w:type="spellEnd"/>
      <w:r w:rsidRPr="0093738E">
        <w:rPr>
          <w:rFonts w:cs="Times New Roman"/>
        </w:rPr>
        <w:t xml:space="preserve"> in patients with hepatic impairment or concomitant CYP3A4 inhibitor use, was derived from a clinical survey, and was uncertain. Data from the DHS authorities database for the first twelve months of listing of </w:t>
      </w:r>
      <w:proofErr w:type="spellStart"/>
      <w:r w:rsidRPr="0093738E">
        <w:rPr>
          <w:rFonts w:cs="Times New Roman"/>
        </w:rPr>
        <w:t>ivacaftor</w:t>
      </w:r>
      <w:proofErr w:type="spellEnd"/>
      <w:r w:rsidRPr="0093738E">
        <w:rPr>
          <w:rFonts w:cs="Times New Roman"/>
        </w:rPr>
        <w:t xml:space="preserve"> (1 December 2014 – 30 November 2015) indicates that of the 625 authority approvals processed, five of these recorded concomitant use of a strong CYP3A4 inhibitor and </w:t>
      </w:r>
      <w:r>
        <w:rPr>
          <w:rFonts w:cs="Times New Roman"/>
        </w:rPr>
        <w:t>one</w:t>
      </w:r>
      <w:r w:rsidRPr="0093738E">
        <w:rPr>
          <w:rFonts w:cs="Times New Roman"/>
        </w:rPr>
        <w:t xml:space="preserve"> recorded concomitant use of a moderate CYP3A4 inhibitor. </w:t>
      </w:r>
      <w:r w:rsidRPr="000649FD">
        <w:t>DUSC considered the registry data regarding CYP inhibitors may be incomplete, as the proportion of people using concomitant CYP inhibitors in this patient group is expected to be higher; e.g. antifungal use.</w:t>
      </w:r>
      <w:r>
        <w:rPr>
          <w:i/>
        </w:rPr>
        <w:t xml:space="preserve"> </w:t>
      </w:r>
      <w:r w:rsidRPr="0093738E">
        <w:rPr>
          <w:rFonts w:cs="Times New Roman"/>
        </w:rPr>
        <w:t xml:space="preserve">The proportion of patients with hepatic impairment was not differentiated in the clinician survey and is not recorded in the DHS </w:t>
      </w:r>
      <w:r>
        <w:rPr>
          <w:rFonts w:cs="Times New Roman"/>
        </w:rPr>
        <w:t>A</w:t>
      </w:r>
      <w:r w:rsidRPr="0093738E">
        <w:rPr>
          <w:rFonts w:cs="Times New Roman"/>
        </w:rPr>
        <w:t>uthorities database.</w:t>
      </w:r>
      <w:r w:rsidRPr="00CC7EC3">
        <w:t xml:space="preserve"> </w:t>
      </w:r>
    </w:p>
    <w:p w:rsidR="000649FD" w:rsidRPr="000649FD" w:rsidRDefault="00987340" w:rsidP="000649FD">
      <w:r w:rsidRPr="008E0463">
        <w:t xml:space="preserve">The sponsor noted that, in aggregate, the PBS expenditure is extremely consistent with </w:t>
      </w:r>
      <w:r w:rsidRPr="00FB4C04">
        <w:t xml:space="preserve">what was predicted in the submissions </w:t>
      </w:r>
      <w:r w:rsidR="006F065A">
        <w:rPr>
          <w:noProof/>
          <w:color w:val="000000"/>
          <w:highlight w:val="black"/>
        </w:rPr>
        <w:t>''''''''''''''''''''' '''' '''''''''''''''''''</w:t>
      </w:r>
      <w:r w:rsidRPr="00FB4C04">
        <w:t xml:space="preserve">. </w:t>
      </w:r>
    </w:p>
    <w:p w:rsidR="000451B4" w:rsidRDefault="00F46BB5" w:rsidP="000451B4">
      <w:pPr>
        <w:pStyle w:val="Heading4"/>
      </w:pPr>
      <w:r>
        <w:t>DUSC Actions</w:t>
      </w:r>
    </w:p>
    <w:p w:rsidR="00F46BB5" w:rsidRDefault="00F46BB5" w:rsidP="00F46BB5">
      <w:pPr>
        <w:pStyle w:val="ListParagraph"/>
        <w:numPr>
          <w:ilvl w:val="0"/>
          <w:numId w:val="9"/>
        </w:numPr>
      </w:pPr>
      <w:r>
        <w:t>DUSC requested that the report be provided to the PBAC</w:t>
      </w:r>
    </w:p>
    <w:p w:rsidR="00F46BB5" w:rsidRDefault="00F46BB5" w:rsidP="00F46BB5">
      <w:pPr>
        <w:pStyle w:val="Heading4"/>
      </w:pPr>
      <w:r w:rsidRPr="0092516A">
        <w:t>Context for analysis</w:t>
      </w:r>
    </w:p>
    <w:p w:rsidR="00F46BB5" w:rsidRDefault="00F46BB5" w:rsidP="00F46BB5">
      <w:r>
        <w:t>The DUSC is a Sub Committee of the Pharmaceutical Benefits Advisory Committee (PBAC). The DUSC assesses estimates on projected usage and financial cost of medicines.</w:t>
      </w:r>
    </w:p>
    <w:p w:rsidR="00F46BB5" w:rsidRDefault="00F46BB5" w:rsidP="00F46BB5">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F46BB5" w:rsidRDefault="00F46BB5" w:rsidP="00F46BB5">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F46BB5" w:rsidRDefault="00F46BB5" w:rsidP="00F46BB5">
      <w:r>
        <w:t>The utilisation analysis report was provided to the pharmaceutical sponsors of each drug and comments on the report were provided to DUSC prior to its consideration of the analysis.</w:t>
      </w:r>
    </w:p>
    <w:p w:rsidR="00F46BB5" w:rsidRPr="00270BF8" w:rsidRDefault="00F46BB5" w:rsidP="00F46BB5">
      <w:pPr>
        <w:pStyle w:val="Heading1"/>
        <w:rPr>
          <w:sz w:val="32"/>
          <w:szCs w:val="32"/>
        </w:rPr>
      </w:pPr>
      <w:r w:rsidRPr="00270BF8">
        <w:rPr>
          <w:sz w:val="32"/>
          <w:szCs w:val="32"/>
        </w:rPr>
        <w:t>Sponsors’ comments</w:t>
      </w:r>
    </w:p>
    <w:p w:rsidR="00F46BB5" w:rsidRDefault="000C22BD" w:rsidP="00F46BB5">
      <w:r w:rsidRPr="000C22BD">
        <w:rPr>
          <w:bCs/>
        </w:rPr>
        <w:t>Vertex Pharmaceuticals (Australia) Pty Ltd</w:t>
      </w:r>
      <w:r w:rsidRPr="000C22BD">
        <w:t>: The sponsor has no comment</w:t>
      </w:r>
    </w:p>
    <w:p w:rsidR="00F46BB5" w:rsidRDefault="00F46BB5" w:rsidP="00F46BB5">
      <w:pPr>
        <w:pStyle w:val="Heading4"/>
      </w:pPr>
      <w:r w:rsidRPr="00A4020E">
        <w:t>Disclaimer</w:t>
      </w:r>
    </w:p>
    <w:p w:rsidR="00F46BB5" w:rsidRDefault="00F46BB5" w:rsidP="00F46BB5">
      <w:r>
        <w:t xml:space="preserve">The information provided in this report does not constitute medical advice and is not intended to take the place of professional medical advice or care.  It is not intended to define what constitutes reasonable, appropriate or best care for any individual for any </w:t>
      </w:r>
      <w:r>
        <w:lastRenderedPageBreak/>
        <w:t>given health issue.  The information should not be used as a substitute for the judgement and skill of a medical practitioner.</w:t>
      </w:r>
    </w:p>
    <w:p w:rsidR="00F46BB5" w:rsidRDefault="00F46BB5" w:rsidP="00F46BB5">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F46BB5" w:rsidRDefault="00F46BB5" w:rsidP="00F46BB5">
      <w:r>
        <w:t xml:space="preserve">To the extent provided by law, </w:t>
      </w:r>
      <w:proofErr w:type="spellStart"/>
      <w:r>
        <w:t>DoH</w:t>
      </w:r>
      <w:proofErr w:type="spellEnd"/>
      <w:r>
        <w:t xml:space="preserve"> makes no warranties or representations as to accuracy or completeness of information contained in this report. </w:t>
      </w:r>
    </w:p>
    <w:p w:rsidR="00F46BB5" w:rsidRPr="00387012" w:rsidRDefault="00F46BB5" w:rsidP="00F46BB5">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0451B4" w:rsidRDefault="000451B4" w:rsidP="00B30D85">
      <w:pPr>
        <w:pStyle w:val="Heading4"/>
      </w:pPr>
    </w:p>
    <w:p w:rsidR="00FE645A" w:rsidRDefault="00FE645A">
      <w:pPr>
        <w:spacing w:line="276" w:lineRule="auto"/>
      </w:pPr>
      <w:r>
        <w:br w:type="page"/>
      </w:r>
    </w:p>
    <w:p w:rsidR="009A537C" w:rsidRPr="009A537C" w:rsidRDefault="000C29E0" w:rsidP="009A537C">
      <w:pPr>
        <w:rPr>
          <w:b/>
          <w:sz w:val="28"/>
        </w:rPr>
      </w:pPr>
      <w:r>
        <w:rPr>
          <w:b/>
          <w:sz w:val="28"/>
        </w:rPr>
        <w:lastRenderedPageBreak/>
        <w:t>Appendix 1</w:t>
      </w:r>
      <w:r w:rsidR="009A537C">
        <w:rPr>
          <w:b/>
          <w:sz w:val="28"/>
        </w:rPr>
        <w:t xml:space="preserve">: </w:t>
      </w:r>
      <w:r>
        <w:rPr>
          <w:b/>
          <w:sz w:val="28"/>
        </w:rPr>
        <w:t xml:space="preserve">Derivation of the forecasted utilisation of </w:t>
      </w:r>
      <w:proofErr w:type="spellStart"/>
      <w:r>
        <w:rPr>
          <w:b/>
          <w:sz w:val="28"/>
        </w:rPr>
        <w:t>ivacaftor</w:t>
      </w:r>
      <w:proofErr w:type="spellEnd"/>
    </w:p>
    <w:tbl>
      <w:tblPr>
        <w:tblStyle w:val="TableGrid"/>
        <w:tblW w:w="0" w:type="auto"/>
        <w:tblLook w:val="04A0" w:firstRow="1" w:lastRow="0" w:firstColumn="1" w:lastColumn="0" w:noHBand="0" w:noVBand="1"/>
        <w:tblCaption w:val="Appendix 1 Table. Derivation of forcasted utilisation of ivacaftor"/>
        <w:tblDescription w:val="The table shows the steps used to forecast utilisation. The numbers are largely redacted. "/>
      </w:tblPr>
      <w:tblGrid>
        <w:gridCol w:w="718"/>
        <w:gridCol w:w="1823"/>
        <w:gridCol w:w="927"/>
        <w:gridCol w:w="1223"/>
        <w:gridCol w:w="1097"/>
        <w:gridCol w:w="1160"/>
        <w:gridCol w:w="1097"/>
        <w:gridCol w:w="1128"/>
      </w:tblGrid>
      <w:tr w:rsidR="00AB6D5C" w:rsidRPr="00F34309" w:rsidTr="00F34309">
        <w:trPr>
          <w:tblHeader/>
        </w:trPr>
        <w:tc>
          <w:tcPr>
            <w:tcW w:w="0" w:type="auto"/>
            <w:shd w:val="clear" w:color="auto" w:fill="F2F2F2" w:themeFill="background1" w:themeFillShade="F2"/>
          </w:tcPr>
          <w:p w:rsidR="000C29E0" w:rsidRPr="00F34309" w:rsidRDefault="000C29E0" w:rsidP="00002213">
            <w:pPr>
              <w:jc w:val="center"/>
              <w:rPr>
                <w:rFonts w:ascii="Arial Narrow" w:hAnsi="Arial Narrow"/>
                <w:b/>
                <w:sz w:val="20"/>
                <w:szCs w:val="20"/>
              </w:rPr>
            </w:pPr>
            <w:r w:rsidRPr="00F34309">
              <w:rPr>
                <w:rFonts w:ascii="Arial Narrow" w:hAnsi="Arial Narrow"/>
                <w:b/>
                <w:sz w:val="20"/>
                <w:szCs w:val="20"/>
              </w:rPr>
              <w:t>Model step</w:t>
            </w:r>
          </w:p>
        </w:tc>
        <w:tc>
          <w:tcPr>
            <w:tcW w:w="0" w:type="auto"/>
            <w:shd w:val="clear" w:color="auto" w:fill="F2F2F2" w:themeFill="background1" w:themeFillShade="F2"/>
            <w:vAlign w:val="center"/>
          </w:tcPr>
          <w:p w:rsidR="000C29E0" w:rsidRPr="00F34309" w:rsidRDefault="000C29E0" w:rsidP="00F34309">
            <w:pPr>
              <w:jc w:val="center"/>
              <w:rPr>
                <w:rFonts w:ascii="Arial Narrow" w:hAnsi="Arial Narrow"/>
                <w:b/>
                <w:sz w:val="20"/>
                <w:szCs w:val="20"/>
              </w:rPr>
            </w:pPr>
            <w:r w:rsidRPr="00F34309">
              <w:rPr>
                <w:rFonts w:ascii="Arial Narrow" w:hAnsi="Arial Narrow"/>
                <w:b/>
                <w:sz w:val="20"/>
                <w:szCs w:val="20"/>
              </w:rPr>
              <w:t>Parameter</w:t>
            </w:r>
          </w:p>
        </w:tc>
        <w:tc>
          <w:tcPr>
            <w:tcW w:w="0" w:type="auto"/>
            <w:shd w:val="clear" w:color="auto" w:fill="F2F2F2" w:themeFill="background1" w:themeFillShade="F2"/>
            <w:vAlign w:val="center"/>
          </w:tcPr>
          <w:p w:rsidR="000C29E0" w:rsidRPr="00F34309" w:rsidRDefault="000C29E0" w:rsidP="00F34309">
            <w:pPr>
              <w:jc w:val="center"/>
              <w:rPr>
                <w:rFonts w:ascii="Arial Narrow" w:hAnsi="Arial Narrow"/>
                <w:b/>
                <w:sz w:val="20"/>
                <w:szCs w:val="20"/>
              </w:rPr>
            </w:pPr>
            <w:r w:rsidRPr="00F34309">
              <w:rPr>
                <w:rFonts w:ascii="Arial Narrow" w:hAnsi="Arial Narrow"/>
                <w:b/>
                <w:sz w:val="20"/>
                <w:szCs w:val="20"/>
              </w:rPr>
              <w:t>Baseline</w:t>
            </w:r>
          </w:p>
        </w:tc>
        <w:tc>
          <w:tcPr>
            <w:tcW w:w="0" w:type="auto"/>
            <w:shd w:val="clear" w:color="auto" w:fill="F2F2F2" w:themeFill="background1" w:themeFillShade="F2"/>
            <w:vAlign w:val="center"/>
          </w:tcPr>
          <w:p w:rsidR="000C29E0" w:rsidRPr="00F34309" w:rsidRDefault="000C29E0" w:rsidP="00F34309">
            <w:pPr>
              <w:jc w:val="center"/>
              <w:rPr>
                <w:rFonts w:ascii="Arial Narrow" w:hAnsi="Arial Narrow"/>
                <w:b/>
                <w:sz w:val="20"/>
                <w:szCs w:val="20"/>
              </w:rPr>
            </w:pPr>
            <w:r w:rsidRPr="00F34309">
              <w:rPr>
                <w:rFonts w:ascii="Arial Narrow" w:hAnsi="Arial Narrow"/>
                <w:b/>
                <w:sz w:val="20"/>
                <w:szCs w:val="20"/>
              </w:rPr>
              <w:t>Year 1</w:t>
            </w:r>
          </w:p>
        </w:tc>
        <w:tc>
          <w:tcPr>
            <w:tcW w:w="0" w:type="auto"/>
            <w:shd w:val="clear" w:color="auto" w:fill="F2F2F2" w:themeFill="background1" w:themeFillShade="F2"/>
            <w:vAlign w:val="center"/>
          </w:tcPr>
          <w:p w:rsidR="000C29E0" w:rsidRPr="00F34309" w:rsidRDefault="000C29E0" w:rsidP="00F34309">
            <w:pPr>
              <w:jc w:val="center"/>
              <w:rPr>
                <w:rFonts w:ascii="Arial Narrow" w:hAnsi="Arial Narrow"/>
                <w:b/>
                <w:sz w:val="20"/>
                <w:szCs w:val="20"/>
              </w:rPr>
            </w:pPr>
            <w:r w:rsidRPr="00F34309">
              <w:rPr>
                <w:rFonts w:ascii="Arial Narrow" w:hAnsi="Arial Narrow"/>
                <w:b/>
                <w:sz w:val="20"/>
                <w:szCs w:val="20"/>
              </w:rPr>
              <w:t>Year 2</w:t>
            </w:r>
          </w:p>
        </w:tc>
        <w:tc>
          <w:tcPr>
            <w:tcW w:w="0" w:type="auto"/>
            <w:shd w:val="clear" w:color="auto" w:fill="F2F2F2" w:themeFill="background1" w:themeFillShade="F2"/>
            <w:vAlign w:val="center"/>
          </w:tcPr>
          <w:p w:rsidR="000C29E0" w:rsidRPr="00F34309" w:rsidRDefault="000C29E0" w:rsidP="00F34309">
            <w:pPr>
              <w:jc w:val="center"/>
              <w:rPr>
                <w:rFonts w:ascii="Arial Narrow" w:hAnsi="Arial Narrow"/>
                <w:b/>
                <w:sz w:val="20"/>
                <w:szCs w:val="20"/>
              </w:rPr>
            </w:pPr>
            <w:r w:rsidRPr="00F34309">
              <w:rPr>
                <w:rFonts w:ascii="Arial Narrow" w:hAnsi="Arial Narrow"/>
                <w:b/>
                <w:sz w:val="20"/>
                <w:szCs w:val="20"/>
              </w:rPr>
              <w:t>Year 3</w:t>
            </w:r>
          </w:p>
        </w:tc>
        <w:tc>
          <w:tcPr>
            <w:tcW w:w="0" w:type="auto"/>
            <w:shd w:val="clear" w:color="auto" w:fill="F2F2F2" w:themeFill="background1" w:themeFillShade="F2"/>
            <w:vAlign w:val="center"/>
          </w:tcPr>
          <w:p w:rsidR="000C29E0" w:rsidRPr="00F34309" w:rsidRDefault="000C29E0" w:rsidP="00F34309">
            <w:pPr>
              <w:jc w:val="center"/>
              <w:rPr>
                <w:rFonts w:ascii="Arial Narrow" w:hAnsi="Arial Narrow"/>
                <w:b/>
                <w:sz w:val="20"/>
                <w:szCs w:val="20"/>
              </w:rPr>
            </w:pPr>
            <w:r w:rsidRPr="00F34309">
              <w:rPr>
                <w:rFonts w:ascii="Arial Narrow" w:hAnsi="Arial Narrow"/>
                <w:b/>
                <w:sz w:val="20"/>
                <w:szCs w:val="20"/>
              </w:rPr>
              <w:t>Year 4</w:t>
            </w:r>
          </w:p>
        </w:tc>
        <w:tc>
          <w:tcPr>
            <w:tcW w:w="0" w:type="auto"/>
            <w:shd w:val="clear" w:color="auto" w:fill="F2F2F2" w:themeFill="background1" w:themeFillShade="F2"/>
            <w:vAlign w:val="center"/>
          </w:tcPr>
          <w:p w:rsidR="000C29E0" w:rsidRPr="00F34309" w:rsidRDefault="000C29E0" w:rsidP="00F34309">
            <w:pPr>
              <w:jc w:val="center"/>
              <w:rPr>
                <w:rFonts w:ascii="Arial Narrow" w:hAnsi="Arial Narrow"/>
                <w:b/>
                <w:sz w:val="20"/>
                <w:szCs w:val="20"/>
              </w:rPr>
            </w:pPr>
            <w:r w:rsidRPr="00F34309">
              <w:rPr>
                <w:rFonts w:ascii="Arial Narrow" w:hAnsi="Arial Narrow"/>
                <w:b/>
                <w:sz w:val="20"/>
                <w:szCs w:val="20"/>
              </w:rPr>
              <w:t>Year 5</w:t>
            </w:r>
          </w:p>
        </w:tc>
      </w:tr>
      <w:tr w:rsidR="000C29E0" w:rsidRPr="00F34309" w:rsidTr="00F34309">
        <w:trPr>
          <w:trHeight w:val="296"/>
        </w:trPr>
        <w:tc>
          <w:tcPr>
            <w:tcW w:w="0" w:type="auto"/>
            <w:gridSpan w:val="8"/>
            <w:shd w:val="clear" w:color="auto" w:fill="F2F2F2" w:themeFill="background1" w:themeFillShade="F2"/>
            <w:vAlign w:val="center"/>
          </w:tcPr>
          <w:p w:rsidR="000C29E0" w:rsidRPr="00F34309" w:rsidRDefault="000C29E0" w:rsidP="00F34309">
            <w:pPr>
              <w:pStyle w:val="ListParagraph"/>
              <w:numPr>
                <w:ilvl w:val="0"/>
                <w:numId w:val="7"/>
              </w:numPr>
              <w:ind w:left="284" w:hanging="284"/>
              <w:rPr>
                <w:rFonts w:ascii="Arial Narrow" w:hAnsi="Arial Narrow" w:cs="Arial"/>
                <w:b/>
                <w:sz w:val="20"/>
                <w:szCs w:val="20"/>
              </w:rPr>
            </w:pPr>
            <w:r w:rsidRPr="00F34309">
              <w:rPr>
                <w:rFonts w:ascii="Arial Narrow" w:hAnsi="Arial Narrow" w:cs="Arial"/>
                <w:b/>
                <w:sz w:val="20"/>
                <w:szCs w:val="20"/>
              </w:rPr>
              <w:t>Derivation of the eligible population</w:t>
            </w:r>
          </w:p>
        </w:tc>
      </w:tr>
      <w:tr w:rsidR="00AB6D5C" w:rsidRPr="00F34309" w:rsidTr="00F20F7F">
        <w:tc>
          <w:tcPr>
            <w:tcW w:w="0" w:type="auto"/>
            <w:vAlign w:val="center"/>
          </w:tcPr>
          <w:p w:rsidR="000C29E0" w:rsidRPr="00F34309" w:rsidRDefault="000C29E0" w:rsidP="00F20F7F">
            <w:pPr>
              <w:rPr>
                <w:rFonts w:ascii="Arial Narrow" w:hAnsi="Arial Narrow"/>
                <w:sz w:val="20"/>
                <w:szCs w:val="20"/>
              </w:rPr>
            </w:pPr>
            <w:r w:rsidRPr="00F34309">
              <w:rPr>
                <w:rFonts w:ascii="Arial Narrow" w:hAnsi="Arial Narrow"/>
                <w:sz w:val="20"/>
                <w:szCs w:val="20"/>
              </w:rPr>
              <w:t>[A.1]</w:t>
            </w:r>
          </w:p>
        </w:tc>
        <w:tc>
          <w:tcPr>
            <w:tcW w:w="0" w:type="auto"/>
            <w:vAlign w:val="center"/>
          </w:tcPr>
          <w:p w:rsidR="000C29E0" w:rsidRPr="00F34309" w:rsidRDefault="000C29E0" w:rsidP="00F34309">
            <w:pPr>
              <w:rPr>
                <w:rFonts w:ascii="Arial Narrow" w:hAnsi="Arial Narrow"/>
                <w:sz w:val="20"/>
                <w:szCs w:val="20"/>
                <w:vertAlign w:val="superscript"/>
              </w:rPr>
            </w:pPr>
            <w:r w:rsidRPr="00F34309">
              <w:rPr>
                <w:rFonts w:ascii="Arial Narrow" w:hAnsi="Arial Narrow"/>
                <w:sz w:val="20"/>
                <w:szCs w:val="20"/>
              </w:rPr>
              <w:t>Number of CF patients in Australia</w:t>
            </w:r>
            <w:r w:rsidR="00AB6D5C" w:rsidRPr="00F34309">
              <w:rPr>
                <w:rFonts w:ascii="Arial Narrow" w:hAnsi="Arial Narrow"/>
                <w:sz w:val="20"/>
                <w:szCs w:val="20"/>
                <w:vertAlign w:val="superscript"/>
              </w:rPr>
              <w:t>1</w:t>
            </w:r>
            <w:r w:rsidRPr="00F34309">
              <w:rPr>
                <w:rFonts w:ascii="Arial Narrow" w:hAnsi="Arial Narrow"/>
                <w:sz w:val="20"/>
                <w:szCs w:val="20"/>
              </w:rPr>
              <w:t xml:space="preserve"> </w:t>
            </w:r>
          </w:p>
        </w:tc>
        <w:tc>
          <w:tcPr>
            <w:tcW w:w="0" w:type="auto"/>
            <w:shd w:val="clear" w:color="auto" w:fill="F2F2F2" w:themeFill="background1" w:themeFillShade="F2"/>
            <w:vAlign w:val="center"/>
          </w:tcPr>
          <w:p w:rsidR="000C29E0" w:rsidRPr="00F34309" w:rsidRDefault="000C29E0" w:rsidP="00F34309">
            <w:pPr>
              <w:jc w:val="center"/>
              <w:rPr>
                <w:rFonts w:ascii="Arial Narrow" w:hAnsi="Arial Narrow"/>
                <w:sz w:val="20"/>
                <w:szCs w:val="20"/>
              </w:rPr>
            </w:pPr>
          </w:p>
        </w:tc>
        <w:tc>
          <w:tcPr>
            <w:tcW w:w="0" w:type="auto"/>
            <w:vAlign w:val="center"/>
          </w:tcPr>
          <w:p w:rsidR="000C29E0"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0C29E0"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0C29E0"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0C29E0"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0C29E0"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B6D5C" w:rsidRPr="00F34309" w:rsidTr="00F20F7F">
        <w:tc>
          <w:tcPr>
            <w:tcW w:w="0" w:type="auto"/>
            <w:vAlign w:val="center"/>
          </w:tcPr>
          <w:p w:rsidR="00356A9E" w:rsidRPr="00F34309" w:rsidRDefault="00356A9E" w:rsidP="00F20F7F">
            <w:pPr>
              <w:rPr>
                <w:rFonts w:ascii="Arial Narrow" w:hAnsi="Arial Narrow"/>
                <w:sz w:val="20"/>
                <w:szCs w:val="20"/>
              </w:rPr>
            </w:pPr>
            <w:r w:rsidRPr="00F34309">
              <w:rPr>
                <w:rFonts w:ascii="Arial Narrow" w:hAnsi="Arial Narrow"/>
                <w:sz w:val="20"/>
                <w:szCs w:val="20"/>
              </w:rPr>
              <w:t>[A.2]</w:t>
            </w:r>
          </w:p>
        </w:tc>
        <w:tc>
          <w:tcPr>
            <w:tcW w:w="0" w:type="auto"/>
            <w:vAlign w:val="center"/>
          </w:tcPr>
          <w:p w:rsidR="00356A9E" w:rsidRPr="00F34309" w:rsidRDefault="00356A9E" w:rsidP="00F34309">
            <w:pPr>
              <w:rPr>
                <w:rFonts w:ascii="Arial Narrow" w:hAnsi="Arial Narrow"/>
                <w:sz w:val="20"/>
                <w:szCs w:val="20"/>
              </w:rPr>
            </w:pPr>
            <w:r w:rsidRPr="00F34309">
              <w:rPr>
                <w:rFonts w:ascii="Arial Narrow" w:hAnsi="Arial Narrow"/>
                <w:sz w:val="20"/>
                <w:szCs w:val="20"/>
              </w:rPr>
              <w:t xml:space="preserve">New cases of CF in population </w:t>
            </w:r>
          </w:p>
          <w:p w:rsidR="00356A9E" w:rsidRPr="00F34309" w:rsidRDefault="00356A9E" w:rsidP="00F34309">
            <w:pPr>
              <w:rPr>
                <w:rFonts w:ascii="Arial Narrow" w:hAnsi="Arial Narrow"/>
                <w:sz w:val="20"/>
                <w:szCs w:val="20"/>
              </w:rPr>
            </w:pPr>
            <w:r w:rsidRPr="00F34309">
              <w:rPr>
                <w:rFonts w:ascii="Arial Narrow" w:hAnsi="Arial Narrow"/>
                <w:sz w:val="20"/>
                <w:szCs w:val="20"/>
              </w:rPr>
              <w:t>≥ 6 years</w:t>
            </w:r>
            <w:r w:rsidR="00AB6D5C" w:rsidRPr="00F34309">
              <w:rPr>
                <w:rFonts w:ascii="Arial Narrow" w:hAnsi="Arial Narrow"/>
                <w:sz w:val="20"/>
                <w:szCs w:val="20"/>
                <w:vertAlign w:val="superscript"/>
              </w:rPr>
              <w:t>1</w:t>
            </w:r>
            <w:r w:rsidRPr="00F34309">
              <w:rPr>
                <w:rFonts w:ascii="Arial Narrow" w:hAnsi="Arial Narrow"/>
                <w:sz w:val="20"/>
                <w:szCs w:val="20"/>
              </w:rPr>
              <w:t xml:space="preserve"> </w:t>
            </w:r>
          </w:p>
        </w:tc>
        <w:tc>
          <w:tcPr>
            <w:tcW w:w="0" w:type="auto"/>
            <w:shd w:val="clear" w:color="auto" w:fill="F2F2F2" w:themeFill="background1" w:themeFillShade="F2"/>
            <w:vAlign w:val="center"/>
          </w:tcPr>
          <w:p w:rsidR="00356A9E" w:rsidRPr="00F34309" w:rsidRDefault="00356A9E" w:rsidP="00F34309">
            <w:pPr>
              <w:jc w:val="center"/>
              <w:rPr>
                <w:rFonts w:ascii="Arial Narrow" w:hAnsi="Arial Narrow"/>
                <w:sz w:val="20"/>
                <w:szCs w:val="20"/>
              </w:rPr>
            </w:pPr>
          </w:p>
        </w:tc>
        <w:tc>
          <w:tcPr>
            <w:tcW w:w="0" w:type="auto"/>
            <w:vAlign w:val="center"/>
          </w:tcPr>
          <w:p w:rsidR="00356A9E"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356A9E"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356A9E"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356A9E"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356A9E"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B6D5C" w:rsidRPr="00F34309" w:rsidTr="00F20F7F">
        <w:tc>
          <w:tcPr>
            <w:tcW w:w="0" w:type="auto"/>
            <w:vAlign w:val="center"/>
          </w:tcPr>
          <w:p w:rsidR="00356A9E" w:rsidRPr="00F34309" w:rsidRDefault="00356A9E" w:rsidP="00F20F7F">
            <w:pPr>
              <w:rPr>
                <w:rFonts w:ascii="Arial Narrow" w:hAnsi="Arial Narrow"/>
                <w:sz w:val="20"/>
                <w:szCs w:val="20"/>
              </w:rPr>
            </w:pPr>
            <w:r w:rsidRPr="00F34309">
              <w:rPr>
                <w:rFonts w:ascii="Arial Narrow" w:hAnsi="Arial Narrow"/>
                <w:sz w:val="20"/>
                <w:szCs w:val="20"/>
              </w:rPr>
              <w:t>[A.3]</w:t>
            </w:r>
          </w:p>
        </w:tc>
        <w:tc>
          <w:tcPr>
            <w:tcW w:w="0" w:type="auto"/>
            <w:vAlign w:val="center"/>
          </w:tcPr>
          <w:p w:rsidR="00356A9E" w:rsidRPr="00F34309" w:rsidRDefault="00285719" w:rsidP="00F34309">
            <w:pPr>
              <w:rPr>
                <w:rFonts w:ascii="Arial Narrow" w:hAnsi="Arial Narrow"/>
                <w:sz w:val="20"/>
                <w:szCs w:val="20"/>
              </w:rPr>
            </w:pPr>
            <w:r w:rsidRPr="00F34309">
              <w:rPr>
                <w:rFonts w:ascii="Arial Narrow" w:hAnsi="Arial Narrow"/>
                <w:sz w:val="20"/>
                <w:szCs w:val="20"/>
              </w:rPr>
              <w:t>Prevalence of G551</w:t>
            </w:r>
            <w:r w:rsidR="00356A9E" w:rsidRPr="00F34309">
              <w:rPr>
                <w:rFonts w:ascii="Arial Narrow" w:hAnsi="Arial Narrow"/>
                <w:sz w:val="20"/>
                <w:szCs w:val="20"/>
              </w:rPr>
              <w:t>D mutation</w:t>
            </w:r>
            <w:r w:rsidR="00AB6D5C" w:rsidRPr="00F34309">
              <w:rPr>
                <w:rFonts w:ascii="Arial Narrow" w:hAnsi="Arial Narrow"/>
                <w:sz w:val="20"/>
                <w:szCs w:val="20"/>
                <w:vertAlign w:val="superscript"/>
              </w:rPr>
              <w:t>1</w:t>
            </w:r>
            <w:r w:rsidR="00356A9E" w:rsidRPr="00F34309">
              <w:rPr>
                <w:rFonts w:ascii="Arial Narrow" w:hAnsi="Arial Narrow"/>
                <w:sz w:val="20"/>
                <w:szCs w:val="20"/>
              </w:rPr>
              <w:t xml:space="preserve"> </w:t>
            </w:r>
          </w:p>
        </w:tc>
        <w:tc>
          <w:tcPr>
            <w:tcW w:w="0" w:type="auto"/>
            <w:shd w:val="clear" w:color="auto" w:fill="F2F2F2" w:themeFill="background1" w:themeFillShade="F2"/>
            <w:vAlign w:val="center"/>
          </w:tcPr>
          <w:p w:rsidR="00356A9E" w:rsidRPr="00F34309" w:rsidRDefault="00356A9E" w:rsidP="00F34309">
            <w:pPr>
              <w:jc w:val="center"/>
              <w:rPr>
                <w:rFonts w:ascii="Arial Narrow" w:hAnsi="Arial Narrow"/>
                <w:sz w:val="20"/>
                <w:szCs w:val="20"/>
              </w:rPr>
            </w:pPr>
            <w:r w:rsidRPr="00F34309">
              <w:rPr>
                <w:rFonts w:ascii="Arial Narrow" w:hAnsi="Arial Narrow"/>
                <w:sz w:val="20"/>
                <w:szCs w:val="20"/>
              </w:rPr>
              <w:t>8.6%</w:t>
            </w:r>
          </w:p>
        </w:tc>
        <w:tc>
          <w:tcPr>
            <w:tcW w:w="0" w:type="auto"/>
            <w:vAlign w:val="center"/>
          </w:tcPr>
          <w:p w:rsidR="00356A9E" w:rsidRPr="007B469D" w:rsidRDefault="00356A9E" w:rsidP="00F34309">
            <w:pPr>
              <w:jc w:val="center"/>
              <w:rPr>
                <w:rFonts w:ascii="Arial Narrow" w:hAnsi="Arial Narrow"/>
                <w:sz w:val="20"/>
                <w:szCs w:val="20"/>
                <w:highlight w:val="lightGray"/>
              </w:rPr>
            </w:pPr>
          </w:p>
        </w:tc>
        <w:tc>
          <w:tcPr>
            <w:tcW w:w="0" w:type="auto"/>
            <w:vAlign w:val="center"/>
          </w:tcPr>
          <w:p w:rsidR="00356A9E" w:rsidRPr="007B469D" w:rsidRDefault="00356A9E" w:rsidP="00F34309">
            <w:pPr>
              <w:jc w:val="center"/>
              <w:rPr>
                <w:rFonts w:ascii="Arial Narrow" w:hAnsi="Arial Narrow"/>
                <w:sz w:val="20"/>
                <w:szCs w:val="20"/>
                <w:highlight w:val="lightGray"/>
              </w:rPr>
            </w:pPr>
          </w:p>
        </w:tc>
        <w:tc>
          <w:tcPr>
            <w:tcW w:w="0" w:type="auto"/>
            <w:vAlign w:val="center"/>
          </w:tcPr>
          <w:p w:rsidR="00356A9E" w:rsidRPr="007B469D" w:rsidRDefault="00356A9E" w:rsidP="00F34309">
            <w:pPr>
              <w:jc w:val="center"/>
              <w:rPr>
                <w:rFonts w:ascii="Arial Narrow" w:hAnsi="Arial Narrow"/>
                <w:sz w:val="20"/>
                <w:szCs w:val="20"/>
                <w:highlight w:val="lightGray"/>
              </w:rPr>
            </w:pPr>
          </w:p>
        </w:tc>
        <w:tc>
          <w:tcPr>
            <w:tcW w:w="0" w:type="auto"/>
            <w:vAlign w:val="center"/>
          </w:tcPr>
          <w:p w:rsidR="00356A9E" w:rsidRPr="007B469D" w:rsidRDefault="00356A9E" w:rsidP="00F34309">
            <w:pPr>
              <w:jc w:val="center"/>
              <w:rPr>
                <w:rFonts w:ascii="Arial Narrow" w:hAnsi="Arial Narrow"/>
                <w:sz w:val="20"/>
                <w:szCs w:val="20"/>
                <w:highlight w:val="lightGray"/>
              </w:rPr>
            </w:pPr>
          </w:p>
        </w:tc>
        <w:tc>
          <w:tcPr>
            <w:tcW w:w="0" w:type="auto"/>
            <w:vAlign w:val="center"/>
          </w:tcPr>
          <w:p w:rsidR="00356A9E" w:rsidRPr="007B469D" w:rsidRDefault="00356A9E" w:rsidP="00F34309">
            <w:pPr>
              <w:jc w:val="center"/>
              <w:rPr>
                <w:rFonts w:ascii="Arial Narrow" w:hAnsi="Arial Narrow"/>
                <w:sz w:val="20"/>
                <w:szCs w:val="20"/>
                <w:highlight w:val="lightGray"/>
              </w:rPr>
            </w:pPr>
          </w:p>
        </w:tc>
      </w:tr>
      <w:tr w:rsidR="00AB6D5C" w:rsidRPr="007B469D" w:rsidTr="00F20F7F">
        <w:tc>
          <w:tcPr>
            <w:tcW w:w="0" w:type="auto"/>
            <w:vAlign w:val="center"/>
          </w:tcPr>
          <w:p w:rsidR="00356A9E" w:rsidRPr="007B469D" w:rsidRDefault="00356A9E" w:rsidP="00F20F7F">
            <w:pPr>
              <w:rPr>
                <w:rFonts w:ascii="Arial Narrow" w:hAnsi="Arial Narrow"/>
                <w:sz w:val="20"/>
                <w:szCs w:val="20"/>
              </w:rPr>
            </w:pPr>
            <w:r w:rsidRPr="007B469D">
              <w:rPr>
                <w:rFonts w:ascii="Arial Narrow" w:hAnsi="Arial Narrow"/>
                <w:sz w:val="20"/>
                <w:szCs w:val="20"/>
              </w:rPr>
              <w:t>[A.4] =</w:t>
            </w:r>
          </w:p>
          <w:p w:rsidR="00356A9E" w:rsidRPr="007B469D" w:rsidRDefault="00356A9E" w:rsidP="00F20F7F">
            <w:pPr>
              <w:rPr>
                <w:rFonts w:ascii="Arial Narrow" w:hAnsi="Arial Narrow"/>
                <w:sz w:val="20"/>
                <w:szCs w:val="20"/>
              </w:rPr>
            </w:pPr>
            <w:r w:rsidRPr="007B469D">
              <w:rPr>
                <w:rFonts w:ascii="Arial Narrow" w:hAnsi="Arial Narrow"/>
                <w:sz w:val="20"/>
                <w:szCs w:val="20"/>
              </w:rPr>
              <w:t xml:space="preserve">[A.2] x [A.3] </w:t>
            </w:r>
          </w:p>
        </w:tc>
        <w:tc>
          <w:tcPr>
            <w:tcW w:w="0" w:type="auto"/>
            <w:vAlign w:val="center"/>
          </w:tcPr>
          <w:p w:rsidR="00356A9E" w:rsidRPr="007B469D" w:rsidRDefault="007E6C1F" w:rsidP="00F34309">
            <w:pPr>
              <w:rPr>
                <w:rFonts w:ascii="Arial Narrow" w:hAnsi="Arial Narrow"/>
                <w:b/>
                <w:sz w:val="20"/>
                <w:szCs w:val="20"/>
              </w:rPr>
            </w:pPr>
            <w:r w:rsidRPr="007B469D">
              <w:rPr>
                <w:rFonts w:ascii="Arial Narrow" w:hAnsi="Arial Narrow"/>
                <w:b/>
                <w:sz w:val="20"/>
                <w:szCs w:val="20"/>
              </w:rPr>
              <w:t>Eligible population</w:t>
            </w:r>
            <w:r w:rsidR="00AB6D5C" w:rsidRPr="007B469D">
              <w:rPr>
                <w:rFonts w:ascii="Arial Narrow" w:hAnsi="Arial Narrow"/>
                <w:sz w:val="20"/>
                <w:szCs w:val="20"/>
                <w:vertAlign w:val="superscript"/>
              </w:rPr>
              <w:t>2</w:t>
            </w:r>
          </w:p>
        </w:tc>
        <w:tc>
          <w:tcPr>
            <w:tcW w:w="0" w:type="auto"/>
            <w:shd w:val="clear" w:color="auto" w:fill="F2F2F2" w:themeFill="background1" w:themeFillShade="F2"/>
            <w:vAlign w:val="center"/>
          </w:tcPr>
          <w:p w:rsidR="00356A9E" w:rsidRPr="007B469D" w:rsidRDefault="00356A9E" w:rsidP="00F34309">
            <w:pPr>
              <w:jc w:val="center"/>
              <w:rPr>
                <w:rFonts w:ascii="Arial Narrow" w:hAnsi="Arial Narrow"/>
                <w:sz w:val="20"/>
                <w:szCs w:val="20"/>
              </w:rPr>
            </w:pPr>
          </w:p>
        </w:tc>
        <w:tc>
          <w:tcPr>
            <w:tcW w:w="0" w:type="auto"/>
            <w:vAlign w:val="center"/>
          </w:tcPr>
          <w:p w:rsidR="00356A9E"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356A9E"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356A9E"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356A9E"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356A9E"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E6C1F" w:rsidRPr="007B469D" w:rsidTr="00F20F7F">
        <w:tc>
          <w:tcPr>
            <w:tcW w:w="0" w:type="auto"/>
            <w:gridSpan w:val="8"/>
            <w:vAlign w:val="center"/>
          </w:tcPr>
          <w:p w:rsidR="007E6C1F" w:rsidRPr="007B469D" w:rsidRDefault="007E6C1F" w:rsidP="00F20F7F">
            <w:pPr>
              <w:pStyle w:val="ListParagraph"/>
              <w:numPr>
                <w:ilvl w:val="0"/>
                <w:numId w:val="7"/>
              </w:numPr>
              <w:ind w:left="284" w:hanging="284"/>
              <w:rPr>
                <w:rFonts w:ascii="Arial Narrow" w:hAnsi="Arial Narrow" w:cs="Arial"/>
                <w:b/>
                <w:sz w:val="20"/>
                <w:szCs w:val="20"/>
              </w:rPr>
            </w:pPr>
            <w:r w:rsidRPr="007B469D">
              <w:rPr>
                <w:rFonts w:ascii="Arial Narrow" w:hAnsi="Arial Narrow" w:cs="Arial"/>
                <w:b/>
                <w:sz w:val="20"/>
                <w:szCs w:val="20"/>
              </w:rPr>
              <w:t>Number of R/PBS prescriptions</w:t>
            </w:r>
          </w:p>
        </w:tc>
      </w:tr>
      <w:tr w:rsidR="00AB6D5C" w:rsidRPr="00F34309" w:rsidTr="00F20F7F">
        <w:tc>
          <w:tcPr>
            <w:tcW w:w="0" w:type="auto"/>
            <w:vAlign w:val="center"/>
          </w:tcPr>
          <w:p w:rsidR="007E6C1F" w:rsidRPr="00F34309" w:rsidRDefault="004C6571" w:rsidP="00F20F7F">
            <w:pPr>
              <w:rPr>
                <w:rFonts w:ascii="Arial Narrow" w:hAnsi="Arial Narrow"/>
                <w:sz w:val="20"/>
                <w:szCs w:val="20"/>
              </w:rPr>
            </w:pPr>
            <w:r w:rsidRPr="00F34309">
              <w:rPr>
                <w:rFonts w:ascii="Arial Narrow" w:hAnsi="Arial Narrow"/>
                <w:sz w:val="20"/>
                <w:szCs w:val="20"/>
              </w:rPr>
              <w:t>[B.1]</w:t>
            </w:r>
          </w:p>
        </w:tc>
        <w:tc>
          <w:tcPr>
            <w:tcW w:w="1433" w:type="dxa"/>
            <w:vAlign w:val="center"/>
          </w:tcPr>
          <w:p w:rsidR="007E6C1F" w:rsidRPr="00F34309" w:rsidRDefault="004C6571" w:rsidP="00F34309">
            <w:pPr>
              <w:rPr>
                <w:rFonts w:ascii="Arial Narrow" w:hAnsi="Arial Narrow"/>
                <w:sz w:val="20"/>
                <w:szCs w:val="20"/>
              </w:rPr>
            </w:pPr>
            <w:r w:rsidRPr="00F34309">
              <w:rPr>
                <w:rFonts w:ascii="Arial Narrow" w:hAnsi="Arial Narrow"/>
                <w:sz w:val="20"/>
                <w:szCs w:val="20"/>
              </w:rPr>
              <w:t>Packs dispensed per patient per year</w:t>
            </w:r>
            <w:r w:rsidR="00AB6D5C" w:rsidRPr="00F34309">
              <w:rPr>
                <w:rFonts w:ascii="Arial Narrow" w:hAnsi="Arial Narrow"/>
                <w:sz w:val="20"/>
                <w:szCs w:val="20"/>
                <w:vertAlign w:val="superscript"/>
              </w:rPr>
              <w:t>3</w:t>
            </w:r>
          </w:p>
        </w:tc>
        <w:tc>
          <w:tcPr>
            <w:tcW w:w="981" w:type="dxa"/>
            <w:shd w:val="clear" w:color="auto" w:fill="F2F2F2" w:themeFill="background1" w:themeFillShade="F2"/>
            <w:vAlign w:val="center"/>
          </w:tcPr>
          <w:p w:rsidR="007E6C1F" w:rsidRPr="00F34309" w:rsidRDefault="004C6571" w:rsidP="00F34309">
            <w:pPr>
              <w:jc w:val="center"/>
              <w:rPr>
                <w:rFonts w:ascii="Arial Narrow" w:hAnsi="Arial Narrow"/>
                <w:sz w:val="20"/>
                <w:szCs w:val="20"/>
              </w:rPr>
            </w:pPr>
            <w:r w:rsidRPr="00F34309">
              <w:rPr>
                <w:rFonts w:ascii="Arial Narrow" w:hAnsi="Arial Narrow"/>
                <w:sz w:val="20"/>
                <w:szCs w:val="20"/>
              </w:rPr>
              <w:t>11.8</w:t>
            </w:r>
          </w:p>
        </w:tc>
        <w:tc>
          <w:tcPr>
            <w:tcW w:w="0" w:type="auto"/>
            <w:vAlign w:val="center"/>
          </w:tcPr>
          <w:p w:rsidR="007E6C1F" w:rsidRPr="00903F85" w:rsidRDefault="007E6C1F" w:rsidP="00F34309">
            <w:pPr>
              <w:jc w:val="center"/>
              <w:rPr>
                <w:rFonts w:ascii="Arial Narrow" w:hAnsi="Arial Narrow"/>
                <w:sz w:val="20"/>
                <w:szCs w:val="20"/>
                <w:highlight w:val="yellow"/>
              </w:rPr>
            </w:pPr>
          </w:p>
        </w:tc>
        <w:tc>
          <w:tcPr>
            <w:tcW w:w="0" w:type="auto"/>
            <w:vAlign w:val="center"/>
          </w:tcPr>
          <w:p w:rsidR="007E6C1F" w:rsidRPr="00903F85" w:rsidRDefault="007E6C1F" w:rsidP="00F34309">
            <w:pPr>
              <w:jc w:val="center"/>
              <w:rPr>
                <w:rFonts w:ascii="Arial Narrow" w:hAnsi="Arial Narrow"/>
                <w:sz w:val="20"/>
                <w:szCs w:val="20"/>
                <w:highlight w:val="yellow"/>
              </w:rPr>
            </w:pPr>
          </w:p>
        </w:tc>
        <w:tc>
          <w:tcPr>
            <w:tcW w:w="0" w:type="auto"/>
            <w:vAlign w:val="center"/>
          </w:tcPr>
          <w:p w:rsidR="007E6C1F" w:rsidRPr="00903F85" w:rsidRDefault="007E6C1F" w:rsidP="00F34309">
            <w:pPr>
              <w:jc w:val="center"/>
              <w:rPr>
                <w:rFonts w:ascii="Arial Narrow" w:hAnsi="Arial Narrow"/>
                <w:sz w:val="20"/>
                <w:szCs w:val="20"/>
                <w:highlight w:val="yellow"/>
              </w:rPr>
            </w:pPr>
          </w:p>
        </w:tc>
        <w:tc>
          <w:tcPr>
            <w:tcW w:w="0" w:type="auto"/>
            <w:vAlign w:val="center"/>
          </w:tcPr>
          <w:p w:rsidR="007E6C1F" w:rsidRPr="00903F85" w:rsidRDefault="007E6C1F" w:rsidP="00F34309">
            <w:pPr>
              <w:jc w:val="center"/>
              <w:rPr>
                <w:rFonts w:ascii="Arial Narrow" w:hAnsi="Arial Narrow"/>
                <w:sz w:val="20"/>
                <w:szCs w:val="20"/>
                <w:highlight w:val="yellow"/>
              </w:rPr>
            </w:pPr>
          </w:p>
        </w:tc>
        <w:tc>
          <w:tcPr>
            <w:tcW w:w="0" w:type="auto"/>
            <w:vAlign w:val="center"/>
          </w:tcPr>
          <w:p w:rsidR="007E6C1F" w:rsidRPr="00903F85" w:rsidRDefault="007E6C1F" w:rsidP="00F34309">
            <w:pPr>
              <w:jc w:val="center"/>
              <w:rPr>
                <w:rFonts w:ascii="Arial Narrow" w:hAnsi="Arial Narrow"/>
                <w:sz w:val="20"/>
                <w:szCs w:val="20"/>
                <w:highlight w:val="yellow"/>
              </w:rPr>
            </w:pPr>
          </w:p>
        </w:tc>
      </w:tr>
      <w:tr w:rsidR="00AB6D5C" w:rsidRPr="00F34309" w:rsidTr="00F20F7F">
        <w:tc>
          <w:tcPr>
            <w:tcW w:w="0" w:type="auto"/>
            <w:vAlign w:val="center"/>
          </w:tcPr>
          <w:p w:rsidR="004C6571" w:rsidRPr="00F34309" w:rsidRDefault="004C6571" w:rsidP="00F20F7F">
            <w:pPr>
              <w:rPr>
                <w:rFonts w:ascii="Arial Narrow" w:hAnsi="Arial Narrow"/>
                <w:sz w:val="20"/>
                <w:szCs w:val="20"/>
              </w:rPr>
            </w:pPr>
            <w:r w:rsidRPr="00F34309">
              <w:rPr>
                <w:rFonts w:ascii="Arial Narrow" w:hAnsi="Arial Narrow"/>
                <w:sz w:val="20"/>
                <w:szCs w:val="20"/>
              </w:rPr>
              <w:t xml:space="preserve">[B.2] = </w:t>
            </w:r>
          </w:p>
          <w:p w:rsidR="004C6571" w:rsidRPr="00F34309" w:rsidRDefault="004C6571" w:rsidP="00F20F7F">
            <w:pPr>
              <w:rPr>
                <w:rFonts w:ascii="Arial Narrow" w:hAnsi="Arial Narrow"/>
                <w:sz w:val="20"/>
                <w:szCs w:val="20"/>
              </w:rPr>
            </w:pPr>
            <w:r w:rsidRPr="00F34309">
              <w:rPr>
                <w:rFonts w:ascii="Arial Narrow" w:hAnsi="Arial Narrow"/>
                <w:sz w:val="20"/>
                <w:szCs w:val="20"/>
              </w:rPr>
              <w:t xml:space="preserve">[B.1] x [A.4] </w:t>
            </w:r>
          </w:p>
        </w:tc>
        <w:tc>
          <w:tcPr>
            <w:tcW w:w="1433" w:type="dxa"/>
            <w:vAlign w:val="center"/>
          </w:tcPr>
          <w:p w:rsidR="004C6571" w:rsidRPr="00F34309" w:rsidRDefault="004C6571" w:rsidP="00F34309">
            <w:pPr>
              <w:rPr>
                <w:rFonts w:ascii="Arial Narrow" w:hAnsi="Arial Narrow"/>
                <w:sz w:val="20"/>
                <w:szCs w:val="20"/>
              </w:rPr>
            </w:pPr>
            <w:r w:rsidRPr="00F34309">
              <w:rPr>
                <w:rFonts w:ascii="Arial Narrow" w:hAnsi="Arial Narrow"/>
                <w:sz w:val="20"/>
                <w:szCs w:val="20"/>
              </w:rPr>
              <w:t>Total number of packs</w:t>
            </w:r>
          </w:p>
        </w:tc>
        <w:tc>
          <w:tcPr>
            <w:tcW w:w="981" w:type="dxa"/>
            <w:shd w:val="clear" w:color="auto" w:fill="F2F2F2" w:themeFill="background1" w:themeFillShade="F2"/>
            <w:vAlign w:val="center"/>
          </w:tcPr>
          <w:p w:rsidR="004C6571" w:rsidRPr="007B469D" w:rsidRDefault="004C6571" w:rsidP="00F34309">
            <w:pPr>
              <w:jc w:val="center"/>
              <w:rPr>
                <w:rFonts w:ascii="Arial Narrow" w:hAnsi="Arial Narrow"/>
                <w:sz w:val="20"/>
                <w:szCs w:val="20"/>
                <w:highlight w:val="lightGray"/>
              </w:rPr>
            </w:pPr>
          </w:p>
        </w:tc>
        <w:tc>
          <w:tcPr>
            <w:tcW w:w="0" w:type="auto"/>
            <w:vAlign w:val="center"/>
          </w:tcPr>
          <w:p w:rsidR="004C6571"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4C6571"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4C6571"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4C6571"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4C6571"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B6D5C" w:rsidRPr="00F34309" w:rsidTr="00F20F7F">
        <w:tc>
          <w:tcPr>
            <w:tcW w:w="0" w:type="auto"/>
            <w:vAlign w:val="center"/>
          </w:tcPr>
          <w:p w:rsidR="004C6571" w:rsidRPr="00F34309" w:rsidRDefault="004C6571" w:rsidP="00F20F7F">
            <w:pPr>
              <w:rPr>
                <w:rFonts w:ascii="Arial Narrow" w:hAnsi="Arial Narrow"/>
                <w:sz w:val="20"/>
                <w:szCs w:val="20"/>
              </w:rPr>
            </w:pPr>
            <w:r w:rsidRPr="00F34309">
              <w:rPr>
                <w:rFonts w:ascii="Arial Narrow" w:hAnsi="Arial Narrow"/>
                <w:sz w:val="20"/>
                <w:szCs w:val="20"/>
              </w:rPr>
              <w:t xml:space="preserve">[B.3] </w:t>
            </w:r>
          </w:p>
        </w:tc>
        <w:tc>
          <w:tcPr>
            <w:tcW w:w="1433" w:type="dxa"/>
            <w:vAlign w:val="center"/>
          </w:tcPr>
          <w:p w:rsidR="004C6571" w:rsidRPr="00F34309" w:rsidRDefault="004C6571" w:rsidP="00F34309">
            <w:pPr>
              <w:rPr>
                <w:rFonts w:ascii="Arial Narrow" w:hAnsi="Arial Narrow"/>
                <w:sz w:val="20"/>
                <w:szCs w:val="20"/>
              </w:rPr>
            </w:pPr>
            <w:r w:rsidRPr="00F34309">
              <w:rPr>
                <w:rFonts w:ascii="Arial Narrow" w:hAnsi="Arial Narrow"/>
                <w:sz w:val="20"/>
                <w:szCs w:val="20"/>
              </w:rPr>
              <w:t>Percentage reduction in dose to reflect hepatic impairment and CYP3A inhibitors</w:t>
            </w:r>
            <w:r w:rsidR="004233C3" w:rsidRPr="00F34309">
              <w:rPr>
                <w:rFonts w:ascii="Arial Narrow" w:hAnsi="Arial Narrow"/>
                <w:sz w:val="20"/>
                <w:szCs w:val="20"/>
                <w:vertAlign w:val="superscript"/>
              </w:rPr>
              <w:t>4</w:t>
            </w:r>
          </w:p>
        </w:tc>
        <w:tc>
          <w:tcPr>
            <w:tcW w:w="981" w:type="dxa"/>
            <w:shd w:val="clear" w:color="auto" w:fill="F2F2F2" w:themeFill="background1" w:themeFillShade="F2"/>
            <w:vAlign w:val="center"/>
          </w:tcPr>
          <w:p w:rsidR="004C6571"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4C6571" w:rsidRPr="007B469D" w:rsidRDefault="004C6571" w:rsidP="00F34309">
            <w:pPr>
              <w:jc w:val="center"/>
              <w:rPr>
                <w:rFonts w:ascii="Arial Narrow" w:hAnsi="Arial Narrow"/>
                <w:sz w:val="20"/>
                <w:szCs w:val="20"/>
                <w:highlight w:val="lightGray"/>
              </w:rPr>
            </w:pPr>
          </w:p>
        </w:tc>
        <w:tc>
          <w:tcPr>
            <w:tcW w:w="0" w:type="auto"/>
            <w:vAlign w:val="center"/>
          </w:tcPr>
          <w:p w:rsidR="004C6571" w:rsidRPr="007B469D" w:rsidRDefault="004C6571" w:rsidP="00F34309">
            <w:pPr>
              <w:jc w:val="center"/>
              <w:rPr>
                <w:rFonts w:ascii="Arial Narrow" w:hAnsi="Arial Narrow"/>
                <w:sz w:val="20"/>
                <w:szCs w:val="20"/>
                <w:highlight w:val="lightGray"/>
              </w:rPr>
            </w:pPr>
          </w:p>
        </w:tc>
        <w:tc>
          <w:tcPr>
            <w:tcW w:w="0" w:type="auto"/>
            <w:vAlign w:val="center"/>
          </w:tcPr>
          <w:p w:rsidR="004C6571" w:rsidRPr="007B469D" w:rsidRDefault="004C6571" w:rsidP="00F34309">
            <w:pPr>
              <w:jc w:val="center"/>
              <w:rPr>
                <w:rFonts w:ascii="Arial Narrow" w:hAnsi="Arial Narrow"/>
                <w:sz w:val="20"/>
                <w:szCs w:val="20"/>
                <w:highlight w:val="lightGray"/>
              </w:rPr>
            </w:pPr>
          </w:p>
        </w:tc>
        <w:tc>
          <w:tcPr>
            <w:tcW w:w="0" w:type="auto"/>
            <w:vAlign w:val="center"/>
          </w:tcPr>
          <w:p w:rsidR="004C6571" w:rsidRPr="007B469D" w:rsidRDefault="004C6571" w:rsidP="00F34309">
            <w:pPr>
              <w:jc w:val="center"/>
              <w:rPr>
                <w:rFonts w:ascii="Arial Narrow" w:hAnsi="Arial Narrow"/>
                <w:sz w:val="20"/>
                <w:szCs w:val="20"/>
                <w:highlight w:val="lightGray"/>
              </w:rPr>
            </w:pPr>
          </w:p>
        </w:tc>
        <w:tc>
          <w:tcPr>
            <w:tcW w:w="0" w:type="auto"/>
            <w:vAlign w:val="center"/>
          </w:tcPr>
          <w:p w:rsidR="004C6571" w:rsidRPr="007B469D" w:rsidRDefault="004C6571" w:rsidP="00F34309">
            <w:pPr>
              <w:jc w:val="center"/>
              <w:rPr>
                <w:rFonts w:ascii="Arial Narrow" w:hAnsi="Arial Narrow"/>
                <w:sz w:val="20"/>
                <w:szCs w:val="20"/>
                <w:highlight w:val="lightGray"/>
              </w:rPr>
            </w:pPr>
          </w:p>
        </w:tc>
      </w:tr>
      <w:tr w:rsidR="00AB6D5C" w:rsidRPr="00F34309" w:rsidTr="00F20F7F">
        <w:tc>
          <w:tcPr>
            <w:tcW w:w="0" w:type="auto"/>
            <w:vAlign w:val="center"/>
          </w:tcPr>
          <w:p w:rsidR="004C6571" w:rsidRPr="00F34309" w:rsidRDefault="004C6571" w:rsidP="00F20F7F">
            <w:pPr>
              <w:rPr>
                <w:rFonts w:ascii="Arial Narrow" w:hAnsi="Arial Narrow"/>
                <w:sz w:val="20"/>
                <w:szCs w:val="20"/>
              </w:rPr>
            </w:pPr>
            <w:r w:rsidRPr="00F34309">
              <w:rPr>
                <w:rFonts w:ascii="Arial Narrow" w:hAnsi="Arial Narrow"/>
                <w:sz w:val="20"/>
                <w:szCs w:val="20"/>
              </w:rPr>
              <w:t>[B.4] = [B.2] x (1-[B.3])</w:t>
            </w:r>
          </w:p>
        </w:tc>
        <w:tc>
          <w:tcPr>
            <w:tcW w:w="1433" w:type="dxa"/>
            <w:vAlign w:val="center"/>
          </w:tcPr>
          <w:p w:rsidR="004C6571" w:rsidRPr="00F34309" w:rsidRDefault="004C6571" w:rsidP="00F34309">
            <w:pPr>
              <w:rPr>
                <w:rFonts w:ascii="Arial Narrow" w:hAnsi="Arial Narrow"/>
                <w:sz w:val="20"/>
                <w:szCs w:val="20"/>
              </w:rPr>
            </w:pPr>
            <w:r w:rsidRPr="00F34309">
              <w:rPr>
                <w:rFonts w:ascii="Arial Narrow" w:hAnsi="Arial Narrow"/>
                <w:sz w:val="20"/>
                <w:szCs w:val="20"/>
              </w:rPr>
              <w:t>Total dispensed packs reduced to reflect dose adjustments</w:t>
            </w:r>
          </w:p>
        </w:tc>
        <w:tc>
          <w:tcPr>
            <w:tcW w:w="981" w:type="dxa"/>
            <w:shd w:val="clear" w:color="auto" w:fill="F2F2F2" w:themeFill="background1" w:themeFillShade="F2"/>
            <w:vAlign w:val="center"/>
          </w:tcPr>
          <w:p w:rsidR="004C6571" w:rsidRPr="007B469D" w:rsidRDefault="004C6571" w:rsidP="00F34309">
            <w:pPr>
              <w:jc w:val="center"/>
              <w:rPr>
                <w:rFonts w:ascii="Arial Narrow" w:hAnsi="Arial Narrow"/>
                <w:sz w:val="20"/>
                <w:szCs w:val="20"/>
                <w:highlight w:val="lightGray"/>
              </w:rPr>
            </w:pPr>
          </w:p>
        </w:tc>
        <w:tc>
          <w:tcPr>
            <w:tcW w:w="0" w:type="auto"/>
            <w:vAlign w:val="center"/>
          </w:tcPr>
          <w:p w:rsidR="004C6571"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4C6571"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4C6571"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4C6571"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4C6571"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94E5D" w:rsidRPr="00F34309" w:rsidTr="00F20F7F">
        <w:tc>
          <w:tcPr>
            <w:tcW w:w="0" w:type="auto"/>
            <w:gridSpan w:val="8"/>
            <w:vAlign w:val="center"/>
          </w:tcPr>
          <w:p w:rsidR="00A94E5D" w:rsidRPr="00F34309" w:rsidRDefault="00A94E5D" w:rsidP="00F20F7F">
            <w:pPr>
              <w:pStyle w:val="ListParagraph"/>
              <w:numPr>
                <w:ilvl w:val="0"/>
                <w:numId w:val="7"/>
              </w:numPr>
              <w:ind w:left="284" w:hanging="284"/>
              <w:rPr>
                <w:rFonts w:ascii="Arial Narrow" w:hAnsi="Arial Narrow"/>
                <w:sz w:val="20"/>
                <w:szCs w:val="20"/>
              </w:rPr>
            </w:pPr>
            <w:r w:rsidRPr="00F34309">
              <w:rPr>
                <w:rFonts w:ascii="Arial Narrow" w:hAnsi="Arial Narrow" w:cs="Arial"/>
                <w:b/>
                <w:sz w:val="20"/>
                <w:szCs w:val="20"/>
              </w:rPr>
              <w:t>R/PBS expenditure</w:t>
            </w:r>
          </w:p>
        </w:tc>
      </w:tr>
      <w:tr w:rsidR="00AB6D5C" w:rsidRPr="00F34309" w:rsidTr="00F20F7F">
        <w:tc>
          <w:tcPr>
            <w:tcW w:w="0" w:type="auto"/>
            <w:vAlign w:val="center"/>
          </w:tcPr>
          <w:p w:rsidR="00A94E5D" w:rsidRPr="00F34309" w:rsidRDefault="00A94E5D" w:rsidP="00F20F7F">
            <w:pPr>
              <w:rPr>
                <w:rFonts w:ascii="Arial Narrow" w:hAnsi="Arial Narrow"/>
                <w:sz w:val="20"/>
                <w:szCs w:val="20"/>
              </w:rPr>
            </w:pPr>
            <w:r w:rsidRPr="00F34309">
              <w:rPr>
                <w:rFonts w:ascii="Arial Narrow" w:hAnsi="Arial Narrow"/>
                <w:sz w:val="20"/>
                <w:szCs w:val="20"/>
              </w:rPr>
              <w:t xml:space="preserve">[C.1] </w:t>
            </w:r>
          </w:p>
        </w:tc>
        <w:tc>
          <w:tcPr>
            <w:tcW w:w="0" w:type="auto"/>
            <w:vAlign w:val="center"/>
          </w:tcPr>
          <w:p w:rsidR="00A94E5D" w:rsidRPr="00F34309" w:rsidRDefault="00A94E5D" w:rsidP="00F34309">
            <w:pPr>
              <w:rPr>
                <w:rFonts w:ascii="Arial Narrow" w:hAnsi="Arial Narrow"/>
                <w:sz w:val="20"/>
                <w:szCs w:val="20"/>
              </w:rPr>
            </w:pPr>
            <w:r w:rsidRPr="00F34309">
              <w:rPr>
                <w:rFonts w:ascii="Arial Narrow" w:hAnsi="Arial Narrow"/>
                <w:sz w:val="20"/>
                <w:szCs w:val="20"/>
              </w:rPr>
              <w:t>Dispensed price maximum quantity</w:t>
            </w:r>
            <w:r w:rsidR="004233C3" w:rsidRPr="00F34309">
              <w:rPr>
                <w:rFonts w:ascii="Arial Narrow" w:hAnsi="Arial Narrow"/>
                <w:sz w:val="20"/>
                <w:szCs w:val="20"/>
                <w:vertAlign w:val="superscript"/>
              </w:rPr>
              <w:t>5</w:t>
            </w:r>
            <w:r w:rsidRPr="00F34309">
              <w:rPr>
                <w:rFonts w:ascii="Arial Narrow" w:hAnsi="Arial Narrow"/>
                <w:sz w:val="20"/>
                <w:szCs w:val="20"/>
              </w:rPr>
              <w:t xml:space="preserve"> </w:t>
            </w:r>
          </w:p>
        </w:tc>
        <w:tc>
          <w:tcPr>
            <w:tcW w:w="0" w:type="auto"/>
            <w:shd w:val="clear" w:color="auto" w:fill="F2F2F2" w:themeFill="background1" w:themeFillShade="F2"/>
            <w:vAlign w:val="center"/>
          </w:tcPr>
          <w:p w:rsidR="00A94E5D" w:rsidRPr="00F34309" w:rsidRDefault="00A94E5D" w:rsidP="00F34309">
            <w:pPr>
              <w:jc w:val="center"/>
              <w:rPr>
                <w:rFonts w:ascii="Arial Narrow" w:hAnsi="Arial Narrow"/>
                <w:sz w:val="20"/>
                <w:szCs w:val="20"/>
              </w:rPr>
            </w:pPr>
            <w:r w:rsidRPr="00F34309">
              <w:rPr>
                <w:rFonts w:ascii="Arial Narrow" w:hAnsi="Arial Narrow"/>
                <w:sz w:val="20"/>
                <w:szCs w:val="20"/>
              </w:rPr>
              <w:t>$22,500</w:t>
            </w:r>
          </w:p>
        </w:tc>
        <w:tc>
          <w:tcPr>
            <w:tcW w:w="0" w:type="auto"/>
            <w:vAlign w:val="center"/>
          </w:tcPr>
          <w:p w:rsidR="00A94E5D" w:rsidRPr="00F34309" w:rsidRDefault="00A94E5D" w:rsidP="00F34309">
            <w:pPr>
              <w:jc w:val="center"/>
              <w:rPr>
                <w:rFonts w:ascii="Arial Narrow" w:hAnsi="Arial Narrow"/>
                <w:sz w:val="20"/>
                <w:szCs w:val="20"/>
              </w:rPr>
            </w:pPr>
          </w:p>
        </w:tc>
        <w:tc>
          <w:tcPr>
            <w:tcW w:w="0" w:type="auto"/>
            <w:vAlign w:val="center"/>
          </w:tcPr>
          <w:p w:rsidR="00A94E5D" w:rsidRPr="00F34309" w:rsidRDefault="00A94E5D" w:rsidP="00F34309">
            <w:pPr>
              <w:jc w:val="center"/>
              <w:rPr>
                <w:rFonts w:ascii="Arial Narrow" w:hAnsi="Arial Narrow"/>
                <w:sz w:val="20"/>
                <w:szCs w:val="20"/>
              </w:rPr>
            </w:pPr>
          </w:p>
        </w:tc>
        <w:tc>
          <w:tcPr>
            <w:tcW w:w="0" w:type="auto"/>
            <w:vAlign w:val="center"/>
          </w:tcPr>
          <w:p w:rsidR="00A94E5D" w:rsidRPr="00F34309" w:rsidRDefault="00A94E5D" w:rsidP="00F34309">
            <w:pPr>
              <w:jc w:val="center"/>
              <w:rPr>
                <w:rFonts w:ascii="Arial Narrow" w:hAnsi="Arial Narrow"/>
                <w:sz w:val="20"/>
                <w:szCs w:val="20"/>
              </w:rPr>
            </w:pPr>
          </w:p>
        </w:tc>
        <w:tc>
          <w:tcPr>
            <w:tcW w:w="0" w:type="auto"/>
            <w:vAlign w:val="center"/>
          </w:tcPr>
          <w:p w:rsidR="00A94E5D" w:rsidRPr="00F34309" w:rsidRDefault="00A94E5D" w:rsidP="00F34309">
            <w:pPr>
              <w:jc w:val="center"/>
              <w:rPr>
                <w:rFonts w:ascii="Arial Narrow" w:hAnsi="Arial Narrow"/>
                <w:sz w:val="20"/>
                <w:szCs w:val="20"/>
              </w:rPr>
            </w:pPr>
          </w:p>
        </w:tc>
        <w:tc>
          <w:tcPr>
            <w:tcW w:w="0" w:type="auto"/>
            <w:vAlign w:val="center"/>
          </w:tcPr>
          <w:p w:rsidR="00A94E5D" w:rsidRPr="00F34309" w:rsidRDefault="00A94E5D" w:rsidP="00F34309">
            <w:pPr>
              <w:jc w:val="center"/>
              <w:rPr>
                <w:rFonts w:ascii="Arial Narrow" w:hAnsi="Arial Narrow"/>
                <w:sz w:val="20"/>
                <w:szCs w:val="20"/>
              </w:rPr>
            </w:pPr>
          </w:p>
        </w:tc>
      </w:tr>
      <w:tr w:rsidR="00AB6D5C" w:rsidRPr="00F34309" w:rsidTr="00F20F7F">
        <w:tc>
          <w:tcPr>
            <w:tcW w:w="0" w:type="auto"/>
            <w:vAlign w:val="center"/>
          </w:tcPr>
          <w:p w:rsidR="00A94E5D" w:rsidRPr="00F34309" w:rsidRDefault="00A94E5D" w:rsidP="00F20F7F">
            <w:pPr>
              <w:rPr>
                <w:rFonts w:ascii="Arial Narrow" w:hAnsi="Arial Narrow"/>
                <w:sz w:val="20"/>
                <w:szCs w:val="20"/>
              </w:rPr>
            </w:pPr>
            <w:r w:rsidRPr="00F34309">
              <w:rPr>
                <w:rFonts w:ascii="Arial Narrow" w:hAnsi="Arial Narrow"/>
                <w:sz w:val="20"/>
                <w:szCs w:val="20"/>
              </w:rPr>
              <w:t xml:space="preserve">[C.2] = [C.1] x [B.4] </w:t>
            </w:r>
          </w:p>
        </w:tc>
        <w:tc>
          <w:tcPr>
            <w:tcW w:w="0" w:type="auto"/>
            <w:vAlign w:val="center"/>
          </w:tcPr>
          <w:p w:rsidR="00A94E5D" w:rsidRPr="00F34309" w:rsidRDefault="00A94E5D" w:rsidP="00F34309">
            <w:pPr>
              <w:rPr>
                <w:rFonts w:ascii="Arial Narrow" w:hAnsi="Arial Narrow"/>
                <w:sz w:val="20"/>
                <w:szCs w:val="20"/>
              </w:rPr>
            </w:pPr>
            <w:r w:rsidRPr="00F34309">
              <w:rPr>
                <w:rFonts w:ascii="Arial Narrow" w:hAnsi="Arial Narrow"/>
                <w:sz w:val="20"/>
                <w:szCs w:val="20"/>
              </w:rPr>
              <w:t xml:space="preserve">Total cost for </w:t>
            </w:r>
            <w:proofErr w:type="spellStart"/>
            <w:r w:rsidRPr="00F34309">
              <w:rPr>
                <w:rFonts w:ascii="Arial Narrow" w:hAnsi="Arial Narrow"/>
                <w:sz w:val="20"/>
                <w:szCs w:val="20"/>
              </w:rPr>
              <w:t>ivacaftor</w:t>
            </w:r>
            <w:proofErr w:type="spellEnd"/>
            <w:r w:rsidRPr="00F34309">
              <w:rPr>
                <w:rFonts w:ascii="Arial Narrow" w:hAnsi="Arial Narrow"/>
                <w:sz w:val="20"/>
                <w:szCs w:val="20"/>
              </w:rPr>
              <w:t xml:space="preserve"> </w:t>
            </w:r>
          </w:p>
        </w:tc>
        <w:tc>
          <w:tcPr>
            <w:tcW w:w="0" w:type="auto"/>
            <w:shd w:val="clear" w:color="auto" w:fill="F2F2F2" w:themeFill="background1" w:themeFillShade="F2"/>
            <w:vAlign w:val="center"/>
          </w:tcPr>
          <w:p w:rsidR="00A94E5D" w:rsidRPr="00F34309" w:rsidRDefault="00A94E5D" w:rsidP="00F34309">
            <w:pPr>
              <w:jc w:val="center"/>
              <w:rPr>
                <w:rFonts w:ascii="Arial Narrow" w:hAnsi="Arial Narrow"/>
                <w:sz w:val="20"/>
                <w:szCs w:val="20"/>
              </w:rPr>
            </w:pPr>
          </w:p>
        </w:tc>
        <w:tc>
          <w:tcPr>
            <w:tcW w:w="0" w:type="auto"/>
            <w:vAlign w:val="center"/>
          </w:tcPr>
          <w:p w:rsidR="00A94E5D"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A94E5D"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A94E5D"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A94E5D"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A94E5D"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B6D5C" w:rsidRPr="00F34309" w:rsidTr="00F20F7F">
        <w:tc>
          <w:tcPr>
            <w:tcW w:w="0" w:type="auto"/>
            <w:vAlign w:val="center"/>
          </w:tcPr>
          <w:p w:rsidR="00AB6D5C" w:rsidRPr="00F34309" w:rsidRDefault="00AB6D5C" w:rsidP="00F20F7F">
            <w:pPr>
              <w:rPr>
                <w:rFonts w:ascii="Arial Narrow" w:hAnsi="Arial Narrow"/>
                <w:sz w:val="20"/>
                <w:szCs w:val="20"/>
              </w:rPr>
            </w:pPr>
            <w:r w:rsidRPr="00F34309">
              <w:rPr>
                <w:rFonts w:ascii="Arial Narrow" w:hAnsi="Arial Narrow"/>
                <w:sz w:val="20"/>
                <w:szCs w:val="20"/>
              </w:rPr>
              <w:t>[C.3] = [B.4] x $11.72</w:t>
            </w:r>
          </w:p>
        </w:tc>
        <w:tc>
          <w:tcPr>
            <w:tcW w:w="0" w:type="auto"/>
            <w:vAlign w:val="center"/>
          </w:tcPr>
          <w:p w:rsidR="00AB6D5C" w:rsidRPr="00F34309" w:rsidRDefault="00AB6D5C" w:rsidP="00F34309">
            <w:pPr>
              <w:rPr>
                <w:rFonts w:ascii="Arial Narrow" w:hAnsi="Arial Narrow"/>
                <w:sz w:val="20"/>
                <w:szCs w:val="20"/>
              </w:rPr>
            </w:pPr>
            <w:r w:rsidRPr="00F34309">
              <w:rPr>
                <w:rFonts w:ascii="Arial Narrow" w:hAnsi="Arial Narrow"/>
                <w:sz w:val="20"/>
                <w:szCs w:val="20"/>
              </w:rPr>
              <w:t xml:space="preserve">Patient contributions </w:t>
            </w:r>
          </w:p>
        </w:tc>
        <w:tc>
          <w:tcPr>
            <w:tcW w:w="0" w:type="auto"/>
            <w:shd w:val="clear" w:color="auto" w:fill="F2F2F2" w:themeFill="background1" w:themeFillShade="F2"/>
            <w:vAlign w:val="center"/>
          </w:tcPr>
          <w:p w:rsidR="00AB6D5C" w:rsidRPr="00F34309" w:rsidRDefault="00AB6D5C" w:rsidP="00F34309">
            <w:pPr>
              <w:jc w:val="center"/>
              <w:rPr>
                <w:rFonts w:ascii="Arial Narrow" w:hAnsi="Arial Narrow"/>
                <w:sz w:val="20"/>
                <w:szCs w:val="20"/>
              </w:rPr>
            </w:pPr>
          </w:p>
        </w:tc>
        <w:tc>
          <w:tcPr>
            <w:tcW w:w="0" w:type="auto"/>
            <w:vAlign w:val="center"/>
          </w:tcPr>
          <w:p w:rsidR="00AB6D5C"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AB6D5C"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AB6D5C"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AB6D5C"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AB6D5C"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B6D5C" w:rsidRPr="00F34309" w:rsidTr="00F20F7F">
        <w:tc>
          <w:tcPr>
            <w:tcW w:w="0" w:type="auto"/>
            <w:vAlign w:val="center"/>
          </w:tcPr>
          <w:p w:rsidR="00AB6D5C" w:rsidRPr="00F34309" w:rsidRDefault="00AB6D5C" w:rsidP="00F20F7F">
            <w:pPr>
              <w:rPr>
                <w:rFonts w:ascii="Arial Narrow" w:hAnsi="Arial Narrow"/>
                <w:sz w:val="20"/>
                <w:szCs w:val="20"/>
              </w:rPr>
            </w:pPr>
            <w:r w:rsidRPr="00F34309">
              <w:rPr>
                <w:rFonts w:ascii="Arial Narrow" w:hAnsi="Arial Narrow"/>
                <w:sz w:val="20"/>
                <w:szCs w:val="20"/>
              </w:rPr>
              <w:t>[C.4] = [C.2] – [C.3]</w:t>
            </w:r>
          </w:p>
        </w:tc>
        <w:tc>
          <w:tcPr>
            <w:tcW w:w="0" w:type="auto"/>
            <w:vAlign w:val="center"/>
          </w:tcPr>
          <w:p w:rsidR="00AB6D5C" w:rsidRPr="00F34309" w:rsidRDefault="00AB6D5C" w:rsidP="00F34309">
            <w:pPr>
              <w:rPr>
                <w:rFonts w:ascii="Arial Narrow" w:hAnsi="Arial Narrow"/>
                <w:b/>
                <w:sz w:val="20"/>
                <w:szCs w:val="20"/>
              </w:rPr>
            </w:pPr>
            <w:r w:rsidRPr="00F34309">
              <w:rPr>
                <w:rFonts w:ascii="Arial Narrow" w:hAnsi="Arial Narrow"/>
                <w:b/>
                <w:sz w:val="20"/>
                <w:szCs w:val="20"/>
              </w:rPr>
              <w:t>Cost of drug to the R/PBS</w:t>
            </w:r>
          </w:p>
        </w:tc>
        <w:tc>
          <w:tcPr>
            <w:tcW w:w="0" w:type="auto"/>
            <w:shd w:val="clear" w:color="auto" w:fill="F2F2F2" w:themeFill="background1" w:themeFillShade="F2"/>
            <w:vAlign w:val="center"/>
          </w:tcPr>
          <w:p w:rsidR="00AB6D5C" w:rsidRPr="00F34309" w:rsidRDefault="00AB6D5C" w:rsidP="00F34309">
            <w:pPr>
              <w:jc w:val="center"/>
              <w:rPr>
                <w:rFonts w:ascii="Arial Narrow" w:hAnsi="Arial Narrow"/>
                <w:sz w:val="20"/>
                <w:szCs w:val="20"/>
              </w:rPr>
            </w:pPr>
          </w:p>
        </w:tc>
        <w:tc>
          <w:tcPr>
            <w:tcW w:w="0" w:type="auto"/>
            <w:vAlign w:val="center"/>
          </w:tcPr>
          <w:p w:rsidR="00AB6D5C"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AB6D5C"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AB6D5C"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AB6D5C"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AB6D5C" w:rsidRPr="006F065A" w:rsidRDefault="006F065A" w:rsidP="00F3430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AB6D5C" w:rsidRPr="00AB6D5C" w:rsidRDefault="007E6C1F" w:rsidP="004233C3">
      <w:pPr>
        <w:spacing w:after="0"/>
        <w:rPr>
          <w:sz w:val="20"/>
          <w:szCs w:val="20"/>
        </w:rPr>
      </w:pPr>
      <w:r w:rsidRPr="007E6C1F">
        <w:rPr>
          <w:sz w:val="20"/>
          <w:szCs w:val="20"/>
          <w:vertAlign w:val="superscript"/>
        </w:rPr>
        <w:t>1</w:t>
      </w:r>
      <w:r w:rsidR="00AB6D5C">
        <w:rPr>
          <w:sz w:val="20"/>
          <w:szCs w:val="20"/>
          <w:vertAlign w:val="superscript"/>
        </w:rPr>
        <w:t xml:space="preserve"> </w:t>
      </w:r>
      <w:r w:rsidR="00AB6D5C" w:rsidRPr="00AB6D5C">
        <w:rPr>
          <w:sz w:val="20"/>
          <w:szCs w:val="20"/>
        </w:rPr>
        <w:t>Australian Cystic Fibrosis Data Registry 2011</w:t>
      </w:r>
    </w:p>
    <w:p w:rsidR="00AB6D5C" w:rsidRDefault="00AB6D5C" w:rsidP="004233C3">
      <w:pPr>
        <w:spacing w:after="0"/>
        <w:rPr>
          <w:sz w:val="20"/>
          <w:szCs w:val="20"/>
        </w:rPr>
      </w:pPr>
      <w:r w:rsidRPr="00AB6D5C">
        <w:rPr>
          <w:sz w:val="20"/>
          <w:szCs w:val="20"/>
          <w:vertAlign w:val="superscript"/>
        </w:rPr>
        <w:t>2</w:t>
      </w:r>
      <w:r w:rsidR="007E6C1F">
        <w:rPr>
          <w:sz w:val="20"/>
          <w:szCs w:val="20"/>
        </w:rPr>
        <w:t xml:space="preserve">Assumption that 100% of eligible population would be treated and 0% discontinuation </w:t>
      </w:r>
    </w:p>
    <w:p w:rsidR="004233C3" w:rsidRDefault="00AB6D5C" w:rsidP="004233C3">
      <w:pPr>
        <w:spacing w:after="0"/>
        <w:rPr>
          <w:sz w:val="20"/>
          <w:szCs w:val="20"/>
        </w:rPr>
      </w:pPr>
      <w:r w:rsidRPr="00AB6D5C">
        <w:rPr>
          <w:sz w:val="20"/>
          <w:szCs w:val="20"/>
          <w:vertAlign w:val="superscript"/>
        </w:rPr>
        <w:t>3</w:t>
      </w:r>
      <w:r>
        <w:rPr>
          <w:sz w:val="20"/>
          <w:szCs w:val="20"/>
        </w:rPr>
        <w:t xml:space="preserve"> Based on 90.6% adherence rate</w:t>
      </w:r>
    </w:p>
    <w:p w:rsidR="004233C3" w:rsidRDefault="004233C3" w:rsidP="004233C3">
      <w:pPr>
        <w:spacing w:after="0"/>
        <w:rPr>
          <w:sz w:val="20"/>
          <w:szCs w:val="20"/>
        </w:rPr>
      </w:pPr>
      <w:r w:rsidRPr="004233C3">
        <w:rPr>
          <w:sz w:val="20"/>
          <w:szCs w:val="20"/>
          <w:vertAlign w:val="superscript"/>
        </w:rPr>
        <w:t>4</w:t>
      </w:r>
      <w:r>
        <w:rPr>
          <w:sz w:val="20"/>
          <w:szCs w:val="20"/>
        </w:rPr>
        <w:t xml:space="preserve"> Based on a clinician survey</w:t>
      </w:r>
    </w:p>
    <w:p w:rsidR="00C7573D" w:rsidRDefault="004233C3" w:rsidP="00387012">
      <w:pPr>
        <w:spacing w:after="0"/>
        <w:rPr>
          <w:sz w:val="20"/>
          <w:szCs w:val="20"/>
        </w:rPr>
      </w:pPr>
      <w:proofErr w:type="gramStart"/>
      <w:r w:rsidRPr="004233C3">
        <w:rPr>
          <w:sz w:val="20"/>
          <w:szCs w:val="20"/>
          <w:vertAlign w:val="superscript"/>
        </w:rPr>
        <w:t>5</w:t>
      </w:r>
      <w:r>
        <w:rPr>
          <w:sz w:val="20"/>
          <w:szCs w:val="20"/>
        </w:rPr>
        <w:t xml:space="preserve"> Published price.</w:t>
      </w:r>
      <w:proofErr w:type="gramEnd"/>
      <w:r>
        <w:rPr>
          <w:sz w:val="20"/>
          <w:szCs w:val="20"/>
        </w:rPr>
        <w:t xml:space="preserve"> Special pricing arrangements apply. </w:t>
      </w:r>
    </w:p>
    <w:p w:rsidR="00C7573D" w:rsidRDefault="00C7573D">
      <w:pPr>
        <w:spacing w:line="276" w:lineRule="auto"/>
        <w:rPr>
          <w:sz w:val="20"/>
          <w:szCs w:val="20"/>
        </w:rPr>
      </w:pPr>
    </w:p>
    <w:sectPr w:rsidR="00C7573D" w:rsidSect="00DD188C">
      <w:headerReference w:type="even" r:id="rId11"/>
      <w:headerReference w:type="default" r:id="rId12"/>
      <w:footerReference w:type="even" r:id="rId13"/>
      <w:footerReference w:type="default" r:id="rId14"/>
      <w:headerReference w:type="first" r:id="rId15"/>
      <w:footerReference w:type="first" r:id="rId16"/>
      <w:pgSz w:w="11906" w:h="16838"/>
      <w:pgMar w:top="1644" w:right="1361" w:bottom="1644" w:left="158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F458FF" w15:done="0"/>
  <w15:commentEx w15:paraId="27E91F9E" w15:done="0"/>
  <w15:commentEx w15:paraId="0D106E7F" w15:done="0"/>
  <w15:commentEx w15:paraId="4C97915A" w15:done="0"/>
  <w15:commentEx w15:paraId="57A3B1B8" w15:done="0"/>
  <w15:commentEx w15:paraId="6DB01A89" w15:done="0"/>
  <w15:commentEx w15:paraId="74BE8208" w15:done="0"/>
  <w15:commentEx w15:paraId="17F6E8BE" w15:done="0"/>
  <w15:commentEx w15:paraId="764B74F2" w15:done="0"/>
  <w15:commentEx w15:paraId="47D26365" w15:done="0"/>
  <w15:commentEx w15:paraId="04B38BDC" w15:done="0"/>
  <w15:commentEx w15:paraId="6D3C00B7" w15:done="0"/>
  <w15:commentEx w15:paraId="7AA2F85B" w15:done="0"/>
  <w15:commentEx w15:paraId="31F46351" w15:done="0"/>
  <w15:commentEx w15:paraId="26FC43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65A" w:rsidRDefault="006F065A" w:rsidP="00A35800">
      <w:r>
        <w:separator/>
      </w:r>
    </w:p>
  </w:endnote>
  <w:endnote w:type="continuationSeparator" w:id="0">
    <w:p w:rsidR="006F065A" w:rsidRDefault="006F065A"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3D" w:rsidRDefault="0044733D"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4733D" w:rsidRDefault="0044733D"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44733D" w:rsidRPr="000E72C6" w:rsidRDefault="00C93A16" w:rsidP="000E72C6">
            <w:pPr>
              <w:pStyle w:val="Footer"/>
              <w:jc w:val="center"/>
              <w:rPr>
                <w:i/>
                <w:sz w:val="20"/>
              </w:rPr>
            </w:pPr>
            <w:r>
              <w:rPr>
                <w:i/>
                <w:sz w:val="20"/>
              </w:rPr>
              <w:t>Public Release Document, February 2018 DUSC Meeting</w:t>
            </w:r>
          </w:p>
          <w:p w:rsidR="0044733D" w:rsidRDefault="0044733D"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B22B97">
              <w:rPr>
                <w:bCs/>
                <w:i/>
                <w:noProof/>
                <w:sz w:val="20"/>
              </w:rPr>
              <w:t>8</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B22B97">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3D" w:rsidRDefault="0044733D" w:rsidP="007A5733">
    <w:pPr>
      <w:pStyle w:val="Footer"/>
      <w:jc w:val="center"/>
      <w:rPr>
        <w:rStyle w:val="PageNumber"/>
      </w:rPr>
    </w:pPr>
    <w:r>
      <w:rPr>
        <w:rStyle w:val="PageNumber"/>
      </w:rPr>
      <w:t>Committee-in-Confidence</w:t>
    </w:r>
  </w:p>
  <w:p w:rsidR="0044733D" w:rsidRDefault="0044733D"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65A" w:rsidRDefault="006F065A" w:rsidP="00A35800">
      <w:r>
        <w:separator/>
      </w:r>
    </w:p>
  </w:footnote>
  <w:footnote w:type="continuationSeparator" w:id="0">
    <w:p w:rsidR="006F065A" w:rsidRDefault="006F065A" w:rsidP="00A35800">
      <w:r>
        <w:continuationSeparator/>
      </w:r>
    </w:p>
  </w:footnote>
  <w:footnote w:id="1">
    <w:p w:rsidR="0044733D" w:rsidRDefault="0044733D" w:rsidP="00A17903">
      <w:pPr>
        <w:pStyle w:val="FootnoteText"/>
        <w:rPr>
          <w:szCs w:val="18"/>
        </w:rPr>
      </w:pPr>
      <w:r>
        <w:rPr>
          <w:rStyle w:val="FootnoteReference"/>
          <w:szCs w:val="18"/>
        </w:rPr>
        <w:footnoteRef/>
      </w:r>
      <w:r>
        <w:rPr>
          <w:szCs w:val="18"/>
        </w:rPr>
        <w:t xml:space="preserve"> </w:t>
      </w:r>
      <w:proofErr w:type="spellStart"/>
      <w:r>
        <w:rPr>
          <w:szCs w:val="18"/>
        </w:rPr>
        <w:t>Ivacaftor</w:t>
      </w:r>
      <w:proofErr w:type="spellEnd"/>
      <w:r>
        <w:rPr>
          <w:szCs w:val="18"/>
        </w:rPr>
        <w:t>, Public Summary Document, July 2013, Available from &lt;http://www.pbs.gov.au/info/industry/listing/elements/pbac-meetings/psd/2013-07/ivacaftor&gt;</w:t>
      </w:r>
    </w:p>
  </w:footnote>
  <w:footnote w:id="2">
    <w:p w:rsidR="0044733D" w:rsidRDefault="0044733D" w:rsidP="00A17903">
      <w:pPr>
        <w:pStyle w:val="FootnoteText"/>
        <w:rPr>
          <w:szCs w:val="18"/>
        </w:rPr>
      </w:pPr>
      <w:r>
        <w:rPr>
          <w:rStyle w:val="FootnoteReference"/>
          <w:szCs w:val="18"/>
        </w:rPr>
        <w:footnoteRef/>
      </w:r>
      <w:r>
        <w:rPr>
          <w:szCs w:val="18"/>
        </w:rPr>
        <w:t xml:space="preserve"> Cystic Fibrosis Australia 2014. </w:t>
      </w:r>
      <w:proofErr w:type="gramStart"/>
      <w:r>
        <w:rPr>
          <w:szCs w:val="18"/>
        </w:rPr>
        <w:t>17</w:t>
      </w:r>
      <w:r>
        <w:rPr>
          <w:szCs w:val="18"/>
          <w:vertAlign w:val="superscript"/>
        </w:rPr>
        <w:t>th</w:t>
      </w:r>
      <w:r>
        <w:rPr>
          <w:szCs w:val="18"/>
        </w:rPr>
        <w:t xml:space="preserve"> Annual Report Australian Cystic Fibrosis Data Registry.</w:t>
      </w:r>
      <w:proofErr w:type="gramEnd"/>
      <w:r>
        <w:rPr>
          <w:szCs w:val="18"/>
        </w:rPr>
        <w:t xml:space="preserve"> Available from &lt;www.cysticfibrosis.org.au/data-registry&gt;</w:t>
      </w:r>
    </w:p>
  </w:footnote>
  <w:footnote w:id="3">
    <w:p w:rsidR="0044733D" w:rsidRDefault="0044733D" w:rsidP="00A17903">
      <w:pPr>
        <w:pStyle w:val="FootnoteText"/>
        <w:rPr>
          <w:szCs w:val="18"/>
        </w:rPr>
      </w:pPr>
      <w:r>
        <w:rPr>
          <w:rStyle w:val="FootnoteReference"/>
          <w:szCs w:val="18"/>
        </w:rPr>
        <w:footnoteRef/>
      </w:r>
      <w:r>
        <w:rPr>
          <w:szCs w:val="18"/>
        </w:rPr>
        <w:t xml:space="preserve"> Cystic Fibrosis [revised 2015 Mar]. In: </w:t>
      </w:r>
      <w:proofErr w:type="spellStart"/>
      <w:r>
        <w:rPr>
          <w:szCs w:val="18"/>
        </w:rPr>
        <w:t>eTG</w:t>
      </w:r>
      <w:proofErr w:type="spellEnd"/>
      <w:r>
        <w:rPr>
          <w:szCs w:val="18"/>
        </w:rPr>
        <w:t xml:space="preserve"> complete [Internet]. Melbourne: Therapeutic Guidelines Limited; 2017 Nov.</w:t>
      </w:r>
    </w:p>
  </w:footnote>
  <w:footnote w:id="4">
    <w:p w:rsidR="0044733D" w:rsidRDefault="0044733D" w:rsidP="00224E35">
      <w:pPr>
        <w:pStyle w:val="FootnoteText"/>
        <w:rPr>
          <w:szCs w:val="18"/>
        </w:rPr>
      </w:pPr>
      <w:r w:rsidRPr="008142B4">
        <w:rPr>
          <w:rStyle w:val="FootnoteReference"/>
          <w:szCs w:val="18"/>
        </w:rPr>
        <w:footnoteRef/>
      </w:r>
      <w:r w:rsidRPr="008142B4">
        <w:rPr>
          <w:szCs w:val="18"/>
        </w:rPr>
        <w:t xml:space="preserve"> </w:t>
      </w:r>
      <w:proofErr w:type="spellStart"/>
      <w:r>
        <w:rPr>
          <w:szCs w:val="18"/>
        </w:rPr>
        <w:t>Kalydeco</w:t>
      </w:r>
      <w:proofErr w:type="spellEnd"/>
      <w:r>
        <w:rPr>
          <w:szCs w:val="18"/>
        </w:rPr>
        <w:t>® (</w:t>
      </w:r>
      <w:proofErr w:type="spellStart"/>
      <w:r>
        <w:rPr>
          <w:szCs w:val="18"/>
        </w:rPr>
        <w:t>ivacaftor</w:t>
      </w:r>
      <w:proofErr w:type="spellEnd"/>
      <w:r>
        <w:rPr>
          <w:szCs w:val="18"/>
        </w:rPr>
        <w:t xml:space="preserve">). </w:t>
      </w:r>
      <w:proofErr w:type="gramStart"/>
      <w:r>
        <w:rPr>
          <w:szCs w:val="18"/>
        </w:rPr>
        <w:t>Australian Approved Product Information.</w:t>
      </w:r>
      <w:proofErr w:type="gramEnd"/>
      <w:r>
        <w:rPr>
          <w:szCs w:val="18"/>
        </w:rPr>
        <w:t xml:space="preserve"> St Leonards: Vertex Pharmaceuticals (Australia) Pty Ltd. Approved 9 July 2013, updated 16 September 2016. Available from </w:t>
      </w:r>
      <w:hyperlink r:id="rId1" w:history="1">
        <w:r w:rsidRPr="000E5245">
          <w:rPr>
            <w:rStyle w:val="Hyperlink"/>
            <w:szCs w:val="18"/>
          </w:rPr>
          <w:t>https://www.tga.gov.au/product-information-pi</w:t>
        </w:r>
      </w:hyperlink>
    </w:p>
    <w:p w:rsidR="0044733D" w:rsidRPr="008142B4" w:rsidRDefault="0044733D" w:rsidP="00224E35">
      <w:pPr>
        <w:pStyle w:val="FootnoteText"/>
        <w:rPr>
          <w:szCs w:val="18"/>
        </w:rPr>
      </w:pPr>
    </w:p>
  </w:footnote>
  <w:footnote w:id="5">
    <w:p w:rsidR="0044733D" w:rsidRDefault="0044733D">
      <w:pPr>
        <w:pStyle w:val="FootnoteText"/>
      </w:pPr>
      <w:r>
        <w:rPr>
          <w:rStyle w:val="FootnoteReference"/>
        </w:rPr>
        <w:footnoteRef/>
      </w:r>
      <w:r>
        <w:t xml:space="preserve"> Strong inhibitors include </w:t>
      </w:r>
      <w:proofErr w:type="spellStart"/>
      <w:r w:rsidRPr="009F7578">
        <w:t>boceprevir</w:t>
      </w:r>
      <w:proofErr w:type="spellEnd"/>
      <w:r w:rsidRPr="009F7578">
        <w:t xml:space="preserve">, clarithromycin, </w:t>
      </w:r>
      <w:proofErr w:type="spellStart"/>
      <w:r w:rsidRPr="009F7578">
        <w:t>conivaptan</w:t>
      </w:r>
      <w:proofErr w:type="spellEnd"/>
      <w:r w:rsidRPr="009F7578">
        <w:t xml:space="preserve">, </w:t>
      </w:r>
      <w:proofErr w:type="spellStart"/>
      <w:r w:rsidRPr="009F7578">
        <w:t>indinavir</w:t>
      </w:r>
      <w:proofErr w:type="spellEnd"/>
      <w:r w:rsidRPr="009F7578">
        <w:t xml:space="preserve">, </w:t>
      </w:r>
      <w:proofErr w:type="spellStart"/>
      <w:r w:rsidRPr="009F7578">
        <w:t>itraconazole</w:t>
      </w:r>
      <w:proofErr w:type="spellEnd"/>
      <w:r w:rsidRPr="009F7578">
        <w:t xml:space="preserve">, ketoconazole, </w:t>
      </w:r>
      <w:proofErr w:type="spellStart"/>
      <w:r w:rsidRPr="009F7578">
        <w:t>lopinavir</w:t>
      </w:r>
      <w:proofErr w:type="spellEnd"/>
      <w:r w:rsidRPr="009F7578">
        <w:t xml:space="preserve">/ritonavir, </w:t>
      </w:r>
      <w:proofErr w:type="spellStart"/>
      <w:r w:rsidRPr="009F7578">
        <w:t>mibefradil</w:t>
      </w:r>
      <w:proofErr w:type="spellEnd"/>
      <w:r w:rsidRPr="009F7578">
        <w:t xml:space="preserve">, </w:t>
      </w:r>
      <w:proofErr w:type="spellStart"/>
      <w:r w:rsidRPr="009F7578">
        <w:t>nefazodone</w:t>
      </w:r>
      <w:proofErr w:type="spellEnd"/>
      <w:r w:rsidRPr="009F7578">
        <w:t xml:space="preserve">, nelfinavir, </w:t>
      </w:r>
      <w:proofErr w:type="spellStart"/>
      <w:r w:rsidRPr="009F7578">
        <w:t>posaconazole</w:t>
      </w:r>
      <w:proofErr w:type="spellEnd"/>
      <w:r w:rsidRPr="009F7578">
        <w:t xml:space="preserve">, ritonavir, </w:t>
      </w:r>
      <w:proofErr w:type="spellStart"/>
      <w:r w:rsidRPr="009F7578">
        <w:t>saquinav</w:t>
      </w:r>
      <w:r>
        <w:t>ir</w:t>
      </w:r>
      <w:proofErr w:type="spellEnd"/>
      <w:r>
        <w:t xml:space="preserve">, </w:t>
      </w:r>
      <w:proofErr w:type="spellStart"/>
      <w:r>
        <w:t>telaprevir</w:t>
      </w:r>
      <w:proofErr w:type="spellEnd"/>
      <w:r>
        <w:t xml:space="preserve">, </w:t>
      </w:r>
      <w:proofErr w:type="spellStart"/>
      <w:r>
        <w:t>telithromycin</w:t>
      </w:r>
      <w:proofErr w:type="spellEnd"/>
      <w:r>
        <w:t xml:space="preserve"> and</w:t>
      </w:r>
      <w:r w:rsidRPr="009F7578">
        <w:t xml:space="preserve"> </w:t>
      </w:r>
      <w:proofErr w:type="spellStart"/>
      <w:r w:rsidRPr="009F7578">
        <w:t>voriconazole</w:t>
      </w:r>
      <w:proofErr w:type="spellEnd"/>
    </w:p>
  </w:footnote>
  <w:footnote w:id="6">
    <w:p w:rsidR="0044733D" w:rsidRDefault="0044733D">
      <w:pPr>
        <w:pStyle w:val="FootnoteText"/>
      </w:pPr>
      <w:r>
        <w:rPr>
          <w:rStyle w:val="FootnoteReference"/>
        </w:rPr>
        <w:footnoteRef/>
      </w:r>
      <w:r>
        <w:t xml:space="preserve"> Moderate inhibitors include </w:t>
      </w:r>
      <w:proofErr w:type="spellStart"/>
      <w:r w:rsidRPr="009F7578">
        <w:t>amprenavir</w:t>
      </w:r>
      <w:proofErr w:type="spellEnd"/>
      <w:r w:rsidRPr="009F7578">
        <w:t xml:space="preserve">, </w:t>
      </w:r>
      <w:proofErr w:type="spellStart"/>
      <w:r w:rsidRPr="009F7578">
        <w:t>aprepitant</w:t>
      </w:r>
      <w:proofErr w:type="spellEnd"/>
      <w:r w:rsidRPr="009F7578">
        <w:t xml:space="preserve">, </w:t>
      </w:r>
      <w:proofErr w:type="spellStart"/>
      <w:r w:rsidRPr="009F7578">
        <w:t>atazanavir</w:t>
      </w:r>
      <w:proofErr w:type="spellEnd"/>
      <w:r w:rsidRPr="009F7578">
        <w:t xml:space="preserve">, </w:t>
      </w:r>
      <w:proofErr w:type="spellStart"/>
      <w:r w:rsidRPr="009F7578">
        <w:t>darunavir</w:t>
      </w:r>
      <w:proofErr w:type="spellEnd"/>
      <w:r w:rsidRPr="009F7578">
        <w:t>/ritonavir, diltiazem, erythromycin, flucona</w:t>
      </w:r>
      <w:r>
        <w:t xml:space="preserve">zole, </w:t>
      </w:r>
      <w:proofErr w:type="spellStart"/>
      <w:r>
        <w:t>fosamprenavir</w:t>
      </w:r>
      <w:proofErr w:type="spellEnd"/>
      <w:r>
        <w:t xml:space="preserve">, </w:t>
      </w:r>
      <w:proofErr w:type="spellStart"/>
      <w:r>
        <w:t>imatinib</w:t>
      </w:r>
      <w:proofErr w:type="spellEnd"/>
      <w:r>
        <w:t xml:space="preserve"> and verapamil.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5C" w:rsidRDefault="002662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5C" w:rsidRDefault="002662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25C" w:rsidRDefault="002662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DD8"/>
    <w:multiLevelType w:val="multilevel"/>
    <w:tmpl w:val="1850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555A6C"/>
    <w:multiLevelType w:val="hybridMultilevel"/>
    <w:tmpl w:val="61846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296382"/>
    <w:multiLevelType w:val="hybridMultilevel"/>
    <w:tmpl w:val="92B6B954"/>
    <w:lvl w:ilvl="0" w:tplc="74FC6E14">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F9494D"/>
    <w:multiLevelType w:val="hybridMultilevel"/>
    <w:tmpl w:val="35402CC8"/>
    <w:lvl w:ilvl="0" w:tplc="7EF8548E">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FF1099"/>
    <w:multiLevelType w:val="hybridMultilevel"/>
    <w:tmpl w:val="C6A64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6DC2243"/>
    <w:multiLevelType w:val="hybridMultilevel"/>
    <w:tmpl w:val="F4702A7E"/>
    <w:lvl w:ilvl="0" w:tplc="9166584C">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72880EB7"/>
    <w:multiLevelType w:val="hybridMultilevel"/>
    <w:tmpl w:val="4DE26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4"/>
  </w:num>
  <w:num w:numId="4">
    <w:abstractNumId w:val="3"/>
  </w:num>
  <w:num w:numId="5">
    <w:abstractNumId w:val="0"/>
  </w:num>
  <w:num w:numId="6">
    <w:abstractNumId w:val="2"/>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FooterText" w:val="L\326769367.1"/>
  </w:docVars>
  <w:rsids>
    <w:rsidRoot w:val="00736041"/>
    <w:rsid w:val="00002213"/>
    <w:rsid w:val="00007E85"/>
    <w:rsid w:val="00013465"/>
    <w:rsid w:val="000226B3"/>
    <w:rsid w:val="00022CD7"/>
    <w:rsid w:val="0002437A"/>
    <w:rsid w:val="00024549"/>
    <w:rsid w:val="000432AD"/>
    <w:rsid w:val="000451B4"/>
    <w:rsid w:val="000544B6"/>
    <w:rsid w:val="000604AF"/>
    <w:rsid w:val="000649FD"/>
    <w:rsid w:val="00064B95"/>
    <w:rsid w:val="00064BCB"/>
    <w:rsid w:val="00067916"/>
    <w:rsid w:val="00077CC8"/>
    <w:rsid w:val="00080AA2"/>
    <w:rsid w:val="00085C77"/>
    <w:rsid w:val="00086C11"/>
    <w:rsid w:val="0008745A"/>
    <w:rsid w:val="00094DCF"/>
    <w:rsid w:val="000A169D"/>
    <w:rsid w:val="000A6CFD"/>
    <w:rsid w:val="000A7FC4"/>
    <w:rsid w:val="000B0982"/>
    <w:rsid w:val="000B4364"/>
    <w:rsid w:val="000B796C"/>
    <w:rsid w:val="000C22BD"/>
    <w:rsid w:val="000C29E0"/>
    <w:rsid w:val="000C46BB"/>
    <w:rsid w:val="000C4D9D"/>
    <w:rsid w:val="000C7C4B"/>
    <w:rsid w:val="000C7D8B"/>
    <w:rsid w:val="000E17A8"/>
    <w:rsid w:val="000E485D"/>
    <w:rsid w:val="000E57DF"/>
    <w:rsid w:val="000E72C6"/>
    <w:rsid w:val="000F1893"/>
    <w:rsid w:val="000F2F51"/>
    <w:rsid w:val="00113CF8"/>
    <w:rsid w:val="00113D74"/>
    <w:rsid w:val="00117C5C"/>
    <w:rsid w:val="00127C3F"/>
    <w:rsid w:val="001310AE"/>
    <w:rsid w:val="001420B3"/>
    <w:rsid w:val="00145FC7"/>
    <w:rsid w:val="00150061"/>
    <w:rsid w:val="001529FE"/>
    <w:rsid w:val="00152B1F"/>
    <w:rsid w:val="001541E6"/>
    <w:rsid w:val="0015691C"/>
    <w:rsid w:val="00160184"/>
    <w:rsid w:val="001621F7"/>
    <w:rsid w:val="001624D7"/>
    <w:rsid w:val="001762C8"/>
    <w:rsid w:val="00176D37"/>
    <w:rsid w:val="00177B86"/>
    <w:rsid w:val="00181E38"/>
    <w:rsid w:val="001820C4"/>
    <w:rsid w:val="00182585"/>
    <w:rsid w:val="00182765"/>
    <w:rsid w:val="00191182"/>
    <w:rsid w:val="00194FFE"/>
    <w:rsid w:val="0019664D"/>
    <w:rsid w:val="001A2333"/>
    <w:rsid w:val="001A2DEF"/>
    <w:rsid w:val="001A6103"/>
    <w:rsid w:val="001B0371"/>
    <w:rsid w:val="001B0DB0"/>
    <w:rsid w:val="001B5D37"/>
    <w:rsid w:val="001C1A5B"/>
    <w:rsid w:val="001C2940"/>
    <w:rsid w:val="001C4016"/>
    <w:rsid w:val="001C548D"/>
    <w:rsid w:val="001C6A5D"/>
    <w:rsid w:val="001D0FDB"/>
    <w:rsid w:val="001D33CA"/>
    <w:rsid w:val="001E12A2"/>
    <w:rsid w:val="001E17DF"/>
    <w:rsid w:val="001E31A6"/>
    <w:rsid w:val="001E42C7"/>
    <w:rsid w:val="001E4CAB"/>
    <w:rsid w:val="001E569C"/>
    <w:rsid w:val="001E5ADE"/>
    <w:rsid w:val="001F27B3"/>
    <w:rsid w:val="001F2F3E"/>
    <w:rsid w:val="001F4906"/>
    <w:rsid w:val="001F7C4A"/>
    <w:rsid w:val="001F7EA6"/>
    <w:rsid w:val="0020578A"/>
    <w:rsid w:val="00207631"/>
    <w:rsid w:val="002076EC"/>
    <w:rsid w:val="00214013"/>
    <w:rsid w:val="002142B8"/>
    <w:rsid w:val="00220FC1"/>
    <w:rsid w:val="00221004"/>
    <w:rsid w:val="00222E9A"/>
    <w:rsid w:val="00224E35"/>
    <w:rsid w:val="0023179D"/>
    <w:rsid w:val="00232D04"/>
    <w:rsid w:val="00236371"/>
    <w:rsid w:val="002468F4"/>
    <w:rsid w:val="0025389D"/>
    <w:rsid w:val="0026265F"/>
    <w:rsid w:val="00264339"/>
    <w:rsid w:val="00264CC1"/>
    <w:rsid w:val="0026625C"/>
    <w:rsid w:val="00270BF8"/>
    <w:rsid w:val="00282CC6"/>
    <w:rsid w:val="00285719"/>
    <w:rsid w:val="00286C3A"/>
    <w:rsid w:val="002930F5"/>
    <w:rsid w:val="00295DB6"/>
    <w:rsid w:val="002A06B7"/>
    <w:rsid w:val="002A4E2E"/>
    <w:rsid w:val="002B047B"/>
    <w:rsid w:val="002C2F50"/>
    <w:rsid w:val="002C6E0C"/>
    <w:rsid w:val="002D144A"/>
    <w:rsid w:val="002E17CB"/>
    <w:rsid w:val="002E19A3"/>
    <w:rsid w:val="002E212B"/>
    <w:rsid w:val="002E3337"/>
    <w:rsid w:val="002E6D03"/>
    <w:rsid w:val="002F49A8"/>
    <w:rsid w:val="002F5E66"/>
    <w:rsid w:val="002F61CA"/>
    <w:rsid w:val="0030010D"/>
    <w:rsid w:val="003018F3"/>
    <w:rsid w:val="003111F7"/>
    <w:rsid w:val="00330471"/>
    <w:rsid w:val="0033504C"/>
    <w:rsid w:val="00336816"/>
    <w:rsid w:val="003370D0"/>
    <w:rsid w:val="00337355"/>
    <w:rsid w:val="003402E4"/>
    <w:rsid w:val="00340F95"/>
    <w:rsid w:val="003531ED"/>
    <w:rsid w:val="00356A9E"/>
    <w:rsid w:val="00360B9A"/>
    <w:rsid w:val="003719C9"/>
    <w:rsid w:val="00387012"/>
    <w:rsid w:val="0038773F"/>
    <w:rsid w:val="0039017F"/>
    <w:rsid w:val="003910B2"/>
    <w:rsid w:val="00394AEE"/>
    <w:rsid w:val="00395514"/>
    <w:rsid w:val="003960CE"/>
    <w:rsid w:val="003A510E"/>
    <w:rsid w:val="003C2D98"/>
    <w:rsid w:val="003D30F8"/>
    <w:rsid w:val="003D3A96"/>
    <w:rsid w:val="003E022C"/>
    <w:rsid w:val="00404F03"/>
    <w:rsid w:val="00412051"/>
    <w:rsid w:val="004233C3"/>
    <w:rsid w:val="00423B94"/>
    <w:rsid w:val="00436334"/>
    <w:rsid w:val="00446116"/>
    <w:rsid w:val="0044733D"/>
    <w:rsid w:val="00463731"/>
    <w:rsid w:val="0046400A"/>
    <w:rsid w:val="00464B32"/>
    <w:rsid w:val="00467B25"/>
    <w:rsid w:val="00477427"/>
    <w:rsid w:val="00481108"/>
    <w:rsid w:val="00482595"/>
    <w:rsid w:val="0049042B"/>
    <w:rsid w:val="00495473"/>
    <w:rsid w:val="004A458E"/>
    <w:rsid w:val="004B0F65"/>
    <w:rsid w:val="004B23E7"/>
    <w:rsid w:val="004B306F"/>
    <w:rsid w:val="004B630A"/>
    <w:rsid w:val="004C3186"/>
    <w:rsid w:val="004C5042"/>
    <w:rsid w:val="004C6571"/>
    <w:rsid w:val="004D5567"/>
    <w:rsid w:val="004D6E8B"/>
    <w:rsid w:val="004E4422"/>
    <w:rsid w:val="004E7B8F"/>
    <w:rsid w:val="0050350E"/>
    <w:rsid w:val="00503998"/>
    <w:rsid w:val="00504578"/>
    <w:rsid w:val="0050623B"/>
    <w:rsid w:val="00507204"/>
    <w:rsid w:val="00523176"/>
    <w:rsid w:val="00523181"/>
    <w:rsid w:val="00524D13"/>
    <w:rsid w:val="005339F6"/>
    <w:rsid w:val="0054229C"/>
    <w:rsid w:val="00576B18"/>
    <w:rsid w:val="00587724"/>
    <w:rsid w:val="00591512"/>
    <w:rsid w:val="005B48B4"/>
    <w:rsid w:val="005C01E1"/>
    <w:rsid w:val="005C6661"/>
    <w:rsid w:val="005C6E3B"/>
    <w:rsid w:val="005D474B"/>
    <w:rsid w:val="005D57C1"/>
    <w:rsid w:val="005E085C"/>
    <w:rsid w:val="005E147D"/>
    <w:rsid w:val="005E22C2"/>
    <w:rsid w:val="005E57BB"/>
    <w:rsid w:val="005F0017"/>
    <w:rsid w:val="006014F1"/>
    <w:rsid w:val="0061357B"/>
    <w:rsid w:val="00614034"/>
    <w:rsid w:val="00614A7D"/>
    <w:rsid w:val="00631488"/>
    <w:rsid w:val="00631586"/>
    <w:rsid w:val="0063631C"/>
    <w:rsid w:val="0063757B"/>
    <w:rsid w:val="006377CE"/>
    <w:rsid w:val="006537D9"/>
    <w:rsid w:val="00655B9A"/>
    <w:rsid w:val="006628CC"/>
    <w:rsid w:val="00664A48"/>
    <w:rsid w:val="00665DEF"/>
    <w:rsid w:val="00675287"/>
    <w:rsid w:val="00675BB1"/>
    <w:rsid w:val="006775F1"/>
    <w:rsid w:val="00677B7A"/>
    <w:rsid w:val="00684192"/>
    <w:rsid w:val="00684742"/>
    <w:rsid w:val="00692AA7"/>
    <w:rsid w:val="00697FEC"/>
    <w:rsid w:val="006A030A"/>
    <w:rsid w:val="006A175F"/>
    <w:rsid w:val="006A44F5"/>
    <w:rsid w:val="006A4B1D"/>
    <w:rsid w:val="006B4537"/>
    <w:rsid w:val="006B5F85"/>
    <w:rsid w:val="006B6929"/>
    <w:rsid w:val="006B709B"/>
    <w:rsid w:val="006C54AF"/>
    <w:rsid w:val="006E0181"/>
    <w:rsid w:val="006F065A"/>
    <w:rsid w:val="006F3EEF"/>
    <w:rsid w:val="00700C0E"/>
    <w:rsid w:val="00705DAD"/>
    <w:rsid w:val="0070669F"/>
    <w:rsid w:val="00722A9A"/>
    <w:rsid w:val="007247B9"/>
    <w:rsid w:val="00725746"/>
    <w:rsid w:val="00727D85"/>
    <w:rsid w:val="007346C7"/>
    <w:rsid w:val="00735830"/>
    <w:rsid w:val="00736041"/>
    <w:rsid w:val="007408C7"/>
    <w:rsid w:val="007465DA"/>
    <w:rsid w:val="00746862"/>
    <w:rsid w:val="00752AD5"/>
    <w:rsid w:val="00752C7F"/>
    <w:rsid w:val="00752FF6"/>
    <w:rsid w:val="007530D2"/>
    <w:rsid w:val="007554A9"/>
    <w:rsid w:val="00760DBE"/>
    <w:rsid w:val="00776598"/>
    <w:rsid w:val="00792948"/>
    <w:rsid w:val="00796E84"/>
    <w:rsid w:val="007A3ADE"/>
    <w:rsid w:val="007A5733"/>
    <w:rsid w:val="007A5774"/>
    <w:rsid w:val="007B0331"/>
    <w:rsid w:val="007B469D"/>
    <w:rsid w:val="007C56FC"/>
    <w:rsid w:val="007C685F"/>
    <w:rsid w:val="007D35CC"/>
    <w:rsid w:val="007E6C1F"/>
    <w:rsid w:val="00801E74"/>
    <w:rsid w:val="0080485E"/>
    <w:rsid w:val="008142B4"/>
    <w:rsid w:val="00822B3A"/>
    <w:rsid w:val="00832324"/>
    <w:rsid w:val="00835337"/>
    <w:rsid w:val="00837D01"/>
    <w:rsid w:val="00846DCD"/>
    <w:rsid w:val="0085035E"/>
    <w:rsid w:val="00851D85"/>
    <w:rsid w:val="008563E2"/>
    <w:rsid w:val="00856CD4"/>
    <w:rsid w:val="00860CCB"/>
    <w:rsid w:val="008649E7"/>
    <w:rsid w:val="008740A3"/>
    <w:rsid w:val="00874601"/>
    <w:rsid w:val="00886ABD"/>
    <w:rsid w:val="00891303"/>
    <w:rsid w:val="00892236"/>
    <w:rsid w:val="0089297B"/>
    <w:rsid w:val="008A1ECA"/>
    <w:rsid w:val="008A2A40"/>
    <w:rsid w:val="008B2B09"/>
    <w:rsid w:val="008C1BD6"/>
    <w:rsid w:val="008C26CC"/>
    <w:rsid w:val="008C36CA"/>
    <w:rsid w:val="008D639F"/>
    <w:rsid w:val="008E3F8C"/>
    <w:rsid w:val="008E4824"/>
    <w:rsid w:val="00900AFB"/>
    <w:rsid w:val="00901FD4"/>
    <w:rsid w:val="00902A2F"/>
    <w:rsid w:val="00902FD0"/>
    <w:rsid w:val="00903F85"/>
    <w:rsid w:val="009053D3"/>
    <w:rsid w:val="0090691F"/>
    <w:rsid w:val="00922E28"/>
    <w:rsid w:val="0093111F"/>
    <w:rsid w:val="00935689"/>
    <w:rsid w:val="009529FA"/>
    <w:rsid w:val="0095303B"/>
    <w:rsid w:val="009663B6"/>
    <w:rsid w:val="00972410"/>
    <w:rsid w:val="00974A47"/>
    <w:rsid w:val="00980286"/>
    <w:rsid w:val="00980D38"/>
    <w:rsid w:val="0098438B"/>
    <w:rsid w:val="00987340"/>
    <w:rsid w:val="00990DCF"/>
    <w:rsid w:val="00991FDB"/>
    <w:rsid w:val="009A4CD6"/>
    <w:rsid w:val="009A537C"/>
    <w:rsid w:val="009B2EA6"/>
    <w:rsid w:val="009C0886"/>
    <w:rsid w:val="009C19EE"/>
    <w:rsid w:val="009C28D0"/>
    <w:rsid w:val="009C35F2"/>
    <w:rsid w:val="009C76A9"/>
    <w:rsid w:val="009C7782"/>
    <w:rsid w:val="009D1ED5"/>
    <w:rsid w:val="009D2DC9"/>
    <w:rsid w:val="009D4C13"/>
    <w:rsid w:val="009E1167"/>
    <w:rsid w:val="009E21A7"/>
    <w:rsid w:val="009E36BD"/>
    <w:rsid w:val="009E3B63"/>
    <w:rsid w:val="009F7578"/>
    <w:rsid w:val="00A01C83"/>
    <w:rsid w:val="00A103ED"/>
    <w:rsid w:val="00A13C60"/>
    <w:rsid w:val="00A17903"/>
    <w:rsid w:val="00A32228"/>
    <w:rsid w:val="00A341A3"/>
    <w:rsid w:val="00A342D1"/>
    <w:rsid w:val="00A35800"/>
    <w:rsid w:val="00A42A79"/>
    <w:rsid w:val="00A460A6"/>
    <w:rsid w:val="00A52918"/>
    <w:rsid w:val="00A541A9"/>
    <w:rsid w:val="00A547B3"/>
    <w:rsid w:val="00A70E82"/>
    <w:rsid w:val="00A72FB9"/>
    <w:rsid w:val="00A7647B"/>
    <w:rsid w:val="00A81DC5"/>
    <w:rsid w:val="00A81F08"/>
    <w:rsid w:val="00A84CAD"/>
    <w:rsid w:val="00A90E50"/>
    <w:rsid w:val="00A94E5D"/>
    <w:rsid w:val="00A95FA5"/>
    <w:rsid w:val="00A96D92"/>
    <w:rsid w:val="00AA0319"/>
    <w:rsid w:val="00AA3AEA"/>
    <w:rsid w:val="00AA7F1E"/>
    <w:rsid w:val="00AB085A"/>
    <w:rsid w:val="00AB3733"/>
    <w:rsid w:val="00AB69D7"/>
    <w:rsid w:val="00AB6D5C"/>
    <w:rsid w:val="00AB7897"/>
    <w:rsid w:val="00AC5054"/>
    <w:rsid w:val="00AC74BD"/>
    <w:rsid w:val="00AE4BAC"/>
    <w:rsid w:val="00AF02E5"/>
    <w:rsid w:val="00B034FC"/>
    <w:rsid w:val="00B05310"/>
    <w:rsid w:val="00B058AB"/>
    <w:rsid w:val="00B10A0B"/>
    <w:rsid w:val="00B12303"/>
    <w:rsid w:val="00B22B97"/>
    <w:rsid w:val="00B24B57"/>
    <w:rsid w:val="00B30D85"/>
    <w:rsid w:val="00B35A4A"/>
    <w:rsid w:val="00B40142"/>
    <w:rsid w:val="00B42911"/>
    <w:rsid w:val="00B56AED"/>
    <w:rsid w:val="00B61B55"/>
    <w:rsid w:val="00B62361"/>
    <w:rsid w:val="00B63FD7"/>
    <w:rsid w:val="00B77567"/>
    <w:rsid w:val="00B816D9"/>
    <w:rsid w:val="00B85F00"/>
    <w:rsid w:val="00B9120F"/>
    <w:rsid w:val="00B9216C"/>
    <w:rsid w:val="00B924A4"/>
    <w:rsid w:val="00BB0277"/>
    <w:rsid w:val="00BB0D1A"/>
    <w:rsid w:val="00BB1D3B"/>
    <w:rsid w:val="00BB2DAF"/>
    <w:rsid w:val="00BC35ED"/>
    <w:rsid w:val="00BE205A"/>
    <w:rsid w:val="00BE3802"/>
    <w:rsid w:val="00BE52B8"/>
    <w:rsid w:val="00BF238E"/>
    <w:rsid w:val="00BF2F4A"/>
    <w:rsid w:val="00BF544D"/>
    <w:rsid w:val="00C0076F"/>
    <w:rsid w:val="00C0301C"/>
    <w:rsid w:val="00C03DE0"/>
    <w:rsid w:val="00C050B6"/>
    <w:rsid w:val="00C10F12"/>
    <w:rsid w:val="00C121D8"/>
    <w:rsid w:val="00C245EA"/>
    <w:rsid w:val="00C256F6"/>
    <w:rsid w:val="00C3097E"/>
    <w:rsid w:val="00C30C27"/>
    <w:rsid w:val="00C32C84"/>
    <w:rsid w:val="00C339FF"/>
    <w:rsid w:val="00C35ECC"/>
    <w:rsid w:val="00C361A8"/>
    <w:rsid w:val="00C40D86"/>
    <w:rsid w:val="00C41246"/>
    <w:rsid w:val="00C41CB5"/>
    <w:rsid w:val="00C453C9"/>
    <w:rsid w:val="00C45473"/>
    <w:rsid w:val="00C45E5F"/>
    <w:rsid w:val="00C46291"/>
    <w:rsid w:val="00C63412"/>
    <w:rsid w:val="00C714D0"/>
    <w:rsid w:val="00C749C3"/>
    <w:rsid w:val="00C7573D"/>
    <w:rsid w:val="00C85DDE"/>
    <w:rsid w:val="00C90EF4"/>
    <w:rsid w:val="00C93A16"/>
    <w:rsid w:val="00CA015A"/>
    <w:rsid w:val="00CA3F5F"/>
    <w:rsid w:val="00CB1DB9"/>
    <w:rsid w:val="00CB76B4"/>
    <w:rsid w:val="00CC1964"/>
    <w:rsid w:val="00CC1AA3"/>
    <w:rsid w:val="00CC554C"/>
    <w:rsid w:val="00CD4486"/>
    <w:rsid w:val="00CD71ED"/>
    <w:rsid w:val="00CE2682"/>
    <w:rsid w:val="00CF1006"/>
    <w:rsid w:val="00CF1521"/>
    <w:rsid w:val="00CF7E81"/>
    <w:rsid w:val="00D06A44"/>
    <w:rsid w:val="00D100B9"/>
    <w:rsid w:val="00D12A3E"/>
    <w:rsid w:val="00D151EB"/>
    <w:rsid w:val="00D16720"/>
    <w:rsid w:val="00D26A5C"/>
    <w:rsid w:val="00D300E0"/>
    <w:rsid w:val="00D374CD"/>
    <w:rsid w:val="00D37763"/>
    <w:rsid w:val="00D42341"/>
    <w:rsid w:val="00D429D5"/>
    <w:rsid w:val="00D55CAF"/>
    <w:rsid w:val="00D650CE"/>
    <w:rsid w:val="00D6595C"/>
    <w:rsid w:val="00D71719"/>
    <w:rsid w:val="00D776DA"/>
    <w:rsid w:val="00D8758B"/>
    <w:rsid w:val="00D942B3"/>
    <w:rsid w:val="00D94863"/>
    <w:rsid w:val="00DA1315"/>
    <w:rsid w:val="00DA7D09"/>
    <w:rsid w:val="00DB1142"/>
    <w:rsid w:val="00DC2630"/>
    <w:rsid w:val="00DC49E9"/>
    <w:rsid w:val="00DC55E4"/>
    <w:rsid w:val="00DC7D71"/>
    <w:rsid w:val="00DD188C"/>
    <w:rsid w:val="00DD1BF7"/>
    <w:rsid w:val="00DD29A3"/>
    <w:rsid w:val="00DD48EE"/>
    <w:rsid w:val="00DD7C19"/>
    <w:rsid w:val="00DE0B96"/>
    <w:rsid w:val="00DE10B9"/>
    <w:rsid w:val="00DF0B13"/>
    <w:rsid w:val="00DF2EB8"/>
    <w:rsid w:val="00DF4A94"/>
    <w:rsid w:val="00DF6003"/>
    <w:rsid w:val="00E00095"/>
    <w:rsid w:val="00E045C5"/>
    <w:rsid w:val="00E066C3"/>
    <w:rsid w:val="00E06908"/>
    <w:rsid w:val="00E10D8C"/>
    <w:rsid w:val="00E1353A"/>
    <w:rsid w:val="00E1564B"/>
    <w:rsid w:val="00E202EA"/>
    <w:rsid w:val="00E208A0"/>
    <w:rsid w:val="00E25B49"/>
    <w:rsid w:val="00E371EA"/>
    <w:rsid w:val="00E449F5"/>
    <w:rsid w:val="00E64429"/>
    <w:rsid w:val="00E677DD"/>
    <w:rsid w:val="00E712AD"/>
    <w:rsid w:val="00E7594B"/>
    <w:rsid w:val="00E82907"/>
    <w:rsid w:val="00EA096A"/>
    <w:rsid w:val="00EB4688"/>
    <w:rsid w:val="00EB6C07"/>
    <w:rsid w:val="00EC028D"/>
    <w:rsid w:val="00EC1E01"/>
    <w:rsid w:val="00EC3606"/>
    <w:rsid w:val="00ED61D9"/>
    <w:rsid w:val="00ED633B"/>
    <w:rsid w:val="00EE331B"/>
    <w:rsid w:val="00EE478C"/>
    <w:rsid w:val="00EF7A6D"/>
    <w:rsid w:val="00F1132C"/>
    <w:rsid w:val="00F15937"/>
    <w:rsid w:val="00F15DD5"/>
    <w:rsid w:val="00F17D4B"/>
    <w:rsid w:val="00F20F7F"/>
    <w:rsid w:val="00F23139"/>
    <w:rsid w:val="00F30482"/>
    <w:rsid w:val="00F3409C"/>
    <w:rsid w:val="00F34309"/>
    <w:rsid w:val="00F43D78"/>
    <w:rsid w:val="00F44CC3"/>
    <w:rsid w:val="00F46BB5"/>
    <w:rsid w:val="00F533BA"/>
    <w:rsid w:val="00F57FD1"/>
    <w:rsid w:val="00F62420"/>
    <w:rsid w:val="00F66CD5"/>
    <w:rsid w:val="00F67A9A"/>
    <w:rsid w:val="00F70F4E"/>
    <w:rsid w:val="00F75FC4"/>
    <w:rsid w:val="00F85981"/>
    <w:rsid w:val="00F87263"/>
    <w:rsid w:val="00F93725"/>
    <w:rsid w:val="00FA022B"/>
    <w:rsid w:val="00FA4890"/>
    <w:rsid w:val="00FB4C04"/>
    <w:rsid w:val="00FB77FA"/>
    <w:rsid w:val="00FC25CD"/>
    <w:rsid w:val="00FC3C70"/>
    <w:rsid w:val="00FC4A73"/>
    <w:rsid w:val="00FC559C"/>
    <w:rsid w:val="00FC7F0D"/>
    <w:rsid w:val="00FD0E24"/>
    <w:rsid w:val="00FE645A"/>
    <w:rsid w:val="00FF5E16"/>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styleId="NormalWeb">
    <w:name w:val="Normal (Web)"/>
    <w:basedOn w:val="Normal"/>
    <w:uiPriority w:val="99"/>
    <w:semiHidden/>
    <w:unhideWhenUsed/>
    <w:rsid w:val="00CD71E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910B2"/>
  </w:style>
  <w:style w:type="paragraph" w:styleId="PlainText">
    <w:name w:val="Plain Text"/>
    <w:basedOn w:val="Normal"/>
    <w:link w:val="PlainTextChar"/>
    <w:uiPriority w:val="99"/>
    <w:semiHidden/>
    <w:unhideWhenUsed/>
    <w:rsid w:val="001D33CA"/>
    <w:pPr>
      <w:spacing w:after="0"/>
    </w:pPr>
    <w:rPr>
      <w:rFonts w:ascii="Arial" w:eastAsiaTheme="minorHAnsi" w:hAnsi="Arial" w:cs="Arial"/>
      <w:sz w:val="18"/>
      <w:szCs w:val="18"/>
      <w:lang w:eastAsia="en-US"/>
    </w:rPr>
  </w:style>
  <w:style w:type="character" w:customStyle="1" w:styleId="PlainTextChar">
    <w:name w:val="Plain Text Char"/>
    <w:basedOn w:val="DefaultParagraphFont"/>
    <w:link w:val="PlainText"/>
    <w:uiPriority w:val="99"/>
    <w:semiHidden/>
    <w:rsid w:val="001D33CA"/>
    <w:rPr>
      <w:rFonts w:ascii="Arial" w:eastAsiaTheme="minorHAnsi" w:hAnsi="Arial" w:cs="Arial"/>
      <w:sz w:val="18"/>
      <w:szCs w:val="18"/>
      <w:lang w:eastAsia="en-US"/>
    </w:rPr>
  </w:style>
  <w:style w:type="paragraph" w:styleId="Revision">
    <w:name w:val="Revision"/>
    <w:hidden/>
    <w:uiPriority w:val="99"/>
    <w:semiHidden/>
    <w:rsid w:val="00077CC8"/>
    <w:pPr>
      <w:spacing w:after="0" w:line="240" w:lineRule="auto"/>
    </w:pPr>
    <w:rPr>
      <w:sz w:val="24"/>
      <w:szCs w:val="24"/>
    </w:rPr>
  </w:style>
  <w:style w:type="character" w:styleId="FollowedHyperlink">
    <w:name w:val="FollowedHyperlink"/>
    <w:basedOn w:val="DefaultParagraphFont"/>
    <w:uiPriority w:val="99"/>
    <w:semiHidden/>
    <w:unhideWhenUsed/>
    <w:rsid w:val="004E7B8F"/>
    <w:rPr>
      <w:color w:val="800080" w:themeColor="followedHyperlink"/>
      <w:u w:val="single"/>
    </w:rPr>
  </w:style>
  <w:style w:type="character" w:customStyle="1" w:styleId="shorttext">
    <w:name w:val="short_text"/>
    <w:basedOn w:val="DefaultParagraphFont"/>
    <w:rsid w:val="00087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styleId="NormalWeb">
    <w:name w:val="Normal (Web)"/>
    <w:basedOn w:val="Normal"/>
    <w:uiPriority w:val="99"/>
    <w:semiHidden/>
    <w:unhideWhenUsed/>
    <w:rsid w:val="00CD71E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910B2"/>
  </w:style>
  <w:style w:type="paragraph" w:styleId="PlainText">
    <w:name w:val="Plain Text"/>
    <w:basedOn w:val="Normal"/>
    <w:link w:val="PlainTextChar"/>
    <w:uiPriority w:val="99"/>
    <w:semiHidden/>
    <w:unhideWhenUsed/>
    <w:rsid w:val="001D33CA"/>
    <w:pPr>
      <w:spacing w:after="0"/>
    </w:pPr>
    <w:rPr>
      <w:rFonts w:ascii="Arial" w:eastAsiaTheme="minorHAnsi" w:hAnsi="Arial" w:cs="Arial"/>
      <w:sz w:val="18"/>
      <w:szCs w:val="18"/>
      <w:lang w:eastAsia="en-US"/>
    </w:rPr>
  </w:style>
  <w:style w:type="character" w:customStyle="1" w:styleId="PlainTextChar">
    <w:name w:val="Plain Text Char"/>
    <w:basedOn w:val="DefaultParagraphFont"/>
    <w:link w:val="PlainText"/>
    <w:uiPriority w:val="99"/>
    <w:semiHidden/>
    <w:rsid w:val="001D33CA"/>
    <w:rPr>
      <w:rFonts w:ascii="Arial" w:eastAsiaTheme="minorHAnsi" w:hAnsi="Arial" w:cs="Arial"/>
      <w:sz w:val="18"/>
      <w:szCs w:val="18"/>
      <w:lang w:eastAsia="en-US"/>
    </w:rPr>
  </w:style>
  <w:style w:type="paragraph" w:styleId="Revision">
    <w:name w:val="Revision"/>
    <w:hidden/>
    <w:uiPriority w:val="99"/>
    <w:semiHidden/>
    <w:rsid w:val="00077CC8"/>
    <w:pPr>
      <w:spacing w:after="0" w:line="240" w:lineRule="auto"/>
    </w:pPr>
    <w:rPr>
      <w:sz w:val="24"/>
      <w:szCs w:val="24"/>
    </w:rPr>
  </w:style>
  <w:style w:type="character" w:styleId="FollowedHyperlink">
    <w:name w:val="FollowedHyperlink"/>
    <w:basedOn w:val="DefaultParagraphFont"/>
    <w:uiPriority w:val="99"/>
    <w:semiHidden/>
    <w:unhideWhenUsed/>
    <w:rsid w:val="004E7B8F"/>
    <w:rPr>
      <w:color w:val="800080" w:themeColor="followedHyperlink"/>
      <w:u w:val="single"/>
    </w:rPr>
  </w:style>
  <w:style w:type="character" w:customStyle="1" w:styleId="shorttext">
    <w:name w:val="short_text"/>
    <w:basedOn w:val="DefaultParagraphFont"/>
    <w:rsid w:val="0008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901449">
      <w:bodyDiv w:val="1"/>
      <w:marLeft w:val="0"/>
      <w:marRight w:val="0"/>
      <w:marTop w:val="0"/>
      <w:marBottom w:val="0"/>
      <w:divBdr>
        <w:top w:val="none" w:sz="0" w:space="0" w:color="auto"/>
        <w:left w:val="none" w:sz="0" w:space="0" w:color="auto"/>
        <w:bottom w:val="none" w:sz="0" w:space="0" w:color="auto"/>
        <w:right w:val="none" w:sz="0" w:space="0" w:color="auto"/>
      </w:divBdr>
    </w:div>
    <w:div w:id="382867663">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55091679">
      <w:bodyDiv w:val="1"/>
      <w:marLeft w:val="0"/>
      <w:marRight w:val="0"/>
      <w:marTop w:val="0"/>
      <w:marBottom w:val="0"/>
      <w:divBdr>
        <w:top w:val="none" w:sz="0" w:space="0" w:color="auto"/>
        <w:left w:val="none" w:sz="0" w:space="0" w:color="auto"/>
        <w:bottom w:val="none" w:sz="0" w:space="0" w:color="auto"/>
        <w:right w:val="none" w:sz="0" w:space="0" w:color="auto"/>
      </w:divBdr>
    </w:div>
    <w:div w:id="732583170">
      <w:bodyDiv w:val="1"/>
      <w:marLeft w:val="0"/>
      <w:marRight w:val="0"/>
      <w:marTop w:val="0"/>
      <w:marBottom w:val="0"/>
      <w:divBdr>
        <w:top w:val="none" w:sz="0" w:space="0" w:color="auto"/>
        <w:left w:val="none" w:sz="0" w:space="0" w:color="auto"/>
        <w:bottom w:val="none" w:sz="0" w:space="0" w:color="auto"/>
        <w:right w:val="none" w:sz="0" w:space="0" w:color="auto"/>
      </w:divBdr>
    </w:div>
    <w:div w:id="870260302">
      <w:bodyDiv w:val="1"/>
      <w:marLeft w:val="0"/>
      <w:marRight w:val="0"/>
      <w:marTop w:val="0"/>
      <w:marBottom w:val="0"/>
      <w:divBdr>
        <w:top w:val="none" w:sz="0" w:space="0" w:color="auto"/>
        <w:left w:val="none" w:sz="0" w:space="0" w:color="auto"/>
        <w:bottom w:val="none" w:sz="0" w:space="0" w:color="auto"/>
        <w:right w:val="none" w:sz="0" w:space="0" w:color="auto"/>
      </w:divBdr>
    </w:div>
    <w:div w:id="1190145589">
      <w:bodyDiv w:val="1"/>
      <w:marLeft w:val="0"/>
      <w:marRight w:val="0"/>
      <w:marTop w:val="0"/>
      <w:marBottom w:val="0"/>
      <w:divBdr>
        <w:top w:val="none" w:sz="0" w:space="0" w:color="auto"/>
        <w:left w:val="none" w:sz="0" w:space="0" w:color="auto"/>
        <w:bottom w:val="none" w:sz="0" w:space="0" w:color="auto"/>
        <w:right w:val="none" w:sz="0" w:space="0" w:color="auto"/>
      </w:divBdr>
    </w:div>
    <w:div w:id="1332639165">
      <w:bodyDiv w:val="1"/>
      <w:marLeft w:val="0"/>
      <w:marRight w:val="0"/>
      <w:marTop w:val="0"/>
      <w:marBottom w:val="0"/>
      <w:divBdr>
        <w:top w:val="none" w:sz="0" w:space="0" w:color="auto"/>
        <w:left w:val="none" w:sz="0" w:space="0" w:color="auto"/>
        <w:bottom w:val="none" w:sz="0" w:space="0" w:color="auto"/>
        <w:right w:val="none" w:sz="0" w:space="0" w:color="auto"/>
      </w:divBdr>
    </w:div>
    <w:div w:id="1425032042">
      <w:bodyDiv w:val="1"/>
      <w:marLeft w:val="0"/>
      <w:marRight w:val="0"/>
      <w:marTop w:val="0"/>
      <w:marBottom w:val="0"/>
      <w:divBdr>
        <w:top w:val="none" w:sz="0" w:space="0" w:color="auto"/>
        <w:left w:val="none" w:sz="0" w:space="0" w:color="auto"/>
        <w:bottom w:val="none" w:sz="0" w:space="0" w:color="auto"/>
        <w:right w:val="none" w:sz="0" w:space="0" w:color="auto"/>
      </w:divBdr>
    </w:div>
    <w:div w:id="1449663772">
      <w:bodyDiv w:val="1"/>
      <w:marLeft w:val="0"/>
      <w:marRight w:val="0"/>
      <w:marTop w:val="0"/>
      <w:marBottom w:val="0"/>
      <w:divBdr>
        <w:top w:val="none" w:sz="0" w:space="0" w:color="auto"/>
        <w:left w:val="none" w:sz="0" w:space="0" w:color="auto"/>
        <w:bottom w:val="none" w:sz="0" w:space="0" w:color="auto"/>
        <w:right w:val="none" w:sz="0" w:space="0" w:color="auto"/>
      </w:divBdr>
    </w:div>
    <w:div w:id="1476794549">
      <w:bodyDiv w:val="1"/>
      <w:marLeft w:val="0"/>
      <w:marRight w:val="0"/>
      <w:marTop w:val="0"/>
      <w:marBottom w:val="0"/>
      <w:divBdr>
        <w:top w:val="none" w:sz="0" w:space="0" w:color="auto"/>
        <w:left w:val="none" w:sz="0" w:space="0" w:color="auto"/>
        <w:bottom w:val="none" w:sz="0" w:space="0" w:color="auto"/>
        <w:right w:val="none" w:sz="0" w:space="0" w:color="auto"/>
      </w:divBdr>
    </w:div>
    <w:div w:id="1623416038">
      <w:bodyDiv w:val="1"/>
      <w:marLeft w:val="0"/>
      <w:marRight w:val="0"/>
      <w:marTop w:val="0"/>
      <w:marBottom w:val="0"/>
      <w:divBdr>
        <w:top w:val="none" w:sz="0" w:space="0" w:color="auto"/>
        <w:left w:val="none" w:sz="0" w:space="0" w:color="auto"/>
        <w:bottom w:val="none" w:sz="0" w:space="0" w:color="auto"/>
        <w:right w:val="none" w:sz="0" w:space="0" w:color="auto"/>
      </w:divBdr>
    </w:div>
    <w:div w:id="1667905134">
      <w:bodyDiv w:val="1"/>
      <w:marLeft w:val="0"/>
      <w:marRight w:val="0"/>
      <w:marTop w:val="0"/>
      <w:marBottom w:val="0"/>
      <w:divBdr>
        <w:top w:val="none" w:sz="0" w:space="0" w:color="auto"/>
        <w:left w:val="none" w:sz="0" w:space="0" w:color="auto"/>
        <w:bottom w:val="none" w:sz="0" w:space="0" w:color="auto"/>
        <w:right w:val="none" w:sz="0" w:space="0" w:color="auto"/>
      </w:divBdr>
    </w:div>
    <w:div w:id="1720594967">
      <w:bodyDiv w:val="1"/>
      <w:marLeft w:val="0"/>
      <w:marRight w:val="0"/>
      <w:marTop w:val="0"/>
      <w:marBottom w:val="0"/>
      <w:divBdr>
        <w:top w:val="none" w:sz="0" w:space="0" w:color="auto"/>
        <w:left w:val="none" w:sz="0" w:space="0" w:color="auto"/>
        <w:bottom w:val="none" w:sz="0" w:space="0" w:color="auto"/>
        <w:right w:val="none" w:sz="0" w:space="0" w:color="auto"/>
      </w:divBdr>
    </w:div>
    <w:div w:id="1865558035">
      <w:bodyDiv w:val="1"/>
      <w:marLeft w:val="0"/>
      <w:marRight w:val="0"/>
      <w:marTop w:val="0"/>
      <w:marBottom w:val="0"/>
      <w:divBdr>
        <w:top w:val="none" w:sz="0" w:space="0" w:color="auto"/>
        <w:left w:val="none" w:sz="0" w:space="0" w:color="auto"/>
        <w:bottom w:val="none" w:sz="0" w:space="0" w:color="auto"/>
        <w:right w:val="none" w:sz="0" w:space="0" w:color="auto"/>
      </w:divBdr>
    </w:div>
    <w:div w:id="1869172508">
      <w:bodyDiv w:val="1"/>
      <w:marLeft w:val="0"/>
      <w:marRight w:val="0"/>
      <w:marTop w:val="0"/>
      <w:marBottom w:val="0"/>
      <w:divBdr>
        <w:top w:val="none" w:sz="0" w:space="0" w:color="auto"/>
        <w:left w:val="none" w:sz="0" w:space="0" w:color="auto"/>
        <w:bottom w:val="none" w:sz="0" w:space="0" w:color="auto"/>
        <w:right w:val="none" w:sz="0" w:space="0" w:color="auto"/>
      </w:divBdr>
    </w:div>
    <w:div w:id="1954707221">
      <w:bodyDiv w:val="1"/>
      <w:marLeft w:val="0"/>
      <w:marRight w:val="0"/>
      <w:marTop w:val="0"/>
      <w:marBottom w:val="0"/>
      <w:divBdr>
        <w:top w:val="none" w:sz="0" w:space="0" w:color="auto"/>
        <w:left w:val="none" w:sz="0" w:space="0" w:color="auto"/>
        <w:bottom w:val="none" w:sz="0" w:space="0" w:color="auto"/>
        <w:right w:val="none" w:sz="0" w:space="0" w:color="auto"/>
      </w:divBdr>
    </w:div>
    <w:div w:id="2083213323">
      <w:bodyDiv w:val="1"/>
      <w:marLeft w:val="0"/>
      <w:marRight w:val="0"/>
      <w:marTop w:val="0"/>
      <w:marBottom w:val="0"/>
      <w:divBdr>
        <w:top w:val="none" w:sz="0" w:space="0" w:color="auto"/>
        <w:left w:val="none" w:sz="0" w:space="0" w:color="auto"/>
        <w:bottom w:val="none" w:sz="0" w:space="0" w:color="auto"/>
        <w:right w:val="none" w:sz="0" w:space="0" w:color="auto"/>
      </w:divBdr>
    </w:div>
    <w:div w:id="2085906108">
      <w:bodyDiv w:val="1"/>
      <w:marLeft w:val="0"/>
      <w:marRight w:val="0"/>
      <w:marTop w:val="0"/>
      <w:marBottom w:val="0"/>
      <w:divBdr>
        <w:top w:val="none" w:sz="0" w:space="0" w:color="auto"/>
        <w:left w:val="none" w:sz="0" w:space="0" w:color="auto"/>
        <w:bottom w:val="none" w:sz="0" w:space="0" w:color="auto"/>
        <w:right w:val="none" w:sz="0" w:space="0" w:color="auto"/>
      </w:divBdr>
    </w:div>
    <w:div w:id="21379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47%20-%20Ivacaftor%20PvA%20data\D1047%20-%20Ivacaftor%20PATCNT%20BY%20Drug%20name%20and%20Supply%20Quart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47%20-%20Ivacaftor%20PvA%20data\D1047%20-%20Ivacaftor%20scripts%20per%20patient%20in%2012%20months%20after%20initi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suppression!$B$28</c:f>
              <c:strCache>
                <c:ptCount val="1"/>
                <c:pt idx="0">
                  <c:v>initiating patients</c:v>
                </c:pt>
              </c:strCache>
            </c:strRef>
          </c:tx>
          <c:cat>
            <c:strRef>
              <c:f>suppression!$A$29:$A$40</c:f>
              <c:strCache>
                <c:ptCount val="12"/>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strCache>
            </c:strRef>
          </c:cat>
          <c:val>
            <c:numRef>
              <c:f>suppression!$B$29:$B$40</c:f>
              <c:numCache>
                <c:formatCode>General</c:formatCode>
                <c:ptCount val="12"/>
                <c:pt idx="0">
                  <c:v>68</c:v>
                </c:pt>
                <c:pt idx="1">
                  <c:v>125</c:v>
                </c:pt>
                <c:pt idx="2">
                  <c:v>20</c:v>
                </c:pt>
                <c:pt idx="3">
                  <c:v>10</c:v>
                </c:pt>
                <c:pt idx="4">
                  <c:v>6</c:v>
                </c:pt>
                <c:pt idx="5">
                  <c:v>6</c:v>
                </c:pt>
                <c:pt idx="6">
                  <c:v>6</c:v>
                </c:pt>
                <c:pt idx="7">
                  <c:v>6</c:v>
                </c:pt>
                <c:pt idx="8">
                  <c:v>6</c:v>
                </c:pt>
                <c:pt idx="10">
                  <c:v>23</c:v>
                </c:pt>
                <c:pt idx="11">
                  <c:v>11</c:v>
                </c:pt>
              </c:numCache>
            </c:numRef>
          </c:val>
          <c:smooth val="0"/>
        </c:ser>
        <c:ser>
          <c:idx val="2"/>
          <c:order val="1"/>
          <c:tx>
            <c:strRef>
              <c:f>suppression!$C$28</c:f>
              <c:strCache>
                <c:ptCount val="1"/>
                <c:pt idx="0">
                  <c:v>prevalent patients</c:v>
                </c:pt>
              </c:strCache>
            </c:strRef>
          </c:tx>
          <c:cat>
            <c:strRef>
              <c:f>suppression!$A$29:$A$40</c:f>
              <c:strCache>
                <c:ptCount val="12"/>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strCache>
            </c:strRef>
          </c:cat>
          <c:val>
            <c:numRef>
              <c:f>suppression!$C$29:$C$40</c:f>
              <c:numCache>
                <c:formatCode>General</c:formatCode>
                <c:ptCount val="12"/>
                <c:pt idx="0">
                  <c:v>68</c:v>
                </c:pt>
                <c:pt idx="1">
                  <c:v>191</c:v>
                </c:pt>
                <c:pt idx="2">
                  <c:v>210</c:v>
                </c:pt>
                <c:pt idx="3">
                  <c:v>215</c:v>
                </c:pt>
                <c:pt idx="4">
                  <c:v>220</c:v>
                </c:pt>
                <c:pt idx="5">
                  <c:v>214</c:v>
                </c:pt>
                <c:pt idx="6">
                  <c:v>215</c:v>
                </c:pt>
                <c:pt idx="7">
                  <c:v>222</c:v>
                </c:pt>
                <c:pt idx="8">
                  <c:v>221</c:v>
                </c:pt>
                <c:pt idx="9">
                  <c:v>210</c:v>
                </c:pt>
                <c:pt idx="10">
                  <c:v>238</c:v>
                </c:pt>
                <c:pt idx="11">
                  <c:v>233</c:v>
                </c:pt>
              </c:numCache>
            </c:numRef>
          </c:val>
          <c:smooth val="0"/>
        </c:ser>
        <c:dLbls>
          <c:showLegendKey val="0"/>
          <c:showVal val="0"/>
          <c:showCatName val="0"/>
          <c:showSerName val="0"/>
          <c:showPercent val="0"/>
          <c:showBubbleSize val="0"/>
        </c:dLbls>
        <c:marker val="1"/>
        <c:smooth val="0"/>
        <c:axId val="371956352"/>
        <c:axId val="36348672"/>
      </c:lineChart>
      <c:catAx>
        <c:axId val="371956352"/>
        <c:scaling>
          <c:orientation val="minMax"/>
        </c:scaling>
        <c:delete val="0"/>
        <c:axPos val="b"/>
        <c:title>
          <c:tx>
            <c:rich>
              <a:bodyPr/>
              <a:lstStyle/>
              <a:p>
                <a:pPr>
                  <a:defRPr/>
                </a:pPr>
                <a:r>
                  <a:rPr lang="en-AU"/>
                  <a:t>Supply quarter</a:t>
                </a:r>
              </a:p>
            </c:rich>
          </c:tx>
          <c:layout/>
          <c:overlay val="0"/>
        </c:title>
        <c:majorTickMark val="out"/>
        <c:minorTickMark val="none"/>
        <c:tickLblPos val="nextTo"/>
        <c:crossAx val="36348672"/>
        <c:crosses val="autoZero"/>
        <c:auto val="1"/>
        <c:lblAlgn val="ctr"/>
        <c:lblOffset val="100"/>
        <c:noMultiLvlLbl val="0"/>
      </c:catAx>
      <c:valAx>
        <c:axId val="36348672"/>
        <c:scaling>
          <c:orientation val="minMax"/>
        </c:scaling>
        <c:delete val="0"/>
        <c:axPos val="l"/>
        <c:majorGridlines/>
        <c:title>
          <c:tx>
            <c:rich>
              <a:bodyPr rot="-5400000" vert="horz"/>
              <a:lstStyle/>
              <a:p>
                <a:pPr>
                  <a:defRPr/>
                </a:pPr>
                <a:r>
                  <a:rPr lang="en-AU"/>
                  <a:t>Number of patients</a:t>
                </a:r>
              </a:p>
            </c:rich>
          </c:tx>
          <c:layout/>
          <c:overlay val="0"/>
        </c:title>
        <c:numFmt formatCode="General" sourceLinked="1"/>
        <c:majorTickMark val="out"/>
        <c:minorTickMark val="none"/>
        <c:tickLblPos val="nextTo"/>
        <c:crossAx val="37195635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suppression!$B$28</c:f>
              <c:strCache>
                <c:ptCount val="1"/>
                <c:pt idx="0">
                  <c:v>patients</c:v>
                </c:pt>
              </c:strCache>
            </c:strRef>
          </c:tx>
          <c:spPr>
            <a:solidFill>
              <a:schemeClr val="accent2"/>
            </a:solidFill>
          </c:spPr>
          <c:invertIfNegative val="0"/>
          <c:cat>
            <c:numRef>
              <c:f>suppression!$A$29:$A$44</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suppression!$B$29:$B$44</c:f>
              <c:numCache>
                <c:formatCode>General</c:formatCode>
                <c:ptCount val="16"/>
                <c:pt idx="1">
                  <c:v>6</c:v>
                </c:pt>
                <c:pt idx="3">
                  <c:v>6</c:v>
                </c:pt>
                <c:pt idx="4">
                  <c:v>6</c:v>
                </c:pt>
                <c:pt idx="5">
                  <c:v>6</c:v>
                </c:pt>
                <c:pt idx="6">
                  <c:v>16</c:v>
                </c:pt>
                <c:pt idx="7">
                  <c:v>11</c:v>
                </c:pt>
                <c:pt idx="8">
                  <c:v>11</c:v>
                </c:pt>
                <c:pt idx="9">
                  <c:v>15</c:v>
                </c:pt>
                <c:pt idx="10">
                  <c:v>17</c:v>
                </c:pt>
                <c:pt idx="11">
                  <c:v>38</c:v>
                </c:pt>
                <c:pt idx="12">
                  <c:v>53</c:v>
                </c:pt>
                <c:pt idx="13">
                  <c:v>68</c:v>
                </c:pt>
                <c:pt idx="14">
                  <c:v>6</c:v>
                </c:pt>
                <c:pt idx="15">
                  <c:v>6</c:v>
                </c:pt>
              </c:numCache>
            </c:numRef>
          </c:val>
        </c:ser>
        <c:dLbls>
          <c:showLegendKey val="0"/>
          <c:showVal val="0"/>
          <c:showCatName val="0"/>
          <c:showSerName val="0"/>
          <c:showPercent val="0"/>
          <c:showBubbleSize val="0"/>
        </c:dLbls>
        <c:gapWidth val="150"/>
        <c:axId val="36362496"/>
        <c:axId val="376258944"/>
      </c:barChart>
      <c:catAx>
        <c:axId val="36362496"/>
        <c:scaling>
          <c:orientation val="minMax"/>
        </c:scaling>
        <c:delete val="0"/>
        <c:axPos val="b"/>
        <c:title>
          <c:tx>
            <c:rich>
              <a:bodyPr/>
              <a:lstStyle/>
              <a:p>
                <a:pPr>
                  <a:defRPr/>
                </a:pPr>
                <a:r>
                  <a:rPr lang="en-AU"/>
                  <a:t>Prescriptions</a:t>
                </a:r>
                <a:r>
                  <a:rPr lang="en-AU" baseline="0"/>
                  <a:t> per patient per year</a:t>
                </a:r>
                <a:endParaRPr lang="en-AU"/>
              </a:p>
            </c:rich>
          </c:tx>
          <c:layout/>
          <c:overlay val="0"/>
        </c:title>
        <c:numFmt formatCode="General" sourceLinked="1"/>
        <c:majorTickMark val="out"/>
        <c:minorTickMark val="none"/>
        <c:tickLblPos val="nextTo"/>
        <c:crossAx val="376258944"/>
        <c:crosses val="autoZero"/>
        <c:auto val="1"/>
        <c:lblAlgn val="ctr"/>
        <c:lblOffset val="100"/>
        <c:noMultiLvlLbl val="0"/>
      </c:catAx>
      <c:valAx>
        <c:axId val="376258944"/>
        <c:scaling>
          <c:orientation val="minMax"/>
        </c:scaling>
        <c:delete val="0"/>
        <c:axPos val="l"/>
        <c:majorGridlines/>
        <c:title>
          <c:tx>
            <c:rich>
              <a:bodyPr rot="-5400000" vert="horz"/>
              <a:lstStyle/>
              <a:p>
                <a:pPr>
                  <a:defRPr/>
                </a:pPr>
                <a:r>
                  <a:rPr lang="en-AU"/>
                  <a:t>Number of patients</a:t>
                </a:r>
              </a:p>
            </c:rich>
          </c:tx>
          <c:layout/>
          <c:overlay val="0"/>
        </c:title>
        <c:numFmt formatCode="General" sourceLinked="1"/>
        <c:majorTickMark val="out"/>
        <c:minorTickMark val="none"/>
        <c:tickLblPos val="nextTo"/>
        <c:crossAx val="363624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DA5BB-07A8-42F6-8E8A-881CCA56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381E9181.dotm</Template>
  <TotalTime>0</TotalTime>
  <Pages>13</Pages>
  <Words>3916</Words>
  <Characters>22325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2018-06-21T01:05:00Z</dcterms:created>
  <dcterms:modified xsi:type="dcterms:W3CDTF">2018-07-11T02:03:00Z</dcterms:modified>
</cp:coreProperties>
</file>