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17" w:rsidRDefault="00A929F5" w:rsidP="004939F6">
      <w:pPr>
        <w:pStyle w:val="Title"/>
      </w:pPr>
      <w:bookmarkStart w:id="0" w:name="_GoBack"/>
      <w:bookmarkEnd w:id="0"/>
      <w:r>
        <w:t>Sunitinib and everol</w:t>
      </w:r>
      <w:r w:rsidR="009900B9">
        <w:t>im</w:t>
      </w:r>
      <w:r>
        <w:t>us</w:t>
      </w:r>
      <w:r w:rsidR="005D29E7" w:rsidRPr="005D29E7">
        <w:t xml:space="preserve"> for </w:t>
      </w:r>
      <w:r>
        <w:t>the treatment of pancreatic neuroendocrine tumo</w:t>
      </w:r>
      <w:r w:rsidR="004C3DCC">
        <w:t>u</w:t>
      </w:r>
      <w:r>
        <w:t>r</w:t>
      </w:r>
      <w:r w:rsidR="004C3DCC">
        <w:t>s</w:t>
      </w:r>
      <w:r w:rsidR="004939F6">
        <w:t>: predicted versus actual analysis</w:t>
      </w:r>
    </w:p>
    <w:p w:rsidR="00821C17" w:rsidRDefault="00821C17" w:rsidP="00813FF0">
      <w:pPr>
        <w:pStyle w:val="Heading1"/>
      </w:pPr>
      <w:r>
        <w:t>D</w:t>
      </w:r>
      <w:r w:rsidRPr="0063631C">
        <w:t xml:space="preserve">rug utilisation sub-committee </w:t>
      </w:r>
      <w:r>
        <w:t>(DUSC)</w:t>
      </w:r>
    </w:p>
    <w:p w:rsidR="00821C17" w:rsidRPr="00EA531B" w:rsidRDefault="005D29E7" w:rsidP="00813FF0">
      <w:pPr>
        <w:pStyle w:val="Heading2"/>
        <w:rPr>
          <w:i/>
        </w:rPr>
      </w:pPr>
      <w:r>
        <w:rPr>
          <w:i/>
        </w:rPr>
        <w:t>September</w:t>
      </w:r>
      <w:r w:rsidR="00821C17" w:rsidRPr="00EA531B">
        <w:rPr>
          <w:i/>
        </w:rPr>
        <w:t xml:space="preserve"> 201</w:t>
      </w:r>
      <w:r w:rsidR="00EC7B8A" w:rsidRPr="00EA531B">
        <w:rPr>
          <w:i/>
        </w:rPr>
        <w:t>7</w:t>
      </w:r>
    </w:p>
    <w:p w:rsidR="00821C17" w:rsidRPr="008250BC" w:rsidRDefault="00821C17" w:rsidP="00813FF0">
      <w:pPr>
        <w:pStyle w:val="Heading3"/>
        <w:rPr>
          <w:i w:val="0"/>
          <w:sz w:val="32"/>
          <w:szCs w:val="32"/>
        </w:rPr>
      </w:pPr>
      <w:r w:rsidRPr="008250BC">
        <w:rPr>
          <w:i w:val="0"/>
          <w:sz w:val="32"/>
          <w:szCs w:val="32"/>
        </w:rPr>
        <w:t>Abstract</w:t>
      </w:r>
    </w:p>
    <w:p w:rsidR="00821C17" w:rsidRPr="008250BC" w:rsidRDefault="00821C17" w:rsidP="00813FF0">
      <w:pPr>
        <w:pStyle w:val="Heading2"/>
        <w:rPr>
          <w:i/>
        </w:rPr>
      </w:pPr>
      <w:r w:rsidRPr="008250BC">
        <w:rPr>
          <w:i/>
        </w:rPr>
        <w:t>Purpose</w:t>
      </w:r>
    </w:p>
    <w:p w:rsidR="009670A7" w:rsidRDefault="009670A7" w:rsidP="009670A7">
      <w:pPr>
        <w:spacing w:after="0"/>
      </w:pPr>
      <w:r w:rsidRPr="00BB03D1">
        <w:t xml:space="preserve">To compare the predicted and actual utilisation of </w:t>
      </w:r>
      <w:r w:rsidR="00CA02E6">
        <w:t>s</w:t>
      </w:r>
      <w:r w:rsidR="00CA02E6" w:rsidRPr="00CA02E6">
        <w:t>unitinib and</w:t>
      </w:r>
      <w:r w:rsidR="00CA02E6">
        <w:t xml:space="preserve"> </w:t>
      </w:r>
      <w:r w:rsidR="004C3DCC">
        <w:t>everolimus</w:t>
      </w:r>
      <w:r w:rsidR="00CA02E6">
        <w:t xml:space="preserve"> for the treatment of </w:t>
      </w:r>
      <w:r w:rsidR="00E647FA" w:rsidRPr="000B4328">
        <w:rPr>
          <w:rFonts w:eastAsia="Times New Roman" w:cs="Arial"/>
          <w:color w:val="222222"/>
        </w:rPr>
        <w:t>pancreatic</w:t>
      </w:r>
      <w:r w:rsidR="00E647FA">
        <w:rPr>
          <w:rFonts w:eastAsia="Times New Roman" w:cs="Arial"/>
          <w:color w:val="222222"/>
        </w:rPr>
        <w:t xml:space="preserve"> neuroendocrine tumour (</w:t>
      </w:r>
      <w:r w:rsidR="00CA02E6" w:rsidRPr="00CA02E6">
        <w:t>pNET</w:t>
      </w:r>
      <w:r w:rsidR="00E647FA">
        <w:t>)</w:t>
      </w:r>
      <w:r w:rsidRPr="00BB03D1">
        <w:t xml:space="preserve"> since </w:t>
      </w:r>
      <w:r w:rsidR="007345EF">
        <w:t>these medicines were</w:t>
      </w:r>
      <w:r w:rsidRPr="00BB03D1">
        <w:t xml:space="preserve"> </w:t>
      </w:r>
      <w:r w:rsidR="00F96DCB">
        <w:t xml:space="preserve">PBS </w:t>
      </w:r>
      <w:r w:rsidRPr="00BB03D1">
        <w:t xml:space="preserve">listed for this indication in </w:t>
      </w:r>
      <w:r w:rsidR="00CA02E6">
        <w:t xml:space="preserve">December </w:t>
      </w:r>
      <w:r w:rsidRPr="00BB03D1">
        <w:t>201</w:t>
      </w:r>
      <w:r w:rsidR="005D29E7">
        <w:t>3</w:t>
      </w:r>
      <w:r w:rsidR="00CA02E6">
        <w:t xml:space="preserve"> and </w:t>
      </w:r>
      <w:r w:rsidR="007F0BEF">
        <w:t xml:space="preserve">April </w:t>
      </w:r>
      <w:r w:rsidR="00CA02E6">
        <w:t>201</w:t>
      </w:r>
      <w:r w:rsidR="007F0BEF">
        <w:t>5</w:t>
      </w:r>
      <w:r w:rsidR="00CA02E6">
        <w:t xml:space="preserve"> respectively.</w:t>
      </w:r>
    </w:p>
    <w:p w:rsidR="000229C4" w:rsidRDefault="007C3AED" w:rsidP="00B75E36">
      <w:pPr>
        <w:pStyle w:val="Heading2"/>
        <w:rPr>
          <w:i/>
        </w:rPr>
      </w:pPr>
      <w:r w:rsidRPr="00B75E36">
        <w:rPr>
          <w:i/>
        </w:rPr>
        <w:t>Current PBS restriction</w:t>
      </w:r>
      <w:r w:rsidR="00964FDA">
        <w:rPr>
          <w:i/>
        </w:rPr>
        <w:t xml:space="preserve"> for pNET</w:t>
      </w:r>
    </w:p>
    <w:p w:rsidR="00283834" w:rsidRDefault="00283834" w:rsidP="00DB6703">
      <w:r>
        <w:t xml:space="preserve">Sunitinib </w:t>
      </w:r>
      <w:r w:rsidR="007345EF">
        <w:t xml:space="preserve">(Sutent®) </w:t>
      </w:r>
      <w:r w:rsidR="007F0BEF">
        <w:t>12.5</w:t>
      </w:r>
      <w:r w:rsidR="00D96FEF">
        <w:t> </w:t>
      </w:r>
      <w:r w:rsidR="007F0BEF">
        <w:t>mg</w:t>
      </w:r>
      <w:r w:rsidR="007345EF">
        <w:t xml:space="preserve">, </w:t>
      </w:r>
      <w:r w:rsidR="007F0BEF">
        <w:t>25</w:t>
      </w:r>
      <w:r w:rsidR="00D96FEF">
        <w:t> </w:t>
      </w:r>
      <w:r w:rsidR="007F0BEF">
        <w:t>mg</w:t>
      </w:r>
      <w:r w:rsidR="007345EF">
        <w:t xml:space="preserve"> and 50</w:t>
      </w:r>
      <w:r w:rsidR="00D96FEF">
        <w:t> </w:t>
      </w:r>
      <w:r w:rsidR="007345EF">
        <w:t>mg capsules were PBS listed for pNET</w:t>
      </w:r>
      <w:r>
        <w:t xml:space="preserve"> on 1</w:t>
      </w:r>
      <w:r w:rsidR="00D96FEF">
        <w:t> </w:t>
      </w:r>
      <w:r>
        <w:t>December 2013. The 37.5</w:t>
      </w:r>
      <w:r w:rsidR="00D96FEF">
        <w:t> </w:t>
      </w:r>
      <w:r>
        <w:t xml:space="preserve">mg strength was </w:t>
      </w:r>
      <w:r w:rsidRPr="007C554A">
        <w:t xml:space="preserve">added on </w:t>
      </w:r>
      <w:r w:rsidR="00B346B6" w:rsidRPr="007C554A">
        <w:t>1 September 2015.</w:t>
      </w:r>
      <w:r w:rsidR="00B346B6">
        <w:t xml:space="preserve"> </w:t>
      </w:r>
      <w:r>
        <w:t>Everolimus</w:t>
      </w:r>
      <w:r w:rsidR="007345EF">
        <w:t xml:space="preserve"> (Afinitor</w:t>
      </w:r>
      <w:r w:rsidR="001B0858">
        <w:t>®</w:t>
      </w:r>
      <w:r w:rsidR="00A90938">
        <w:t>) 5</w:t>
      </w:r>
      <w:r w:rsidR="00D96FEF">
        <w:t> </w:t>
      </w:r>
      <w:r w:rsidR="00A90938">
        <w:t>mg</w:t>
      </w:r>
      <w:r w:rsidR="001B0858">
        <w:t xml:space="preserve"> and 10</w:t>
      </w:r>
      <w:r w:rsidR="00D96FEF">
        <w:t> </w:t>
      </w:r>
      <w:r w:rsidR="001B0858">
        <w:t>mg capsules were</w:t>
      </w:r>
      <w:r>
        <w:t xml:space="preserve"> listed for pNET on </w:t>
      </w:r>
      <w:r w:rsidR="001F458A">
        <w:t>1 April 2015</w:t>
      </w:r>
      <w:r w:rsidR="00964FDA">
        <w:t>.</w:t>
      </w:r>
    </w:p>
    <w:p w:rsidR="00964FDA" w:rsidRPr="000B4328" w:rsidRDefault="001B0858" w:rsidP="00964FDA">
      <w:pPr>
        <w:spacing w:after="150" w:line="300" w:lineRule="atLeast"/>
        <w:rPr>
          <w:rFonts w:eastAsia="Times New Roman" w:cs="Arial"/>
          <w:color w:val="222222"/>
        </w:rPr>
      </w:pPr>
      <w:r>
        <w:rPr>
          <w:rFonts w:eastAsia="Times New Roman" w:cs="Arial"/>
          <w:color w:val="222222"/>
        </w:rPr>
        <w:t>Eligible p</w:t>
      </w:r>
      <w:r w:rsidR="00964FDA">
        <w:rPr>
          <w:rFonts w:eastAsia="Times New Roman" w:cs="Arial"/>
          <w:color w:val="222222"/>
        </w:rPr>
        <w:t>atients must have m</w:t>
      </w:r>
      <w:r w:rsidR="00964FDA" w:rsidRPr="000B4328">
        <w:rPr>
          <w:rFonts w:eastAsia="Times New Roman" w:cs="Arial"/>
          <w:color w:val="222222"/>
        </w:rPr>
        <w:t xml:space="preserve">etastatic or unresectable, well-differentiated malignant </w:t>
      </w:r>
      <w:r w:rsidR="00964FDA">
        <w:rPr>
          <w:rFonts w:eastAsia="Times New Roman" w:cs="Arial"/>
          <w:color w:val="222222"/>
        </w:rPr>
        <w:t xml:space="preserve">pNET. </w:t>
      </w:r>
      <w:r w:rsidR="00964FDA" w:rsidRPr="000B4328">
        <w:rPr>
          <w:rFonts w:eastAsia="Times New Roman" w:cs="Arial"/>
          <w:color w:val="222222"/>
        </w:rPr>
        <w:t>Patient</w:t>
      </w:r>
      <w:r w:rsidR="00964FDA">
        <w:rPr>
          <w:rFonts w:eastAsia="Times New Roman" w:cs="Arial"/>
          <w:color w:val="222222"/>
        </w:rPr>
        <w:t>s</w:t>
      </w:r>
      <w:r w:rsidR="00964FDA" w:rsidRPr="000B4328">
        <w:rPr>
          <w:rFonts w:eastAsia="Times New Roman" w:cs="Arial"/>
          <w:color w:val="222222"/>
        </w:rPr>
        <w:t xml:space="preserve"> must be symptomatic (des</w:t>
      </w:r>
      <w:r>
        <w:rPr>
          <w:rFonts w:eastAsia="Times New Roman" w:cs="Arial"/>
          <w:color w:val="222222"/>
        </w:rPr>
        <w:t>pite somatostatin analogues); or p</w:t>
      </w:r>
      <w:r w:rsidR="00964FDA" w:rsidRPr="000B4328">
        <w:rPr>
          <w:rFonts w:eastAsia="Times New Roman" w:cs="Arial"/>
          <w:color w:val="222222"/>
        </w:rPr>
        <w:t>atient</w:t>
      </w:r>
      <w:r w:rsidR="00964FDA">
        <w:rPr>
          <w:rFonts w:eastAsia="Times New Roman" w:cs="Arial"/>
          <w:color w:val="222222"/>
        </w:rPr>
        <w:t>s</w:t>
      </w:r>
      <w:r>
        <w:rPr>
          <w:rFonts w:eastAsia="Times New Roman" w:cs="Arial"/>
          <w:color w:val="222222"/>
        </w:rPr>
        <w:t xml:space="preserve"> must have disease progression.</w:t>
      </w:r>
    </w:p>
    <w:p w:rsidR="009C66AA" w:rsidRPr="000B4328" w:rsidRDefault="00964FDA" w:rsidP="009C66AA">
      <w:pPr>
        <w:shd w:val="clear" w:color="auto" w:fill="FFFFFF"/>
        <w:spacing w:after="240" w:line="300" w:lineRule="atLeast"/>
        <w:rPr>
          <w:rFonts w:eastAsia="Times New Roman" w:cs="Arial"/>
          <w:color w:val="222222"/>
        </w:rPr>
      </w:pPr>
      <w:r w:rsidRPr="000B4328">
        <w:rPr>
          <w:rFonts w:eastAsia="Times New Roman" w:cs="Arial"/>
          <w:color w:val="222222"/>
        </w:rPr>
        <w:t xml:space="preserve">Patients who have developed progressive disease on everolimus are not eligible to receive PBS-subsidised sunitinib for this condition. </w:t>
      </w:r>
      <w:r w:rsidR="001B0858" w:rsidRPr="000B4328">
        <w:rPr>
          <w:rFonts w:eastAsia="Times New Roman" w:cs="Arial"/>
          <w:color w:val="222222"/>
        </w:rPr>
        <w:t>Disease progression must be documented in the patient's medical records.</w:t>
      </w:r>
      <w:r w:rsidR="001B0858">
        <w:rPr>
          <w:rFonts w:eastAsia="Times New Roman" w:cs="Arial"/>
          <w:color w:val="222222"/>
        </w:rPr>
        <w:t xml:space="preserve"> </w:t>
      </w:r>
      <w:r w:rsidR="009C66AA" w:rsidRPr="000B4328">
        <w:rPr>
          <w:rFonts w:eastAsia="Times New Roman" w:cs="Arial"/>
          <w:color w:val="222222"/>
        </w:rPr>
        <w:t>Patients who have developed intolerance to sunitinib</w:t>
      </w:r>
      <w:r w:rsidR="001B0858">
        <w:rPr>
          <w:rFonts w:eastAsia="Times New Roman" w:cs="Arial"/>
          <w:color w:val="222222"/>
        </w:rPr>
        <w:t xml:space="preserve"> or everolimus that is sufficiently severe</w:t>
      </w:r>
      <w:r w:rsidR="009C66AA" w:rsidRPr="000B4328">
        <w:rPr>
          <w:rFonts w:eastAsia="Times New Roman" w:cs="Arial"/>
          <w:color w:val="222222"/>
        </w:rPr>
        <w:t xml:space="preserve"> </w:t>
      </w:r>
      <w:r w:rsidR="001B0858">
        <w:rPr>
          <w:rFonts w:eastAsia="Times New Roman" w:cs="Arial"/>
          <w:color w:val="222222"/>
        </w:rPr>
        <w:t>to necessitate</w:t>
      </w:r>
      <w:r w:rsidR="009C66AA" w:rsidRPr="000B4328">
        <w:rPr>
          <w:rFonts w:eastAsia="Times New Roman" w:cs="Arial"/>
          <w:color w:val="222222"/>
        </w:rPr>
        <w:t xml:space="preserve"> permanent treatment withdrawal are eligible to receive PBS-subsidised </w:t>
      </w:r>
      <w:r w:rsidR="001B0858">
        <w:rPr>
          <w:rFonts w:eastAsia="Times New Roman" w:cs="Arial"/>
          <w:color w:val="222222"/>
        </w:rPr>
        <w:t>treatment with the other listed medicine</w:t>
      </w:r>
      <w:r w:rsidR="009C66AA" w:rsidRPr="000B4328">
        <w:rPr>
          <w:rFonts w:eastAsia="Times New Roman" w:cs="Arial"/>
          <w:color w:val="222222"/>
        </w:rPr>
        <w:t>.</w:t>
      </w:r>
    </w:p>
    <w:p w:rsidR="00E638CB" w:rsidRPr="009A6C71" w:rsidRDefault="00E638CB" w:rsidP="00E638CB">
      <w:pPr>
        <w:pStyle w:val="Heading2"/>
        <w:keepNext/>
        <w:rPr>
          <w:i/>
        </w:rPr>
      </w:pPr>
      <w:r w:rsidRPr="009A6C71">
        <w:rPr>
          <w:i/>
        </w:rPr>
        <w:t>Key Findings</w:t>
      </w:r>
    </w:p>
    <w:p w:rsidR="001E6406" w:rsidRDefault="00E638CB" w:rsidP="00420931">
      <w:pPr>
        <w:pStyle w:val="ListParagraph"/>
        <w:numPr>
          <w:ilvl w:val="0"/>
          <w:numId w:val="14"/>
        </w:numPr>
        <w:rPr>
          <w:rFonts w:ascii="Calibri" w:eastAsia="MS Mincho" w:hAnsi="Calibri" w:cs="Times New Roman"/>
        </w:rPr>
      </w:pPr>
      <w:r w:rsidRPr="008C7F57">
        <w:rPr>
          <w:rFonts w:ascii="Calibri" w:eastAsia="MS Mincho" w:hAnsi="Calibri" w:cs="Times New Roman"/>
        </w:rPr>
        <w:t xml:space="preserve">The actual prescription utilisation </w:t>
      </w:r>
      <w:r>
        <w:rPr>
          <w:rFonts w:ascii="Calibri" w:eastAsia="MS Mincho" w:hAnsi="Calibri" w:cs="Times New Roman"/>
        </w:rPr>
        <w:t xml:space="preserve">and R/PBS expenditure </w:t>
      </w:r>
      <w:r w:rsidRPr="008C7F57">
        <w:rPr>
          <w:rFonts w:ascii="Calibri" w:eastAsia="MS Mincho" w:hAnsi="Calibri" w:cs="Times New Roman"/>
        </w:rPr>
        <w:t xml:space="preserve">was less than predicted </w:t>
      </w:r>
      <w:r>
        <w:rPr>
          <w:rFonts w:ascii="Calibri" w:eastAsia="MS Mincho" w:hAnsi="Calibri" w:cs="Times New Roman"/>
        </w:rPr>
        <w:t>for both sunitinib and everolimus</w:t>
      </w:r>
      <w:r w:rsidR="00B1462D">
        <w:rPr>
          <w:rFonts w:ascii="Calibri" w:eastAsia="MS Mincho" w:hAnsi="Calibri" w:cs="Times New Roman"/>
        </w:rPr>
        <w:t xml:space="preserve">. </w:t>
      </w:r>
    </w:p>
    <w:p w:rsidR="001E6406" w:rsidRDefault="001E6406" w:rsidP="00420931">
      <w:pPr>
        <w:pStyle w:val="ListParagraph"/>
        <w:numPr>
          <w:ilvl w:val="0"/>
          <w:numId w:val="14"/>
        </w:numPr>
        <w:rPr>
          <w:rFonts w:ascii="Calibri" w:eastAsia="MS Mincho" w:hAnsi="Calibri" w:cs="Times New Roman"/>
        </w:rPr>
      </w:pPr>
      <w:r>
        <w:rPr>
          <w:rFonts w:ascii="Calibri" w:eastAsia="MS Mincho" w:hAnsi="Calibri" w:cs="Times New Roman"/>
        </w:rPr>
        <w:t>T</w:t>
      </w:r>
      <w:r w:rsidR="00E638CB">
        <w:rPr>
          <w:rFonts w:ascii="Calibri" w:eastAsia="MS Mincho" w:hAnsi="Calibri" w:cs="Times New Roman"/>
        </w:rPr>
        <w:t>he number of patient</w:t>
      </w:r>
      <w:r w:rsidR="007F0BEF">
        <w:rPr>
          <w:rFonts w:ascii="Calibri" w:eastAsia="MS Mincho" w:hAnsi="Calibri" w:cs="Times New Roman"/>
        </w:rPr>
        <w:t>s</w:t>
      </w:r>
      <w:r w:rsidR="00E638CB">
        <w:rPr>
          <w:rFonts w:ascii="Calibri" w:eastAsia="MS Mincho" w:hAnsi="Calibri" w:cs="Times New Roman"/>
        </w:rPr>
        <w:t xml:space="preserve"> treated was more than expected for both drugs (</w:t>
      </w:r>
      <w:r w:rsidR="00FF391C">
        <w:rPr>
          <w:rFonts w:ascii="Calibri" w:eastAsia="MS Mincho" w:hAnsi="Calibri" w:cs="Times New Roman"/>
          <w:noProof/>
          <w:color w:val="000000"/>
          <w:highlight w:val="black"/>
        </w:rPr>
        <w:t>''''''' '''''''''' '''''''''' ''''''''''''''''' '''''' '''''''''''''''' '''' ''''''''' ''</w:t>
      </w:r>
      <w:r w:rsidR="00E638CB">
        <w:rPr>
          <w:rFonts w:ascii="Calibri" w:eastAsia="MS Mincho" w:hAnsi="Calibri" w:cs="Times New Roman"/>
        </w:rPr>
        <w:t xml:space="preserve"> and </w:t>
      </w:r>
      <w:r w:rsidR="00FF391C">
        <w:rPr>
          <w:rFonts w:ascii="Calibri" w:eastAsia="MS Mincho" w:hAnsi="Calibri" w:cs="Times New Roman"/>
          <w:noProof/>
          <w:color w:val="000000"/>
          <w:highlight w:val="black"/>
        </w:rPr>
        <w:t>''''''''' ''''''''''' ''''''''' '''''''''''''''' '''''' ''''''''''''''''''''' '''' ''''''''' ''' '''''''''' ''''''''''''</w:t>
      </w:r>
      <w:r w:rsidR="00E638CB">
        <w:rPr>
          <w:rFonts w:ascii="Calibri" w:eastAsia="MS Mincho" w:hAnsi="Calibri" w:cs="Times New Roman"/>
        </w:rPr>
        <w:t>).</w:t>
      </w:r>
    </w:p>
    <w:p w:rsidR="00E638CB" w:rsidRDefault="00E638CB" w:rsidP="00420931">
      <w:pPr>
        <w:pStyle w:val="ListParagraph"/>
        <w:numPr>
          <w:ilvl w:val="0"/>
          <w:numId w:val="14"/>
        </w:numPr>
        <w:rPr>
          <w:rFonts w:ascii="Calibri" w:eastAsia="MS Mincho" w:hAnsi="Calibri" w:cs="Times New Roman"/>
        </w:rPr>
      </w:pPr>
      <w:r>
        <w:rPr>
          <w:rFonts w:ascii="Calibri" w:eastAsia="MS Mincho" w:hAnsi="Calibri" w:cs="Times New Roman"/>
        </w:rPr>
        <w:t>Th</w:t>
      </w:r>
      <w:r w:rsidR="00B1462D">
        <w:rPr>
          <w:rFonts w:ascii="Calibri" w:eastAsia="MS Mincho" w:hAnsi="Calibri" w:cs="Times New Roman"/>
        </w:rPr>
        <w:t>e</w:t>
      </w:r>
      <w:r>
        <w:rPr>
          <w:rFonts w:ascii="Calibri" w:eastAsia="MS Mincho" w:hAnsi="Calibri" w:cs="Times New Roman"/>
        </w:rPr>
        <w:t xml:space="preserve"> number of prescriptions per patient per year </w:t>
      </w:r>
      <w:r w:rsidR="00B1462D">
        <w:rPr>
          <w:rFonts w:ascii="Calibri" w:eastAsia="MS Mincho" w:hAnsi="Calibri" w:cs="Times New Roman"/>
        </w:rPr>
        <w:t xml:space="preserve">and the overall length of treatment per patient </w:t>
      </w:r>
      <w:r w:rsidR="000F531B">
        <w:rPr>
          <w:rFonts w:ascii="Calibri" w:eastAsia="MS Mincho" w:hAnsi="Calibri" w:cs="Times New Roman"/>
        </w:rPr>
        <w:t xml:space="preserve">for both drugs </w:t>
      </w:r>
      <w:r w:rsidR="004C3DCC">
        <w:rPr>
          <w:rFonts w:ascii="Calibri" w:eastAsia="MS Mincho" w:hAnsi="Calibri" w:cs="Times New Roman"/>
        </w:rPr>
        <w:t>were</w:t>
      </w:r>
      <w:r w:rsidR="000F531B">
        <w:rPr>
          <w:rFonts w:ascii="Calibri" w:eastAsia="MS Mincho" w:hAnsi="Calibri" w:cs="Times New Roman"/>
        </w:rPr>
        <w:t xml:space="preserve"> much less than predicted.</w:t>
      </w:r>
    </w:p>
    <w:p w:rsidR="00321A19" w:rsidRDefault="00321A19" w:rsidP="00813FF0">
      <w:pPr>
        <w:pStyle w:val="Heading4"/>
        <w:rPr>
          <w:i w:val="0"/>
        </w:rPr>
      </w:pPr>
      <w:r w:rsidRPr="00321A19">
        <w:rPr>
          <w:i w:val="0"/>
        </w:rPr>
        <w:lastRenderedPageBreak/>
        <w:t>Purpose of analysis</w:t>
      </w:r>
    </w:p>
    <w:p w:rsidR="00CD2AF7" w:rsidRDefault="00B75E36" w:rsidP="00B75E36">
      <w:pPr>
        <w:spacing w:after="0"/>
      </w:pPr>
      <w:r w:rsidRPr="00BB03D1">
        <w:t xml:space="preserve">To compare the predicted and actual utilisation of </w:t>
      </w:r>
      <w:r>
        <w:t>s</w:t>
      </w:r>
      <w:r w:rsidRPr="00CA02E6">
        <w:t>unitinib and</w:t>
      </w:r>
      <w:r>
        <w:t xml:space="preserve"> </w:t>
      </w:r>
      <w:r w:rsidR="004C3DCC">
        <w:t>everolimus</w:t>
      </w:r>
      <w:r>
        <w:t xml:space="preserve"> for the treatment of </w:t>
      </w:r>
      <w:r w:rsidRPr="00CA02E6">
        <w:t>pNET</w:t>
      </w:r>
      <w:r w:rsidRPr="00BB03D1">
        <w:t xml:space="preserve"> since </w:t>
      </w:r>
      <w:r w:rsidR="00E647FA">
        <w:t>they were</w:t>
      </w:r>
      <w:r w:rsidRPr="00BB03D1">
        <w:t xml:space="preserve"> </w:t>
      </w:r>
      <w:r>
        <w:t xml:space="preserve">PBS </w:t>
      </w:r>
      <w:r w:rsidRPr="00BB03D1">
        <w:t xml:space="preserve">listed for this indication in </w:t>
      </w:r>
      <w:r>
        <w:t xml:space="preserve">December </w:t>
      </w:r>
      <w:r w:rsidRPr="00BB03D1">
        <w:t>201</w:t>
      </w:r>
      <w:r>
        <w:t>3 and September 2014 respectively.</w:t>
      </w:r>
      <w:r w:rsidR="001864DD">
        <w:t xml:space="preserve"> </w:t>
      </w:r>
      <w:r w:rsidR="00731730">
        <w:t xml:space="preserve">To review the pattern of utilisation as requested by </w:t>
      </w:r>
      <w:r w:rsidR="004C3DCC">
        <w:t xml:space="preserve">the </w:t>
      </w:r>
      <w:r w:rsidR="00731730">
        <w:t>PBAC</w:t>
      </w:r>
      <w:r w:rsidR="005D36AF">
        <w:t xml:space="preserve"> at its </w:t>
      </w:r>
      <w:r w:rsidR="00731730">
        <w:t xml:space="preserve">August 2013 </w:t>
      </w:r>
      <w:r w:rsidR="00CE6D4F">
        <w:t>meeting</w:t>
      </w:r>
      <w:r w:rsidR="00731730">
        <w:t>.</w:t>
      </w:r>
    </w:p>
    <w:p w:rsidR="00821C17" w:rsidRPr="003F0749" w:rsidRDefault="00821C17" w:rsidP="00813FF0">
      <w:pPr>
        <w:pStyle w:val="Heading4"/>
        <w:rPr>
          <w:i w:val="0"/>
        </w:rPr>
      </w:pPr>
      <w:r w:rsidRPr="003F0749">
        <w:rPr>
          <w:i w:val="0"/>
        </w:rPr>
        <w:t>Background</w:t>
      </w:r>
    </w:p>
    <w:p w:rsidR="00B75259" w:rsidRDefault="00B75259" w:rsidP="00B75259">
      <w:pPr>
        <w:spacing w:before="240"/>
        <w:outlineLvl w:val="1"/>
        <w:rPr>
          <w:rFonts w:ascii="Calibri" w:eastAsia="MS Mincho" w:hAnsi="Calibri" w:cs="Times New Roman"/>
          <w:b/>
          <w:sz w:val="28"/>
        </w:rPr>
      </w:pPr>
      <w:r w:rsidRPr="003F0749">
        <w:rPr>
          <w:rFonts w:ascii="Calibri" w:eastAsia="MS Mincho" w:hAnsi="Calibri" w:cs="Times New Roman"/>
          <w:b/>
          <w:sz w:val="28"/>
        </w:rPr>
        <w:t>Clinical situation</w:t>
      </w:r>
    </w:p>
    <w:p w:rsidR="002E663E" w:rsidRDefault="00083B81" w:rsidP="00B75259">
      <w:pPr>
        <w:spacing w:before="240"/>
        <w:outlineLvl w:val="1"/>
        <w:rPr>
          <w:rFonts w:ascii="Calibri" w:eastAsia="MS Mincho" w:hAnsi="Calibri" w:cs="Times New Roman"/>
        </w:rPr>
      </w:pPr>
      <w:r>
        <w:rPr>
          <w:rFonts w:ascii="Calibri" w:eastAsia="MS Mincho" w:hAnsi="Calibri" w:cs="Times New Roman"/>
        </w:rPr>
        <w:t>p</w:t>
      </w:r>
      <w:r w:rsidR="002E663E">
        <w:rPr>
          <w:rFonts w:ascii="Calibri" w:eastAsia="MS Mincho" w:hAnsi="Calibri" w:cs="Times New Roman"/>
        </w:rPr>
        <w:t>NET is a rare cancer with a poor prognosis for many patients. This tumour is often diagnosed at an advanced stage and metastases are often present. Surgical removal of the tumour is not always practical for many patients with pNET.</w:t>
      </w:r>
    </w:p>
    <w:p w:rsidR="00B75259" w:rsidRDefault="004C3DCC" w:rsidP="002E663E">
      <w:pPr>
        <w:spacing w:before="240"/>
        <w:outlineLvl w:val="1"/>
        <w:rPr>
          <w:rFonts w:ascii="Calibri" w:eastAsia="MS Mincho" w:hAnsi="Calibri" w:cs="Times New Roman"/>
        </w:rPr>
      </w:pPr>
      <w:r>
        <w:rPr>
          <w:rFonts w:ascii="Calibri" w:eastAsia="MS Mincho" w:hAnsi="Calibri" w:cs="Times New Roman"/>
        </w:rPr>
        <w:t>Sunitinib</w:t>
      </w:r>
      <w:r w:rsidR="002E663E">
        <w:rPr>
          <w:rFonts w:ascii="Calibri" w:eastAsia="MS Mincho" w:hAnsi="Calibri" w:cs="Times New Roman"/>
        </w:rPr>
        <w:t xml:space="preserve"> and everolimus provide a therapeutic option for patients who have metastatic disease and where surgery is not an option. </w:t>
      </w:r>
    </w:p>
    <w:p w:rsidR="00713BCD" w:rsidRPr="002E663E" w:rsidRDefault="00713BCD" w:rsidP="002E663E">
      <w:pPr>
        <w:spacing w:before="240"/>
        <w:outlineLvl w:val="1"/>
        <w:rPr>
          <w:rFonts w:ascii="Calibri" w:eastAsia="MS Mincho" w:hAnsi="Calibri" w:cs="Times New Roman"/>
        </w:rPr>
      </w:pPr>
      <w:r>
        <w:rPr>
          <w:rFonts w:ascii="Calibri" w:eastAsia="MS Mincho" w:hAnsi="Calibri" w:cs="Times New Roman"/>
        </w:rPr>
        <w:t xml:space="preserve">PBAC considered </w:t>
      </w:r>
      <w:r w:rsidR="00CE6D4F">
        <w:rPr>
          <w:rFonts w:ascii="Calibri" w:eastAsia="MS Mincho" w:hAnsi="Calibri" w:cs="Times New Roman"/>
        </w:rPr>
        <w:t xml:space="preserve">at its March 2012 meeting </w:t>
      </w:r>
      <w:r>
        <w:rPr>
          <w:rFonts w:ascii="Calibri" w:eastAsia="MS Mincho" w:hAnsi="Calibri" w:cs="Times New Roman"/>
        </w:rPr>
        <w:t>there was a high clinical need for treatment in this rare type of cancer.</w:t>
      </w:r>
    </w:p>
    <w:p w:rsidR="00B87CD5" w:rsidRDefault="00B87CD5" w:rsidP="00B87CD5">
      <w:pPr>
        <w:spacing w:before="240"/>
        <w:outlineLvl w:val="1"/>
        <w:rPr>
          <w:rFonts w:ascii="Calibri" w:eastAsia="MS Mincho" w:hAnsi="Calibri" w:cs="Times New Roman"/>
          <w:b/>
          <w:sz w:val="28"/>
        </w:rPr>
      </w:pPr>
      <w:r w:rsidRPr="003F0749">
        <w:rPr>
          <w:rFonts w:ascii="Calibri" w:eastAsia="MS Mincho" w:hAnsi="Calibri" w:cs="Times New Roman"/>
          <w:b/>
          <w:sz w:val="28"/>
        </w:rPr>
        <w:t>Pharmacology</w:t>
      </w:r>
    </w:p>
    <w:p w:rsidR="00132AE8" w:rsidRDefault="00AC52C7" w:rsidP="00083B81">
      <w:pPr>
        <w:spacing w:before="240"/>
        <w:outlineLvl w:val="1"/>
      </w:pPr>
      <w:r w:rsidRPr="00083B81">
        <w:t xml:space="preserve">Sunitinib is a small molecule that simultaneously inhibits multiple </w:t>
      </w:r>
      <w:r w:rsidR="00D50074">
        <w:t>receptor tyrosine kinases</w:t>
      </w:r>
      <w:r w:rsidRPr="00083B81">
        <w:t xml:space="preserve"> that are implicated in tumour growth, pathologic angiogenesis and metastatic progression of cancer. </w:t>
      </w:r>
    </w:p>
    <w:p w:rsidR="007B1A02" w:rsidRPr="007B1A02" w:rsidRDefault="007B1A02" w:rsidP="00083B81">
      <w:pPr>
        <w:spacing w:before="240"/>
        <w:outlineLvl w:val="1"/>
        <w:rPr>
          <w:rFonts w:ascii="Calibri" w:eastAsia="MS Mincho" w:hAnsi="Calibri" w:cs="Times New Roman"/>
          <w:b/>
        </w:rPr>
      </w:pPr>
      <w:r w:rsidRPr="007B1A02">
        <w:t>Everolimus is a signal transduction inhibitor targeting mTOR (mammalian target of rapamycin), or more specifically, mTORC1 (mammalian 'target of rapamycin' complex 1). mTOR is a key serine-threonine kinase playing a central role in the regulation of cell growth, proliferation and survival.</w:t>
      </w:r>
    </w:p>
    <w:p w:rsidR="00B87CD5" w:rsidRDefault="00B87CD5" w:rsidP="00B87CD5">
      <w:pPr>
        <w:spacing w:before="240"/>
        <w:outlineLvl w:val="1"/>
        <w:rPr>
          <w:rFonts w:ascii="Calibri" w:eastAsia="MS Mincho" w:hAnsi="Calibri" w:cs="Times New Roman"/>
          <w:b/>
          <w:sz w:val="28"/>
        </w:rPr>
      </w:pPr>
      <w:r w:rsidRPr="003F0749">
        <w:rPr>
          <w:rFonts w:ascii="Calibri" w:eastAsia="MS Mincho" w:hAnsi="Calibri" w:cs="Times New Roman"/>
          <w:b/>
          <w:sz w:val="28"/>
        </w:rPr>
        <w:t>Therapeutic Goods Administration (TGA) approved indications</w:t>
      </w:r>
    </w:p>
    <w:p w:rsidR="007A428A" w:rsidRPr="00083B81" w:rsidRDefault="00083B81" w:rsidP="00083B81">
      <w:pPr>
        <w:spacing w:before="240"/>
        <w:outlineLvl w:val="1"/>
        <w:rPr>
          <w:rFonts w:ascii="Calibri" w:eastAsia="MS Mincho" w:hAnsi="Calibri" w:cs="Times New Roman"/>
        </w:rPr>
      </w:pPr>
      <w:r w:rsidRPr="00083B81">
        <w:rPr>
          <w:rFonts w:ascii="Calibri" w:eastAsia="MS Mincho" w:hAnsi="Calibri" w:cs="Times New Roman"/>
        </w:rPr>
        <w:t xml:space="preserve">Sunitinib (Sutent®) is </w:t>
      </w:r>
      <w:r w:rsidR="0058027B">
        <w:rPr>
          <w:rFonts w:ascii="Calibri" w:eastAsia="MS Mincho" w:hAnsi="Calibri" w:cs="Times New Roman"/>
        </w:rPr>
        <w:t xml:space="preserve">TGA </w:t>
      </w:r>
      <w:r w:rsidRPr="00083B81">
        <w:rPr>
          <w:rFonts w:ascii="Calibri" w:eastAsia="MS Mincho" w:hAnsi="Calibri" w:cs="Times New Roman"/>
        </w:rPr>
        <w:t>registered for</w:t>
      </w:r>
    </w:p>
    <w:p w:rsidR="00083B81" w:rsidRPr="00083B81" w:rsidRDefault="00083B81" w:rsidP="00083B81">
      <w:pPr>
        <w:pStyle w:val="ListParagraph"/>
        <w:numPr>
          <w:ilvl w:val="0"/>
          <w:numId w:val="1"/>
        </w:numPr>
        <w:spacing w:before="240"/>
        <w:outlineLvl w:val="1"/>
        <w:rPr>
          <w:rFonts w:ascii="Calibri" w:eastAsia="MS Mincho" w:hAnsi="Calibri" w:cs="Times New Roman"/>
        </w:rPr>
      </w:pPr>
      <w:r w:rsidRPr="00083B81">
        <w:rPr>
          <w:rFonts w:ascii="Calibri" w:eastAsia="MS Mincho" w:hAnsi="Calibri" w:cs="Times New Roman"/>
        </w:rPr>
        <w:t>Unresectable well-differentiated pNET</w:t>
      </w:r>
      <w:r w:rsidR="00B346B6">
        <w:rPr>
          <w:rFonts w:ascii="Calibri" w:eastAsia="MS Mincho" w:hAnsi="Calibri" w:cs="Times New Roman"/>
        </w:rPr>
        <w:t>,</w:t>
      </w:r>
      <w:r w:rsidR="002E663E">
        <w:rPr>
          <w:rFonts w:ascii="Calibri" w:eastAsia="MS Mincho" w:hAnsi="Calibri" w:cs="Times New Roman"/>
        </w:rPr>
        <w:t xml:space="preserve"> 2 March 2011</w:t>
      </w:r>
      <w:r>
        <w:rPr>
          <w:rFonts w:ascii="Calibri" w:eastAsia="MS Mincho" w:hAnsi="Calibri" w:cs="Times New Roman"/>
        </w:rPr>
        <w:t>.</w:t>
      </w:r>
    </w:p>
    <w:p w:rsidR="00083B81" w:rsidRPr="00083B81" w:rsidRDefault="00083B81" w:rsidP="00083B81">
      <w:pPr>
        <w:pStyle w:val="ListParagraph"/>
        <w:numPr>
          <w:ilvl w:val="0"/>
          <w:numId w:val="1"/>
        </w:numPr>
        <w:spacing w:before="240"/>
        <w:outlineLvl w:val="1"/>
        <w:rPr>
          <w:rFonts w:ascii="Calibri" w:eastAsia="MS Mincho" w:hAnsi="Calibri" w:cs="Times New Roman"/>
        </w:rPr>
      </w:pPr>
      <w:r w:rsidRPr="00083B81">
        <w:rPr>
          <w:rFonts w:ascii="Calibri" w:eastAsia="MS Mincho" w:hAnsi="Calibri" w:cs="Times New Roman"/>
        </w:rPr>
        <w:t>Advanced renal cell carcinoma</w:t>
      </w:r>
      <w:r>
        <w:rPr>
          <w:rFonts w:ascii="Calibri" w:eastAsia="MS Mincho" w:hAnsi="Calibri" w:cs="Times New Roman"/>
        </w:rPr>
        <w:t>.</w:t>
      </w:r>
    </w:p>
    <w:p w:rsidR="00BB195F" w:rsidRPr="00083B81" w:rsidRDefault="004C3DCC" w:rsidP="00083B81">
      <w:pPr>
        <w:pStyle w:val="ListParagraph"/>
        <w:numPr>
          <w:ilvl w:val="0"/>
          <w:numId w:val="1"/>
        </w:numPr>
        <w:spacing w:before="240"/>
        <w:outlineLvl w:val="1"/>
        <w:rPr>
          <w:rFonts w:ascii="Calibri" w:eastAsia="MS Mincho" w:hAnsi="Calibri" w:cs="Times New Roman"/>
        </w:rPr>
      </w:pPr>
      <w:r w:rsidRPr="00083B81">
        <w:rPr>
          <w:rFonts w:ascii="Calibri" w:eastAsia="MS Mincho" w:hAnsi="Calibri" w:cs="Times New Roman"/>
        </w:rPr>
        <w:t>Gastrointestinal</w:t>
      </w:r>
      <w:r w:rsidR="00083B81" w:rsidRPr="00083B81">
        <w:rPr>
          <w:rFonts w:ascii="Calibri" w:eastAsia="MS Mincho" w:hAnsi="Calibri" w:cs="Times New Roman"/>
        </w:rPr>
        <w:t xml:space="preserve"> </w:t>
      </w:r>
      <w:r w:rsidRPr="00083B81">
        <w:rPr>
          <w:rFonts w:ascii="Calibri" w:eastAsia="MS Mincho" w:hAnsi="Calibri" w:cs="Times New Roman"/>
        </w:rPr>
        <w:t>stromal</w:t>
      </w:r>
      <w:r w:rsidR="00083B81" w:rsidRPr="00083B81">
        <w:rPr>
          <w:rFonts w:ascii="Calibri" w:eastAsia="MS Mincho" w:hAnsi="Calibri" w:cs="Times New Roman"/>
        </w:rPr>
        <w:t xml:space="preserve"> tumour after failure of imatinib mesylate treatment due to resistance or intolerance.</w:t>
      </w:r>
    </w:p>
    <w:p w:rsidR="0058027B" w:rsidRPr="0058027B" w:rsidRDefault="0058027B" w:rsidP="0058027B">
      <w:pPr>
        <w:spacing w:after="0"/>
        <w:contextualSpacing/>
        <w:jc w:val="both"/>
        <w:rPr>
          <w:rFonts w:eastAsia="Times New Roman" w:cs="Times New Roman"/>
        </w:rPr>
      </w:pPr>
      <w:r w:rsidRPr="0058027B">
        <w:rPr>
          <w:rFonts w:eastAsia="Times New Roman" w:cs="Times New Roman"/>
        </w:rPr>
        <w:t>Everolimus</w:t>
      </w:r>
      <w:r>
        <w:rPr>
          <w:rFonts w:eastAsia="Times New Roman" w:cs="Times New Roman"/>
        </w:rPr>
        <w:t xml:space="preserve"> (Afinitor®)</w:t>
      </w:r>
      <w:r w:rsidRPr="0058027B">
        <w:rPr>
          <w:rFonts w:eastAsia="Times New Roman" w:cs="Times New Roman"/>
        </w:rPr>
        <w:t xml:space="preserve"> is TGA registered for the following indications:  </w:t>
      </w:r>
    </w:p>
    <w:p w:rsidR="0058027B" w:rsidRPr="0058027B" w:rsidRDefault="0058027B" w:rsidP="0058027B">
      <w:pPr>
        <w:spacing w:after="0"/>
        <w:ind w:left="720"/>
        <w:contextualSpacing/>
        <w:jc w:val="both"/>
        <w:rPr>
          <w:rFonts w:eastAsia="Times New Roman" w:cs="Times New Roman"/>
        </w:rPr>
      </w:pPr>
    </w:p>
    <w:p w:rsidR="0058027B" w:rsidRPr="0058027B" w:rsidRDefault="0058027B" w:rsidP="0058027B">
      <w:pPr>
        <w:numPr>
          <w:ilvl w:val="0"/>
          <w:numId w:val="1"/>
        </w:numPr>
        <w:spacing w:after="0"/>
        <w:contextualSpacing/>
        <w:jc w:val="both"/>
        <w:rPr>
          <w:rFonts w:eastAsia="Times New Roman" w:cs="Times New Roman"/>
          <w:lang w:val="en-US"/>
        </w:rPr>
      </w:pPr>
      <w:r w:rsidRPr="0058027B">
        <w:rPr>
          <w:rFonts w:eastAsia="Times New Roman" w:cs="Times New Roman"/>
          <w:lang w:val="en-US"/>
        </w:rPr>
        <w:t xml:space="preserve">For the treatment of postmenopausal women with hormone receptor-positive, HER2 negative advanced breast cancer in combination with exemestane after failure of treatment with letrozole or anastrozole. </w:t>
      </w:r>
      <w:r w:rsidRPr="0058027B">
        <w:rPr>
          <w:rFonts w:ascii="MS Gothic" w:eastAsia="MS Gothic" w:hAnsi="MS Gothic" w:cs="MS Gothic" w:hint="eastAsia"/>
          <w:lang w:val="en-US"/>
        </w:rPr>
        <w:t> </w:t>
      </w:r>
    </w:p>
    <w:p w:rsidR="0058027B" w:rsidRPr="0058027B" w:rsidRDefault="0058027B" w:rsidP="0058027B">
      <w:pPr>
        <w:numPr>
          <w:ilvl w:val="0"/>
          <w:numId w:val="1"/>
        </w:numPr>
        <w:spacing w:after="0"/>
        <w:contextualSpacing/>
        <w:jc w:val="both"/>
        <w:rPr>
          <w:rFonts w:eastAsia="Times New Roman" w:cs="Times New Roman"/>
          <w:lang w:val="en-US"/>
        </w:rPr>
      </w:pPr>
      <w:r w:rsidRPr="0058027B">
        <w:rPr>
          <w:rFonts w:eastAsia="Times New Roman" w:cs="Times New Roman"/>
          <w:lang w:val="en-US"/>
        </w:rPr>
        <w:lastRenderedPageBreak/>
        <w:t xml:space="preserve">For the treatment of patients with progressive, unresectable or metastatic, well or moderately differentiated, neuroendocrine tumours (NETs) of pancreatic origin. </w:t>
      </w:r>
    </w:p>
    <w:p w:rsidR="0058027B" w:rsidRPr="0058027B" w:rsidRDefault="0058027B" w:rsidP="0058027B">
      <w:pPr>
        <w:numPr>
          <w:ilvl w:val="0"/>
          <w:numId w:val="1"/>
        </w:numPr>
        <w:spacing w:after="0"/>
        <w:contextualSpacing/>
        <w:jc w:val="both"/>
        <w:rPr>
          <w:rFonts w:eastAsia="Times New Roman" w:cs="Times New Roman"/>
          <w:lang w:val="en-US"/>
        </w:rPr>
      </w:pPr>
      <w:r w:rsidRPr="0058027B">
        <w:rPr>
          <w:rFonts w:eastAsia="Times New Roman" w:cs="Times New Roman"/>
          <w:lang w:val="en-US"/>
        </w:rPr>
        <w:t xml:space="preserve">For the treatment of patients with advanced renal cell carcinoma after failure of treatment with sorafenib or sunitinib. </w:t>
      </w:r>
    </w:p>
    <w:p w:rsidR="0058027B" w:rsidRPr="0058027B" w:rsidRDefault="0058027B" w:rsidP="0058027B">
      <w:pPr>
        <w:numPr>
          <w:ilvl w:val="0"/>
          <w:numId w:val="1"/>
        </w:numPr>
        <w:spacing w:after="0"/>
        <w:contextualSpacing/>
        <w:jc w:val="both"/>
        <w:rPr>
          <w:rFonts w:eastAsia="Times New Roman" w:cs="Times New Roman"/>
          <w:lang w:val="en-US"/>
        </w:rPr>
      </w:pPr>
      <w:r w:rsidRPr="0058027B">
        <w:rPr>
          <w:rFonts w:eastAsia="Times New Roman" w:cs="Times New Roman"/>
          <w:lang w:val="en-US"/>
        </w:rPr>
        <w:t>For the treatment of patients with subependymal giant cell astrocytoma (SEGA) associated with tuberous sclerosis complex (TSC), who require therapeutic intervention but are not candidates for curative surgical resection.</w:t>
      </w:r>
    </w:p>
    <w:p w:rsidR="0058027B" w:rsidRPr="0058027B" w:rsidRDefault="0058027B" w:rsidP="0058027B">
      <w:pPr>
        <w:numPr>
          <w:ilvl w:val="0"/>
          <w:numId w:val="1"/>
        </w:numPr>
        <w:spacing w:after="0"/>
        <w:contextualSpacing/>
        <w:jc w:val="both"/>
        <w:rPr>
          <w:rFonts w:eastAsia="Times New Roman" w:cs="Times New Roman"/>
          <w:lang w:val="en-US"/>
        </w:rPr>
      </w:pPr>
      <w:r w:rsidRPr="0058027B">
        <w:rPr>
          <w:rFonts w:eastAsia="Times New Roman" w:cs="Times New Roman"/>
          <w:lang w:val="en-US"/>
        </w:rPr>
        <w:t>For the treatment of patients with TSC who have renal angiomyolipoma not requiring immediate surgery.</w:t>
      </w:r>
    </w:p>
    <w:p w:rsidR="0058027B" w:rsidRPr="0058027B" w:rsidRDefault="0058027B" w:rsidP="00083B81">
      <w:pPr>
        <w:spacing w:line="276" w:lineRule="auto"/>
        <w:rPr>
          <w:rFonts w:ascii="Calibri" w:eastAsia="MS Mincho" w:hAnsi="Calibri" w:cs="Times New Roman"/>
        </w:rPr>
      </w:pPr>
    </w:p>
    <w:p w:rsidR="00083B81" w:rsidRDefault="00B87CD5" w:rsidP="00083B81">
      <w:pPr>
        <w:spacing w:line="276" w:lineRule="auto"/>
        <w:rPr>
          <w:rFonts w:ascii="Calibri" w:eastAsia="MS Mincho" w:hAnsi="Calibri" w:cs="Times New Roman"/>
          <w:b/>
          <w:sz w:val="28"/>
        </w:rPr>
      </w:pPr>
      <w:r w:rsidRPr="003F0749">
        <w:rPr>
          <w:rFonts w:ascii="Calibri" w:eastAsia="MS Mincho" w:hAnsi="Calibri" w:cs="Times New Roman"/>
          <w:b/>
          <w:sz w:val="28"/>
        </w:rPr>
        <w:t>Dosag</w:t>
      </w:r>
      <w:r w:rsidR="00083B81">
        <w:rPr>
          <w:rFonts w:ascii="Calibri" w:eastAsia="MS Mincho" w:hAnsi="Calibri" w:cs="Times New Roman"/>
          <w:b/>
          <w:sz w:val="28"/>
        </w:rPr>
        <w:t>e and administration</w:t>
      </w:r>
    </w:p>
    <w:p w:rsidR="007B1A02" w:rsidRDefault="00083B81" w:rsidP="00083B81">
      <w:pPr>
        <w:spacing w:line="276" w:lineRule="auto"/>
        <w:rPr>
          <w:rFonts w:ascii="Calibri" w:eastAsia="MS Mincho" w:hAnsi="Calibri" w:cs="Times New Roman"/>
        </w:rPr>
      </w:pPr>
      <w:r>
        <w:rPr>
          <w:rFonts w:ascii="Calibri" w:eastAsia="MS Mincho" w:hAnsi="Calibri" w:cs="Times New Roman"/>
        </w:rPr>
        <w:t xml:space="preserve">Sunitinib does not usually require dose adjustments based on age, body weight, race, gender or progression of disease. </w:t>
      </w:r>
    </w:p>
    <w:p w:rsidR="00B75E36" w:rsidRDefault="00B346B6" w:rsidP="00083B81">
      <w:pPr>
        <w:spacing w:line="276" w:lineRule="auto"/>
        <w:rPr>
          <w:rFonts w:ascii="Calibri" w:eastAsia="MS Mincho" w:hAnsi="Calibri" w:cs="Times New Roman"/>
        </w:rPr>
      </w:pPr>
      <w:r>
        <w:rPr>
          <w:rFonts w:ascii="Calibri" w:eastAsia="MS Mincho" w:hAnsi="Calibri" w:cs="Times New Roman"/>
        </w:rPr>
        <w:t xml:space="preserve">Sunitinib </w:t>
      </w:r>
      <w:r w:rsidR="007B1A02">
        <w:rPr>
          <w:rFonts w:ascii="Calibri" w:eastAsia="MS Mincho" w:hAnsi="Calibri" w:cs="Times New Roman"/>
        </w:rPr>
        <w:t xml:space="preserve">and </w:t>
      </w:r>
      <w:r>
        <w:rPr>
          <w:rFonts w:ascii="Calibri" w:eastAsia="MS Mincho" w:hAnsi="Calibri" w:cs="Times New Roman"/>
        </w:rPr>
        <w:t xml:space="preserve">everolimus </w:t>
      </w:r>
      <w:r w:rsidR="007B1A02">
        <w:rPr>
          <w:rFonts w:ascii="Calibri" w:eastAsia="MS Mincho" w:hAnsi="Calibri" w:cs="Times New Roman"/>
        </w:rPr>
        <w:t>are</w:t>
      </w:r>
      <w:r w:rsidR="00083B81">
        <w:rPr>
          <w:rFonts w:ascii="Calibri" w:eastAsia="MS Mincho" w:hAnsi="Calibri" w:cs="Times New Roman"/>
        </w:rPr>
        <w:t xml:space="preserve"> metabolised by CYP3A4 enzymes. Coadministration of potent inhibitors will increase serum levels and dose adjustment may be required.</w:t>
      </w:r>
    </w:p>
    <w:p w:rsidR="009900B9" w:rsidRDefault="007B1A02" w:rsidP="007B1A02">
      <w:pPr>
        <w:spacing w:line="276" w:lineRule="auto"/>
        <w:rPr>
          <w:rFonts w:ascii="Calibri" w:eastAsia="MS Mincho" w:hAnsi="Calibri" w:cs="Times New Roman"/>
          <w:b/>
          <w:sz w:val="28"/>
        </w:rPr>
      </w:pPr>
      <w:r>
        <w:rPr>
          <w:rFonts w:ascii="Calibri" w:eastAsia="MS Mincho" w:hAnsi="Calibri" w:cs="Times New Roman"/>
        </w:rPr>
        <w:t>Absorption of food affects serum levels of everolimus</w:t>
      </w:r>
      <w:r w:rsidR="003965CD">
        <w:rPr>
          <w:rFonts w:ascii="Calibri" w:eastAsia="MS Mincho" w:hAnsi="Calibri" w:cs="Times New Roman"/>
        </w:rPr>
        <w:t>.</w:t>
      </w:r>
    </w:p>
    <w:p w:rsidR="00FF609F" w:rsidRDefault="00FF609F" w:rsidP="00FF609F">
      <w:pPr>
        <w:spacing w:before="240"/>
        <w:outlineLvl w:val="1"/>
        <w:rPr>
          <w:rFonts w:ascii="Calibri" w:eastAsia="MS Mincho" w:hAnsi="Calibri" w:cs="Times New Roman"/>
          <w:b/>
          <w:sz w:val="28"/>
        </w:rPr>
      </w:pPr>
      <w:r w:rsidRPr="003F0749">
        <w:rPr>
          <w:rFonts w:ascii="Calibri" w:eastAsia="MS Mincho" w:hAnsi="Calibri" w:cs="Times New Roman"/>
          <w:b/>
          <w:sz w:val="28"/>
        </w:rPr>
        <w:t>Relevant aspects of consideration by the PBAC (abridged)</w:t>
      </w:r>
    </w:p>
    <w:p w:rsidR="009900B9" w:rsidRPr="009900B9" w:rsidRDefault="009900B9" w:rsidP="00FF609F">
      <w:pPr>
        <w:spacing w:before="240"/>
        <w:outlineLvl w:val="1"/>
        <w:rPr>
          <w:rFonts w:ascii="Calibri" w:eastAsia="MS Mincho" w:hAnsi="Calibri" w:cs="Times New Roman"/>
        </w:rPr>
      </w:pPr>
      <w:r>
        <w:rPr>
          <w:rFonts w:ascii="Calibri" w:eastAsia="MS Mincho" w:hAnsi="Calibri" w:cs="Times New Roman"/>
        </w:rPr>
        <w:t xml:space="preserve">The PBAC considered </w:t>
      </w:r>
      <w:r w:rsidR="00474255">
        <w:rPr>
          <w:rFonts w:ascii="Calibri" w:eastAsia="MS Mincho" w:hAnsi="Calibri" w:cs="Times New Roman"/>
        </w:rPr>
        <w:t xml:space="preserve">four </w:t>
      </w:r>
      <w:r>
        <w:rPr>
          <w:rFonts w:ascii="Calibri" w:eastAsia="MS Mincho" w:hAnsi="Calibri" w:cs="Times New Roman"/>
        </w:rPr>
        <w:t xml:space="preserve">submissions for sunitinib in pNET </w:t>
      </w:r>
      <w:r w:rsidR="00474255">
        <w:rPr>
          <w:rFonts w:ascii="Calibri" w:eastAsia="MS Mincho" w:hAnsi="Calibri" w:cs="Times New Roman"/>
        </w:rPr>
        <w:t xml:space="preserve">(PBAC meetings July 2011, March and July 2012 and August 2013) </w:t>
      </w:r>
      <w:r>
        <w:rPr>
          <w:rFonts w:ascii="Calibri" w:eastAsia="MS Mincho" w:hAnsi="Calibri" w:cs="Times New Roman"/>
        </w:rPr>
        <w:t xml:space="preserve">and </w:t>
      </w:r>
      <w:r w:rsidR="00CD2AF7">
        <w:rPr>
          <w:rFonts w:ascii="Calibri" w:eastAsia="MS Mincho" w:hAnsi="Calibri" w:cs="Times New Roman"/>
        </w:rPr>
        <w:t xml:space="preserve">two </w:t>
      </w:r>
      <w:r w:rsidR="00A90938">
        <w:rPr>
          <w:rFonts w:ascii="Calibri" w:eastAsia="MS Mincho" w:hAnsi="Calibri" w:cs="Times New Roman"/>
        </w:rPr>
        <w:t>submissions for</w:t>
      </w:r>
      <w:r>
        <w:rPr>
          <w:rFonts w:ascii="Calibri" w:eastAsia="MS Mincho" w:hAnsi="Calibri" w:cs="Times New Roman"/>
        </w:rPr>
        <w:t xml:space="preserve"> </w:t>
      </w:r>
      <w:r w:rsidR="00A90938">
        <w:rPr>
          <w:rFonts w:ascii="Calibri" w:eastAsia="MS Mincho" w:hAnsi="Calibri" w:cs="Times New Roman"/>
        </w:rPr>
        <w:t>everolimus in</w:t>
      </w:r>
      <w:r>
        <w:rPr>
          <w:rFonts w:ascii="Calibri" w:eastAsia="MS Mincho" w:hAnsi="Calibri" w:cs="Times New Roman"/>
        </w:rPr>
        <w:t xml:space="preserve"> pNET</w:t>
      </w:r>
      <w:r w:rsidR="00DB23ED">
        <w:rPr>
          <w:rFonts w:ascii="Calibri" w:eastAsia="MS Mincho" w:hAnsi="Calibri" w:cs="Times New Roman"/>
        </w:rPr>
        <w:t xml:space="preserve"> </w:t>
      </w:r>
      <w:r w:rsidR="0048108A">
        <w:rPr>
          <w:rFonts w:ascii="Calibri" w:eastAsia="MS Mincho" w:hAnsi="Calibri" w:cs="Times New Roman"/>
        </w:rPr>
        <w:t>(</w:t>
      </w:r>
      <w:r w:rsidR="00DB23ED">
        <w:rPr>
          <w:rFonts w:ascii="Calibri" w:eastAsia="MS Mincho" w:hAnsi="Calibri" w:cs="Times New Roman"/>
        </w:rPr>
        <w:t>PBAC meetings November 2012 and March 2014)</w:t>
      </w:r>
      <w:r w:rsidR="00944CF2">
        <w:rPr>
          <w:rFonts w:ascii="Calibri" w:eastAsia="MS Mincho" w:hAnsi="Calibri" w:cs="Times New Roman"/>
        </w:rPr>
        <w:t>.</w:t>
      </w:r>
    </w:p>
    <w:p w:rsidR="009900B9" w:rsidRPr="007C554A" w:rsidRDefault="009900B9" w:rsidP="00FF609F">
      <w:pPr>
        <w:spacing w:before="240"/>
        <w:outlineLvl w:val="1"/>
        <w:rPr>
          <w:rFonts w:ascii="Calibri" w:eastAsia="MS Mincho" w:hAnsi="Calibri" w:cs="Times New Roman"/>
          <w:b/>
          <w:i/>
        </w:rPr>
      </w:pPr>
      <w:r w:rsidRPr="007C554A">
        <w:rPr>
          <w:rFonts w:ascii="Calibri" w:eastAsia="MS Mincho" w:hAnsi="Calibri" w:cs="Times New Roman"/>
          <w:b/>
          <w:i/>
        </w:rPr>
        <w:t>Comparative Clinical Effectiveness</w:t>
      </w:r>
    </w:p>
    <w:p w:rsidR="009900B9" w:rsidRPr="007C554A" w:rsidRDefault="00A90938" w:rsidP="00FF609F">
      <w:pPr>
        <w:spacing w:before="240"/>
        <w:outlineLvl w:val="1"/>
        <w:rPr>
          <w:rFonts w:ascii="Calibri" w:eastAsia="MS Mincho" w:hAnsi="Calibri" w:cs="Times New Roman"/>
          <w:u w:val="single"/>
        </w:rPr>
      </w:pPr>
      <w:r w:rsidRPr="007C554A">
        <w:rPr>
          <w:rFonts w:ascii="Calibri" w:eastAsia="MS Mincho" w:hAnsi="Calibri" w:cs="Times New Roman"/>
          <w:u w:val="single"/>
        </w:rPr>
        <w:t>Sunitinb</w:t>
      </w:r>
    </w:p>
    <w:p w:rsidR="00B64FF4" w:rsidRDefault="009900B9" w:rsidP="00FF609F">
      <w:pPr>
        <w:spacing w:before="240"/>
        <w:outlineLvl w:val="1"/>
        <w:rPr>
          <w:rFonts w:ascii="Calibri" w:eastAsia="MS Mincho" w:hAnsi="Calibri" w:cs="Times New Roman"/>
        </w:rPr>
      </w:pPr>
      <w:r>
        <w:rPr>
          <w:rFonts w:ascii="Calibri" w:eastAsia="MS Mincho" w:hAnsi="Calibri" w:cs="Times New Roman"/>
        </w:rPr>
        <w:t xml:space="preserve">The PBAC considered </w:t>
      </w:r>
      <w:r w:rsidR="00CD2AF7">
        <w:rPr>
          <w:rFonts w:ascii="Calibri" w:eastAsia="MS Mincho" w:hAnsi="Calibri" w:cs="Times New Roman"/>
        </w:rPr>
        <w:t>evidence from a randomised clinical trial</w:t>
      </w:r>
      <w:r w:rsidR="00713BCD">
        <w:rPr>
          <w:rFonts w:ascii="Calibri" w:eastAsia="MS Mincho" w:hAnsi="Calibri" w:cs="Times New Roman"/>
        </w:rPr>
        <w:t xml:space="preserve"> (A618-1111) and </w:t>
      </w:r>
      <w:r w:rsidR="003965CD">
        <w:rPr>
          <w:rFonts w:ascii="Calibri" w:eastAsia="MS Mincho" w:hAnsi="Calibri" w:cs="Times New Roman"/>
        </w:rPr>
        <w:t xml:space="preserve">a </w:t>
      </w:r>
      <w:r w:rsidR="00713BCD">
        <w:rPr>
          <w:rFonts w:ascii="Calibri" w:eastAsia="MS Mincho" w:hAnsi="Calibri" w:cs="Times New Roman"/>
        </w:rPr>
        <w:t xml:space="preserve">36-month follow-up analysis.  The primary outcome </w:t>
      </w:r>
      <w:r w:rsidR="003965CD">
        <w:rPr>
          <w:rFonts w:ascii="Calibri" w:eastAsia="MS Mincho" w:hAnsi="Calibri" w:cs="Times New Roman"/>
        </w:rPr>
        <w:t xml:space="preserve">of the trial </w:t>
      </w:r>
      <w:r w:rsidR="00713BCD">
        <w:rPr>
          <w:rFonts w:ascii="Calibri" w:eastAsia="MS Mincho" w:hAnsi="Calibri" w:cs="Times New Roman"/>
        </w:rPr>
        <w:t>was progression free survival. Overall survival was measured</w:t>
      </w:r>
      <w:r w:rsidR="003965CD">
        <w:rPr>
          <w:rFonts w:ascii="Calibri" w:eastAsia="MS Mincho" w:hAnsi="Calibri" w:cs="Times New Roman"/>
        </w:rPr>
        <w:t xml:space="preserve"> in the trial and in follow-up analyses;</w:t>
      </w:r>
      <w:r w:rsidR="00713BCD">
        <w:rPr>
          <w:rFonts w:ascii="Calibri" w:eastAsia="MS Mincho" w:hAnsi="Calibri" w:cs="Times New Roman"/>
        </w:rPr>
        <w:t xml:space="preserve"> however the trial allowed early cross over of patients from the placebo arm and</w:t>
      </w:r>
      <w:r w:rsidR="003965CD">
        <w:rPr>
          <w:rFonts w:ascii="Calibri" w:eastAsia="MS Mincho" w:hAnsi="Calibri" w:cs="Times New Roman"/>
        </w:rPr>
        <w:t>,</w:t>
      </w:r>
      <w:r w:rsidR="00713BCD">
        <w:rPr>
          <w:rFonts w:ascii="Calibri" w:eastAsia="MS Mincho" w:hAnsi="Calibri" w:cs="Times New Roman"/>
        </w:rPr>
        <w:t xml:space="preserve"> as a result</w:t>
      </w:r>
      <w:r w:rsidR="003965CD">
        <w:rPr>
          <w:rFonts w:ascii="Calibri" w:eastAsia="MS Mincho" w:hAnsi="Calibri" w:cs="Times New Roman"/>
        </w:rPr>
        <w:t>,</w:t>
      </w:r>
      <w:r w:rsidR="00713BCD">
        <w:rPr>
          <w:rFonts w:ascii="Calibri" w:eastAsia="MS Mincho" w:hAnsi="Calibri" w:cs="Times New Roman"/>
        </w:rPr>
        <w:t xml:space="preserve"> the </w:t>
      </w:r>
      <w:r w:rsidR="007D733E">
        <w:rPr>
          <w:rFonts w:ascii="Calibri" w:eastAsia="MS Mincho" w:hAnsi="Calibri" w:cs="Times New Roman"/>
        </w:rPr>
        <w:t xml:space="preserve">PBAC considered that the </w:t>
      </w:r>
      <w:r w:rsidR="00713BCD">
        <w:rPr>
          <w:rFonts w:ascii="Calibri" w:eastAsia="MS Mincho" w:hAnsi="Calibri" w:cs="Times New Roman"/>
        </w:rPr>
        <w:t>magnitude of the overall survival measured is likely to be overestimated.</w:t>
      </w:r>
      <w:r w:rsidR="00B64FF4">
        <w:rPr>
          <w:rFonts w:ascii="Calibri" w:eastAsia="MS Mincho" w:hAnsi="Calibri" w:cs="Times New Roman"/>
        </w:rPr>
        <w:t xml:space="preserve"> The trial was also terminated early and there were multiple interim analyses that lead to greater uncertainty about the magnitude of benefit</w:t>
      </w:r>
      <w:r w:rsidR="003965CD">
        <w:rPr>
          <w:rFonts w:ascii="Calibri" w:eastAsia="MS Mincho" w:hAnsi="Calibri" w:cs="Times New Roman"/>
        </w:rPr>
        <w:t xml:space="preserve"> in progression free survival</w:t>
      </w:r>
      <w:r w:rsidR="00B64FF4">
        <w:rPr>
          <w:rFonts w:ascii="Calibri" w:eastAsia="MS Mincho" w:hAnsi="Calibri" w:cs="Times New Roman"/>
        </w:rPr>
        <w:t>.</w:t>
      </w:r>
    </w:p>
    <w:p w:rsidR="009900B9" w:rsidRDefault="00B64FF4" w:rsidP="00FF609F">
      <w:pPr>
        <w:spacing w:before="240"/>
        <w:outlineLvl w:val="1"/>
        <w:rPr>
          <w:rFonts w:ascii="Calibri" w:eastAsia="MS Mincho" w:hAnsi="Calibri" w:cs="Times New Roman"/>
        </w:rPr>
      </w:pPr>
      <w:r>
        <w:rPr>
          <w:rFonts w:ascii="Calibri" w:eastAsia="MS Mincho" w:hAnsi="Calibri" w:cs="Times New Roman"/>
        </w:rPr>
        <w:t xml:space="preserve">The </w:t>
      </w:r>
      <w:r w:rsidR="00713BCD">
        <w:rPr>
          <w:rFonts w:ascii="Calibri" w:eastAsia="MS Mincho" w:hAnsi="Calibri" w:cs="Times New Roman"/>
        </w:rPr>
        <w:t xml:space="preserve">progression free survival reported </w:t>
      </w:r>
      <w:r>
        <w:rPr>
          <w:rFonts w:ascii="Calibri" w:eastAsia="MS Mincho" w:hAnsi="Calibri" w:cs="Times New Roman"/>
        </w:rPr>
        <w:t xml:space="preserve">for the clinical trial </w:t>
      </w:r>
      <w:r w:rsidR="00713BCD">
        <w:rPr>
          <w:rFonts w:ascii="Calibri" w:eastAsia="MS Mincho" w:hAnsi="Calibri" w:cs="Times New Roman"/>
        </w:rPr>
        <w:t xml:space="preserve">was 11.4 months (sunitinib) compared to 5.5 months (placebo) [HR 0.418, </w:t>
      </w:r>
      <w:r>
        <w:rPr>
          <w:rFonts w:ascii="Calibri" w:eastAsia="MS Mincho" w:hAnsi="Calibri" w:cs="Times New Roman"/>
        </w:rPr>
        <w:t>95%</w:t>
      </w:r>
      <w:r w:rsidR="00193D1A">
        <w:rPr>
          <w:rFonts w:ascii="Calibri" w:eastAsia="MS Mincho" w:hAnsi="Calibri" w:cs="Times New Roman"/>
        </w:rPr>
        <w:t> </w:t>
      </w:r>
      <w:r>
        <w:rPr>
          <w:rFonts w:ascii="Calibri" w:eastAsia="MS Mincho" w:hAnsi="Calibri" w:cs="Times New Roman"/>
        </w:rPr>
        <w:t xml:space="preserve">CI 0.263, 0.662, </w:t>
      </w:r>
      <w:r w:rsidR="00713BCD">
        <w:rPr>
          <w:rFonts w:ascii="Calibri" w:eastAsia="MS Mincho" w:hAnsi="Calibri" w:cs="Times New Roman"/>
        </w:rPr>
        <w:t>p=0.000118]</w:t>
      </w:r>
      <w:r>
        <w:rPr>
          <w:rFonts w:ascii="Calibri" w:eastAsia="MS Mincho" w:hAnsi="Calibri" w:cs="Times New Roman"/>
        </w:rPr>
        <w:t>.</w:t>
      </w:r>
      <w:r w:rsidR="007D733E">
        <w:rPr>
          <w:rFonts w:ascii="Calibri" w:eastAsia="MS Mincho" w:hAnsi="Calibri" w:cs="Times New Roman"/>
        </w:rPr>
        <w:t xml:space="preserve"> </w:t>
      </w:r>
    </w:p>
    <w:p w:rsidR="00CD2AF7" w:rsidRDefault="007D733E" w:rsidP="00FF609F">
      <w:pPr>
        <w:spacing w:before="240"/>
        <w:outlineLvl w:val="1"/>
        <w:rPr>
          <w:rFonts w:ascii="Calibri" w:eastAsia="MS Mincho" w:hAnsi="Calibri" w:cs="Times New Roman"/>
        </w:rPr>
      </w:pPr>
      <w:r>
        <w:rPr>
          <w:rFonts w:ascii="Calibri" w:eastAsia="MS Mincho" w:hAnsi="Calibri" w:cs="Times New Roman"/>
        </w:rPr>
        <w:t>The PBAC considered that sunitinib was likely to have some survival benefit but the size of the effect is unknown</w:t>
      </w:r>
      <w:r w:rsidR="009F07D0">
        <w:rPr>
          <w:rFonts w:ascii="Calibri" w:eastAsia="MS Mincho" w:hAnsi="Calibri" w:cs="Times New Roman"/>
        </w:rPr>
        <w:t xml:space="preserve"> and likely to be less than claimed. </w:t>
      </w:r>
    </w:p>
    <w:p w:rsidR="008F2095" w:rsidRPr="007C554A" w:rsidRDefault="008F2095" w:rsidP="00FF609F">
      <w:pPr>
        <w:spacing w:before="240"/>
        <w:outlineLvl w:val="1"/>
        <w:rPr>
          <w:rFonts w:ascii="Calibri" w:eastAsia="MS Mincho" w:hAnsi="Calibri" w:cs="Times New Roman"/>
          <w:u w:val="single"/>
        </w:rPr>
      </w:pPr>
      <w:r w:rsidRPr="007C554A">
        <w:rPr>
          <w:rFonts w:ascii="Calibri" w:eastAsia="MS Mincho" w:hAnsi="Calibri" w:cs="Times New Roman"/>
          <w:u w:val="single"/>
        </w:rPr>
        <w:t>Everolimus</w:t>
      </w:r>
    </w:p>
    <w:p w:rsidR="008F2095" w:rsidRDefault="008F2095" w:rsidP="00FF609F">
      <w:pPr>
        <w:spacing w:before="240"/>
        <w:outlineLvl w:val="1"/>
        <w:rPr>
          <w:rFonts w:ascii="Calibri" w:eastAsia="MS Mincho" w:hAnsi="Calibri" w:cs="Times New Roman"/>
        </w:rPr>
      </w:pPr>
      <w:r>
        <w:rPr>
          <w:rFonts w:ascii="Calibri" w:eastAsia="MS Mincho" w:hAnsi="Calibri" w:cs="Times New Roman"/>
        </w:rPr>
        <w:t>PBAC considered two submissions for everolimus in pNET. The submissions presented an indirect comparison of everolimus (RADIANT</w:t>
      </w:r>
      <w:r w:rsidR="00D96FEF">
        <w:rPr>
          <w:rFonts w:ascii="Calibri" w:eastAsia="MS Mincho" w:hAnsi="Calibri" w:cs="Times New Roman"/>
        </w:rPr>
        <w:noBreakHyphen/>
      </w:r>
      <w:r>
        <w:rPr>
          <w:rFonts w:ascii="Calibri" w:eastAsia="MS Mincho" w:hAnsi="Calibri" w:cs="Times New Roman"/>
        </w:rPr>
        <w:t xml:space="preserve">3) and sunitinib (A618-1111). There was some uncertainty in the exchangeability and remaining concern in the likely overestimation of progression free survival in the A618-111 study (noted above). </w:t>
      </w:r>
    </w:p>
    <w:p w:rsidR="00CD2AF7" w:rsidRPr="007C554A" w:rsidRDefault="00CD2AF7" w:rsidP="00FF609F">
      <w:pPr>
        <w:spacing w:before="240"/>
        <w:outlineLvl w:val="1"/>
        <w:rPr>
          <w:rFonts w:ascii="Calibri" w:eastAsia="MS Mincho" w:hAnsi="Calibri" w:cs="Times New Roman"/>
          <w:b/>
          <w:i/>
        </w:rPr>
      </w:pPr>
      <w:r w:rsidRPr="007C554A">
        <w:rPr>
          <w:rFonts w:ascii="Calibri" w:eastAsia="MS Mincho" w:hAnsi="Calibri" w:cs="Times New Roman"/>
          <w:b/>
          <w:i/>
        </w:rPr>
        <w:t>Economic evaluation</w:t>
      </w:r>
    </w:p>
    <w:p w:rsidR="00564096" w:rsidRPr="00DB23ED" w:rsidRDefault="007C554A" w:rsidP="00FF609F">
      <w:pPr>
        <w:spacing w:before="240"/>
        <w:outlineLvl w:val="1"/>
        <w:rPr>
          <w:rFonts w:ascii="Calibri" w:eastAsia="MS Mincho" w:hAnsi="Calibri" w:cs="Times New Roman"/>
          <w:u w:val="single"/>
        </w:rPr>
      </w:pPr>
      <w:r w:rsidRPr="00DB23ED">
        <w:rPr>
          <w:rFonts w:ascii="Calibri" w:eastAsia="MS Mincho" w:hAnsi="Calibri" w:cs="Times New Roman"/>
          <w:u w:val="single"/>
        </w:rPr>
        <w:t>S</w:t>
      </w:r>
      <w:r w:rsidR="00564096" w:rsidRPr="00DB23ED">
        <w:rPr>
          <w:rFonts w:ascii="Calibri" w:eastAsia="MS Mincho" w:hAnsi="Calibri" w:cs="Times New Roman"/>
          <w:u w:val="single"/>
        </w:rPr>
        <w:t>unitinib</w:t>
      </w:r>
    </w:p>
    <w:p w:rsidR="00B64FF4" w:rsidRPr="00C128AB" w:rsidRDefault="00B64FF4" w:rsidP="00FF609F">
      <w:pPr>
        <w:spacing w:before="240"/>
        <w:outlineLvl w:val="1"/>
        <w:rPr>
          <w:rFonts w:ascii="Calibri" w:eastAsia="MS Mincho" w:hAnsi="Calibri" w:cs="Times New Roman"/>
        </w:rPr>
      </w:pPr>
      <w:r>
        <w:rPr>
          <w:rFonts w:ascii="Calibri" w:eastAsia="MS Mincho" w:hAnsi="Calibri" w:cs="Times New Roman"/>
        </w:rPr>
        <w:t>The economic model used overall survival measured in the clinical trial [HR=0.409, 95%</w:t>
      </w:r>
      <w:r w:rsidR="00193D1A">
        <w:rPr>
          <w:rFonts w:ascii="Calibri" w:eastAsia="MS Mincho" w:hAnsi="Calibri" w:cs="Times New Roman"/>
        </w:rPr>
        <w:t> </w:t>
      </w:r>
      <w:r>
        <w:rPr>
          <w:rFonts w:ascii="Calibri" w:eastAsia="MS Mincho" w:hAnsi="Calibri" w:cs="Times New Roman"/>
        </w:rPr>
        <w:t>CI 0.187,</w:t>
      </w:r>
      <w:r w:rsidR="00193D1A">
        <w:rPr>
          <w:rFonts w:ascii="Calibri" w:eastAsia="MS Mincho" w:hAnsi="Calibri" w:cs="Times New Roman"/>
        </w:rPr>
        <w:t> </w:t>
      </w:r>
      <w:r>
        <w:rPr>
          <w:rFonts w:ascii="Calibri" w:eastAsia="MS Mincho" w:hAnsi="Calibri" w:cs="Times New Roman"/>
        </w:rPr>
        <w:t>0.894, p=0.0204]</w:t>
      </w:r>
      <w:r w:rsidR="007D733E">
        <w:rPr>
          <w:rFonts w:ascii="Calibri" w:eastAsia="MS Mincho" w:hAnsi="Calibri" w:cs="Times New Roman"/>
        </w:rPr>
        <w:t>. The model then extrapolated the trial values (</w:t>
      </w:r>
      <w:r w:rsidR="003965CD">
        <w:rPr>
          <w:rFonts w:ascii="Calibri" w:eastAsia="MS Mincho" w:hAnsi="Calibri" w:cs="Times New Roman"/>
        </w:rPr>
        <w:t xml:space="preserve">using the </w:t>
      </w:r>
      <w:r w:rsidR="007D733E">
        <w:rPr>
          <w:rFonts w:ascii="Calibri" w:eastAsia="MS Mincho" w:hAnsi="Calibri" w:cs="Times New Roman"/>
        </w:rPr>
        <w:t>rank preserving structural failure time</w:t>
      </w:r>
      <w:r w:rsidR="003965CD">
        <w:rPr>
          <w:rFonts w:ascii="Calibri" w:eastAsia="MS Mincho" w:hAnsi="Calibri" w:cs="Times New Roman"/>
        </w:rPr>
        <w:t xml:space="preserve"> method</w:t>
      </w:r>
      <w:r w:rsidR="007D733E">
        <w:rPr>
          <w:rFonts w:ascii="Calibri" w:eastAsia="MS Mincho" w:hAnsi="Calibri" w:cs="Times New Roman"/>
        </w:rPr>
        <w:t>) to adjust the overall survival values</w:t>
      </w:r>
      <w:r w:rsidR="003965CD">
        <w:rPr>
          <w:rFonts w:ascii="Calibri" w:eastAsia="MS Mincho" w:hAnsi="Calibri" w:cs="Times New Roman"/>
        </w:rPr>
        <w:t xml:space="preserve"> for use in the model. The resulting values for overall survival were</w:t>
      </w:r>
      <w:r w:rsidR="007D733E">
        <w:rPr>
          <w:rFonts w:ascii="Calibri" w:eastAsia="MS Mincho" w:hAnsi="Calibri" w:cs="Times New Roman"/>
        </w:rPr>
        <w:t xml:space="preserve"> 30.5 months on sunitinib compared to 17.5 months on placebo or best suppor</w:t>
      </w:r>
      <w:r w:rsidR="003965CD">
        <w:rPr>
          <w:rFonts w:ascii="Calibri" w:eastAsia="MS Mincho" w:hAnsi="Calibri" w:cs="Times New Roman"/>
        </w:rPr>
        <w:t xml:space="preserve">tive care in a 10 year model. These </w:t>
      </w:r>
      <w:r w:rsidR="004C3DCC">
        <w:rPr>
          <w:rFonts w:ascii="Calibri" w:eastAsia="MS Mincho" w:hAnsi="Calibri" w:cs="Times New Roman"/>
        </w:rPr>
        <w:t>values</w:t>
      </w:r>
      <w:r w:rsidR="003965CD">
        <w:rPr>
          <w:rFonts w:ascii="Calibri" w:eastAsia="MS Mincho" w:hAnsi="Calibri" w:cs="Times New Roman"/>
        </w:rPr>
        <w:t xml:space="preserve"> were </w:t>
      </w:r>
      <w:r w:rsidR="007D733E">
        <w:rPr>
          <w:rFonts w:ascii="Calibri" w:eastAsia="MS Mincho" w:hAnsi="Calibri" w:cs="Times New Roman"/>
        </w:rPr>
        <w:t>reported in the public summary document as adjusted overal</w:t>
      </w:r>
      <w:r w:rsidR="00460404">
        <w:rPr>
          <w:rFonts w:ascii="Calibri" w:eastAsia="MS Mincho" w:hAnsi="Calibri" w:cs="Times New Roman"/>
        </w:rPr>
        <w:t>l survival</w:t>
      </w:r>
      <w:r w:rsidR="0042060F">
        <w:rPr>
          <w:rFonts w:ascii="Calibri" w:eastAsia="MS Mincho" w:hAnsi="Calibri" w:cs="Times New Roman"/>
        </w:rPr>
        <w:t xml:space="preserve">. </w:t>
      </w:r>
      <w:r w:rsidR="00460404">
        <w:rPr>
          <w:rFonts w:ascii="Calibri" w:eastAsia="MS Mincho" w:hAnsi="Calibri" w:cs="Times New Roman"/>
        </w:rPr>
        <w:t xml:space="preserve">The PBAC considered that 10 years was a long duration for the model and added to the overestimation of the cost effectiveness. </w:t>
      </w:r>
      <w:r w:rsidR="0042060F" w:rsidRPr="00C128AB">
        <w:rPr>
          <w:rFonts w:ascii="Calibri" w:eastAsia="MS Mincho" w:hAnsi="Calibri" w:cs="Times New Roman"/>
        </w:rPr>
        <w:t xml:space="preserve">The </w:t>
      </w:r>
      <w:r w:rsidR="00C97E41" w:rsidRPr="00C128AB">
        <w:rPr>
          <w:rFonts w:ascii="Calibri" w:eastAsia="MS Mincho" w:hAnsi="Calibri" w:cs="Times New Roman"/>
        </w:rPr>
        <w:t xml:space="preserve">QALYs gained  from sunitinib treatment </w:t>
      </w:r>
      <w:r w:rsidR="00B346B6" w:rsidRPr="00C128AB">
        <w:rPr>
          <w:rFonts w:ascii="Calibri" w:eastAsia="MS Mincho" w:hAnsi="Calibri" w:cs="Times New Roman"/>
        </w:rPr>
        <w:t xml:space="preserve">were </w:t>
      </w:r>
      <w:r w:rsidR="00FF391C">
        <w:rPr>
          <w:rFonts w:ascii="Calibri" w:eastAsia="MS Mincho" w:hAnsi="Calibri" w:cs="Times New Roman"/>
          <w:noProof/>
          <w:color w:val="000000"/>
          <w:highlight w:val="black"/>
        </w:rPr>
        <w:t>'''''''''''</w:t>
      </w:r>
      <w:r w:rsidR="00C97E41" w:rsidRPr="00C128AB">
        <w:rPr>
          <w:rFonts w:ascii="Calibri" w:eastAsia="MS Mincho" w:hAnsi="Calibri" w:cs="Times New Roman"/>
        </w:rPr>
        <w:t xml:space="preserve">. The model was most sensitive to the </w:t>
      </w:r>
      <w:r w:rsidR="00460404" w:rsidRPr="00C128AB">
        <w:rPr>
          <w:rFonts w:ascii="Calibri" w:eastAsia="MS Mincho" w:hAnsi="Calibri" w:cs="Times New Roman"/>
        </w:rPr>
        <w:t xml:space="preserve">difference in </w:t>
      </w:r>
      <w:r w:rsidR="00C97E41" w:rsidRPr="00C128AB">
        <w:rPr>
          <w:rFonts w:ascii="Calibri" w:eastAsia="MS Mincho" w:hAnsi="Calibri" w:cs="Times New Roman"/>
        </w:rPr>
        <w:t>utility weights used. The model did not allow for a reduced utility</w:t>
      </w:r>
      <w:r w:rsidR="00460404" w:rsidRPr="00C128AB">
        <w:rPr>
          <w:rFonts w:ascii="Calibri" w:eastAsia="MS Mincho" w:hAnsi="Calibri" w:cs="Times New Roman"/>
        </w:rPr>
        <w:t xml:space="preserve"> value (reflecting reduced quality of life) once the disease has progressed (</w:t>
      </w:r>
      <w:r w:rsidR="00C97E41" w:rsidRPr="00C128AB">
        <w:rPr>
          <w:rFonts w:ascii="Calibri" w:eastAsia="MS Mincho" w:hAnsi="Calibri" w:cs="Times New Roman"/>
        </w:rPr>
        <w:t>the post progression sta</w:t>
      </w:r>
      <w:r w:rsidR="00460404" w:rsidRPr="00C128AB">
        <w:rPr>
          <w:rFonts w:ascii="Calibri" w:eastAsia="MS Mincho" w:hAnsi="Calibri" w:cs="Times New Roman"/>
        </w:rPr>
        <w:t>te)</w:t>
      </w:r>
      <w:r w:rsidR="00C97E41" w:rsidRPr="00C128AB">
        <w:rPr>
          <w:rFonts w:ascii="Calibri" w:eastAsia="MS Mincho" w:hAnsi="Calibri" w:cs="Times New Roman"/>
        </w:rPr>
        <w:t>.</w:t>
      </w:r>
    </w:p>
    <w:p w:rsidR="00812321" w:rsidRPr="00387012" w:rsidRDefault="00731730" w:rsidP="00812321">
      <w:pPr>
        <w:spacing w:after="0"/>
      </w:pPr>
      <w:r w:rsidRPr="00C128AB">
        <w:rPr>
          <w:rFonts w:ascii="Calibri" w:eastAsia="MS Mincho" w:hAnsi="Calibri" w:cs="Times New Roman"/>
        </w:rPr>
        <w:t xml:space="preserve">The PBAC accepted an incremental cost effective ratio/quality adjusted life year </w:t>
      </w:r>
      <w:r w:rsidR="00812321" w:rsidRPr="00C128AB">
        <w:rPr>
          <w:rFonts w:ascii="Calibri" w:eastAsia="MS Mincho" w:hAnsi="Calibri" w:cs="Times New Roman"/>
        </w:rPr>
        <w:t xml:space="preserve">in the range </w:t>
      </w:r>
      <w:r w:rsidR="00812321" w:rsidRPr="00C128AB">
        <w:t xml:space="preserve">$45,000 </w:t>
      </w:r>
      <w:r w:rsidR="003E1739" w:rsidRPr="00C128AB">
        <w:t>to</w:t>
      </w:r>
      <w:r w:rsidR="00812321" w:rsidRPr="00C128AB">
        <w:t xml:space="preserve"> $75,000</w:t>
      </w:r>
      <w:r w:rsidR="003E1739" w:rsidRPr="00C128AB">
        <w:t>.</w:t>
      </w:r>
    </w:p>
    <w:p w:rsidR="00CD2AF7" w:rsidRDefault="00460404" w:rsidP="00FF609F">
      <w:pPr>
        <w:spacing w:before="240"/>
        <w:outlineLvl w:val="1"/>
        <w:rPr>
          <w:rFonts w:ascii="Calibri" w:eastAsia="MS Mincho" w:hAnsi="Calibri" w:cs="Times New Roman"/>
        </w:rPr>
      </w:pPr>
      <w:r>
        <w:rPr>
          <w:rFonts w:ascii="Calibri" w:eastAsia="MS Mincho" w:hAnsi="Calibri" w:cs="Times New Roman"/>
        </w:rPr>
        <w:t>The most important uncertainties in the health economic model were the magnitude of the overall survival gained when treated with sunitinib, having a 10 year duration for the model and the magnitude of the quality of life gained from treatment with sunitinib.</w:t>
      </w:r>
    </w:p>
    <w:p w:rsidR="00564096" w:rsidRPr="00DB23ED" w:rsidRDefault="00564096" w:rsidP="00FF609F">
      <w:pPr>
        <w:spacing w:before="240"/>
        <w:outlineLvl w:val="1"/>
        <w:rPr>
          <w:rFonts w:ascii="Calibri" w:eastAsia="MS Mincho" w:hAnsi="Calibri" w:cs="Times New Roman"/>
          <w:u w:val="single"/>
        </w:rPr>
      </w:pPr>
      <w:r w:rsidRPr="00DB23ED">
        <w:rPr>
          <w:rFonts w:ascii="Calibri" w:eastAsia="MS Mincho" w:hAnsi="Calibri" w:cs="Times New Roman"/>
          <w:u w:val="single"/>
        </w:rPr>
        <w:t>Everolimus</w:t>
      </w:r>
    </w:p>
    <w:p w:rsidR="00564096" w:rsidRDefault="00564096" w:rsidP="00FF609F">
      <w:pPr>
        <w:spacing w:before="240"/>
        <w:outlineLvl w:val="1"/>
        <w:rPr>
          <w:rFonts w:ascii="Calibri" w:eastAsia="MS Mincho" w:hAnsi="Calibri" w:cs="Times New Roman"/>
        </w:rPr>
      </w:pPr>
      <w:r>
        <w:rPr>
          <w:rFonts w:ascii="Calibri" w:eastAsia="MS Mincho" w:hAnsi="Calibri" w:cs="Times New Roman"/>
        </w:rPr>
        <w:t xml:space="preserve">Everolimus </w:t>
      </w:r>
      <w:r w:rsidR="00193D1A">
        <w:rPr>
          <w:rFonts w:ascii="Calibri" w:eastAsia="MS Mincho" w:hAnsi="Calibri" w:cs="Times New Roman"/>
        </w:rPr>
        <w:t xml:space="preserve">was </w:t>
      </w:r>
      <w:r>
        <w:rPr>
          <w:rFonts w:ascii="Calibri" w:eastAsia="MS Mincho" w:hAnsi="Calibri" w:cs="Times New Roman"/>
        </w:rPr>
        <w:t>listed on a cost minimisation basis, 8.59</w:t>
      </w:r>
      <w:r w:rsidR="00193D1A">
        <w:rPr>
          <w:rFonts w:ascii="Calibri" w:eastAsia="MS Mincho" w:hAnsi="Calibri" w:cs="Times New Roman"/>
        </w:rPr>
        <w:t> </w:t>
      </w:r>
      <w:r>
        <w:rPr>
          <w:rFonts w:ascii="Calibri" w:eastAsia="MS Mincho" w:hAnsi="Calibri" w:cs="Times New Roman"/>
        </w:rPr>
        <w:t>mg/day equivalent to 34.24</w:t>
      </w:r>
      <w:r w:rsidR="00193D1A">
        <w:rPr>
          <w:rFonts w:ascii="Calibri" w:eastAsia="MS Mincho" w:hAnsi="Calibri" w:cs="Times New Roman"/>
        </w:rPr>
        <w:t> </w:t>
      </w:r>
      <w:r>
        <w:rPr>
          <w:rFonts w:ascii="Calibri" w:eastAsia="MS Mincho" w:hAnsi="Calibri" w:cs="Times New Roman"/>
        </w:rPr>
        <w:t>mg/day until progression or high toxicity.</w:t>
      </w:r>
    </w:p>
    <w:p w:rsidR="00CD2AF7" w:rsidRPr="00DB23ED" w:rsidRDefault="00CD2AF7" w:rsidP="00FF609F">
      <w:pPr>
        <w:spacing w:before="240"/>
        <w:outlineLvl w:val="1"/>
        <w:rPr>
          <w:rFonts w:ascii="Calibri" w:eastAsia="MS Mincho" w:hAnsi="Calibri" w:cs="Times New Roman"/>
          <w:b/>
          <w:i/>
        </w:rPr>
      </w:pPr>
      <w:r w:rsidRPr="00DB23ED">
        <w:rPr>
          <w:rFonts w:ascii="Calibri" w:eastAsia="MS Mincho" w:hAnsi="Calibri" w:cs="Times New Roman"/>
          <w:b/>
          <w:i/>
        </w:rPr>
        <w:t>Utilisation</w:t>
      </w:r>
    </w:p>
    <w:p w:rsidR="00CD2AF7" w:rsidRPr="00FF391C" w:rsidRDefault="00FF391C" w:rsidP="00FF609F">
      <w:pPr>
        <w:spacing w:before="240"/>
        <w:outlineLvl w:val="1"/>
        <w:rPr>
          <w:rFonts w:ascii="Calibri" w:eastAsia="MS Mincho" w:hAnsi="Calibri" w:cs="Times New Roman"/>
          <w:highlight w:val="black"/>
        </w:rPr>
      </w:pPr>
      <w:r>
        <w:rPr>
          <w:rFonts w:ascii="Calibri" w:eastAsia="MS Mincho" w:hAnsi="Calibri" w:cs="Times New Roman"/>
          <w:noProof/>
          <w:color w:val="000000"/>
          <w:highlight w:val="black"/>
        </w:rPr>
        <w:t>'''''''''' ''''''''''''''''''''' '''' ''''' ''''''''''''' ''''''''' '''''''''''''''' '''''''' '''''''''''''' '''''''''''''''' ''''' ''''''''''''''''''' '''''''' ''''''''''''''' '''''''' ''''' ''''''''''''''''''' '''''''''''''''''''' '''''''' ''''''''' '''''''''''''''''''' ''''''''' ''''''''''''''' '''''' '''''''' '''''''' ''''''''''''''' ''''''''' '''''''''''''''''''''' '''''''''''' '''''' ''''' ''''''''' '''' ''' '''''''''''''''''''' ''''' '''''''''''''''' '''''''''''''' '''''''''''''''''''''''''' '''''''' ''''''''''''''''' ''''''''' '''''' ''''''''''''''''''''''''' '''' ''''''''' '''''''''''''''''''''' '''''''''''''' '''''' ''''''''''''''''' '''''''''' '''''''''' '''' ''''''''''''' ''''''''' ''''''''''''''''''''' ''''''''''''''''''''''' '''''''''''''''' '''''''''''' '''''''' '''''' ''''''''''''''''''''''' '''' '''''''''''''''' ''''''''''''''' ''''''''''''' ''''''''''''''''''''''' ''''''''''' ''' ''''''''''''''''''' '''''''' ''''''' ''''''''''''' ''''''''''</w:t>
      </w:r>
    </w:p>
    <w:p w:rsidR="00564096" w:rsidRPr="009900B9" w:rsidRDefault="00564096" w:rsidP="00FF609F">
      <w:pPr>
        <w:spacing w:before="240"/>
        <w:outlineLvl w:val="1"/>
        <w:rPr>
          <w:rFonts w:ascii="Calibri" w:eastAsia="MS Mincho" w:hAnsi="Calibri" w:cs="Times New Roman"/>
        </w:rPr>
      </w:pPr>
      <w:r>
        <w:rPr>
          <w:rFonts w:ascii="Calibri" w:eastAsia="MS Mincho" w:hAnsi="Calibri" w:cs="Times New Roman"/>
        </w:rPr>
        <w:t>PBAC recommended that everolimus and sunitinib share the same market for pNET and this be reflected in any risk sharing arrangement.</w:t>
      </w:r>
    </w:p>
    <w:p w:rsidR="00B75E36" w:rsidRPr="00564096" w:rsidRDefault="00460404" w:rsidP="00FF609F">
      <w:pPr>
        <w:rPr>
          <w:rFonts w:ascii="Calibri" w:eastAsia="MS Mincho" w:hAnsi="Calibri" w:cs="Times New Roman"/>
          <w:b/>
        </w:rPr>
      </w:pPr>
      <w:r w:rsidRPr="00564096">
        <w:rPr>
          <w:rFonts w:ascii="Calibri" w:eastAsia="MS Mincho" w:hAnsi="Calibri" w:cs="Times New Roman"/>
          <w:b/>
        </w:rPr>
        <w:t>PBAC decision</w:t>
      </w:r>
    </w:p>
    <w:p w:rsidR="00460404" w:rsidRPr="00C128AB" w:rsidRDefault="00460404" w:rsidP="00FF609F">
      <w:pPr>
        <w:rPr>
          <w:rFonts w:ascii="Calibri" w:eastAsia="MS Mincho" w:hAnsi="Calibri" w:cs="Times New Roman"/>
        </w:rPr>
      </w:pPr>
      <w:r w:rsidRPr="00C128AB">
        <w:rPr>
          <w:rFonts w:ascii="Calibri" w:eastAsia="MS Mincho" w:hAnsi="Calibri" w:cs="Times New Roman"/>
        </w:rPr>
        <w:t>At the August 2013 PBAC meeting the committee recommended listing sunitinib for pNET on the basis of acceptable cost effectiveness “</w:t>
      </w:r>
      <w:r w:rsidRPr="00C128AB">
        <w:rPr>
          <w:rFonts w:ascii="Calibri" w:eastAsia="MS Mincho" w:hAnsi="Calibri" w:cs="Times New Roman"/>
          <w:i/>
        </w:rPr>
        <w:t>in the context of high clinical need, the lack of alternative treatments, the rarity of the condition, the small number of patients predicted (approximately 60 annually) and the relatively modest overall financial impact on the PBS</w:t>
      </w:r>
      <w:r w:rsidR="00193D1A" w:rsidRPr="00C128AB">
        <w:rPr>
          <w:rFonts w:ascii="Calibri" w:eastAsia="MS Mincho" w:hAnsi="Calibri" w:cs="Times New Roman"/>
          <w:i/>
        </w:rPr>
        <w:t>.</w:t>
      </w:r>
      <w:r w:rsidR="00193D1A" w:rsidRPr="00C128AB">
        <w:rPr>
          <w:rFonts w:ascii="Calibri" w:eastAsia="MS Mincho" w:hAnsi="Calibri" w:cs="Times New Roman"/>
        </w:rPr>
        <w:t>”</w:t>
      </w:r>
    </w:p>
    <w:p w:rsidR="004B70CD" w:rsidRPr="003F0749" w:rsidRDefault="00460404" w:rsidP="00FF609F">
      <w:pPr>
        <w:rPr>
          <w:rFonts w:ascii="Calibri" w:eastAsia="MS Mincho" w:hAnsi="Calibri" w:cs="Times New Roman"/>
        </w:rPr>
      </w:pPr>
      <w:r w:rsidRPr="00C128AB">
        <w:rPr>
          <w:rFonts w:ascii="Calibri" w:eastAsia="MS Mincho" w:hAnsi="Calibri" w:cs="Times New Roman"/>
        </w:rPr>
        <w:t>PBAC acknowledge</w:t>
      </w:r>
      <w:r w:rsidR="00D50074" w:rsidRPr="00C128AB">
        <w:rPr>
          <w:rFonts w:ascii="Calibri" w:eastAsia="MS Mincho" w:hAnsi="Calibri" w:cs="Times New Roman"/>
        </w:rPr>
        <w:t>d</w:t>
      </w:r>
      <w:r w:rsidRPr="00C128AB">
        <w:rPr>
          <w:rFonts w:ascii="Calibri" w:eastAsia="MS Mincho" w:hAnsi="Calibri" w:cs="Times New Roman"/>
        </w:rPr>
        <w:t xml:space="preserve"> the high level of uncertainty</w:t>
      </w:r>
      <w:r w:rsidR="00731730" w:rsidRPr="00C128AB">
        <w:rPr>
          <w:rFonts w:ascii="Calibri" w:eastAsia="MS Mincho" w:hAnsi="Calibri" w:cs="Times New Roman"/>
        </w:rPr>
        <w:t xml:space="preserve"> in the magnitude of the benefit but determined this was acceptable in this instance. The committee requested that DUSC undertake an evaluation of the pattern of utilisation and duration of therapy for sunitinib [and everolimus].</w:t>
      </w:r>
    </w:p>
    <w:p w:rsidR="00FF609F" w:rsidRDefault="00FF609F" w:rsidP="00FF609F">
      <w:pPr>
        <w:rPr>
          <w:rFonts w:ascii="Calibri" w:eastAsia="MS Mincho" w:hAnsi="Calibri" w:cs="Times New Roman"/>
        </w:rPr>
      </w:pPr>
      <w:r w:rsidRPr="003F0749">
        <w:rPr>
          <w:rFonts w:ascii="Calibri" w:eastAsia="MS Mincho" w:hAnsi="Calibri" w:cs="Times New Roman"/>
        </w:rPr>
        <w:t xml:space="preserve">For further details refer to the </w:t>
      </w:r>
      <w:r w:rsidRPr="003F0749">
        <w:rPr>
          <w:rFonts w:ascii="Calibri" w:eastAsia="MS Mincho" w:hAnsi="Calibri" w:cs="Times New Roman"/>
          <w:color w:val="0000FF"/>
          <w:u w:val="single"/>
        </w:rPr>
        <w:t>Public Summary Document by product</w:t>
      </w:r>
      <w:r w:rsidRPr="003F0749">
        <w:rPr>
          <w:rFonts w:ascii="Calibri" w:eastAsia="MS Mincho" w:hAnsi="Calibri" w:cs="Times New Roman"/>
        </w:rPr>
        <w:t xml:space="preserve"> or </w:t>
      </w:r>
      <w:r w:rsidRPr="003F0749">
        <w:rPr>
          <w:rFonts w:ascii="Calibri" w:eastAsia="MS Mincho" w:hAnsi="Calibri" w:cs="Times New Roman"/>
          <w:color w:val="0000FF"/>
          <w:u w:val="single"/>
        </w:rPr>
        <w:t>meeting</w:t>
      </w:r>
      <w:r w:rsidRPr="003F0749">
        <w:rPr>
          <w:rFonts w:ascii="Calibri" w:eastAsia="MS Mincho" w:hAnsi="Calibri" w:cs="Times New Roman"/>
        </w:rPr>
        <w:t>.</w:t>
      </w:r>
    </w:p>
    <w:p w:rsidR="004B340E" w:rsidRPr="003F0749" w:rsidRDefault="004B340E" w:rsidP="004B340E">
      <w:pPr>
        <w:spacing w:before="240"/>
        <w:outlineLvl w:val="1"/>
        <w:rPr>
          <w:rFonts w:ascii="Calibri" w:eastAsia="MS Mincho" w:hAnsi="Calibri" w:cs="Times New Roman"/>
          <w:b/>
          <w:sz w:val="28"/>
        </w:rPr>
      </w:pPr>
      <w:r w:rsidRPr="003F0749">
        <w:rPr>
          <w:rFonts w:ascii="Calibri" w:eastAsia="MS Mincho" w:hAnsi="Calibri" w:cs="Times New Roman"/>
          <w:b/>
          <w:sz w:val="28"/>
        </w:rPr>
        <w:t>Approach taken to estimate utilisation</w:t>
      </w:r>
    </w:p>
    <w:p w:rsidR="001A0FB7" w:rsidRDefault="00731730" w:rsidP="001A0FB7">
      <w:pPr>
        <w:rPr>
          <w:rFonts w:ascii="Calibri" w:eastAsia="MS Mincho" w:hAnsi="Calibri" w:cs="Times New Roman"/>
        </w:rPr>
      </w:pPr>
      <w:r w:rsidRPr="00731730">
        <w:rPr>
          <w:rFonts w:ascii="Calibri" w:eastAsia="MS Mincho" w:hAnsi="Calibri" w:cs="Times New Roman"/>
        </w:rPr>
        <w:t>The submissions</w:t>
      </w:r>
      <w:r>
        <w:rPr>
          <w:rFonts w:ascii="Calibri" w:eastAsia="MS Mincho" w:hAnsi="Calibri" w:cs="Times New Roman"/>
        </w:rPr>
        <w:t xml:space="preserve"> to PBAC</w:t>
      </w:r>
      <w:r w:rsidR="005724BA">
        <w:rPr>
          <w:rFonts w:ascii="Calibri" w:eastAsia="MS Mincho" w:hAnsi="Calibri" w:cs="Times New Roman"/>
        </w:rPr>
        <w:t xml:space="preserve"> </w:t>
      </w:r>
      <w:r>
        <w:rPr>
          <w:rFonts w:ascii="Calibri" w:eastAsia="MS Mincho" w:hAnsi="Calibri" w:cs="Times New Roman"/>
        </w:rPr>
        <w:t xml:space="preserve">from Novartis and Pfizer for everolimus and sunitinib </w:t>
      </w:r>
      <w:r w:rsidRPr="00731730">
        <w:rPr>
          <w:rFonts w:ascii="Calibri" w:eastAsia="MS Mincho" w:hAnsi="Calibri" w:cs="Times New Roman"/>
        </w:rPr>
        <w:t>for pNET were not considered by DUSC.</w:t>
      </w:r>
      <w:r w:rsidR="00ED121A">
        <w:rPr>
          <w:rFonts w:ascii="Calibri" w:eastAsia="MS Mincho" w:hAnsi="Calibri" w:cs="Times New Roman"/>
        </w:rPr>
        <w:t xml:space="preserve"> </w:t>
      </w:r>
    </w:p>
    <w:p w:rsidR="003A78D3" w:rsidRDefault="00ED121A" w:rsidP="001A0FB7">
      <w:pPr>
        <w:rPr>
          <w:rFonts w:ascii="Calibri" w:eastAsia="MS Mincho" w:hAnsi="Calibri" w:cs="Times New Roman"/>
        </w:rPr>
      </w:pPr>
      <w:r>
        <w:rPr>
          <w:rFonts w:ascii="Calibri" w:eastAsia="MS Mincho" w:hAnsi="Calibri" w:cs="Times New Roman"/>
        </w:rPr>
        <w:t xml:space="preserve">The sunitinib </w:t>
      </w:r>
      <w:r w:rsidR="005724BA">
        <w:rPr>
          <w:rFonts w:ascii="Calibri" w:eastAsia="MS Mincho" w:hAnsi="Calibri" w:cs="Times New Roman"/>
        </w:rPr>
        <w:t xml:space="preserve">submission used an </w:t>
      </w:r>
      <w:r w:rsidR="004C3DCC">
        <w:rPr>
          <w:rFonts w:ascii="Calibri" w:eastAsia="MS Mincho" w:hAnsi="Calibri" w:cs="Times New Roman"/>
        </w:rPr>
        <w:t>epidemiological</w:t>
      </w:r>
      <w:r w:rsidR="00731730">
        <w:rPr>
          <w:rFonts w:ascii="Calibri" w:eastAsia="MS Mincho" w:hAnsi="Calibri" w:cs="Times New Roman"/>
        </w:rPr>
        <w:t xml:space="preserve"> approach to the predicted patient use and cost.</w:t>
      </w:r>
      <w:r w:rsidR="00464981">
        <w:rPr>
          <w:rFonts w:ascii="Calibri" w:eastAsia="MS Mincho" w:hAnsi="Calibri" w:cs="Times New Roman"/>
        </w:rPr>
        <w:t xml:space="preserve"> </w:t>
      </w:r>
      <w:r w:rsidR="00731730" w:rsidRPr="00C128AB">
        <w:rPr>
          <w:rFonts w:ascii="Calibri" w:eastAsia="MS Mincho" w:hAnsi="Calibri" w:cs="Times New Roman"/>
        </w:rPr>
        <w:t>The annual incidence of islet cell carcinoma with a pancreatic primar</w:t>
      </w:r>
      <w:r w:rsidR="005724BA" w:rsidRPr="00C128AB">
        <w:rPr>
          <w:rFonts w:ascii="Calibri" w:eastAsia="MS Mincho" w:hAnsi="Calibri" w:cs="Times New Roman"/>
        </w:rPr>
        <w:t>y site</w:t>
      </w:r>
      <w:r w:rsidR="003A78D3" w:rsidRPr="00C128AB">
        <w:rPr>
          <w:rFonts w:ascii="Calibri" w:eastAsia="MS Mincho" w:hAnsi="Calibri" w:cs="Times New Roman"/>
        </w:rPr>
        <w:t xml:space="preserve"> </w:t>
      </w:r>
      <w:r w:rsidRPr="00C128AB">
        <w:rPr>
          <w:rFonts w:ascii="Calibri" w:eastAsia="MS Mincho" w:hAnsi="Calibri" w:cs="Times New Roman"/>
        </w:rPr>
        <w:t xml:space="preserve">was based on AIHW data. </w:t>
      </w:r>
      <w:r w:rsidR="003A78D3" w:rsidRPr="00C128AB">
        <w:rPr>
          <w:rFonts w:ascii="Calibri" w:eastAsia="MS Mincho" w:hAnsi="Calibri" w:cs="Times New Roman"/>
        </w:rPr>
        <w:t>The assumptions of survival (30.5 months), tumour progression rate (</w:t>
      </w:r>
      <w:r w:rsidR="00FF391C">
        <w:rPr>
          <w:rFonts w:ascii="Calibri" w:eastAsia="MS Mincho" w:hAnsi="Calibri" w:cs="Times New Roman"/>
          <w:noProof/>
          <w:color w:val="000000"/>
          <w:highlight w:val="black"/>
        </w:rPr>
        <w:t>''''''''' '''''''''' ''''' ''''''''''''''''' '''''''''''''''''''' '''' ''''''''' '''''''''''''' ''''''''''''''''''''</w:t>
      </w:r>
      <w:r w:rsidR="003A78D3" w:rsidRPr="00C128AB">
        <w:rPr>
          <w:rFonts w:ascii="Calibri" w:eastAsia="MS Mincho" w:hAnsi="Calibri" w:cs="Times New Roman"/>
        </w:rPr>
        <w:t>), proportion continuing treatment after disease progression and cost of adverse events were consistent with the economic model.</w:t>
      </w:r>
      <w:r w:rsidR="001A0FB7" w:rsidRPr="00C128AB">
        <w:rPr>
          <w:rFonts w:ascii="Calibri" w:eastAsia="MS Mincho" w:hAnsi="Calibri" w:cs="Times New Roman"/>
        </w:rPr>
        <w:t xml:space="preserve"> The proportion </w:t>
      </w:r>
      <w:r w:rsidR="003A78D3" w:rsidRPr="00C128AB">
        <w:rPr>
          <w:rFonts w:ascii="Calibri" w:eastAsia="MS Mincho" w:hAnsi="Calibri" w:cs="Times New Roman"/>
        </w:rPr>
        <w:t>of patients with unresectable disease (</w:t>
      </w:r>
      <w:r w:rsidR="00FF391C">
        <w:rPr>
          <w:rFonts w:ascii="Calibri" w:eastAsia="MS Mincho" w:hAnsi="Calibri" w:cs="Times New Roman"/>
          <w:noProof/>
          <w:color w:val="000000"/>
          <w:highlight w:val="black"/>
        </w:rPr>
        <w:t>''''''''</w:t>
      </w:r>
      <w:r w:rsidR="003A78D3" w:rsidRPr="00C128AB">
        <w:rPr>
          <w:rFonts w:ascii="Calibri" w:eastAsia="MS Mincho" w:hAnsi="Calibri" w:cs="Times New Roman"/>
        </w:rPr>
        <w:t>) and uptake was based on clinical opinion.</w:t>
      </w:r>
      <w:r w:rsidR="001A0FB7" w:rsidRPr="00C128AB">
        <w:rPr>
          <w:rFonts w:ascii="Calibri" w:eastAsia="MS Mincho" w:hAnsi="Calibri" w:cs="Times New Roman"/>
        </w:rPr>
        <w:t xml:space="preserve"> </w:t>
      </w:r>
      <w:r w:rsidR="005724BA" w:rsidRPr="00C128AB">
        <w:rPr>
          <w:rFonts w:ascii="Calibri" w:eastAsia="MS Mincho" w:hAnsi="Calibri" w:cs="Times New Roman"/>
        </w:rPr>
        <w:t xml:space="preserve">At the time of the submission for sunitinib the costs were adjusted to allow for the lack of the 37.5mg strength being available at the time of listing, noting that this was the most commonly prescribed dose. This strength was later listed. This would have </w:t>
      </w:r>
      <w:r w:rsidR="001A0FB7" w:rsidRPr="00C128AB">
        <w:rPr>
          <w:rFonts w:ascii="Calibri" w:eastAsia="MS Mincho" w:hAnsi="Calibri" w:cs="Times New Roman"/>
        </w:rPr>
        <w:t xml:space="preserve">resulted in </w:t>
      </w:r>
      <w:r w:rsidR="005724BA" w:rsidRPr="00C128AB">
        <w:rPr>
          <w:rFonts w:ascii="Calibri" w:eastAsia="MS Mincho" w:hAnsi="Calibri" w:cs="Times New Roman"/>
        </w:rPr>
        <w:t>a small reduction in overall cost.</w:t>
      </w:r>
      <w:r w:rsidR="00464981" w:rsidRPr="00464981">
        <w:rPr>
          <w:rFonts w:ascii="Calibri" w:eastAsia="MS Mincho" w:hAnsi="Calibri" w:cs="Times New Roman"/>
        </w:rPr>
        <w:t xml:space="preserve"> </w:t>
      </w:r>
      <w:r w:rsidR="00464981" w:rsidRPr="00C128AB">
        <w:rPr>
          <w:rFonts w:ascii="Calibri" w:eastAsia="MS Mincho" w:hAnsi="Calibri" w:cs="Times New Roman"/>
        </w:rPr>
        <w:t>The everolimus submission used a market share approach.</w:t>
      </w:r>
    </w:p>
    <w:p w:rsidR="003A78D3" w:rsidRDefault="003A78D3" w:rsidP="001A0FB7">
      <w:pPr>
        <w:rPr>
          <w:rFonts w:ascii="Calibri" w:eastAsia="MS Mincho" w:hAnsi="Calibri" w:cs="Times New Roman"/>
        </w:rPr>
      </w:pPr>
      <w:r>
        <w:rPr>
          <w:rFonts w:ascii="Calibri" w:eastAsia="MS Mincho" w:hAnsi="Calibri" w:cs="Times New Roman"/>
        </w:rPr>
        <w:t xml:space="preserve">The predicted estimates for sunitinib and </w:t>
      </w:r>
      <w:r w:rsidR="004C3DCC">
        <w:rPr>
          <w:rFonts w:ascii="Calibri" w:eastAsia="MS Mincho" w:hAnsi="Calibri" w:cs="Times New Roman"/>
        </w:rPr>
        <w:t>everolimus</w:t>
      </w:r>
      <w:r>
        <w:rPr>
          <w:rFonts w:ascii="Calibri" w:eastAsia="MS Mincho" w:hAnsi="Calibri" w:cs="Times New Roman"/>
        </w:rPr>
        <w:t xml:space="preserve"> are presented in </w:t>
      </w:r>
      <w:r w:rsidRPr="001A0FB7">
        <w:rPr>
          <w:rFonts w:ascii="Calibri" w:eastAsia="MS Mincho" w:hAnsi="Calibri" w:cs="Times New Roman"/>
        </w:rPr>
        <w:t xml:space="preserve">Table </w:t>
      </w:r>
      <w:r w:rsidR="004C3DCC">
        <w:rPr>
          <w:rFonts w:ascii="Calibri" w:eastAsia="MS Mincho" w:hAnsi="Calibri" w:cs="Times New Roman"/>
        </w:rPr>
        <w:t>1</w:t>
      </w:r>
      <w:r>
        <w:rPr>
          <w:rFonts w:ascii="Calibri" w:eastAsia="MS Mincho" w:hAnsi="Calibri" w:cs="Times New Roman"/>
        </w:rPr>
        <w:t xml:space="preserve"> below. These are sourced from the submissions to the PBAC and PBS agreed estimates of utilisation prepared before listing on the PBS.</w:t>
      </w:r>
    </w:p>
    <w:p w:rsidR="00E93D3D" w:rsidRDefault="00E93D3D">
      <w:pPr>
        <w:spacing w:line="276" w:lineRule="auto"/>
        <w:rPr>
          <w:rFonts w:ascii="Calibri" w:eastAsia="MS Mincho" w:hAnsi="Calibri" w:cs="Times New Roman"/>
          <w:b/>
        </w:rPr>
      </w:pPr>
      <w:r>
        <w:rPr>
          <w:rFonts w:ascii="Calibri" w:eastAsia="MS Mincho" w:hAnsi="Calibri" w:cs="Times New Roman"/>
          <w:b/>
        </w:rPr>
        <w:br w:type="page"/>
      </w:r>
    </w:p>
    <w:p w:rsidR="005724BA" w:rsidRPr="00314ED7" w:rsidRDefault="003A78D3" w:rsidP="004B340E">
      <w:pPr>
        <w:widowControl w:val="0"/>
        <w:spacing w:after="240"/>
        <w:contextualSpacing/>
        <w:rPr>
          <w:rFonts w:ascii="Calibri" w:eastAsia="MS Mincho" w:hAnsi="Calibri" w:cs="Times New Roman"/>
          <w:b/>
        </w:rPr>
      </w:pPr>
      <w:r w:rsidRPr="00264FB7">
        <w:rPr>
          <w:rFonts w:ascii="Calibri" w:eastAsia="MS Mincho" w:hAnsi="Calibri" w:cs="Times New Roman"/>
          <w:b/>
        </w:rPr>
        <w:t xml:space="preserve">Table </w:t>
      </w:r>
      <w:r w:rsidR="00314ED7" w:rsidRPr="00264FB7">
        <w:rPr>
          <w:rFonts w:ascii="Calibri" w:eastAsia="MS Mincho" w:hAnsi="Calibri" w:cs="Times New Roman"/>
          <w:b/>
        </w:rPr>
        <w:t>1:</w:t>
      </w:r>
      <w:r w:rsidRPr="00264FB7">
        <w:rPr>
          <w:rFonts w:ascii="Calibri" w:eastAsia="MS Mincho" w:hAnsi="Calibri" w:cs="Times New Roman"/>
          <w:b/>
        </w:rPr>
        <w:t xml:space="preserve"> Predicted estimates for sunitinib and everolimus</w:t>
      </w:r>
    </w:p>
    <w:tbl>
      <w:tblPr>
        <w:tblW w:w="9169" w:type="dxa"/>
        <w:tblInd w:w="103" w:type="dxa"/>
        <w:tblLayout w:type="fixed"/>
        <w:tblLook w:val="04A0" w:firstRow="1" w:lastRow="0" w:firstColumn="1" w:lastColumn="0" w:noHBand="0" w:noVBand="1"/>
      </w:tblPr>
      <w:tblGrid>
        <w:gridCol w:w="3969"/>
        <w:gridCol w:w="664"/>
        <w:gridCol w:w="1134"/>
        <w:gridCol w:w="1134"/>
        <w:gridCol w:w="1134"/>
        <w:gridCol w:w="1134"/>
      </w:tblGrid>
      <w:tr w:rsidR="00B47E76" w:rsidRPr="00264FB7" w:rsidTr="00B47E76">
        <w:trPr>
          <w:trHeight w:val="20"/>
        </w:trPr>
        <w:tc>
          <w:tcPr>
            <w:tcW w:w="3969"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F51D30" w:rsidRPr="00264FB7" w:rsidRDefault="00F51D30" w:rsidP="00264FB7">
            <w:pPr>
              <w:spacing w:after="0"/>
              <w:jc w:val="center"/>
              <w:rPr>
                <w:rFonts w:eastAsia="Times New Roman" w:cs="Arial"/>
                <w:b/>
                <w:sz w:val="20"/>
                <w:szCs w:val="20"/>
              </w:rPr>
            </w:pPr>
          </w:p>
        </w:tc>
        <w:tc>
          <w:tcPr>
            <w:tcW w:w="66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51D30" w:rsidRPr="00264FB7" w:rsidRDefault="00F51D30" w:rsidP="00264FB7">
            <w:pPr>
              <w:spacing w:after="0"/>
              <w:jc w:val="center"/>
              <w:rPr>
                <w:rFonts w:eastAsia="Times New Roman" w:cs="Arial"/>
                <w:b/>
                <w:sz w:val="20"/>
                <w:szCs w:val="20"/>
              </w:rPr>
            </w:pP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51D30" w:rsidRPr="00264FB7" w:rsidRDefault="00F51D30" w:rsidP="00264FB7">
            <w:pPr>
              <w:spacing w:after="0"/>
              <w:jc w:val="center"/>
              <w:rPr>
                <w:rFonts w:eastAsia="Times New Roman" w:cs="Arial"/>
                <w:b/>
                <w:sz w:val="20"/>
                <w:szCs w:val="20"/>
              </w:rPr>
            </w:pPr>
            <w:r w:rsidRPr="00264FB7">
              <w:rPr>
                <w:rFonts w:eastAsia="Times New Roman" w:cs="Arial"/>
                <w:b/>
                <w:sz w:val="20"/>
                <w:szCs w:val="20"/>
              </w:rPr>
              <w:t>Year 1</w:t>
            </w:r>
            <w:r w:rsidR="005724BA" w:rsidRPr="00264FB7">
              <w:rPr>
                <w:rFonts w:eastAsia="Times New Roman" w:cs="Arial"/>
                <w:b/>
                <w:sz w:val="20"/>
                <w:szCs w:val="20"/>
              </w:rPr>
              <w:t xml:space="preserve"> (2013)</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51D30" w:rsidRPr="00264FB7" w:rsidRDefault="00F51D30" w:rsidP="00264FB7">
            <w:pPr>
              <w:spacing w:after="0"/>
              <w:jc w:val="center"/>
              <w:rPr>
                <w:rFonts w:eastAsia="Times New Roman" w:cs="Arial"/>
                <w:b/>
                <w:sz w:val="20"/>
                <w:szCs w:val="20"/>
              </w:rPr>
            </w:pPr>
            <w:r w:rsidRPr="00264FB7">
              <w:rPr>
                <w:rFonts w:eastAsia="Times New Roman" w:cs="Arial"/>
                <w:b/>
                <w:sz w:val="20"/>
                <w:szCs w:val="20"/>
              </w:rPr>
              <w:t>Year 2</w:t>
            </w:r>
            <w:r w:rsidR="005724BA" w:rsidRPr="00264FB7">
              <w:rPr>
                <w:rFonts w:eastAsia="Times New Roman" w:cs="Arial"/>
                <w:b/>
                <w:sz w:val="20"/>
                <w:szCs w:val="20"/>
              </w:rPr>
              <w:t xml:space="preserve"> (2014)</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51D30" w:rsidRPr="00264FB7" w:rsidRDefault="00F51D30" w:rsidP="00264FB7">
            <w:pPr>
              <w:spacing w:after="0"/>
              <w:jc w:val="center"/>
              <w:rPr>
                <w:rFonts w:eastAsia="Times New Roman" w:cs="Arial"/>
                <w:b/>
                <w:sz w:val="20"/>
                <w:szCs w:val="20"/>
              </w:rPr>
            </w:pPr>
            <w:r w:rsidRPr="00264FB7">
              <w:rPr>
                <w:rFonts w:eastAsia="Times New Roman" w:cs="Arial"/>
                <w:b/>
                <w:sz w:val="20"/>
                <w:szCs w:val="20"/>
              </w:rPr>
              <w:t>Year 3</w:t>
            </w:r>
            <w:r w:rsidR="005724BA" w:rsidRPr="00264FB7">
              <w:rPr>
                <w:rFonts w:eastAsia="Times New Roman" w:cs="Arial"/>
                <w:b/>
                <w:sz w:val="20"/>
                <w:szCs w:val="20"/>
              </w:rPr>
              <w:t xml:space="preserve"> (2015)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51D30" w:rsidRPr="00264FB7" w:rsidRDefault="00F51D30" w:rsidP="00546EE3">
            <w:pPr>
              <w:spacing w:after="0"/>
              <w:jc w:val="center"/>
              <w:rPr>
                <w:rFonts w:eastAsia="Times New Roman" w:cs="Arial"/>
                <w:b/>
                <w:sz w:val="20"/>
                <w:szCs w:val="20"/>
              </w:rPr>
            </w:pPr>
            <w:r w:rsidRPr="00264FB7">
              <w:rPr>
                <w:rFonts w:eastAsia="Times New Roman" w:cs="Arial"/>
                <w:b/>
                <w:sz w:val="20"/>
                <w:szCs w:val="20"/>
              </w:rPr>
              <w:t>Year4</w:t>
            </w:r>
            <w:r w:rsidR="005724BA" w:rsidRPr="00264FB7">
              <w:rPr>
                <w:rFonts w:eastAsia="Times New Roman" w:cs="Arial"/>
                <w:b/>
                <w:sz w:val="20"/>
                <w:szCs w:val="20"/>
              </w:rPr>
              <w:t xml:space="preserve"> (201</w:t>
            </w:r>
            <w:r w:rsidR="00546EE3">
              <w:rPr>
                <w:rFonts w:eastAsia="Times New Roman" w:cs="Arial"/>
                <w:b/>
                <w:sz w:val="20"/>
                <w:szCs w:val="20"/>
              </w:rPr>
              <w:t>6</w:t>
            </w:r>
            <w:r w:rsidR="005724BA" w:rsidRPr="00264FB7">
              <w:rPr>
                <w:rFonts w:eastAsia="Times New Roman" w:cs="Arial"/>
                <w:b/>
                <w:sz w:val="20"/>
                <w:szCs w:val="20"/>
              </w:rPr>
              <w:t>)</w:t>
            </w:r>
          </w:p>
        </w:tc>
      </w:tr>
      <w:tr w:rsidR="00B47E76" w:rsidRPr="00E84C97" w:rsidTr="00B47E76">
        <w:trPr>
          <w:trHeight w:val="20"/>
        </w:trPr>
        <w:tc>
          <w:tcPr>
            <w:tcW w:w="3969" w:type="dxa"/>
            <w:tcBorders>
              <w:top w:val="single" w:sz="4" w:space="0" w:color="auto"/>
              <w:left w:val="single" w:sz="4" w:space="0" w:color="auto"/>
              <w:bottom w:val="single" w:sz="4" w:space="0" w:color="auto"/>
              <w:right w:val="nil"/>
            </w:tcBorders>
            <w:shd w:val="clear" w:color="auto" w:fill="auto"/>
            <w:vAlign w:val="center"/>
            <w:hideMark/>
          </w:tcPr>
          <w:p w:rsidR="00F51D30" w:rsidRPr="00FF391C" w:rsidRDefault="00FF391C" w:rsidP="00264FB7">
            <w:pPr>
              <w:spacing w:after="0"/>
              <w:rPr>
                <w:rFonts w:eastAsia="Times New Roman" w:cs="Arial"/>
                <w:sz w:val="20"/>
                <w:szCs w:val="20"/>
                <w:highlight w:val="black"/>
              </w:rPr>
            </w:pPr>
            <w:r>
              <w:rPr>
                <w:rFonts w:eastAsia="Times New Roman" w:cs="Arial"/>
                <w:noProof/>
                <w:color w:val="000000"/>
                <w:sz w:val="20"/>
                <w:szCs w:val="20"/>
                <w:highlight w:val="black"/>
              </w:rPr>
              <w:t>''''''''''''''''' '''''''' ''''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r>
      <w:tr w:rsidR="00B47E76" w:rsidRPr="00E84C97"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D30" w:rsidRPr="00FF391C" w:rsidRDefault="00FF391C" w:rsidP="00264FB7">
            <w:pPr>
              <w:spacing w:after="0"/>
              <w:rPr>
                <w:rFonts w:eastAsia="Times New Roman" w:cs="Arial"/>
                <w:sz w:val="20"/>
                <w:szCs w:val="20"/>
                <w:highlight w:val="black"/>
              </w:rPr>
            </w:pPr>
            <w:r>
              <w:rPr>
                <w:rFonts w:eastAsia="Times New Roman" w:cs="Arial"/>
                <w:noProof/>
                <w:color w:val="000000"/>
                <w:sz w:val="20"/>
                <w:szCs w:val="20"/>
                <w:highlight w:val="black"/>
              </w:rPr>
              <w:t>'''''''''''''' ''''''''''''''' '''''''' ''''''''''''''''' ''''''''''''''' '''''''''''''' ''''''''''' '''''''''''''''''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r>
      <w:tr w:rsidR="00B47E76" w:rsidRPr="00E84C97" w:rsidTr="00B47E76">
        <w:trPr>
          <w:trHeight w:val="20"/>
        </w:trPr>
        <w:tc>
          <w:tcPr>
            <w:tcW w:w="3969" w:type="dxa"/>
            <w:tcBorders>
              <w:top w:val="single" w:sz="4" w:space="0" w:color="auto"/>
              <w:left w:val="single" w:sz="4" w:space="0" w:color="auto"/>
              <w:bottom w:val="single" w:sz="4" w:space="0" w:color="auto"/>
              <w:right w:val="nil"/>
            </w:tcBorders>
            <w:shd w:val="clear" w:color="auto" w:fill="auto"/>
            <w:noWrap/>
            <w:vAlign w:val="center"/>
            <w:hideMark/>
          </w:tcPr>
          <w:p w:rsidR="00F51D30" w:rsidRPr="00FF391C" w:rsidRDefault="00FF391C" w:rsidP="00264FB7">
            <w:pPr>
              <w:spacing w:after="0"/>
              <w:rPr>
                <w:rFonts w:eastAsia="Times New Roman" w:cs="Arial"/>
                <w:color w:val="000000"/>
                <w:sz w:val="20"/>
                <w:szCs w:val="20"/>
                <w:highlight w:val="black"/>
              </w:rPr>
            </w:pPr>
            <w:r>
              <w:rPr>
                <w:rFonts w:eastAsia="Times New Roman" w:cs="Arial"/>
                <w:noProof/>
                <w:color w:val="000000"/>
                <w:sz w:val="20"/>
                <w:szCs w:val="20"/>
                <w:highlight w:val="black"/>
              </w:rPr>
              <w:t>'''''''''''''''''''''' ''''''''''''''''''''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r>
      <w:tr w:rsidR="00B47E76" w:rsidRPr="00E84C97" w:rsidTr="00B47E76">
        <w:trPr>
          <w:trHeight w:val="20"/>
        </w:trPr>
        <w:tc>
          <w:tcPr>
            <w:tcW w:w="3969" w:type="dxa"/>
            <w:tcBorders>
              <w:top w:val="single" w:sz="4" w:space="0" w:color="auto"/>
              <w:left w:val="single" w:sz="4" w:space="0" w:color="auto"/>
              <w:bottom w:val="single" w:sz="4" w:space="0" w:color="auto"/>
              <w:right w:val="nil"/>
            </w:tcBorders>
            <w:shd w:val="clear" w:color="auto" w:fill="auto"/>
            <w:vAlign w:val="center"/>
            <w:hideMark/>
          </w:tcPr>
          <w:p w:rsidR="00F51D30" w:rsidRPr="00FF391C" w:rsidRDefault="00FF391C" w:rsidP="00264FB7">
            <w:pPr>
              <w:spacing w:after="0"/>
              <w:rPr>
                <w:rFonts w:eastAsia="Times New Roman" w:cs="Arial"/>
                <w:sz w:val="20"/>
                <w:szCs w:val="20"/>
                <w:highlight w:val="black"/>
              </w:rPr>
            </w:pPr>
            <w:r>
              <w:rPr>
                <w:rFonts w:eastAsia="Times New Roman" w:cs="Arial"/>
                <w:noProof/>
                <w:color w:val="000000"/>
                <w:sz w:val="20"/>
                <w:szCs w:val="20"/>
                <w:highlight w:val="black"/>
              </w:rPr>
              <w:t>'''''''''''''''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r>
      <w:tr w:rsidR="00B47E76" w:rsidRPr="00E84C97" w:rsidTr="00B47E76">
        <w:trPr>
          <w:trHeight w:val="2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F51D30"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 ''' ''''''''''''''''''</w:t>
            </w:r>
          </w:p>
        </w:tc>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1134" w:type="dxa"/>
            <w:tcBorders>
              <w:top w:val="nil"/>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sz w:val="20"/>
                <w:szCs w:val="20"/>
              </w:rPr>
            </w:pPr>
          </w:p>
        </w:tc>
      </w:tr>
      <w:tr w:rsidR="00B47E76" w:rsidRPr="00E84C97" w:rsidTr="00B47E76">
        <w:trPr>
          <w:trHeight w:val="2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F51D30"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w:t>
            </w:r>
          </w:p>
        </w:tc>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F51D30" w:rsidRPr="00FF391C" w:rsidRDefault="00F51D30" w:rsidP="00264FB7">
            <w:pPr>
              <w:spacing w:after="0"/>
              <w:jc w:val="center"/>
              <w:rPr>
                <w:rFonts w:eastAsia="Times New Roman" w:cs="Arial"/>
                <w:bCs/>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bCs/>
                <w:sz w:val="20"/>
                <w:szCs w:val="20"/>
                <w:highlight w:val="black"/>
              </w:rPr>
            </w:pPr>
            <w:r>
              <w:rPr>
                <w:rFonts w:eastAsia="Times New Roman" w:cs="Arial"/>
                <w:bCs/>
                <w:noProof/>
                <w:color w:val="000000"/>
                <w:sz w:val="20"/>
                <w:szCs w:val="20"/>
                <w:highlight w:val="black"/>
              </w:rPr>
              <w:t>'''''</w:t>
            </w:r>
          </w:p>
        </w:tc>
        <w:tc>
          <w:tcPr>
            <w:tcW w:w="1134" w:type="dxa"/>
            <w:tcBorders>
              <w:top w:val="nil"/>
              <w:left w:val="nil"/>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bCs/>
                <w:sz w:val="20"/>
                <w:szCs w:val="20"/>
                <w:highlight w:val="black"/>
              </w:rPr>
            </w:pPr>
            <w:r>
              <w:rPr>
                <w:rFonts w:eastAsia="Times New Roman" w:cs="Arial"/>
                <w:bCs/>
                <w:noProof/>
                <w:color w:val="000000"/>
                <w:sz w:val="20"/>
                <w:szCs w:val="20"/>
                <w:highlight w:val="black"/>
              </w:rPr>
              <w:t>'''''</w:t>
            </w:r>
          </w:p>
        </w:tc>
        <w:tc>
          <w:tcPr>
            <w:tcW w:w="1134" w:type="dxa"/>
            <w:tcBorders>
              <w:top w:val="nil"/>
              <w:left w:val="nil"/>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bCs/>
                <w:sz w:val="20"/>
                <w:szCs w:val="20"/>
                <w:highlight w:val="black"/>
              </w:rPr>
            </w:pPr>
            <w:r>
              <w:rPr>
                <w:rFonts w:eastAsia="Times New Roman" w:cs="Arial"/>
                <w:bCs/>
                <w:noProof/>
                <w:color w:val="000000"/>
                <w:sz w:val="20"/>
                <w:szCs w:val="20"/>
                <w:highlight w:val="black"/>
              </w:rPr>
              <w:t>''''''</w:t>
            </w:r>
          </w:p>
        </w:tc>
        <w:tc>
          <w:tcPr>
            <w:tcW w:w="1134" w:type="dxa"/>
            <w:tcBorders>
              <w:top w:val="nil"/>
              <w:left w:val="nil"/>
              <w:bottom w:val="single" w:sz="4" w:space="0" w:color="auto"/>
              <w:right w:val="single" w:sz="4" w:space="0" w:color="auto"/>
            </w:tcBorders>
            <w:shd w:val="clear" w:color="auto" w:fill="auto"/>
            <w:noWrap/>
            <w:vAlign w:val="center"/>
            <w:hideMark/>
          </w:tcPr>
          <w:p w:rsidR="00F51D30" w:rsidRPr="00FF391C" w:rsidRDefault="00FF391C" w:rsidP="00264FB7">
            <w:pPr>
              <w:spacing w:after="0"/>
              <w:jc w:val="center"/>
              <w:rPr>
                <w:rFonts w:eastAsia="Times New Roman" w:cs="Arial"/>
                <w:bCs/>
                <w:sz w:val="20"/>
                <w:szCs w:val="20"/>
                <w:highlight w:val="black"/>
              </w:rPr>
            </w:pPr>
            <w:r>
              <w:rPr>
                <w:rFonts w:eastAsia="Times New Roman" w:cs="Arial"/>
                <w:bCs/>
                <w:noProof/>
                <w:color w:val="000000"/>
                <w:sz w:val="20"/>
                <w:szCs w:val="20"/>
                <w:highlight w:val="black"/>
              </w:rPr>
              <w:t>'''''</w:t>
            </w:r>
          </w:p>
        </w:tc>
      </w:tr>
      <w:tr w:rsidR="00B47E76" w:rsidRPr="00E84C97"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51D30" w:rsidP="00264FB7">
            <w:pPr>
              <w:spacing w:after="0"/>
              <w:jc w:val="center"/>
              <w:rPr>
                <w:rFonts w:eastAsia="Times New Roman" w:cs="Arial"/>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spacing w:after="0"/>
              <w:jc w:val="center"/>
              <w:rPr>
                <w:rFonts w:eastAsia="Times New Roman" w:cs="Arial"/>
                <w:bCs/>
                <w:sz w:val="20"/>
                <w:szCs w:val="20"/>
                <w:highlight w:val="black"/>
              </w:rPr>
            </w:pPr>
            <w:r>
              <w:rPr>
                <w:rFonts w:eastAsia="Times New Roman"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spacing w:after="0"/>
              <w:jc w:val="center"/>
              <w:rPr>
                <w:rFonts w:eastAsia="Times New Roman" w:cs="Arial"/>
                <w:bCs/>
                <w:sz w:val="20"/>
                <w:szCs w:val="20"/>
                <w:highlight w:val="black"/>
              </w:rPr>
            </w:pPr>
            <w:r>
              <w:rPr>
                <w:rFonts w:eastAsia="Times New Roman"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spacing w:after="0"/>
              <w:jc w:val="center"/>
              <w:rPr>
                <w:rFonts w:eastAsia="Times New Roman" w:cs="Arial"/>
                <w:bCs/>
                <w:sz w:val="20"/>
                <w:szCs w:val="20"/>
                <w:highlight w:val="black"/>
              </w:rPr>
            </w:pPr>
            <w:r>
              <w:rPr>
                <w:rFonts w:eastAsia="Times New Roman"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spacing w:after="0"/>
              <w:jc w:val="center"/>
              <w:rPr>
                <w:rFonts w:eastAsia="Times New Roman" w:cs="Arial"/>
                <w:bCs/>
                <w:sz w:val="20"/>
                <w:szCs w:val="20"/>
                <w:highlight w:val="black"/>
              </w:rPr>
            </w:pPr>
            <w:r>
              <w:rPr>
                <w:rFonts w:eastAsia="Times New Roman" w:cs="Arial"/>
                <w:bCs/>
                <w:noProof/>
                <w:color w:val="000000"/>
                <w:sz w:val="20"/>
                <w:szCs w:val="20"/>
                <w:highlight w:val="black"/>
              </w:rPr>
              <w:t>''''''''</w:t>
            </w:r>
          </w:p>
        </w:tc>
      </w:tr>
      <w:tr w:rsidR="00B47E76" w:rsidRPr="00E84C97"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51D30" w:rsidP="00264FB7">
            <w:pPr>
              <w:spacing w:after="0"/>
              <w:jc w:val="center"/>
              <w:rPr>
                <w:rFonts w:eastAsia="Times New Roman" w:cs="Arial"/>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sz w:val="20"/>
                <w:szCs w:val="20"/>
                <w:highlight w:val="black"/>
              </w:rPr>
            </w:pPr>
            <w:r>
              <w:rPr>
                <w:rFonts w:cs="Arial"/>
                <w:noProof/>
                <w:color w:val="000000"/>
                <w:sz w:val="20"/>
                <w:szCs w:val="20"/>
                <w:highlight w:val="black"/>
              </w:rPr>
              <w:t>'''''</w:t>
            </w:r>
          </w:p>
        </w:tc>
      </w:tr>
      <w:tr w:rsidR="00B47E76" w:rsidRPr="00E84C97"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51D30" w:rsidP="00264FB7">
            <w:pPr>
              <w:spacing w:after="0"/>
              <w:jc w:val="center"/>
              <w:rPr>
                <w:rFonts w:eastAsia="Times New Roman" w:cs="Arial"/>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sz w:val="20"/>
                <w:szCs w:val="20"/>
                <w:highlight w:val="black"/>
              </w:rPr>
            </w:pPr>
            <w:r>
              <w:rPr>
                <w:rFonts w:cs="Arial"/>
                <w:noProof/>
                <w:color w:val="000000"/>
                <w:sz w:val="20"/>
                <w:szCs w:val="20"/>
                <w:highlight w:val="black"/>
              </w:rPr>
              <w:t>'''''</w:t>
            </w:r>
          </w:p>
        </w:tc>
      </w:tr>
      <w:tr w:rsidR="00B47E76" w:rsidRPr="00E84C97"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51D30" w:rsidP="00264FB7">
            <w:pPr>
              <w:spacing w:after="0"/>
              <w:jc w:val="center"/>
              <w:rPr>
                <w:rFonts w:eastAsia="Times New Roman" w:cs="Arial"/>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r>
      <w:tr w:rsidR="00B47E76" w:rsidRPr="00E84C97"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 '''''''''' '''' '''''''''''''''' ''''''''''''''''' ''''''''''''''''' '''''''''''' '''' '''''''''''''' '''''''''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D30" w:rsidRPr="00FF391C" w:rsidRDefault="00F51D30" w:rsidP="00264FB7">
            <w:pPr>
              <w:spacing w:after="0"/>
              <w:jc w:val="center"/>
              <w:rPr>
                <w:rFonts w:eastAsia="Times New Roman" w:cs="Arial"/>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bCs/>
                <w:color w:val="000000"/>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bCs/>
                <w:color w:val="000000"/>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bCs/>
                <w:color w:val="000000"/>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1D30" w:rsidRPr="00FF391C" w:rsidRDefault="00FF391C" w:rsidP="00264FB7">
            <w:pPr>
              <w:jc w:val="center"/>
              <w:rPr>
                <w:rFonts w:cs="Arial"/>
                <w:bCs/>
                <w:color w:val="000000"/>
                <w:sz w:val="20"/>
                <w:szCs w:val="20"/>
                <w:highlight w:val="black"/>
              </w:rPr>
            </w:pPr>
            <w:r>
              <w:rPr>
                <w:rFonts w:cs="Arial"/>
                <w:bCs/>
                <w:noProof/>
                <w:color w:val="000000"/>
                <w:sz w:val="20"/>
                <w:szCs w:val="20"/>
                <w:highlight w:val="black"/>
              </w:rPr>
              <w:t>''''''''</w:t>
            </w:r>
          </w:p>
        </w:tc>
      </w:tr>
      <w:tr w:rsidR="00B47E76" w:rsidRPr="00E84C97"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24BA"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24BA" w:rsidRPr="00FF391C" w:rsidRDefault="005724BA" w:rsidP="00264FB7">
            <w:pPr>
              <w:spacing w:after="0"/>
              <w:jc w:val="center"/>
              <w:rPr>
                <w:rFonts w:eastAsia="Times New Roman" w:cs="Arial"/>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24BA"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24BA"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24BA"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24BA"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r>
    </w:tbl>
    <w:p w:rsidR="00B47E76" w:rsidRPr="00FF391C" w:rsidRDefault="00FF391C" w:rsidP="00B47E76">
      <w:pPr>
        <w:spacing w:after="0"/>
        <w:rPr>
          <w:highlight w:val="black"/>
        </w:rPr>
      </w:pPr>
      <w:r>
        <w:rPr>
          <w:rFonts w:cs="Arial"/>
          <w:bCs/>
          <w:noProof/>
          <w:color w:val="000000"/>
          <w:sz w:val="20"/>
          <w:szCs w:val="20"/>
          <w:highlight w:val="black"/>
        </w:rPr>
        <w:t>''''''''''''''''''''' ''''''''' ''''''''''' ''''' ''' ''''''''''''' '''''''''' ''''''''''''''''''' '''''''''' '''''''''' ''''' '''''' '''''''''''''''''' '''' ''''''' ''''''''''''''' '''' ''''''''''''''' ''''''''''''''</w:t>
      </w:r>
    </w:p>
    <w:tbl>
      <w:tblPr>
        <w:tblW w:w="9169" w:type="dxa"/>
        <w:tblInd w:w="103" w:type="dxa"/>
        <w:tblLayout w:type="fixed"/>
        <w:tblLook w:val="04A0" w:firstRow="1" w:lastRow="0" w:firstColumn="1" w:lastColumn="0" w:noHBand="0" w:noVBand="1"/>
      </w:tblPr>
      <w:tblGrid>
        <w:gridCol w:w="3969"/>
        <w:gridCol w:w="664"/>
        <w:gridCol w:w="1134"/>
        <w:gridCol w:w="1134"/>
        <w:gridCol w:w="1134"/>
        <w:gridCol w:w="1134"/>
      </w:tblGrid>
      <w:tr w:rsidR="00B47E76" w:rsidRPr="000158A4"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24BA"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24BA" w:rsidRPr="000158A4" w:rsidRDefault="005724BA" w:rsidP="00264FB7">
            <w:pPr>
              <w:spacing w:after="0"/>
              <w:jc w:val="center"/>
              <w:rPr>
                <w:rFonts w:eastAsia="Times New Roman" w:cs="Times New Roman"/>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24BA" w:rsidRPr="000158A4" w:rsidRDefault="005724BA" w:rsidP="00264FB7">
            <w:pPr>
              <w:jc w:val="center"/>
              <w:rPr>
                <w:rFonts w:cs="Arial"/>
                <w:bCs/>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24BA"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24BA"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724BA" w:rsidRPr="00FF391C" w:rsidRDefault="00FF391C" w:rsidP="00264FB7">
            <w:pPr>
              <w:jc w:val="center"/>
              <w:rPr>
                <w:rFonts w:cs="Arial"/>
                <w:bCs/>
                <w:sz w:val="20"/>
                <w:szCs w:val="20"/>
                <w:highlight w:val="black"/>
              </w:rPr>
            </w:pPr>
            <w:r>
              <w:rPr>
                <w:rFonts w:cs="Arial"/>
                <w:bCs/>
                <w:noProof/>
                <w:color w:val="000000"/>
                <w:sz w:val="20"/>
                <w:szCs w:val="20"/>
                <w:highlight w:val="black"/>
              </w:rPr>
              <w:t>''''''''</w:t>
            </w:r>
          </w:p>
        </w:tc>
      </w:tr>
      <w:tr w:rsidR="00B47E76" w:rsidRPr="00F5044E"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FF391C" w:rsidP="00A90938">
            <w:pPr>
              <w:rPr>
                <w:rFonts w:cs="Arial"/>
                <w:sz w:val="20"/>
                <w:szCs w:val="20"/>
                <w:highlight w:val="black"/>
              </w:rPr>
            </w:pPr>
            <w:r>
              <w:rPr>
                <w:rFonts w:cs="Arial"/>
                <w:noProof/>
                <w:color w:val="000000"/>
                <w:sz w:val="20"/>
                <w:szCs w:val="20"/>
                <w:highlight w:val="black"/>
              </w:rPr>
              <w:t>'''''''''''''''''''' '''' ''''''''''''''''' ''''''''''''''''''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1C7D9C" w:rsidP="00264FB7">
            <w:pPr>
              <w:spacing w:after="0"/>
              <w:jc w:val="center"/>
              <w:rPr>
                <w:rFonts w:eastAsia="Times New Roman" w:cs="Times New Roman"/>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1C7D9C" w:rsidP="00264FB7">
            <w:pPr>
              <w:jc w:val="center"/>
              <w:rPr>
                <w:rFonts w:cs="Arial"/>
                <w:bCs/>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r>
      <w:tr w:rsidR="00B47E76" w:rsidRPr="001A2864"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FF391C" w:rsidP="00264FB7">
            <w:pPr>
              <w:rPr>
                <w:rFonts w:cs="Arial"/>
                <w:sz w:val="20"/>
                <w:szCs w:val="20"/>
                <w:highlight w:val="black"/>
              </w:rPr>
            </w:pPr>
            <w:r>
              <w:rPr>
                <w:rFonts w:cs="Arial"/>
                <w:noProof/>
                <w:color w:val="000000"/>
                <w:sz w:val="20"/>
                <w:szCs w:val="20"/>
                <w:highlight w:val="black"/>
              </w:rPr>
              <w:t>'''''''''' '''''''''''''' '''''''''''''''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1C7D9C" w:rsidP="00264FB7">
            <w:pPr>
              <w:spacing w:after="0"/>
              <w:jc w:val="center"/>
              <w:rPr>
                <w:rFonts w:eastAsia="Times New Roman" w:cs="Times New Roman"/>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1C7D9C" w:rsidP="00264FB7">
            <w:pPr>
              <w:jc w:val="center"/>
              <w:rPr>
                <w:rFonts w:cs="Arial"/>
                <w:bCs/>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r>
      <w:tr w:rsidR="00B47E76" w:rsidRPr="00F5044E"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FF391C" w:rsidP="00264FB7">
            <w:pPr>
              <w:rPr>
                <w:rFonts w:cs="Arial"/>
                <w:sz w:val="20"/>
                <w:szCs w:val="20"/>
                <w:highlight w:val="black"/>
              </w:rPr>
            </w:pPr>
            <w:r>
              <w:rPr>
                <w:rFonts w:cs="Arial"/>
                <w:noProof/>
                <w:color w:val="000000"/>
                <w:sz w:val="20"/>
                <w:szCs w:val="20"/>
                <w:highlight w:val="black"/>
              </w:rPr>
              <w:t>'''''''''''''''''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1C7D9C" w:rsidP="00264FB7">
            <w:pPr>
              <w:spacing w:after="0"/>
              <w:jc w:val="center"/>
              <w:rPr>
                <w:rFonts w:eastAsia="Times New Roman" w:cs="Times New Roman"/>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1C7D9C" w:rsidP="00264FB7">
            <w:pPr>
              <w:jc w:val="center"/>
              <w:rPr>
                <w:rFonts w:cs="Arial"/>
                <w:bCs/>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r>
      <w:tr w:rsidR="00B47E76" w:rsidRPr="00F5044E"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FF391C" w:rsidP="00264FB7">
            <w:pPr>
              <w:rPr>
                <w:rFonts w:cs="Arial"/>
                <w:sz w:val="20"/>
                <w:szCs w:val="20"/>
                <w:highlight w:val="black"/>
              </w:rPr>
            </w:pPr>
            <w:r>
              <w:rPr>
                <w:rFonts w:cs="Arial"/>
                <w:noProof/>
                <w:color w:val="000000"/>
                <w:sz w:val="20"/>
                <w:szCs w:val="20"/>
                <w:highlight w:val="black"/>
              </w:rPr>
              <w:t>''''''''''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1C7D9C" w:rsidP="00264FB7">
            <w:pPr>
              <w:spacing w:after="0"/>
              <w:jc w:val="center"/>
              <w:rPr>
                <w:rFonts w:eastAsia="Times New Roman" w:cs="Times New Roman"/>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1C7D9C" w:rsidP="00264FB7">
            <w:pPr>
              <w:jc w:val="center"/>
              <w:rPr>
                <w:rFonts w:cs="Arial"/>
                <w:bCs/>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r>
      <w:tr w:rsidR="00B47E76" w:rsidRPr="00F5044E"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D9C" w:rsidRPr="00FF391C" w:rsidRDefault="001C7D9C" w:rsidP="00264FB7">
            <w:pPr>
              <w:spacing w:after="0"/>
              <w:jc w:val="center"/>
              <w:rPr>
                <w:rFonts w:eastAsia="Times New Roman" w:cs="Times New Roman"/>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1C7D9C" w:rsidP="00264FB7">
            <w:pPr>
              <w:jc w:val="center"/>
              <w:rPr>
                <w:rFonts w:cs="Arial"/>
                <w:bCs/>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D9C" w:rsidRPr="00FF391C" w:rsidRDefault="00FF391C" w:rsidP="00264FB7">
            <w:pPr>
              <w:jc w:val="center"/>
              <w:rPr>
                <w:rFonts w:cs="Arial"/>
                <w:sz w:val="20"/>
                <w:szCs w:val="20"/>
                <w:highlight w:val="black"/>
              </w:rPr>
            </w:pPr>
            <w:r>
              <w:rPr>
                <w:rFonts w:cs="Arial"/>
                <w:noProof/>
                <w:color w:val="000000"/>
                <w:sz w:val="20"/>
                <w:szCs w:val="20"/>
                <w:highlight w:val="black"/>
              </w:rPr>
              <w:t>'''''''</w:t>
            </w:r>
          </w:p>
        </w:tc>
      </w:tr>
      <w:tr w:rsidR="00B47E76" w:rsidRPr="00F5044E" w:rsidTr="00B47E76">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0A05" w:rsidRPr="00FF391C" w:rsidRDefault="00FF391C" w:rsidP="00264FB7">
            <w:pPr>
              <w:spacing w:after="0"/>
              <w:rPr>
                <w:rFonts w:eastAsia="Times New Roman" w:cs="Arial"/>
                <w:bCs/>
                <w:color w:val="000000"/>
                <w:sz w:val="20"/>
                <w:szCs w:val="20"/>
                <w:highlight w:val="black"/>
              </w:rPr>
            </w:pPr>
            <w:r>
              <w:rPr>
                <w:rFonts w:eastAsia="Times New Roman" w:cs="Arial"/>
                <w:bCs/>
                <w:noProof/>
                <w:color w:val="000000"/>
                <w:sz w:val="20"/>
                <w:szCs w:val="20"/>
                <w:highlight w:val="black"/>
              </w:rPr>
              <w:t>'''''' '''''''' '''' '''''''''''' ''''''  '''''''''''''''''''' ''''''''''''''''' ''''''''''''''' ''''' '''''''''''''''''''''''' '''' '''''''''''''''''</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0A05" w:rsidRPr="00FF391C" w:rsidRDefault="00B50A05" w:rsidP="00264FB7">
            <w:pPr>
              <w:spacing w:after="0"/>
              <w:jc w:val="center"/>
              <w:rPr>
                <w:rFonts w:eastAsia="Times New Roman" w:cs="Times New Roman"/>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50A05" w:rsidRPr="00FF391C" w:rsidRDefault="00B50A05" w:rsidP="00264FB7">
            <w:pPr>
              <w:jc w:val="center"/>
              <w:rPr>
                <w:rFonts w:cs="Arial"/>
                <w:bCs/>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50A05" w:rsidRPr="00FF391C" w:rsidRDefault="00FF391C" w:rsidP="00264FB7">
            <w:pPr>
              <w:jc w:val="center"/>
              <w:rPr>
                <w:rFonts w:cs="Arial"/>
                <w:sz w:val="20"/>
                <w:szCs w:val="20"/>
                <w:highlight w:val="black"/>
              </w:rPr>
            </w:pPr>
            <w:r>
              <w:rPr>
                <w:rFonts w:eastAsia="Times New Roman"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50A05" w:rsidRPr="00FF391C" w:rsidRDefault="00FF391C" w:rsidP="00264FB7">
            <w:pPr>
              <w:jc w:val="center"/>
              <w:rPr>
                <w:rFonts w:cs="Arial"/>
                <w:sz w:val="20"/>
                <w:szCs w:val="20"/>
                <w:highlight w:val="black"/>
              </w:rPr>
            </w:pPr>
            <w:r>
              <w:rPr>
                <w:rFonts w:eastAsia="Times New Roman"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50A05" w:rsidRPr="00FF391C" w:rsidRDefault="00FF391C" w:rsidP="00264FB7">
            <w:pPr>
              <w:jc w:val="center"/>
              <w:rPr>
                <w:rFonts w:cs="Arial"/>
                <w:sz w:val="20"/>
                <w:szCs w:val="20"/>
                <w:highlight w:val="black"/>
              </w:rPr>
            </w:pPr>
            <w:r>
              <w:rPr>
                <w:rFonts w:cs="Arial"/>
                <w:noProof/>
                <w:color w:val="000000"/>
                <w:sz w:val="20"/>
                <w:szCs w:val="20"/>
                <w:highlight w:val="black"/>
              </w:rPr>
              <w:t>''''''''''''''''''''''</w:t>
            </w:r>
          </w:p>
        </w:tc>
      </w:tr>
    </w:tbl>
    <w:p w:rsidR="00264FB7" w:rsidRDefault="00264FB7" w:rsidP="004B340E">
      <w:pPr>
        <w:widowControl w:val="0"/>
        <w:spacing w:after="240"/>
        <w:contextualSpacing/>
        <w:rPr>
          <w:rFonts w:ascii="Calibri" w:eastAsia="MS Mincho" w:hAnsi="Calibri" w:cs="Times New Roman"/>
        </w:rPr>
      </w:pPr>
    </w:p>
    <w:p w:rsidR="00731730" w:rsidRPr="00FF391C" w:rsidRDefault="00FF391C" w:rsidP="004B340E">
      <w:pPr>
        <w:widowControl w:val="0"/>
        <w:spacing w:after="240"/>
        <w:contextualSpacing/>
        <w:rPr>
          <w:rFonts w:ascii="Calibri" w:eastAsia="MS Mincho" w:hAnsi="Calibri" w:cs="Times New Roman"/>
          <w:highlight w:val="black"/>
        </w:rPr>
      </w:pPr>
      <w:r>
        <w:rPr>
          <w:rFonts w:ascii="Calibri" w:eastAsia="MS Mincho" w:hAnsi="Calibri" w:cs="Times New Roman"/>
          <w:noProof/>
          <w:color w:val="000000"/>
          <w:highlight w:val="black"/>
        </w:rPr>
        <w:t>''''''''''''''' '''''' '''''''''''''''''''''' '''''' ''''''''''''''''''' ''''''''''''''''''' ''' ''''''''''' '''''''''''' ''''' '''''' ''''''''''''''''''''''''''' '''''''''''''''''' ''''''''''' '''' '''''''''''''''''''' '''' ''''''''''''</w:t>
      </w:r>
    </w:p>
    <w:p w:rsidR="00B75E36" w:rsidRPr="003F0749" w:rsidRDefault="00B75E36" w:rsidP="004B340E">
      <w:pPr>
        <w:widowControl w:val="0"/>
        <w:spacing w:after="240"/>
        <w:contextualSpacing/>
        <w:rPr>
          <w:rFonts w:ascii="Calibri" w:eastAsia="MS Mincho" w:hAnsi="Calibri" w:cs="Times New Roman"/>
          <w:b/>
        </w:rPr>
      </w:pPr>
    </w:p>
    <w:p w:rsidR="00B87CD5" w:rsidRPr="003F0749" w:rsidRDefault="00B87CD5" w:rsidP="00B87CD5">
      <w:pPr>
        <w:spacing w:before="240"/>
        <w:outlineLvl w:val="1"/>
        <w:rPr>
          <w:rFonts w:ascii="Calibri" w:eastAsia="MS Mincho" w:hAnsi="Calibri" w:cs="Times New Roman"/>
          <w:b/>
          <w:sz w:val="28"/>
        </w:rPr>
      </w:pPr>
      <w:r w:rsidRPr="003F0749">
        <w:rPr>
          <w:rFonts w:ascii="Calibri" w:eastAsia="MS Mincho" w:hAnsi="Calibri" w:cs="Times New Roman"/>
          <w:b/>
          <w:sz w:val="28"/>
        </w:rPr>
        <w:t>PBS listing details</w:t>
      </w:r>
      <w:r w:rsidR="00A5795B" w:rsidRPr="003F0749">
        <w:rPr>
          <w:rFonts w:ascii="Calibri" w:eastAsia="MS Mincho" w:hAnsi="Calibri" w:cs="Times New Roman"/>
          <w:b/>
          <w:sz w:val="28"/>
        </w:rPr>
        <w:t xml:space="preserve"> </w:t>
      </w:r>
      <w:r w:rsidR="00A5795B" w:rsidRPr="003F0749">
        <w:rPr>
          <w:rFonts w:ascii="Calibri" w:eastAsia="MS Mincho" w:hAnsi="Calibri" w:cs="Times New Roman"/>
          <w:b/>
        </w:rPr>
        <w:t>(as at A</w:t>
      </w:r>
      <w:r w:rsidR="00744056">
        <w:rPr>
          <w:rFonts w:ascii="Calibri" w:eastAsia="MS Mincho" w:hAnsi="Calibri" w:cs="Times New Roman"/>
          <w:b/>
        </w:rPr>
        <w:t>ugust</w:t>
      </w:r>
      <w:r w:rsidR="00A5795B" w:rsidRPr="003F0749">
        <w:rPr>
          <w:rFonts w:ascii="Calibri" w:eastAsia="MS Mincho" w:hAnsi="Calibri" w:cs="Times New Roman"/>
          <w:b/>
        </w:rPr>
        <w:t xml:space="preserve"> 2017)</w:t>
      </w:r>
    </w:p>
    <w:p w:rsidR="00C67251" w:rsidRPr="00744056" w:rsidRDefault="00C67251" w:rsidP="00C67251">
      <w:pPr>
        <w:spacing w:after="150" w:line="300" w:lineRule="atLeast"/>
        <w:rPr>
          <w:rFonts w:eastAsia="Times New Roman" w:cs="Arial"/>
          <w:color w:val="222222"/>
        </w:rPr>
      </w:pPr>
      <w:r w:rsidRPr="00744056">
        <w:rPr>
          <w:rFonts w:eastAsia="Times New Roman" w:cs="Arial"/>
          <w:color w:val="222222"/>
        </w:rPr>
        <w:t>Metastatic or unresectable, well-differentiated malignant pancreatic neuroendocrine tumour (pNET</w:t>
      </w:r>
      <w:r w:rsidR="00A90938" w:rsidRPr="00744056">
        <w:rPr>
          <w:rFonts w:eastAsia="Times New Roman" w:cs="Arial"/>
          <w:color w:val="222222"/>
        </w:rPr>
        <w:t xml:space="preserve">). </w:t>
      </w:r>
      <w:r w:rsidRPr="00744056">
        <w:rPr>
          <w:rFonts w:eastAsia="Times New Roman" w:cs="Arial"/>
          <w:color w:val="222222"/>
        </w:rPr>
        <w:t>Refer to Appendix A for additional details of the restriction. There have been no changes to the restriction since listing on the PBS.</w:t>
      </w:r>
    </w:p>
    <w:p w:rsidR="001A0FB7" w:rsidRPr="00BD2A2A" w:rsidRDefault="00BD2A2A" w:rsidP="001A0FB7">
      <w:pPr>
        <w:spacing w:after="0"/>
        <w:rPr>
          <w:b/>
        </w:rPr>
      </w:pPr>
      <w:r>
        <w:rPr>
          <w:b/>
        </w:rPr>
        <w:t>Table 2</w:t>
      </w:r>
      <w:r w:rsidR="007D0510">
        <w:rPr>
          <w:b/>
        </w:rPr>
        <w:t>: Listing details</w:t>
      </w:r>
    </w:p>
    <w:tbl>
      <w:tblPr>
        <w:tblW w:w="9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143"/>
        <w:gridCol w:w="1200"/>
        <w:gridCol w:w="1200"/>
        <w:gridCol w:w="1361"/>
        <w:gridCol w:w="2040"/>
      </w:tblGrid>
      <w:tr w:rsidR="00E1624E" w:rsidRPr="00264FB7" w:rsidTr="004A67C7">
        <w:tc>
          <w:tcPr>
            <w:tcW w:w="2098" w:type="dxa"/>
            <w:shd w:val="clear" w:color="auto" w:fill="BFBFBF" w:themeFill="background1" w:themeFillShade="BF"/>
            <w:vAlign w:val="center"/>
          </w:tcPr>
          <w:p w:rsidR="00E1624E" w:rsidRPr="00E1624E" w:rsidRDefault="00E1624E" w:rsidP="00264FB7">
            <w:pPr>
              <w:spacing w:after="0"/>
              <w:rPr>
                <w:rFonts w:cs="Arial"/>
                <w:b/>
                <w:sz w:val="20"/>
                <w:szCs w:val="20"/>
              </w:rPr>
            </w:pPr>
            <w:r w:rsidRPr="00E1624E">
              <w:rPr>
                <w:b/>
                <w:sz w:val="20"/>
                <w:szCs w:val="20"/>
              </w:rPr>
              <w:t>Sunitinib (Sutent®)</w:t>
            </w:r>
          </w:p>
        </w:tc>
        <w:tc>
          <w:tcPr>
            <w:tcW w:w="1143" w:type="dxa"/>
            <w:shd w:val="clear" w:color="auto" w:fill="BFBFBF" w:themeFill="background1" w:themeFillShade="BF"/>
            <w:vAlign w:val="center"/>
          </w:tcPr>
          <w:p w:rsidR="00E1624E" w:rsidRPr="00264FB7" w:rsidRDefault="00E1624E" w:rsidP="00DA785B">
            <w:pPr>
              <w:spacing w:after="0"/>
              <w:jc w:val="center"/>
              <w:rPr>
                <w:rFonts w:cs="Arial"/>
                <w:b/>
                <w:sz w:val="20"/>
                <w:szCs w:val="20"/>
              </w:rPr>
            </w:pPr>
            <w:r w:rsidRPr="00264FB7">
              <w:rPr>
                <w:rFonts w:cs="Arial"/>
                <w:b/>
                <w:sz w:val="20"/>
                <w:szCs w:val="20"/>
              </w:rPr>
              <w:t xml:space="preserve">Item </w:t>
            </w:r>
            <w:r>
              <w:rPr>
                <w:rFonts w:cs="Arial"/>
                <w:b/>
                <w:sz w:val="20"/>
                <w:szCs w:val="20"/>
              </w:rPr>
              <w:t>Code</w:t>
            </w:r>
          </w:p>
        </w:tc>
        <w:tc>
          <w:tcPr>
            <w:tcW w:w="1200" w:type="dxa"/>
            <w:shd w:val="clear" w:color="auto" w:fill="BFBFBF" w:themeFill="background1" w:themeFillShade="BF"/>
          </w:tcPr>
          <w:p w:rsidR="00E1624E" w:rsidRPr="00264FB7" w:rsidRDefault="00E1624E" w:rsidP="00264FB7">
            <w:pPr>
              <w:spacing w:after="0"/>
              <w:jc w:val="center"/>
              <w:rPr>
                <w:rFonts w:cs="Arial"/>
                <w:b/>
                <w:sz w:val="20"/>
                <w:szCs w:val="20"/>
              </w:rPr>
            </w:pPr>
            <w:r>
              <w:rPr>
                <w:rFonts w:eastAsia="Times New Roman" w:cs="Times New Roman"/>
                <w:b/>
                <w:bCs/>
                <w:color w:val="000000"/>
                <w:sz w:val="20"/>
                <w:szCs w:val="20"/>
              </w:rPr>
              <w:t>Initial or Continuing</w:t>
            </w:r>
          </w:p>
        </w:tc>
        <w:tc>
          <w:tcPr>
            <w:tcW w:w="1200" w:type="dxa"/>
            <w:shd w:val="clear" w:color="auto" w:fill="BFBFBF" w:themeFill="background1" w:themeFillShade="BF"/>
            <w:vAlign w:val="center"/>
          </w:tcPr>
          <w:p w:rsidR="00E1624E" w:rsidRPr="00264FB7" w:rsidRDefault="00E1624E" w:rsidP="00264FB7">
            <w:pPr>
              <w:spacing w:after="0"/>
              <w:jc w:val="center"/>
              <w:rPr>
                <w:rFonts w:cs="Arial"/>
                <w:b/>
                <w:sz w:val="20"/>
                <w:szCs w:val="20"/>
              </w:rPr>
            </w:pPr>
            <w:r w:rsidRPr="00264FB7">
              <w:rPr>
                <w:rFonts w:cs="Arial"/>
                <w:b/>
                <w:sz w:val="20"/>
                <w:szCs w:val="20"/>
              </w:rPr>
              <w:t>No. of</w:t>
            </w:r>
            <w:r>
              <w:rPr>
                <w:rFonts w:cs="Arial"/>
                <w:b/>
                <w:sz w:val="20"/>
                <w:szCs w:val="20"/>
              </w:rPr>
              <w:br/>
            </w:r>
            <w:r w:rsidRPr="00264FB7">
              <w:rPr>
                <w:rFonts w:cs="Arial"/>
                <w:b/>
                <w:sz w:val="20"/>
                <w:szCs w:val="20"/>
              </w:rPr>
              <w:t>repeats</w:t>
            </w:r>
          </w:p>
        </w:tc>
        <w:tc>
          <w:tcPr>
            <w:tcW w:w="1361" w:type="dxa"/>
            <w:shd w:val="clear" w:color="auto" w:fill="BFBFBF" w:themeFill="background1" w:themeFillShade="BF"/>
            <w:vAlign w:val="center"/>
          </w:tcPr>
          <w:p w:rsidR="00E1624E" w:rsidRPr="00264FB7" w:rsidRDefault="00E1624E" w:rsidP="00264FB7">
            <w:pPr>
              <w:spacing w:after="0"/>
              <w:jc w:val="center"/>
              <w:rPr>
                <w:rFonts w:cs="Arial"/>
                <w:b/>
                <w:sz w:val="20"/>
                <w:szCs w:val="20"/>
              </w:rPr>
            </w:pPr>
            <w:r w:rsidRPr="00264FB7">
              <w:rPr>
                <w:rFonts w:cs="Arial"/>
                <w:b/>
                <w:sz w:val="20"/>
                <w:szCs w:val="20"/>
              </w:rPr>
              <w:t>Effective price</w:t>
            </w:r>
            <w:r>
              <w:rPr>
                <w:rFonts w:cs="Arial"/>
                <w:b/>
                <w:sz w:val="20"/>
                <w:szCs w:val="20"/>
              </w:rPr>
              <w:t xml:space="preserve"> rebate</w:t>
            </w:r>
          </w:p>
        </w:tc>
        <w:tc>
          <w:tcPr>
            <w:tcW w:w="2040" w:type="dxa"/>
            <w:shd w:val="clear" w:color="auto" w:fill="BFBFBF" w:themeFill="background1" w:themeFillShade="BF"/>
            <w:vAlign w:val="center"/>
          </w:tcPr>
          <w:p w:rsidR="00E1624E" w:rsidRPr="00264FB7" w:rsidRDefault="00E1624E" w:rsidP="00264FB7">
            <w:pPr>
              <w:spacing w:after="0"/>
              <w:jc w:val="center"/>
              <w:rPr>
                <w:rFonts w:cs="Arial"/>
                <w:b/>
                <w:sz w:val="20"/>
                <w:szCs w:val="20"/>
              </w:rPr>
            </w:pPr>
            <w:r w:rsidRPr="00264FB7">
              <w:rPr>
                <w:rFonts w:cs="Arial"/>
                <w:b/>
                <w:sz w:val="20"/>
                <w:szCs w:val="20"/>
              </w:rPr>
              <w:t>DPMQ</w:t>
            </w:r>
            <w:r>
              <w:rPr>
                <w:rFonts w:cs="Arial"/>
                <w:b/>
                <w:sz w:val="20"/>
                <w:szCs w:val="20"/>
              </w:rPr>
              <w:t xml:space="preserve"> at listing</w:t>
            </w:r>
            <w:r>
              <w:rPr>
                <w:rFonts w:cs="Arial"/>
                <w:b/>
                <w:sz w:val="20"/>
                <w:szCs w:val="20"/>
              </w:rPr>
              <w:br/>
            </w:r>
            <w:r w:rsidRPr="00264FB7">
              <w:rPr>
                <w:rFonts w:cs="Arial"/>
                <w:b/>
                <w:sz w:val="20"/>
                <w:szCs w:val="20"/>
              </w:rPr>
              <w:t>(DPMQ August 2017)</w:t>
            </w:r>
          </w:p>
        </w:tc>
      </w:tr>
      <w:tr w:rsidR="00E1624E" w:rsidRPr="00264FB7" w:rsidTr="008E12A9">
        <w:tc>
          <w:tcPr>
            <w:tcW w:w="2098" w:type="dxa"/>
            <w:vMerge w:val="restart"/>
            <w:vAlign w:val="center"/>
          </w:tcPr>
          <w:p w:rsidR="00E1624E" w:rsidRPr="00264FB7" w:rsidRDefault="00E1624E" w:rsidP="00264FB7">
            <w:pPr>
              <w:spacing w:after="0"/>
              <w:rPr>
                <w:rFonts w:cs="Arial"/>
                <w:sz w:val="20"/>
                <w:szCs w:val="20"/>
              </w:rPr>
            </w:pPr>
            <w:r w:rsidRPr="00264FB7">
              <w:rPr>
                <w:rFonts w:cs="Arial"/>
                <w:sz w:val="20"/>
                <w:szCs w:val="20"/>
              </w:rPr>
              <w:t>Capsule 12.5 mg 28</w:t>
            </w:r>
          </w:p>
        </w:tc>
        <w:tc>
          <w:tcPr>
            <w:tcW w:w="1143" w:type="dxa"/>
            <w:vAlign w:val="bottom"/>
          </w:tcPr>
          <w:p w:rsidR="00E1624E" w:rsidRPr="00264FB7" w:rsidRDefault="00E1624E" w:rsidP="008E12A9">
            <w:pPr>
              <w:spacing w:after="0"/>
              <w:jc w:val="center"/>
              <w:rPr>
                <w:rFonts w:cs="Arial"/>
                <w:sz w:val="20"/>
                <w:szCs w:val="20"/>
              </w:rPr>
            </w:pPr>
            <w:r w:rsidRPr="00264FB7">
              <w:rPr>
                <w:rFonts w:cs="Arial"/>
                <w:sz w:val="20"/>
                <w:szCs w:val="20"/>
              </w:rPr>
              <w:t>10004M</w:t>
            </w:r>
          </w:p>
        </w:tc>
        <w:tc>
          <w:tcPr>
            <w:tcW w:w="1200" w:type="dxa"/>
            <w:vAlign w:val="center"/>
          </w:tcPr>
          <w:p w:rsidR="00E1624E" w:rsidRPr="001908D3" w:rsidRDefault="00E1624E" w:rsidP="008E12A9">
            <w:pPr>
              <w:spacing w:after="0"/>
              <w:rPr>
                <w:sz w:val="20"/>
                <w:szCs w:val="20"/>
              </w:rPr>
            </w:pPr>
            <w:r w:rsidRPr="001908D3">
              <w:rPr>
                <w:sz w:val="20"/>
                <w:szCs w:val="20"/>
              </w:rPr>
              <w:t>Initial</w:t>
            </w:r>
          </w:p>
        </w:tc>
        <w:tc>
          <w:tcPr>
            <w:tcW w:w="1200" w:type="dxa"/>
            <w:vAlign w:val="center"/>
          </w:tcPr>
          <w:p w:rsidR="00E1624E" w:rsidRPr="00264FB7" w:rsidRDefault="00E1624E" w:rsidP="00264FB7">
            <w:pPr>
              <w:spacing w:after="0"/>
              <w:jc w:val="center"/>
              <w:rPr>
                <w:rFonts w:cs="Arial"/>
                <w:sz w:val="20"/>
                <w:szCs w:val="20"/>
              </w:rPr>
            </w:pPr>
            <w:r w:rsidRPr="00264FB7">
              <w:rPr>
                <w:rFonts w:cs="Arial"/>
                <w:sz w:val="20"/>
                <w:szCs w:val="20"/>
              </w:rPr>
              <w:t>2</w:t>
            </w:r>
          </w:p>
        </w:tc>
        <w:tc>
          <w:tcPr>
            <w:tcW w:w="1361" w:type="dxa"/>
            <w:vMerge w:val="restart"/>
            <w:vAlign w:val="center"/>
          </w:tcPr>
          <w:p w:rsidR="00E1624E" w:rsidRPr="00FF391C" w:rsidRDefault="00FF391C" w:rsidP="00264FB7">
            <w:pPr>
              <w:spacing w:after="0"/>
              <w:jc w:val="center"/>
              <w:rPr>
                <w:rFonts w:cs="Arial"/>
                <w:sz w:val="20"/>
                <w:szCs w:val="20"/>
                <w:highlight w:val="black"/>
              </w:rPr>
            </w:pPr>
            <w:r>
              <w:rPr>
                <w:rFonts w:cs="Arial"/>
                <w:noProof/>
                <w:color w:val="000000"/>
                <w:sz w:val="20"/>
                <w:szCs w:val="20"/>
                <w:highlight w:val="black"/>
              </w:rPr>
              <w:t>''''''''''''''</w:t>
            </w:r>
          </w:p>
        </w:tc>
        <w:tc>
          <w:tcPr>
            <w:tcW w:w="2040" w:type="dxa"/>
            <w:vMerge w:val="restart"/>
            <w:vAlign w:val="center"/>
          </w:tcPr>
          <w:p w:rsidR="00E1624E" w:rsidRPr="00264FB7" w:rsidRDefault="00E1624E" w:rsidP="00264FB7">
            <w:pPr>
              <w:spacing w:after="0"/>
              <w:jc w:val="center"/>
              <w:rPr>
                <w:rFonts w:cs="Arial"/>
                <w:sz w:val="20"/>
                <w:szCs w:val="20"/>
              </w:rPr>
            </w:pPr>
            <w:r w:rsidRPr="00264FB7">
              <w:rPr>
                <w:rFonts w:cs="Arial"/>
                <w:sz w:val="20"/>
                <w:szCs w:val="20"/>
              </w:rPr>
              <w:t>$1834.41</w:t>
            </w:r>
          </w:p>
          <w:p w:rsidR="00E1624E" w:rsidRPr="00264FB7" w:rsidRDefault="00E1624E" w:rsidP="00264FB7">
            <w:pPr>
              <w:spacing w:after="0"/>
              <w:jc w:val="center"/>
              <w:rPr>
                <w:rFonts w:cs="Arial"/>
                <w:sz w:val="20"/>
                <w:szCs w:val="20"/>
              </w:rPr>
            </w:pPr>
            <w:r w:rsidRPr="00264FB7">
              <w:rPr>
                <w:rFonts w:cs="Arial"/>
                <w:sz w:val="20"/>
                <w:szCs w:val="20"/>
              </w:rPr>
              <w:t>($1736.75)</w:t>
            </w:r>
          </w:p>
        </w:tc>
      </w:tr>
      <w:tr w:rsidR="00E1624E" w:rsidRPr="00264FB7" w:rsidTr="008E12A9">
        <w:tc>
          <w:tcPr>
            <w:tcW w:w="2098" w:type="dxa"/>
            <w:vMerge/>
            <w:vAlign w:val="center"/>
          </w:tcPr>
          <w:p w:rsidR="00E1624E" w:rsidRPr="00264FB7" w:rsidRDefault="00E1624E" w:rsidP="00264FB7">
            <w:pPr>
              <w:spacing w:after="0"/>
              <w:rPr>
                <w:rFonts w:cs="Arial"/>
                <w:sz w:val="20"/>
                <w:szCs w:val="20"/>
              </w:rPr>
            </w:pPr>
          </w:p>
        </w:tc>
        <w:tc>
          <w:tcPr>
            <w:tcW w:w="1143" w:type="dxa"/>
            <w:vAlign w:val="bottom"/>
          </w:tcPr>
          <w:p w:rsidR="00E1624E" w:rsidRPr="00264FB7" w:rsidRDefault="00E1624E" w:rsidP="008E12A9">
            <w:pPr>
              <w:spacing w:after="0"/>
              <w:jc w:val="center"/>
              <w:rPr>
                <w:rFonts w:cs="Arial"/>
                <w:sz w:val="20"/>
                <w:szCs w:val="20"/>
              </w:rPr>
            </w:pPr>
            <w:r>
              <w:rPr>
                <w:rFonts w:cs="Arial"/>
                <w:sz w:val="20"/>
                <w:szCs w:val="20"/>
              </w:rPr>
              <w:br/>
              <w:t>10009T</w:t>
            </w:r>
          </w:p>
        </w:tc>
        <w:tc>
          <w:tcPr>
            <w:tcW w:w="1200" w:type="dxa"/>
            <w:vAlign w:val="center"/>
          </w:tcPr>
          <w:p w:rsidR="00E1624E" w:rsidRPr="001908D3" w:rsidRDefault="00E1624E" w:rsidP="008E12A9">
            <w:pPr>
              <w:spacing w:after="0"/>
              <w:rPr>
                <w:sz w:val="20"/>
                <w:szCs w:val="20"/>
              </w:rPr>
            </w:pPr>
            <w:r w:rsidRPr="001908D3">
              <w:rPr>
                <w:sz w:val="20"/>
                <w:szCs w:val="20"/>
              </w:rPr>
              <w:t>Continuing</w:t>
            </w:r>
          </w:p>
        </w:tc>
        <w:tc>
          <w:tcPr>
            <w:tcW w:w="1200" w:type="dxa"/>
            <w:vAlign w:val="center"/>
          </w:tcPr>
          <w:p w:rsidR="00E1624E" w:rsidRPr="00264FB7" w:rsidRDefault="00E1624E" w:rsidP="00264FB7">
            <w:pPr>
              <w:spacing w:after="0"/>
              <w:jc w:val="center"/>
              <w:rPr>
                <w:rFonts w:cs="Arial"/>
                <w:sz w:val="20"/>
                <w:szCs w:val="20"/>
              </w:rPr>
            </w:pPr>
            <w:r w:rsidRPr="00264FB7">
              <w:rPr>
                <w:rFonts w:cs="Arial"/>
                <w:sz w:val="20"/>
                <w:szCs w:val="20"/>
              </w:rPr>
              <w:t>5</w:t>
            </w:r>
          </w:p>
        </w:tc>
        <w:tc>
          <w:tcPr>
            <w:tcW w:w="1361" w:type="dxa"/>
            <w:vMerge/>
            <w:vAlign w:val="center"/>
          </w:tcPr>
          <w:p w:rsidR="00E1624E" w:rsidRPr="00264FB7" w:rsidRDefault="00E1624E" w:rsidP="00264FB7">
            <w:pPr>
              <w:spacing w:after="0"/>
              <w:jc w:val="center"/>
              <w:rPr>
                <w:rFonts w:cs="Arial"/>
                <w:sz w:val="20"/>
                <w:szCs w:val="20"/>
              </w:rPr>
            </w:pPr>
          </w:p>
        </w:tc>
        <w:tc>
          <w:tcPr>
            <w:tcW w:w="2040" w:type="dxa"/>
            <w:vMerge/>
            <w:vAlign w:val="center"/>
          </w:tcPr>
          <w:p w:rsidR="00E1624E" w:rsidRPr="00264FB7" w:rsidRDefault="00E1624E" w:rsidP="00264FB7">
            <w:pPr>
              <w:spacing w:after="0"/>
              <w:jc w:val="center"/>
              <w:rPr>
                <w:rFonts w:cs="Arial"/>
                <w:sz w:val="20"/>
                <w:szCs w:val="20"/>
              </w:rPr>
            </w:pPr>
          </w:p>
        </w:tc>
      </w:tr>
      <w:tr w:rsidR="00E1624E" w:rsidRPr="00264FB7" w:rsidTr="008E12A9">
        <w:trPr>
          <w:trHeight w:val="394"/>
        </w:trPr>
        <w:tc>
          <w:tcPr>
            <w:tcW w:w="2098" w:type="dxa"/>
            <w:vMerge w:val="restart"/>
            <w:vAlign w:val="center"/>
          </w:tcPr>
          <w:p w:rsidR="00E1624E" w:rsidRPr="00264FB7" w:rsidRDefault="00E1624E" w:rsidP="00264FB7">
            <w:pPr>
              <w:spacing w:after="0"/>
              <w:rPr>
                <w:rFonts w:cs="Arial"/>
                <w:sz w:val="20"/>
                <w:szCs w:val="20"/>
              </w:rPr>
            </w:pPr>
            <w:r w:rsidRPr="00264FB7">
              <w:rPr>
                <w:rFonts w:cs="Arial"/>
                <w:sz w:val="20"/>
                <w:szCs w:val="20"/>
              </w:rPr>
              <w:t>Capsule 25 mg 28</w:t>
            </w:r>
          </w:p>
        </w:tc>
        <w:tc>
          <w:tcPr>
            <w:tcW w:w="1143" w:type="dxa"/>
            <w:vAlign w:val="bottom"/>
          </w:tcPr>
          <w:p w:rsidR="00E1624E" w:rsidRPr="00264FB7" w:rsidRDefault="00E1624E" w:rsidP="008E12A9">
            <w:pPr>
              <w:spacing w:after="0"/>
              <w:jc w:val="center"/>
              <w:rPr>
                <w:rFonts w:cs="Arial"/>
                <w:sz w:val="20"/>
                <w:szCs w:val="20"/>
              </w:rPr>
            </w:pPr>
            <w:r w:rsidRPr="00264FB7">
              <w:rPr>
                <w:rFonts w:cs="Arial"/>
                <w:sz w:val="20"/>
                <w:szCs w:val="20"/>
              </w:rPr>
              <w:t>2959R</w:t>
            </w:r>
          </w:p>
        </w:tc>
        <w:tc>
          <w:tcPr>
            <w:tcW w:w="1200" w:type="dxa"/>
            <w:vAlign w:val="center"/>
          </w:tcPr>
          <w:p w:rsidR="00E1624E" w:rsidRPr="001908D3" w:rsidRDefault="00E1624E" w:rsidP="008E12A9">
            <w:pPr>
              <w:spacing w:after="0"/>
              <w:rPr>
                <w:sz w:val="20"/>
                <w:szCs w:val="20"/>
              </w:rPr>
            </w:pPr>
            <w:r w:rsidRPr="001908D3">
              <w:rPr>
                <w:sz w:val="20"/>
                <w:szCs w:val="20"/>
              </w:rPr>
              <w:t>Initial</w:t>
            </w:r>
          </w:p>
        </w:tc>
        <w:tc>
          <w:tcPr>
            <w:tcW w:w="1200" w:type="dxa"/>
            <w:vAlign w:val="center"/>
          </w:tcPr>
          <w:p w:rsidR="00E1624E" w:rsidRPr="00264FB7" w:rsidRDefault="00E1624E" w:rsidP="00264FB7">
            <w:pPr>
              <w:spacing w:after="0"/>
              <w:jc w:val="center"/>
              <w:rPr>
                <w:rFonts w:cs="Arial"/>
                <w:sz w:val="20"/>
                <w:szCs w:val="20"/>
              </w:rPr>
            </w:pPr>
            <w:r w:rsidRPr="00264FB7">
              <w:rPr>
                <w:rFonts w:cs="Arial"/>
                <w:sz w:val="20"/>
                <w:szCs w:val="20"/>
              </w:rPr>
              <w:t>2</w:t>
            </w:r>
          </w:p>
        </w:tc>
        <w:tc>
          <w:tcPr>
            <w:tcW w:w="1361" w:type="dxa"/>
            <w:vMerge w:val="restart"/>
            <w:vAlign w:val="center"/>
          </w:tcPr>
          <w:p w:rsidR="00E1624E" w:rsidRPr="00FF391C" w:rsidRDefault="00FF391C" w:rsidP="00264FB7">
            <w:pPr>
              <w:spacing w:after="0"/>
              <w:jc w:val="center"/>
              <w:rPr>
                <w:rFonts w:cs="Arial"/>
                <w:sz w:val="20"/>
                <w:szCs w:val="20"/>
                <w:highlight w:val="black"/>
              </w:rPr>
            </w:pPr>
            <w:r>
              <w:rPr>
                <w:rFonts w:cs="Arial"/>
                <w:noProof/>
                <w:color w:val="000000"/>
                <w:sz w:val="20"/>
                <w:szCs w:val="20"/>
                <w:highlight w:val="black"/>
              </w:rPr>
              <w:t>''''''''''''''</w:t>
            </w:r>
          </w:p>
        </w:tc>
        <w:tc>
          <w:tcPr>
            <w:tcW w:w="2040" w:type="dxa"/>
            <w:vMerge w:val="restart"/>
            <w:vAlign w:val="center"/>
          </w:tcPr>
          <w:p w:rsidR="00E1624E" w:rsidRPr="00264FB7" w:rsidRDefault="00E1624E" w:rsidP="00264FB7">
            <w:pPr>
              <w:spacing w:after="0"/>
              <w:jc w:val="center"/>
              <w:rPr>
                <w:rFonts w:cs="Arial"/>
                <w:sz w:val="20"/>
                <w:szCs w:val="20"/>
              </w:rPr>
            </w:pPr>
            <w:r w:rsidRPr="00264FB7">
              <w:rPr>
                <w:rFonts w:cs="Arial"/>
                <w:sz w:val="20"/>
                <w:szCs w:val="20"/>
              </w:rPr>
              <w:t>$</w:t>
            </w:r>
            <w:r w:rsidR="007D0510">
              <w:rPr>
                <w:rFonts w:cs="Arial"/>
                <w:sz w:val="20"/>
                <w:szCs w:val="20"/>
              </w:rPr>
              <w:t>3521.97</w:t>
            </w:r>
          </w:p>
          <w:p w:rsidR="00E1624E" w:rsidRPr="00264FB7" w:rsidRDefault="00E1624E" w:rsidP="00264FB7">
            <w:pPr>
              <w:spacing w:after="0"/>
              <w:jc w:val="center"/>
              <w:rPr>
                <w:rFonts w:cs="Arial"/>
                <w:sz w:val="20"/>
                <w:szCs w:val="20"/>
              </w:rPr>
            </w:pPr>
            <w:r w:rsidRPr="00264FB7">
              <w:rPr>
                <w:rFonts w:cs="Arial"/>
                <w:sz w:val="20"/>
                <w:szCs w:val="20"/>
              </w:rPr>
              <w:t>($3356.14)</w:t>
            </w:r>
          </w:p>
        </w:tc>
      </w:tr>
      <w:tr w:rsidR="00E1624E" w:rsidRPr="00264FB7" w:rsidTr="008E12A9">
        <w:trPr>
          <w:trHeight w:val="415"/>
        </w:trPr>
        <w:tc>
          <w:tcPr>
            <w:tcW w:w="2098" w:type="dxa"/>
            <w:vMerge/>
            <w:vAlign w:val="center"/>
          </w:tcPr>
          <w:p w:rsidR="00E1624E" w:rsidRPr="00264FB7" w:rsidRDefault="00E1624E" w:rsidP="00264FB7">
            <w:pPr>
              <w:spacing w:after="0"/>
              <w:rPr>
                <w:rFonts w:cs="Arial"/>
                <w:sz w:val="20"/>
                <w:szCs w:val="20"/>
              </w:rPr>
            </w:pPr>
          </w:p>
        </w:tc>
        <w:tc>
          <w:tcPr>
            <w:tcW w:w="1143" w:type="dxa"/>
            <w:vAlign w:val="bottom"/>
          </w:tcPr>
          <w:p w:rsidR="00E1624E" w:rsidRPr="00264FB7" w:rsidRDefault="00E1624E" w:rsidP="008E12A9">
            <w:pPr>
              <w:spacing w:after="0"/>
              <w:jc w:val="center"/>
              <w:rPr>
                <w:rFonts w:cs="Arial"/>
                <w:sz w:val="20"/>
                <w:szCs w:val="20"/>
              </w:rPr>
            </w:pPr>
            <w:r w:rsidRPr="00264FB7">
              <w:rPr>
                <w:rFonts w:cs="Arial"/>
                <w:sz w:val="20"/>
                <w:szCs w:val="20"/>
              </w:rPr>
              <w:t>2842N</w:t>
            </w:r>
          </w:p>
        </w:tc>
        <w:tc>
          <w:tcPr>
            <w:tcW w:w="1200" w:type="dxa"/>
            <w:vAlign w:val="center"/>
          </w:tcPr>
          <w:p w:rsidR="00E1624E" w:rsidRPr="001908D3" w:rsidRDefault="00E1624E" w:rsidP="008E12A9">
            <w:pPr>
              <w:spacing w:after="0"/>
              <w:rPr>
                <w:sz w:val="20"/>
                <w:szCs w:val="20"/>
              </w:rPr>
            </w:pPr>
            <w:r w:rsidRPr="001908D3">
              <w:rPr>
                <w:sz w:val="20"/>
                <w:szCs w:val="20"/>
              </w:rPr>
              <w:t>Continuing</w:t>
            </w:r>
          </w:p>
        </w:tc>
        <w:tc>
          <w:tcPr>
            <w:tcW w:w="1200" w:type="dxa"/>
            <w:vAlign w:val="center"/>
          </w:tcPr>
          <w:p w:rsidR="00E1624E" w:rsidRPr="00264FB7" w:rsidRDefault="00E1624E" w:rsidP="00264FB7">
            <w:pPr>
              <w:spacing w:after="0"/>
              <w:jc w:val="center"/>
              <w:rPr>
                <w:rFonts w:cs="Arial"/>
                <w:sz w:val="20"/>
                <w:szCs w:val="20"/>
              </w:rPr>
            </w:pPr>
            <w:r w:rsidRPr="00264FB7">
              <w:rPr>
                <w:rFonts w:cs="Arial"/>
                <w:sz w:val="20"/>
                <w:szCs w:val="20"/>
              </w:rPr>
              <w:t>5</w:t>
            </w:r>
          </w:p>
        </w:tc>
        <w:tc>
          <w:tcPr>
            <w:tcW w:w="1361" w:type="dxa"/>
            <w:vMerge/>
            <w:vAlign w:val="center"/>
          </w:tcPr>
          <w:p w:rsidR="00E1624E" w:rsidRPr="00264FB7" w:rsidRDefault="00E1624E" w:rsidP="00264FB7">
            <w:pPr>
              <w:spacing w:after="0"/>
              <w:jc w:val="center"/>
              <w:rPr>
                <w:rFonts w:cs="Arial"/>
                <w:sz w:val="20"/>
                <w:szCs w:val="20"/>
              </w:rPr>
            </w:pPr>
          </w:p>
        </w:tc>
        <w:tc>
          <w:tcPr>
            <w:tcW w:w="2040" w:type="dxa"/>
            <w:vMerge/>
            <w:vAlign w:val="center"/>
          </w:tcPr>
          <w:p w:rsidR="00E1624E" w:rsidRPr="00264FB7" w:rsidRDefault="00E1624E" w:rsidP="00264FB7">
            <w:pPr>
              <w:spacing w:after="0"/>
              <w:jc w:val="center"/>
              <w:rPr>
                <w:rFonts w:cs="Arial"/>
                <w:sz w:val="20"/>
                <w:szCs w:val="20"/>
              </w:rPr>
            </w:pPr>
          </w:p>
        </w:tc>
      </w:tr>
      <w:tr w:rsidR="00E1624E" w:rsidRPr="00264FB7" w:rsidTr="008E12A9">
        <w:trPr>
          <w:trHeight w:val="418"/>
        </w:trPr>
        <w:tc>
          <w:tcPr>
            <w:tcW w:w="2098" w:type="dxa"/>
            <w:vMerge w:val="restart"/>
            <w:vAlign w:val="center"/>
          </w:tcPr>
          <w:p w:rsidR="00E1624E" w:rsidRPr="00264FB7" w:rsidRDefault="00E1624E" w:rsidP="00264FB7">
            <w:pPr>
              <w:spacing w:after="0"/>
              <w:rPr>
                <w:rFonts w:cs="Arial"/>
                <w:sz w:val="20"/>
                <w:szCs w:val="20"/>
              </w:rPr>
            </w:pPr>
            <w:r w:rsidRPr="00264FB7">
              <w:rPr>
                <w:rFonts w:cs="Arial"/>
                <w:sz w:val="20"/>
                <w:szCs w:val="20"/>
              </w:rPr>
              <w:t>Capsule 37.5</w:t>
            </w:r>
            <w:r w:rsidR="00AF5723">
              <w:rPr>
                <w:rFonts w:cs="Arial"/>
                <w:sz w:val="20"/>
                <w:szCs w:val="20"/>
              </w:rPr>
              <w:t> mg</w:t>
            </w:r>
            <w:r w:rsidRPr="00264FB7">
              <w:rPr>
                <w:rFonts w:cs="Arial"/>
                <w:sz w:val="20"/>
                <w:szCs w:val="20"/>
              </w:rPr>
              <w:t xml:space="preserve"> 28</w:t>
            </w:r>
          </w:p>
        </w:tc>
        <w:tc>
          <w:tcPr>
            <w:tcW w:w="1143" w:type="dxa"/>
            <w:vAlign w:val="bottom"/>
          </w:tcPr>
          <w:p w:rsidR="00E1624E" w:rsidRPr="00264FB7" w:rsidRDefault="00E1624E" w:rsidP="008E12A9">
            <w:pPr>
              <w:spacing w:after="0"/>
              <w:jc w:val="center"/>
              <w:rPr>
                <w:rFonts w:cs="Arial"/>
                <w:sz w:val="20"/>
                <w:szCs w:val="20"/>
              </w:rPr>
            </w:pPr>
            <w:r w:rsidRPr="00264FB7">
              <w:rPr>
                <w:rFonts w:cs="Arial"/>
                <w:sz w:val="20"/>
                <w:szCs w:val="20"/>
              </w:rPr>
              <w:t>10464R</w:t>
            </w:r>
          </w:p>
        </w:tc>
        <w:tc>
          <w:tcPr>
            <w:tcW w:w="1200" w:type="dxa"/>
            <w:vAlign w:val="center"/>
          </w:tcPr>
          <w:p w:rsidR="00E1624E" w:rsidRPr="001908D3" w:rsidRDefault="00E1624E" w:rsidP="008E12A9">
            <w:pPr>
              <w:spacing w:after="0"/>
              <w:rPr>
                <w:sz w:val="20"/>
                <w:szCs w:val="20"/>
              </w:rPr>
            </w:pPr>
            <w:r w:rsidRPr="001908D3">
              <w:rPr>
                <w:sz w:val="20"/>
                <w:szCs w:val="20"/>
              </w:rPr>
              <w:t>Initial</w:t>
            </w:r>
          </w:p>
        </w:tc>
        <w:tc>
          <w:tcPr>
            <w:tcW w:w="1200" w:type="dxa"/>
            <w:vAlign w:val="center"/>
          </w:tcPr>
          <w:p w:rsidR="00E1624E" w:rsidRPr="00264FB7" w:rsidRDefault="00E1624E" w:rsidP="00264FB7">
            <w:pPr>
              <w:spacing w:after="0"/>
              <w:jc w:val="center"/>
              <w:rPr>
                <w:rFonts w:cs="Arial"/>
                <w:sz w:val="20"/>
                <w:szCs w:val="20"/>
              </w:rPr>
            </w:pPr>
            <w:r w:rsidRPr="00264FB7">
              <w:rPr>
                <w:rFonts w:cs="Arial"/>
                <w:sz w:val="20"/>
                <w:szCs w:val="20"/>
              </w:rPr>
              <w:t>2</w:t>
            </w:r>
          </w:p>
        </w:tc>
        <w:tc>
          <w:tcPr>
            <w:tcW w:w="1361" w:type="dxa"/>
            <w:vMerge w:val="restart"/>
            <w:vAlign w:val="center"/>
          </w:tcPr>
          <w:p w:rsidR="00E1624E" w:rsidRPr="00FF391C" w:rsidRDefault="00FF391C" w:rsidP="00264FB7">
            <w:pPr>
              <w:spacing w:after="0"/>
              <w:jc w:val="center"/>
              <w:rPr>
                <w:rFonts w:cs="Arial"/>
                <w:sz w:val="20"/>
                <w:szCs w:val="20"/>
                <w:highlight w:val="black"/>
              </w:rPr>
            </w:pPr>
            <w:r>
              <w:rPr>
                <w:rFonts w:cs="Arial"/>
                <w:noProof/>
                <w:color w:val="000000"/>
                <w:sz w:val="20"/>
                <w:szCs w:val="20"/>
                <w:highlight w:val="black"/>
              </w:rPr>
              <w:t>''''''''''''''''</w:t>
            </w:r>
          </w:p>
        </w:tc>
        <w:tc>
          <w:tcPr>
            <w:tcW w:w="2040" w:type="dxa"/>
            <w:vMerge w:val="restart"/>
            <w:vAlign w:val="center"/>
          </w:tcPr>
          <w:p w:rsidR="007D0510" w:rsidRDefault="007D0510" w:rsidP="00264FB7">
            <w:pPr>
              <w:spacing w:after="0"/>
              <w:jc w:val="center"/>
              <w:rPr>
                <w:rFonts w:cs="Arial"/>
                <w:sz w:val="20"/>
                <w:szCs w:val="20"/>
              </w:rPr>
            </w:pPr>
            <w:r>
              <w:rPr>
                <w:rFonts w:cs="Arial"/>
                <w:sz w:val="20"/>
                <w:szCs w:val="20"/>
              </w:rPr>
              <w:t>$5210.11</w:t>
            </w:r>
          </w:p>
          <w:p w:rsidR="00E1624E" w:rsidRPr="00264FB7" w:rsidRDefault="00E1624E" w:rsidP="00264FB7">
            <w:pPr>
              <w:spacing w:after="0"/>
              <w:jc w:val="center"/>
              <w:rPr>
                <w:rFonts w:cs="Arial"/>
                <w:sz w:val="20"/>
                <w:szCs w:val="20"/>
              </w:rPr>
            </w:pPr>
            <w:r w:rsidRPr="00264FB7">
              <w:rPr>
                <w:rFonts w:cs="Arial"/>
                <w:sz w:val="20"/>
                <w:szCs w:val="20"/>
              </w:rPr>
              <w:t>($4959.60)</w:t>
            </w:r>
          </w:p>
        </w:tc>
      </w:tr>
      <w:tr w:rsidR="00E1624E" w:rsidRPr="00264FB7" w:rsidTr="008E12A9">
        <w:trPr>
          <w:trHeight w:val="410"/>
        </w:trPr>
        <w:tc>
          <w:tcPr>
            <w:tcW w:w="2098" w:type="dxa"/>
            <w:vMerge/>
            <w:vAlign w:val="center"/>
          </w:tcPr>
          <w:p w:rsidR="00E1624E" w:rsidRPr="00264FB7" w:rsidRDefault="00E1624E" w:rsidP="00264FB7">
            <w:pPr>
              <w:spacing w:after="0"/>
              <w:rPr>
                <w:rFonts w:cs="Arial"/>
                <w:sz w:val="20"/>
                <w:szCs w:val="20"/>
              </w:rPr>
            </w:pPr>
          </w:p>
        </w:tc>
        <w:tc>
          <w:tcPr>
            <w:tcW w:w="1143" w:type="dxa"/>
            <w:vAlign w:val="bottom"/>
          </w:tcPr>
          <w:p w:rsidR="00E1624E" w:rsidRPr="00264FB7" w:rsidRDefault="00E1624E" w:rsidP="008E12A9">
            <w:pPr>
              <w:spacing w:after="0"/>
              <w:jc w:val="center"/>
              <w:rPr>
                <w:rFonts w:cs="Arial"/>
                <w:sz w:val="20"/>
                <w:szCs w:val="20"/>
              </w:rPr>
            </w:pPr>
            <w:r w:rsidRPr="00264FB7">
              <w:rPr>
                <w:rFonts w:cs="Arial"/>
                <w:sz w:val="20"/>
                <w:szCs w:val="20"/>
              </w:rPr>
              <w:t>104</w:t>
            </w:r>
            <w:r>
              <w:rPr>
                <w:rFonts w:cs="Arial"/>
                <w:sz w:val="20"/>
                <w:szCs w:val="20"/>
              </w:rPr>
              <w:t>73F</w:t>
            </w:r>
          </w:p>
        </w:tc>
        <w:tc>
          <w:tcPr>
            <w:tcW w:w="1200" w:type="dxa"/>
            <w:vAlign w:val="center"/>
          </w:tcPr>
          <w:p w:rsidR="00E1624E" w:rsidRPr="001908D3" w:rsidRDefault="00E1624E" w:rsidP="008E12A9">
            <w:pPr>
              <w:spacing w:after="0"/>
              <w:rPr>
                <w:sz w:val="20"/>
                <w:szCs w:val="20"/>
              </w:rPr>
            </w:pPr>
            <w:r w:rsidRPr="001908D3">
              <w:rPr>
                <w:sz w:val="20"/>
                <w:szCs w:val="20"/>
              </w:rPr>
              <w:t>Continuing</w:t>
            </w:r>
          </w:p>
        </w:tc>
        <w:tc>
          <w:tcPr>
            <w:tcW w:w="1200" w:type="dxa"/>
            <w:vAlign w:val="center"/>
          </w:tcPr>
          <w:p w:rsidR="00E1624E" w:rsidRPr="00264FB7" w:rsidRDefault="00E1624E" w:rsidP="00264FB7">
            <w:pPr>
              <w:spacing w:after="0"/>
              <w:jc w:val="center"/>
              <w:rPr>
                <w:rFonts w:cs="Arial"/>
                <w:sz w:val="20"/>
                <w:szCs w:val="20"/>
              </w:rPr>
            </w:pPr>
            <w:r w:rsidRPr="00264FB7">
              <w:rPr>
                <w:rFonts w:cs="Arial"/>
                <w:sz w:val="20"/>
                <w:szCs w:val="20"/>
              </w:rPr>
              <w:t>5</w:t>
            </w:r>
          </w:p>
        </w:tc>
        <w:tc>
          <w:tcPr>
            <w:tcW w:w="1361" w:type="dxa"/>
            <w:vMerge/>
            <w:vAlign w:val="center"/>
          </w:tcPr>
          <w:p w:rsidR="00E1624E" w:rsidRPr="00264FB7" w:rsidRDefault="00E1624E" w:rsidP="00264FB7">
            <w:pPr>
              <w:spacing w:after="0"/>
              <w:jc w:val="center"/>
              <w:rPr>
                <w:rFonts w:cs="Arial"/>
                <w:sz w:val="20"/>
                <w:szCs w:val="20"/>
              </w:rPr>
            </w:pPr>
          </w:p>
        </w:tc>
        <w:tc>
          <w:tcPr>
            <w:tcW w:w="2040" w:type="dxa"/>
            <w:vMerge/>
            <w:vAlign w:val="center"/>
          </w:tcPr>
          <w:p w:rsidR="00E1624E" w:rsidRPr="00264FB7" w:rsidRDefault="00E1624E" w:rsidP="00264FB7">
            <w:pPr>
              <w:spacing w:after="0"/>
              <w:jc w:val="center"/>
              <w:rPr>
                <w:rFonts w:cs="Arial"/>
                <w:sz w:val="20"/>
                <w:szCs w:val="20"/>
              </w:rPr>
            </w:pPr>
          </w:p>
        </w:tc>
      </w:tr>
      <w:tr w:rsidR="00E1624E" w:rsidRPr="00264FB7" w:rsidTr="008E12A9">
        <w:tc>
          <w:tcPr>
            <w:tcW w:w="2098" w:type="dxa"/>
            <w:vMerge w:val="restart"/>
            <w:vAlign w:val="center"/>
          </w:tcPr>
          <w:p w:rsidR="00E1624E" w:rsidRPr="00264FB7" w:rsidRDefault="00E1624E" w:rsidP="00264FB7">
            <w:pPr>
              <w:spacing w:after="0"/>
              <w:rPr>
                <w:rFonts w:cs="Arial"/>
                <w:sz w:val="20"/>
                <w:szCs w:val="20"/>
              </w:rPr>
            </w:pPr>
            <w:r w:rsidRPr="00264FB7">
              <w:rPr>
                <w:rFonts w:cs="Arial"/>
                <w:sz w:val="20"/>
                <w:szCs w:val="20"/>
              </w:rPr>
              <w:t>Capsule 50 mg 28</w:t>
            </w:r>
          </w:p>
        </w:tc>
        <w:tc>
          <w:tcPr>
            <w:tcW w:w="1143" w:type="dxa"/>
            <w:vAlign w:val="bottom"/>
          </w:tcPr>
          <w:p w:rsidR="00E1624E" w:rsidRPr="00264FB7" w:rsidRDefault="00E1624E" w:rsidP="008E12A9">
            <w:pPr>
              <w:spacing w:after="0"/>
              <w:jc w:val="center"/>
              <w:rPr>
                <w:rFonts w:cs="Arial"/>
                <w:sz w:val="20"/>
                <w:szCs w:val="20"/>
              </w:rPr>
            </w:pPr>
            <w:r w:rsidRPr="00264FB7">
              <w:rPr>
                <w:rFonts w:cs="Arial"/>
                <w:sz w:val="20"/>
                <w:szCs w:val="20"/>
              </w:rPr>
              <w:t>2837H</w:t>
            </w:r>
          </w:p>
        </w:tc>
        <w:tc>
          <w:tcPr>
            <w:tcW w:w="1200" w:type="dxa"/>
            <w:vAlign w:val="center"/>
          </w:tcPr>
          <w:p w:rsidR="00E1624E" w:rsidRPr="001908D3" w:rsidRDefault="00E1624E" w:rsidP="008E12A9">
            <w:pPr>
              <w:spacing w:after="0"/>
              <w:rPr>
                <w:sz w:val="20"/>
                <w:szCs w:val="20"/>
              </w:rPr>
            </w:pPr>
            <w:r w:rsidRPr="001908D3">
              <w:rPr>
                <w:sz w:val="20"/>
                <w:szCs w:val="20"/>
              </w:rPr>
              <w:t>Initial</w:t>
            </w:r>
          </w:p>
        </w:tc>
        <w:tc>
          <w:tcPr>
            <w:tcW w:w="1200" w:type="dxa"/>
            <w:vAlign w:val="center"/>
          </w:tcPr>
          <w:p w:rsidR="00E1624E" w:rsidRPr="00264FB7" w:rsidRDefault="00E1624E" w:rsidP="00DA785B">
            <w:pPr>
              <w:spacing w:after="0"/>
              <w:jc w:val="center"/>
              <w:rPr>
                <w:rFonts w:cs="Arial"/>
                <w:sz w:val="20"/>
                <w:szCs w:val="20"/>
              </w:rPr>
            </w:pPr>
            <w:r w:rsidRPr="00264FB7">
              <w:rPr>
                <w:rFonts w:cs="Arial"/>
                <w:sz w:val="20"/>
                <w:szCs w:val="20"/>
              </w:rPr>
              <w:t>2</w:t>
            </w:r>
          </w:p>
        </w:tc>
        <w:tc>
          <w:tcPr>
            <w:tcW w:w="1361" w:type="dxa"/>
            <w:vMerge w:val="restart"/>
            <w:vAlign w:val="center"/>
          </w:tcPr>
          <w:p w:rsidR="00E1624E" w:rsidRPr="00FF391C" w:rsidRDefault="00FF391C" w:rsidP="00DA785B">
            <w:pPr>
              <w:spacing w:after="0"/>
              <w:jc w:val="center"/>
              <w:rPr>
                <w:rFonts w:cs="Arial"/>
                <w:sz w:val="20"/>
                <w:szCs w:val="20"/>
                <w:highlight w:val="black"/>
              </w:rPr>
            </w:pPr>
            <w:r>
              <w:rPr>
                <w:rFonts w:cs="Arial"/>
                <w:noProof/>
                <w:color w:val="000000"/>
                <w:sz w:val="20"/>
                <w:szCs w:val="20"/>
                <w:highlight w:val="black"/>
              </w:rPr>
              <w:t>'''''''''''''''</w:t>
            </w:r>
          </w:p>
        </w:tc>
        <w:tc>
          <w:tcPr>
            <w:tcW w:w="2040" w:type="dxa"/>
            <w:vMerge w:val="restart"/>
            <w:vAlign w:val="center"/>
          </w:tcPr>
          <w:p w:rsidR="00E1624E" w:rsidRPr="00264FB7" w:rsidRDefault="007D0510" w:rsidP="00DA785B">
            <w:pPr>
              <w:spacing w:after="0"/>
              <w:jc w:val="center"/>
              <w:rPr>
                <w:rFonts w:cs="Arial"/>
                <w:sz w:val="20"/>
                <w:szCs w:val="20"/>
              </w:rPr>
            </w:pPr>
            <w:r>
              <w:rPr>
                <w:rFonts w:cs="Arial"/>
                <w:sz w:val="20"/>
                <w:szCs w:val="20"/>
              </w:rPr>
              <w:t>$6897.65</w:t>
            </w:r>
          </w:p>
          <w:p w:rsidR="00E1624E" w:rsidRPr="00264FB7" w:rsidRDefault="00E1624E" w:rsidP="00DA785B">
            <w:pPr>
              <w:spacing w:after="0"/>
              <w:jc w:val="center"/>
              <w:rPr>
                <w:rFonts w:cs="Arial"/>
                <w:sz w:val="20"/>
                <w:szCs w:val="20"/>
              </w:rPr>
            </w:pPr>
            <w:r w:rsidRPr="00264FB7">
              <w:rPr>
                <w:rFonts w:cs="Arial"/>
                <w:sz w:val="20"/>
                <w:szCs w:val="20"/>
              </w:rPr>
              <w:t>($6563.05)</w:t>
            </w:r>
          </w:p>
        </w:tc>
      </w:tr>
      <w:tr w:rsidR="00E1624E" w:rsidRPr="00264FB7" w:rsidTr="008E12A9">
        <w:trPr>
          <w:trHeight w:val="309"/>
        </w:trPr>
        <w:tc>
          <w:tcPr>
            <w:tcW w:w="2098" w:type="dxa"/>
            <w:vMerge/>
            <w:vAlign w:val="center"/>
          </w:tcPr>
          <w:p w:rsidR="00E1624E" w:rsidRPr="00264FB7" w:rsidRDefault="00E1624E" w:rsidP="00264FB7">
            <w:pPr>
              <w:jc w:val="center"/>
              <w:rPr>
                <w:rFonts w:cs="Arial"/>
                <w:sz w:val="20"/>
                <w:szCs w:val="20"/>
              </w:rPr>
            </w:pPr>
          </w:p>
        </w:tc>
        <w:tc>
          <w:tcPr>
            <w:tcW w:w="1143" w:type="dxa"/>
            <w:vAlign w:val="bottom"/>
          </w:tcPr>
          <w:p w:rsidR="00E1624E" w:rsidRPr="00264FB7" w:rsidRDefault="00E1624E" w:rsidP="008E12A9">
            <w:pPr>
              <w:spacing w:after="0"/>
              <w:jc w:val="center"/>
              <w:rPr>
                <w:rFonts w:cs="Arial"/>
                <w:sz w:val="20"/>
                <w:szCs w:val="20"/>
              </w:rPr>
            </w:pPr>
            <w:r w:rsidRPr="00264FB7">
              <w:rPr>
                <w:rFonts w:cs="Arial"/>
                <w:sz w:val="20"/>
                <w:szCs w:val="20"/>
              </w:rPr>
              <w:t>10010W</w:t>
            </w:r>
          </w:p>
        </w:tc>
        <w:tc>
          <w:tcPr>
            <w:tcW w:w="1200" w:type="dxa"/>
            <w:vAlign w:val="center"/>
          </w:tcPr>
          <w:p w:rsidR="00E1624E" w:rsidRPr="001908D3" w:rsidRDefault="00E1624E" w:rsidP="008E12A9">
            <w:pPr>
              <w:spacing w:after="0"/>
              <w:rPr>
                <w:sz w:val="20"/>
                <w:szCs w:val="20"/>
              </w:rPr>
            </w:pPr>
            <w:r w:rsidRPr="001908D3">
              <w:rPr>
                <w:sz w:val="20"/>
                <w:szCs w:val="20"/>
              </w:rPr>
              <w:t>Continuing</w:t>
            </w:r>
          </w:p>
        </w:tc>
        <w:tc>
          <w:tcPr>
            <w:tcW w:w="1200" w:type="dxa"/>
            <w:vAlign w:val="center"/>
          </w:tcPr>
          <w:p w:rsidR="00E1624E" w:rsidRPr="00264FB7" w:rsidRDefault="00E1624E" w:rsidP="00DA785B">
            <w:pPr>
              <w:spacing w:after="0"/>
              <w:jc w:val="center"/>
              <w:rPr>
                <w:rFonts w:cs="Arial"/>
                <w:sz w:val="20"/>
                <w:szCs w:val="20"/>
              </w:rPr>
            </w:pPr>
            <w:r w:rsidRPr="00264FB7">
              <w:rPr>
                <w:rFonts w:cs="Arial"/>
                <w:sz w:val="20"/>
                <w:szCs w:val="20"/>
              </w:rPr>
              <w:t>5</w:t>
            </w:r>
          </w:p>
        </w:tc>
        <w:tc>
          <w:tcPr>
            <w:tcW w:w="1361" w:type="dxa"/>
            <w:vMerge/>
            <w:vAlign w:val="center"/>
          </w:tcPr>
          <w:p w:rsidR="00E1624E" w:rsidRPr="00264FB7" w:rsidRDefault="00E1624E" w:rsidP="00DA785B">
            <w:pPr>
              <w:spacing w:after="0"/>
              <w:jc w:val="center"/>
              <w:rPr>
                <w:rFonts w:cs="Arial"/>
                <w:sz w:val="20"/>
                <w:szCs w:val="20"/>
              </w:rPr>
            </w:pPr>
          </w:p>
        </w:tc>
        <w:tc>
          <w:tcPr>
            <w:tcW w:w="2040" w:type="dxa"/>
            <w:vMerge/>
            <w:vAlign w:val="center"/>
          </w:tcPr>
          <w:p w:rsidR="00E1624E" w:rsidRPr="00264FB7" w:rsidRDefault="00E1624E" w:rsidP="00DA785B">
            <w:pPr>
              <w:spacing w:after="0"/>
              <w:jc w:val="center"/>
              <w:rPr>
                <w:rFonts w:cs="Arial"/>
                <w:sz w:val="20"/>
                <w:szCs w:val="20"/>
              </w:rPr>
            </w:pPr>
          </w:p>
        </w:tc>
      </w:tr>
      <w:tr w:rsidR="00E1624E" w:rsidRPr="00264FB7" w:rsidTr="008E12A9">
        <w:tc>
          <w:tcPr>
            <w:tcW w:w="2098" w:type="dxa"/>
            <w:shd w:val="clear" w:color="auto" w:fill="BFBFBF" w:themeFill="background1" w:themeFillShade="BF"/>
            <w:vAlign w:val="center"/>
          </w:tcPr>
          <w:p w:rsidR="00E1624E" w:rsidRPr="00E1624E" w:rsidRDefault="00E1624E" w:rsidP="0074523F">
            <w:pPr>
              <w:spacing w:after="0"/>
              <w:rPr>
                <w:rFonts w:cs="Arial"/>
                <w:b/>
                <w:sz w:val="20"/>
                <w:szCs w:val="20"/>
              </w:rPr>
            </w:pPr>
            <w:r w:rsidRPr="00E1624E">
              <w:rPr>
                <w:b/>
                <w:sz w:val="20"/>
                <w:szCs w:val="20"/>
              </w:rPr>
              <w:t>Everolimus (Afinitor®)</w:t>
            </w:r>
          </w:p>
        </w:tc>
        <w:tc>
          <w:tcPr>
            <w:tcW w:w="1143" w:type="dxa"/>
            <w:shd w:val="clear" w:color="auto" w:fill="BFBFBF" w:themeFill="background1" w:themeFillShade="BF"/>
            <w:vAlign w:val="bottom"/>
          </w:tcPr>
          <w:p w:rsidR="00E1624E" w:rsidRPr="00264FB7" w:rsidRDefault="00E1624E" w:rsidP="008E12A9">
            <w:pPr>
              <w:spacing w:after="0"/>
              <w:jc w:val="center"/>
              <w:rPr>
                <w:rFonts w:cs="Arial"/>
                <w:b/>
                <w:sz w:val="20"/>
                <w:szCs w:val="20"/>
              </w:rPr>
            </w:pPr>
          </w:p>
        </w:tc>
        <w:tc>
          <w:tcPr>
            <w:tcW w:w="1200" w:type="dxa"/>
            <w:shd w:val="clear" w:color="auto" w:fill="BFBFBF" w:themeFill="background1" w:themeFillShade="BF"/>
            <w:vAlign w:val="center"/>
          </w:tcPr>
          <w:p w:rsidR="00E1624E" w:rsidRPr="00264FB7" w:rsidRDefault="00E1624E" w:rsidP="008E12A9">
            <w:pPr>
              <w:spacing w:after="0"/>
              <w:rPr>
                <w:rFonts w:cs="Arial"/>
                <w:b/>
                <w:sz w:val="20"/>
                <w:szCs w:val="20"/>
              </w:rPr>
            </w:pPr>
          </w:p>
        </w:tc>
        <w:tc>
          <w:tcPr>
            <w:tcW w:w="1200" w:type="dxa"/>
            <w:shd w:val="clear" w:color="auto" w:fill="BFBFBF" w:themeFill="background1" w:themeFillShade="BF"/>
            <w:vAlign w:val="center"/>
          </w:tcPr>
          <w:p w:rsidR="00E1624E" w:rsidRPr="00264FB7" w:rsidRDefault="00E1624E" w:rsidP="0074523F">
            <w:pPr>
              <w:spacing w:after="0"/>
              <w:jc w:val="center"/>
              <w:rPr>
                <w:rFonts w:cs="Arial"/>
                <w:b/>
                <w:sz w:val="20"/>
                <w:szCs w:val="20"/>
              </w:rPr>
            </w:pPr>
          </w:p>
        </w:tc>
        <w:tc>
          <w:tcPr>
            <w:tcW w:w="1361" w:type="dxa"/>
            <w:shd w:val="clear" w:color="auto" w:fill="BFBFBF" w:themeFill="background1" w:themeFillShade="BF"/>
            <w:vAlign w:val="center"/>
          </w:tcPr>
          <w:p w:rsidR="00E1624E" w:rsidRPr="00264FB7" w:rsidRDefault="00E1624E" w:rsidP="0074523F">
            <w:pPr>
              <w:spacing w:after="0"/>
              <w:jc w:val="center"/>
              <w:rPr>
                <w:rFonts w:cs="Arial"/>
                <w:b/>
                <w:sz w:val="20"/>
                <w:szCs w:val="20"/>
              </w:rPr>
            </w:pPr>
          </w:p>
        </w:tc>
        <w:tc>
          <w:tcPr>
            <w:tcW w:w="2040" w:type="dxa"/>
            <w:shd w:val="clear" w:color="auto" w:fill="BFBFBF" w:themeFill="background1" w:themeFillShade="BF"/>
            <w:vAlign w:val="center"/>
          </w:tcPr>
          <w:p w:rsidR="00E1624E" w:rsidRPr="00264FB7" w:rsidRDefault="00E1624E" w:rsidP="00DA785B">
            <w:pPr>
              <w:spacing w:after="0"/>
              <w:jc w:val="center"/>
              <w:rPr>
                <w:rFonts w:cs="Arial"/>
                <w:sz w:val="20"/>
                <w:szCs w:val="20"/>
              </w:rPr>
            </w:pPr>
          </w:p>
        </w:tc>
      </w:tr>
      <w:tr w:rsidR="007D0510" w:rsidRPr="00264FB7" w:rsidTr="008E12A9">
        <w:trPr>
          <w:trHeight w:val="303"/>
        </w:trPr>
        <w:tc>
          <w:tcPr>
            <w:tcW w:w="2098" w:type="dxa"/>
            <w:vMerge w:val="restart"/>
            <w:vAlign w:val="center"/>
          </w:tcPr>
          <w:p w:rsidR="007D0510" w:rsidRPr="00BD2A2A" w:rsidRDefault="007D0510" w:rsidP="007D0510">
            <w:pPr>
              <w:spacing w:after="0"/>
              <w:rPr>
                <w:rFonts w:cs="Arial"/>
                <w:sz w:val="20"/>
                <w:szCs w:val="20"/>
              </w:rPr>
            </w:pPr>
            <w:r w:rsidRPr="00BD2A2A">
              <w:rPr>
                <w:rFonts w:cs="Arial"/>
                <w:sz w:val="20"/>
                <w:szCs w:val="20"/>
              </w:rPr>
              <w:t>Capsule 5 mg 30</w:t>
            </w:r>
          </w:p>
        </w:tc>
        <w:tc>
          <w:tcPr>
            <w:tcW w:w="1143" w:type="dxa"/>
            <w:vAlign w:val="bottom"/>
          </w:tcPr>
          <w:p w:rsidR="007D0510" w:rsidRPr="00BD2A2A" w:rsidRDefault="007D0510" w:rsidP="008E12A9">
            <w:pPr>
              <w:spacing w:after="0"/>
              <w:jc w:val="center"/>
              <w:rPr>
                <w:rFonts w:cs="Arial"/>
                <w:sz w:val="20"/>
                <w:szCs w:val="20"/>
              </w:rPr>
            </w:pPr>
            <w:r w:rsidRPr="00BD2A2A">
              <w:rPr>
                <w:rFonts w:cs="Arial"/>
                <w:sz w:val="20"/>
                <w:szCs w:val="20"/>
              </w:rPr>
              <w:t>10133H</w:t>
            </w:r>
          </w:p>
        </w:tc>
        <w:tc>
          <w:tcPr>
            <w:tcW w:w="1200" w:type="dxa"/>
            <w:vAlign w:val="center"/>
          </w:tcPr>
          <w:p w:rsidR="007D0510" w:rsidRPr="001908D3" w:rsidRDefault="007D0510" w:rsidP="008E12A9">
            <w:pPr>
              <w:spacing w:after="0"/>
              <w:rPr>
                <w:sz w:val="20"/>
                <w:szCs w:val="20"/>
              </w:rPr>
            </w:pPr>
            <w:r w:rsidRPr="001908D3">
              <w:rPr>
                <w:sz w:val="20"/>
                <w:szCs w:val="20"/>
              </w:rPr>
              <w:t>Initial</w:t>
            </w:r>
          </w:p>
        </w:tc>
        <w:tc>
          <w:tcPr>
            <w:tcW w:w="1200" w:type="dxa"/>
            <w:vAlign w:val="center"/>
          </w:tcPr>
          <w:p w:rsidR="007D0510" w:rsidRPr="00BD2A2A" w:rsidRDefault="007D0510" w:rsidP="0074523F">
            <w:pPr>
              <w:spacing w:after="0"/>
              <w:jc w:val="center"/>
              <w:rPr>
                <w:rFonts w:cs="Arial"/>
                <w:sz w:val="20"/>
                <w:szCs w:val="20"/>
              </w:rPr>
            </w:pPr>
            <w:r w:rsidRPr="00BD2A2A">
              <w:rPr>
                <w:rFonts w:cs="Arial"/>
                <w:sz w:val="20"/>
                <w:szCs w:val="20"/>
              </w:rPr>
              <w:t>2</w:t>
            </w:r>
          </w:p>
        </w:tc>
        <w:tc>
          <w:tcPr>
            <w:tcW w:w="1361" w:type="dxa"/>
            <w:vMerge w:val="restart"/>
            <w:vAlign w:val="center"/>
          </w:tcPr>
          <w:p w:rsidR="007D0510" w:rsidRPr="00FF391C" w:rsidRDefault="00FF391C" w:rsidP="0074523F">
            <w:pPr>
              <w:spacing w:after="0"/>
              <w:jc w:val="center"/>
              <w:rPr>
                <w:rFonts w:cs="Arial"/>
                <w:sz w:val="20"/>
                <w:szCs w:val="20"/>
                <w:highlight w:val="black"/>
              </w:rPr>
            </w:pPr>
            <w:r>
              <w:rPr>
                <w:rFonts w:cs="Arial"/>
                <w:noProof/>
                <w:color w:val="000000"/>
                <w:sz w:val="20"/>
                <w:szCs w:val="20"/>
                <w:highlight w:val="black"/>
              </w:rPr>
              <w:t>''''''''''''''</w:t>
            </w:r>
          </w:p>
        </w:tc>
        <w:tc>
          <w:tcPr>
            <w:tcW w:w="2040" w:type="dxa"/>
            <w:vMerge w:val="restart"/>
            <w:vAlign w:val="center"/>
          </w:tcPr>
          <w:p w:rsidR="007D0510" w:rsidRPr="00BD2A2A" w:rsidRDefault="007D0510" w:rsidP="0074523F">
            <w:pPr>
              <w:spacing w:after="0"/>
              <w:jc w:val="center"/>
              <w:rPr>
                <w:rFonts w:cs="Arial"/>
                <w:sz w:val="20"/>
                <w:szCs w:val="20"/>
              </w:rPr>
            </w:pPr>
            <w:r w:rsidRPr="00BD2A2A">
              <w:rPr>
                <w:rFonts w:cs="Arial"/>
                <w:sz w:val="20"/>
                <w:szCs w:val="20"/>
              </w:rPr>
              <w:t>$2846.70</w:t>
            </w:r>
          </w:p>
          <w:p w:rsidR="007D0510" w:rsidRPr="00BD2A2A" w:rsidRDefault="007D0510" w:rsidP="0074523F">
            <w:pPr>
              <w:spacing w:after="0"/>
              <w:jc w:val="center"/>
              <w:rPr>
                <w:rFonts w:cs="Arial"/>
                <w:sz w:val="20"/>
                <w:szCs w:val="20"/>
              </w:rPr>
            </w:pPr>
            <w:r w:rsidRPr="00BD2A2A">
              <w:rPr>
                <w:rFonts w:cs="Arial"/>
                <w:sz w:val="20"/>
                <w:szCs w:val="20"/>
              </w:rPr>
              <w:t>($2714.52)</w:t>
            </w:r>
          </w:p>
        </w:tc>
      </w:tr>
      <w:tr w:rsidR="007D0510" w:rsidRPr="00264FB7" w:rsidTr="008E12A9">
        <w:trPr>
          <w:trHeight w:val="334"/>
        </w:trPr>
        <w:tc>
          <w:tcPr>
            <w:tcW w:w="2098" w:type="dxa"/>
            <w:vMerge/>
            <w:vAlign w:val="center"/>
          </w:tcPr>
          <w:p w:rsidR="007D0510" w:rsidRPr="00BD2A2A" w:rsidRDefault="007D0510" w:rsidP="0074523F">
            <w:pPr>
              <w:spacing w:after="0"/>
              <w:jc w:val="center"/>
              <w:rPr>
                <w:rFonts w:cs="Arial"/>
                <w:sz w:val="20"/>
                <w:szCs w:val="20"/>
              </w:rPr>
            </w:pPr>
          </w:p>
        </w:tc>
        <w:tc>
          <w:tcPr>
            <w:tcW w:w="1143" w:type="dxa"/>
            <w:vAlign w:val="bottom"/>
          </w:tcPr>
          <w:p w:rsidR="007D0510" w:rsidRPr="00BD2A2A" w:rsidRDefault="007D0510" w:rsidP="008E12A9">
            <w:pPr>
              <w:spacing w:after="0"/>
              <w:jc w:val="center"/>
              <w:rPr>
                <w:rFonts w:cs="Arial"/>
                <w:sz w:val="20"/>
                <w:szCs w:val="20"/>
              </w:rPr>
            </w:pPr>
            <w:r w:rsidRPr="00BD2A2A">
              <w:rPr>
                <w:rFonts w:cs="Arial"/>
                <w:sz w:val="20"/>
                <w:szCs w:val="20"/>
              </w:rPr>
              <w:t>10131F</w:t>
            </w:r>
          </w:p>
        </w:tc>
        <w:tc>
          <w:tcPr>
            <w:tcW w:w="1200" w:type="dxa"/>
            <w:vAlign w:val="center"/>
          </w:tcPr>
          <w:p w:rsidR="007D0510" w:rsidRPr="001908D3" w:rsidRDefault="007D0510" w:rsidP="008E12A9">
            <w:pPr>
              <w:spacing w:after="0"/>
              <w:rPr>
                <w:sz w:val="20"/>
                <w:szCs w:val="20"/>
              </w:rPr>
            </w:pPr>
            <w:r w:rsidRPr="001908D3">
              <w:rPr>
                <w:sz w:val="20"/>
                <w:szCs w:val="20"/>
              </w:rPr>
              <w:t>Continuing</w:t>
            </w:r>
          </w:p>
        </w:tc>
        <w:tc>
          <w:tcPr>
            <w:tcW w:w="1200" w:type="dxa"/>
            <w:vAlign w:val="center"/>
          </w:tcPr>
          <w:p w:rsidR="007D0510" w:rsidRPr="00BD2A2A" w:rsidRDefault="007D0510" w:rsidP="0074523F">
            <w:pPr>
              <w:spacing w:after="0"/>
              <w:jc w:val="center"/>
              <w:rPr>
                <w:rFonts w:cs="Arial"/>
                <w:sz w:val="20"/>
                <w:szCs w:val="20"/>
              </w:rPr>
            </w:pPr>
            <w:r w:rsidRPr="00BD2A2A">
              <w:rPr>
                <w:rFonts w:cs="Arial"/>
                <w:sz w:val="20"/>
                <w:szCs w:val="20"/>
              </w:rPr>
              <w:t>5</w:t>
            </w:r>
          </w:p>
        </w:tc>
        <w:tc>
          <w:tcPr>
            <w:tcW w:w="1361" w:type="dxa"/>
            <w:vMerge/>
            <w:vAlign w:val="center"/>
          </w:tcPr>
          <w:p w:rsidR="007D0510" w:rsidRPr="00BD2A2A" w:rsidRDefault="007D0510" w:rsidP="0074523F">
            <w:pPr>
              <w:spacing w:after="0"/>
              <w:jc w:val="center"/>
              <w:rPr>
                <w:rFonts w:cs="Arial"/>
                <w:sz w:val="20"/>
                <w:szCs w:val="20"/>
              </w:rPr>
            </w:pPr>
          </w:p>
        </w:tc>
        <w:tc>
          <w:tcPr>
            <w:tcW w:w="2040" w:type="dxa"/>
            <w:vMerge/>
            <w:vAlign w:val="center"/>
          </w:tcPr>
          <w:p w:rsidR="007D0510" w:rsidRPr="00BD2A2A" w:rsidRDefault="007D0510" w:rsidP="0074523F">
            <w:pPr>
              <w:spacing w:after="0"/>
              <w:jc w:val="center"/>
              <w:rPr>
                <w:rFonts w:cs="Arial"/>
                <w:sz w:val="20"/>
                <w:szCs w:val="20"/>
              </w:rPr>
            </w:pPr>
          </w:p>
        </w:tc>
      </w:tr>
      <w:tr w:rsidR="007D0510" w:rsidRPr="00264FB7" w:rsidTr="008E12A9">
        <w:trPr>
          <w:trHeight w:val="411"/>
        </w:trPr>
        <w:tc>
          <w:tcPr>
            <w:tcW w:w="2098" w:type="dxa"/>
            <w:vMerge w:val="restart"/>
            <w:vAlign w:val="center"/>
          </w:tcPr>
          <w:p w:rsidR="007D0510" w:rsidRPr="00BD2A2A" w:rsidRDefault="007D0510" w:rsidP="007D0510">
            <w:pPr>
              <w:spacing w:after="0"/>
              <w:rPr>
                <w:rFonts w:cs="Arial"/>
                <w:sz w:val="20"/>
                <w:szCs w:val="20"/>
              </w:rPr>
            </w:pPr>
            <w:r w:rsidRPr="00BD2A2A">
              <w:rPr>
                <w:rFonts w:cs="Arial"/>
                <w:sz w:val="20"/>
                <w:szCs w:val="20"/>
              </w:rPr>
              <w:t>Capsule 10 mg 30</w:t>
            </w:r>
          </w:p>
        </w:tc>
        <w:tc>
          <w:tcPr>
            <w:tcW w:w="1143" w:type="dxa"/>
            <w:vAlign w:val="bottom"/>
          </w:tcPr>
          <w:p w:rsidR="007D0510" w:rsidRPr="00BD2A2A" w:rsidRDefault="007D0510" w:rsidP="008E12A9">
            <w:pPr>
              <w:spacing w:after="0"/>
              <w:jc w:val="center"/>
              <w:rPr>
                <w:rFonts w:cs="Arial"/>
                <w:sz w:val="20"/>
                <w:szCs w:val="20"/>
              </w:rPr>
            </w:pPr>
            <w:r w:rsidRPr="00BD2A2A">
              <w:rPr>
                <w:rFonts w:cs="Arial"/>
                <w:sz w:val="20"/>
                <w:szCs w:val="20"/>
              </w:rPr>
              <w:t>10132G</w:t>
            </w:r>
          </w:p>
        </w:tc>
        <w:tc>
          <w:tcPr>
            <w:tcW w:w="1200" w:type="dxa"/>
            <w:vAlign w:val="center"/>
          </w:tcPr>
          <w:p w:rsidR="007D0510" w:rsidRPr="001908D3" w:rsidRDefault="007D0510" w:rsidP="008E12A9">
            <w:pPr>
              <w:spacing w:after="0"/>
              <w:rPr>
                <w:sz w:val="20"/>
                <w:szCs w:val="20"/>
              </w:rPr>
            </w:pPr>
            <w:r w:rsidRPr="001908D3">
              <w:rPr>
                <w:sz w:val="20"/>
                <w:szCs w:val="20"/>
              </w:rPr>
              <w:t>Initial</w:t>
            </w:r>
          </w:p>
        </w:tc>
        <w:tc>
          <w:tcPr>
            <w:tcW w:w="1200" w:type="dxa"/>
            <w:vAlign w:val="center"/>
          </w:tcPr>
          <w:p w:rsidR="007D0510" w:rsidRPr="00BD2A2A" w:rsidRDefault="007D0510" w:rsidP="0074523F">
            <w:pPr>
              <w:spacing w:after="0"/>
              <w:jc w:val="center"/>
              <w:rPr>
                <w:rFonts w:cs="Arial"/>
                <w:sz w:val="20"/>
                <w:szCs w:val="20"/>
              </w:rPr>
            </w:pPr>
            <w:r w:rsidRPr="00BD2A2A">
              <w:rPr>
                <w:rFonts w:cs="Arial"/>
                <w:sz w:val="20"/>
                <w:szCs w:val="20"/>
              </w:rPr>
              <w:t>2</w:t>
            </w:r>
          </w:p>
        </w:tc>
        <w:tc>
          <w:tcPr>
            <w:tcW w:w="1361" w:type="dxa"/>
            <w:vMerge/>
            <w:vAlign w:val="center"/>
          </w:tcPr>
          <w:p w:rsidR="007D0510" w:rsidRPr="00BD2A2A" w:rsidRDefault="007D0510" w:rsidP="0074523F">
            <w:pPr>
              <w:spacing w:after="0"/>
              <w:jc w:val="center"/>
              <w:rPr>
                <w:rFonts w:cs="Arial"/>
                <w:sz w:val="20"/>
                <w:szCs w:val="20"/>
              </w:rPr>
            </w:pPr>
          </w:p>
        </w:tc>
        <w:tc>
          <w:tcPr>
            <w:tcW w:w="2040" w:type="dxa"/>
            <w:vMerge w:val="restart"/>
            <w:vAlign w:val="center"/>
          </w:tcPr>
          <w:p w:rsidR="007D0510" w:rsidRPr="00BD2A2A" w:rsidRDefault="007D0510" w:rsidP="0074523F">
            <w:pPr>
              <w:spacing w:after="0"/>
              <w:jc w:val="center"/>
              <w:rPr>
                <w:rFonts w:cs="Arial"/>
                <w:sz w:val="20"/>
                <w:szCs w:val="20"/>
              </w:rPr>
            </w:pPr>
            <w:r w:rsidRPr="00BD2A2A">
              <w:rPr>
                <w:rFonts w:cs="Arial"/>
                <w:sz w:val="20"/>
                <w:szCs w:val="20"/>
              </w:rPr>
              <w:t>$5546.70</w:t>
            </w:r>
          </w:p>
          <w:p w:rsidR="007D0510" w:rsidRPr="00BD2A2A" w:rsidRDefault="007D0510" w:rsidP="0074523F">
            <w:pPr>
              <w:spacing w:after="0"/>
              <w:jc w:val="center"/>
              <w:rPr>
                <w:rFonts w:cs="Arial"/>
                <w:sz w:val="20"/>
                <w:szCs w:val="20"/>
              </w:rPr>
            </w:pPr>
            <w:r w:rsidRPr="00BD2A2A">
              <w:rPr>
                <w:rFonts w:cs="Arial"/>
                <w:sz w:val="20"/>
                <w:szCs w:val="20"/>
              </w:rPr>
              <w:t>($5279.52)</w:t>
            </w:r>
          </w:p>
        </w:tc>
      </w:tr>
      <w:tr w:rsidR="007D0510" w:rsidRPr="00264FB7" w:rsidTr="008E12A9">
        <w:trPr>
          <w:trHeight w:val="442"/>
        </w:trPr>
        <w:tc>
          <w:tcPr>
            <w:tcW w:w="2098" w:type="dxa"/>
            <w:vMerge/>
            <w:vAlign w:val="center"/>
          </w:tcPr>
          <w:p w:rsidR="007D0510" w:rsidRPr="00BD2A2A" w:rsidRDefault="007D0510" w:rsidP="0074523F">
            <w:pPr>
              <w:spacing w:after="0"/>
              <w:jc w:val="center"/>
              <w:rPr>
                <w:rFonts w:cs="Arial"/>
                <w:sz w:val="20"/>
                <w:szCs w:val="20"/>
              </w:rPr>
            </w:pPr>
          </w:p>
        </w:tc>
        <w:tc>
          <w:tcPr>
            <w:tcW w:w="1143" w:type="dxa"/>
            <w:vAlign w:val="bottom"/>
          </w:tcPr>
          <w:p w:rsidR="007D0510" w:rsidRPr="00BD2A2A" w:rsidRDefault="007D0510" w:rsidP="008E12A9">
            <w:pPr>
              <w:spacing w:after="0"/>
              <w:jc w:val="center"/>
              <w:rPr>
                <w:rFonts w:cs="Arial"/>
                <w:sz w:val="20"/>
                <w:szCs w:val="20"/>
              </w:rPr>
            </w:pPr>
            <w:r w:rsidRPr="00BD2A2A">
              <w:rPr>
                <w:rFonts w:cs="Arial"/>
                <w:sz w:val="20"/>
                <w:szCs w:val="20"/>
              </w:rPr>
              <w:t>10135K</w:t>
            </w:r>
          </w:p>
        </w:tc>
        <w:tc>
          <w:tcPr>
            <w:tcW w:w="1200" w:type="dxa"/>
            <w:vAlign w:val="center"/>
          </w:tcPr>
          <w:p w:rsidR="007D0510" w:rsidRPr="001908D3" w:rsidRDefault="007D0510" w:rsidP="008E12A9">
            <w:pPr>
              <w:spacing w:after="0"/>
              <w:rPr>
                <w:sz w:val="20"/>
                <w:szCs w:val="20"/>
              </w:rPr>
            </w:pPr>
            <w:r w:rsidRPr="001908D3">
              <w:rPr>
                <w:sz w:val="20"/>
                <w:szCs w:val="20"/>
              </w:rPr>
              <w:t>Continuing</w:t>
            </w:r>
          </w:p>
        </w:tc>
        <w:tc>
          <w:tcPr>
            <w:tcW w:w="1200" w:type="dxa"/>
            <w:vAlign w:val="center"/>
          </w:tcPr>
          <w:p w:rsidR="007D0510" w:rsidRPr="00BD2A2A" w:rsidRDefault="007D0510" w:rsidP="0074523F">
            <w:pPr>
              <w:spacing w:after="0"/>
              <w:jc w:val="center"/>
              <w:rPr>
                <w:rFonts w:cs="Arial"/>
                <w:sz w:val="20"/>
                <w:szCs w:val="20"/>
              </w:rPr>
            </w:pPr>
            <w:r w:rsidRPr="00BD2A2A">
              <w:rPr>
                <w:rFonts w:cs="Arial"/>
                <w:sz w:val="20"/>
                <w:szCs w:val="20"/>
              </w:rPr>
              <w:t>5</w:t>
            </w:r>
          </w:p>
        </w:tc>
        <w:tc>
          <w:tcPr>
            <w:tcW w:w="1361" w:type="dxa"/>
            <w:vMerge/>
            <w:vAlign w:val="center"/>
          </w:tcPr>
          <w:p w:rsidR="007D0510" w:rsidRPr="00BD2A2A" w:rsidRDefault="007D0510" w:rsidP="0074523F">
            <w:pPr>
              <w:spacing w:after="0"/>
              <w:jc w:val="center"/>
              <w:rPr>
                <w:rFonts w:cs="Arial"/>
                <w:sz w:val="20"/>
                <w:szCs w:val="20"/>
              </w:rPr>
            </w:pPr>
          </w:p>
        </w:tc>
        <w:tc>
          <w:tcPr>
            <w:tcW w:w="2040" w:type="dxa"/>
            <w:vMerge/>
            <w:vAlign w:val="center"/>
          </w:tcPr>
          <w:p w:rsidR="007D0510" w:rsidRPr="00BD2A2A" w:rsidRDefault="007D0510" w:rsidP="0074523F">
            <w:pPr>
              <w:spacing w:after="0"/>
              <w:jc w:val="center"/>
              <w:rPr>
                <w:rFonts w:cs="Arial"/>
                <w:sz w:val="20"/>
                <w:szCs w:val="20"/>
              </w:rPr>
            </w:pPr>
          </w:p>
        </w:tc>
      </w:tr>
    </w:tbl>
    <w:p w:rsidR="00BD2A2A" w:rsidRPr="00BD2A2A" w:rsidRDefault="001A0FB7" w:rsidP="001A0FB7">
      <w:pPr>
        <w:spacing w:line="276" w:lineRule="auto"/>
        <w:rPr>
          <w:sz w:val="20"/>
          <w:szCs w:val="20"/>
        </w:rPr>
      </w:pPr>
      <w:r w:rsidRPr="00BD2A2A">
        <w:rPr>
          <w:sz w:val="20"/>
          <w:szCs w:val="20"/>
        </w:rPr>
        <w:t xml:space="preserve">DPMQ </w:t>
      </w:r>
      <w:r w:rsidR="00BD2A2A" w:rsidRPr="00BD2A2A">
        <w:rPr>
          <w:sz w:val="20"/>
          <w:szCs w:val="20"/>
        </w:rPr>
        <w:t xml:space="preserve">= </w:t>
      </w:r>
      <w:r w:rsidRPr="00BD2A2A">
        <w:rPr>
          <w:sz w:val="20"/>
          <w:szCs w:val="20"/>
        </w:rPr>
        <w:t xml:space="preserve">dispensed price maximum quantity. </w:t>
      </w:r>
      <w:r w:rsidR="00DA785B">
        <w:rPr>
          <w:sz w:val="20"/>
          <w:szCs w:val="20"/>
        </w:rPr>
        <w:t xml:space="preserve">Note that the everolimus item codes </w:t>
      </w:r>
      <w:r w:rsidR="00464981">
        <w:rPr>
          <w:sz w:val="20"/>
          <w:szCs w:val="20"/>
        </w:rPr>
        <w:t>are also used for RCC. The pNET</w:t>
      </w:r>
      <w:r w:rsidR="00DA785B">
        <w:rPr>
          <w:sz w:val="20"/>
          <w:szCs w:val="20"/>
        </w:rPr>
        <w:t xml:space="preserve"> and the RCC prescriptions can only be distinguished by reference to the authority restriction code </w:t>
      </w:r>
      <w:r w:rsidR="00E1624E">
        <w:rPr>
          <w:sz w:val="20"/>
          <w:szCs w:val="20"/>
        </w:rPr>
        <w:t>(see Table 3).</w:t>
      </w:r>
    </w:p>
    <w:p w:rsidR="001A0FB7" w:rsidRDefault="001A0706" w:rsidP="001A0FB7">
      <w:pPr>
        <w:spacing w:line="276" w:lineRule="auto"/>
      </w:pPr>
      <w:r>
        <w:t>The e</w:t>
      </w:r>
      <w:r w:rsidR="001A0FB7">
        <w:t xml:space="preserve">ffective price is managed using a special pricing arrangement. The </w:t>
      </w:r>
      <w:r w:rsidR="00BD2A2A">
        <w:t>C</w:t>
      </w:r>
      <w:r w:rsidR="001A0FB7">
        <w:t>ommonwealth calculates the difference between the expenditure based on the published price in the schedule (DPMQ less patient copayment) and the expenditure based on the effect</w:t>
      </w:r>
      <w:r w:rsidR="008E12A9">
        <w:t xml:space="preserve">ive price and invoices the respective pharmaceutical companies </w:t>
      </w:r>
      <w:r w:rsidR="001A0FB7">
        <w:t>each quarter.</w:t>
      </w:r>
    </w:p>
    <w:p w:rsidR="001A0FB7" w:rsidRDefault="00BD2A2A" w:rsidP="001A0FB7">
      <w:pPr>
        <w:spacing w:line="276" w:lineRule="auto"/>
      </w:pPr>
      <w:r>
        <w:t xml:space="preserve">The </w:t>
      </w:r>
      <w:r w:rsidR="001A0FB7">
        <w:t xml:space="preserve">DPMQ of </w:t>
      </w:r>
      <w:r>
        <w:t xml:space="preserve">sunitinib and </w:t>
      </w:r>
      <w:r w:rsidR="001A0FB7">
        <w:t>everolimus was adjusted following flow on of the F1 formulary 5% statutory price reduction in 1 April 2016.</w:t>
      </w:r>
    </w:p>
    <w:p w:rsidR="004D4087" w:rsidRPr="00C67251" w:rsidRDefault="004D4087" w:rsidP="00C67251">
      <w:pPr>
        <w:spacing w:before="240"/>
        <w:outlineLvl w:val="1"/>
        <w:rPr>
          <w:rFonts w:ascii="Calibri" w:eastAsia="MS Mincho" w:hAnsi="Calibri" w:cs="Times New Roman"/>
          <w:b/>
          <w:sz w:val="28"/>
        </w:rPr>
      </w:pPr>
      <w:r w:rsidRPr="00C67251">
        <w:rPr>
          <w:rFonts w:ascii="Calibri" w:eastAsia="MS Mincho" w:hAnsi="Calibri" w:cs="Times New Roman"/>
          <w:b/>
          <w:sz w:val="28"/>
        </w:rPr>
        <w:t>Previous reviews</w:t>
      </w:r>
      <w:r w:rsidR="00DE1AEF">
        <w:rPr>
          <w:rFonts w:ascii="Calibri" w:eastAsia="MS Mincho" w:hAnsi="Calibri" w:cs="Times New Roman"/>
          <w:b/>
          <w:sz w:val="28"/>
        </w:rPr>
        <w:t xml:space="preserve"> </w:t>
      </w:r>
      <w:r w:rsidR="00C67251">
        <w:rPr>
          <w:rFonts w:ascii="Calibri" w:eastAsia="MS Mincho" w:hAnsi="Calibri" w:cs="Times New Roman"/>
          <w:b/>
          <w:sz w:val="28"/>
        </w:rPr>
        <w:t>of sunitinib and everolimus</w:t>
      </w:r>
      <w:r w:rsidRPr="00C67251">
        <w:rPr>
          <w:rFonts w:ascii="Calibri" w:eastAsia="MS Mincho" w:hAnsi="Calibri" w:cs="Times New Roman"/>
          <w:b/>
          <w:sz w:val="28"/>
        </w:rPr>
        <w:t xml:space="preserve"> by DUSC</w:t>
      </w:r>
    </w:p>
    <w:p w:rsidR="004D4087" w:rsidRDefault="004D4087" w:rsidP="004D4087">
      <w:r>
        <w:t xml:space="preserve">Sunitinib and pazopanib for the treatment of renal cell cancer were the subject of </w:t>
      </w:r>
      <w:r w:rsidR="00723C80">
        <w:t xml:space="preserve">a </w:t>
      </w:r>
      <w:r>
        <w:t xml:space="preserve">predicted vs actual analysis (4 years post </w:t>
      </w:r>
      <w:r w:rsidR="00A90938">
        <w:t>listing</w:t>
      </w:r>
      <w:r>
        <w:t xml:space="preserve"> for sunitinib and 1 year post listing for pazopanib) that was considered at the June 2014 meeting</w:t>
      </w:r>
      <w:r w:rsidR="00464981">
        <w:t>.</w:t>
      </w:r>
      <w:r w:rsidR="004315F7">
        <w:rPr>
          <w:rStyle w:val="FootnoteReference"/>
        </w:rPr>
        <w:footnoteReference w:id="2"/>
      </w:r>
      <w:r>
        <w:t xml:space="preserve"> The key findings for sunitinib were;</w:t>
      </w:r>
    </w:p>
    <w:p w:rsidR="004D4087" w:rsidRPr="00F5402F" w:rsidRDefault="004D4087" w:rsidP="00420931">
      <w:pPr>
        <w:pStyle w:val="ListParagraph"/>
        <w:numPr>
          <w:ilvl w:val="0"/>
          <w:numId w:val="11"/>
        </w:numPr>
        <w:spacing w:after="0"/>
        <w:jc w:val="both"/>
        <w:rPr>
          <w:rFonts w:eastAsia="Times New Roman" w:cs="Times New Roman"/>
          <w:szCs w:val="20"/>
        </w:rPr>
      </w:pPr>
      <w:r w:rsidRPr="00BD31D6">
        <w:t xml:space="preserve">Sunitinib incident and prevalent patients were </w:t>
      </w:r>
      <w:r w:rsidR="00FF391C">
        <w:rPr>
          <w:noProof/>
          <w:color w:val="000000"/>
          <w:highlight w:val="black"/>
        </w:rPr>
        <w:t>'''''''' '''''''' ''''''''</w:t>
      </w:r>
      <w:r w:rsidRPr="00BD31D6">
        <w:t xml:space="preserve"> more than expected in the 3</w:t>
      </w:r>
      <w:r w:rsidRPr="00BD31D6">
        <w:rPr>
          <w:vertAlign w:val="superscript"/>
        </w:rPr>
        <w:t>rd</w:t>
      </w:r>
      <w:r w:rsidRPr="00BD31D6">
        <w:t xml:space="preserve"> year after listing (ie. the most recent year not confounded by the listing of pazopanib).</w:t>
      </w:r>
      <w:r>
        <w:t xml:space="preserve"> This difference wa</w:t>
      </w:r>
      <w:r w:rsidRPr="00BD31D6">
        <w:t xml:space="preserve">s due to there being a higher </w:t>
      </w:r>
      <w:r>
        <w:t xml:space="preserve">treatment discontinuation rate </w:t>
      </w:r>
      <w:r w:rsidRPr="00BD31D6">
        <w:t>than expected.</w:t>
      </w:r>
    </w:p>
    <w:p w:rsidR="004D4087" w:rsidRDefault="004D4087" w:rsidP="00420931">
      <w:pPr>
        <w:pStyle w:val="ListParagraph"/>
        <w:numPr>
          <w:ilvl w:val="0"/>
          <w:numId w:val="11"/>
        </w:numPr>
        <w:ind w:left="357" w:hanging="357"/>
        <w:jc w:val="both"/>
        <w:rPr>
          <w:rFonts w:eastAsia="Times New Roman" w:cs="Times New Roman"/>
          <w:szCs w:val="20"/>
        </w:rPr>
      </w:pPr>
      <w:r>
        <w:rPr>
          <w:rFonts w:eastAsia="Times New Roman" w:cs="Times New Roman"/>
          <w:szCs w:val="20"/>
        </w:rPr>
        <w:t xml:space="preserve">Even though prevalent patients were </w:t>
      </w:r>
      <w:r w:rsidR="00FF391C">
        <w:rPr>
          <w:rFonts w:eastAsia="Times New Roman" w:cs="Times New Roman"/>
          <w:noProof/>
          <w:color w:val="000000"/>
          <w:szCs w:val="20"/>
          <w:highlight w:val="black"/>
        </w:rPr>
        <w:t>''''''</w:t>
      </w:r>
      <w:r>
        <w:rPr>
          <w:rFonts w:eastAsia="Times New Roman" w:cs="Times New Roman"/>
          <w:szCs w:val="20"/>
        </w:rPr>
        <w:t xml:space="preserve">% more than expected in year 3, supplied scripts were </w:t>
      </w:r>
      <w:r w:rsidR="00FF391C">
        <w:rPr>
          <w:rFonts w:eastAsia="Times New Roman" w:cs="Times New Roman"/>
          <w:noProof/>
          <w:color w:val="000000"/>
          <w:szCs w:val="20"/>
          <w:highlight w:val="black"/>
        </w:rPr>
        <w:t>'''''</w:t>
      </w:r>
      <w:r>
        <w:rPr>
          <w:rFonts w:eastAsia="Times New Roman" w:cs="Times New Roman"/>
          <w:szCs w:val="20"/>
        </w:rPr>
        <w:t>% less than expected. This was due to the average number of scripts per patient being less than expected (i</w:t>
      </w:r>
      <w:r w:rsidR="00AF5723">
        <w:rPr>
          <w:rFonts w:eastAsia="Times New Roman" w:cs="Times New Roman"/>
          <w:szCs w:val="20"/>
        </w:rPr>
        <w:t>.</w:t>
      </w:r>
      <w:r>
        <w:rPr>
          <w:rFonts w:eastAsia="Times New Roman" w:cs="Times New Roman"/>
          <w:szCs w:val="20"/>
        </w:rPr>
        <w:t>e. predicted =</w:t>
      </w:r>
      <w:r w:rsidRPr="00F5402F">
        <w:rPr>
          <w:rFonts w:eastAsia="Times New Roman" w:cs="Times New Roman"/>
          <w:szCs w:val="20"/>
        </w:rPr>
        <w:t xml:space="preserve"> </w:t>
      </w:r>
      <w:r w:rsidRPr="00C128AB">
        <w:rPr>
          <w:rFonts w:eastAsia="Times New Roman" w:cs="Times New Roman"/>
          <w:szCs w:val="20"/>
        </w:rPr>
        <w:t>7.3</w:t>
      </w:r>
      <w:r>
        <w:rPr>
          <w:rFonts w:eastAsia="Times New Roman" w:cs="Times New Roman"/>
          <w:szCs w:val="20"/>
        </w:rPr>
        <w:t xml:space="preserve">, actual = </w:t>
      </w:r>
      <w:r w:rsidRPr="00F5402F">
        <w:rPr>
          <w:rFonts w:eastAsia="Times New Roman" w:cs="Times New Roman"/>
          <w:szCs w:val="20"/>
        </w:rPr>
        <w:t>5.6 scripts</w:t>
      </w:r>
      <w:r>
        <w:rPr>
          <w:rFonts w:eastAsia="Times New Roman" w:cs="Times New Roman"/>
          <w:szCs w:val="20"/>
        </w:rPr>
        <w:t xml:space="preserve"> per prevalent patient).</w:t>
      </w:r>
    </w:p>
    <w:p w:rsidR="00723C80" w:rsidRDefault="00723C80" w:rsidP="00723C80">
      <w:r>
        <w:t xml:space="preserve">Everolimus for the treatment of </w:t>
      </w:r>
      <w:r w:rsidRPr="00723C80">
        <w:t>Tuberous Sclerosis Complex (TSC)</w:t>
      </w:r>
      <w:r w:rsidR="004315F7">
        <w:rPr>
          <w:rStyle w:val="FootnoteReference"/>
        </w:rPr>
        <w:footnoteReference w:id="3"/>
      </w:r>
      <w:r>
        <w:t xml:space="preserve"> and </w:t>
      </w:r>
      <w:r>
        <w:rPr>
          <w:color w:val="000000" w:themeColor="text1"/>
        </w:rPr>
        <w:t>m</w:t>
      </w:r>
      <w:r w:rsidRPr="00501FC5">
        <w:rPr>
          <w:color w:val="000000" w:themeColor="text1"/>
        </w:rPr>
        <w:t>etastatic (Stage IV) breast cancer</w:t>
      </w:r>
      <w:r w:rsidR="004315F7">
        <w:rPr>
          <w:rStyle w:val="FootnoteReference"/>
          <w:color w:val="000000" w:themeColor="text1"/>
        </w:rPr>
        <w:footnoteReference w:id="4"/>
      </w:r>
      <w:r>
        <w:t xml:space="preserve"> was the subject of a predicted vs actual analysis (2 years post </w:t>
      </w:r>
      <w:r w:rsidR="00A90938">
        <w:t>listing</w:t>
      </w:r>
      <w:r>
        <w:t>) that was considered at the February 2017 meeting. The key findings for TSC were;</w:t>
      </w:r>
    </w:p>
    <w:p w:rsidR="00723C80" w:rsidRPr="00E54D2B" w:rsidRDefault="00723C80" w:rsidP="00420931">
      <w:pPr>
        <w:pStyle w:val="NoSpacing"/>
        <w:numPr>
          <w:ilvl w:val="0"/>
          <w:numId w:val="12"/>
        </w:numPr>
      </w:pPr>
      <w:r w:rsidRPr="00E54D2B">
        <w:t xml:space="preserve">Since listing on the PBS on 1 December 2013, 322 patients were supplied everolimus for TSC. </w:t>
      </w:r>
    </w:p>
    <w:p w:rsidR="00723C80" w:rsidRPr="00E54D2B" w:rsidRDefault="00723C80" w:rsidP="00420931">
      <w:pPr>
        <w:pStyle w:val="NoSpacing"/>
        <w:numPr>
          <w:ilvl w:val="0"/>
          <w:numId w:val="12"/>
        </w:numPr>
        <w:spacing w:after="200"/>
        <w:ind w:left="357" w:hanging="357"/>
      </w:pPr>
      <w:r w:rsidRPr="00E54D2B">
        <w:t>The use of 2.5 mg and 5 mg prescriptions was higher than estimated, and the use of 10</w:t>
      </w:r>
      <w:r w:rsidR="00E36D44" w:rsidRPr="00E54D2B">
        <w:t> </w:t>
      </w:r>
      <w:r w:rsidRPr="00E54D2B">
        <w:t>mg prescriptions was lower than estimated.</w:t>
      </w:r>
    </w:p>
    <w:p w:rsidR="004D4087" w:rsidRPr="00E54D2B" w:rsidRDefault="00723C80" w:rsidP="004D4087">
      <w:r w:rsidRPr="00E54D2B">
        <w:t xml:space="preserve">The key findings for </w:t>
      </w:r>
      <w:r w:rsidRPr="00E54D2B">
        <w:rPr>
          <w:color w:val="000000" w:themeColor="text1"/>
        </w:rPr>
        <w:t>metastatic (Stage IV) breast cancer</w:t>
      </w:r>
      <w:r w:rsidRPr="00E54D2B">
        <w:t xml:space="preserve"> were;</w:t>
      </w:r>
    </w:p>
    <w:p w:rsidR="00723C80" w:rsidRPr="00E54D2B" w:rsidRDefault="00723C80" w:rsidP="00420931">
      <w:pPr>
        <w:pStyle w:val="ListParagraph"/>
        <w:numPr>
          <w:ilvl w:val="0"/>
          <w:numId w:val="13"/>
        </w:numPr>
        <w:spacing w:line="276" w:lineRule="auto"/>
      </w:pPr>
      <w:r w:rsidRPr="00E54D2B">
        <w:t>There were 1,813 patients identified as having been treated with everolimus for metastatic breast cancer over its first two years of listing. This was less than predicted.</w:t>
      </w:r>
    </w:p>
    <w:p w:rsidR="00723C80" w:rsidRDefault="00723C80" w:rsidP="00420931">
      <w:pPr>
        <w:pStyle w:val="ListParagraph"/>
        <w:numPr>
          <w:ilvl w:val="0"/>
          <w:numId w:val="13"/>
        </w:numPr>
        <w:spacing w:line="276" w:lineRule="auto"/>
      </w:pPr>
      <w:r w:rsidRPr="00E54D2B">
        <w:t>The duration of therapy with everolimus plus exemestane was shorter than predicted. There was a median of four prescriptions per year compared with an estimated seven</w:t>
      </w:r>
      <w:r>
        <w:t xml:space="preserve"> prescriptions per year.</w:t>
      </w:r>
    </w:p>
    <w:p w:rsidR="00723C80" w:rsidRDefault="00723C80" w:rsidP="00420931">
      <w:pPr>
        <w:pStyle w:val="ListParagraph"/>
        <w:numPr>
          <w:ilvl w:val="0"/>
          <w:numId w:val="13"/>
        </w:numPr>
        <w:spacing w:line="276" w:lineRule="auto"/>
      </w:pPr>
      <w:r>
        <w:t>The proportional use of the higher (10 mg) strength of everolimus was greater than predicted. As such, the predicted versus actual expenditure on everolimus was similar (based on the published prices).</w:t>
      </w:r>
    </w:p>
    <w:p w:rsidR="004D4087" w:rsidRDefault="00F845D5" w:rsidP="00723C80">
      <w:r>
        <w:t xml:space="preserve">DUSC also provided </w:t>
      </w:r>
      <w:r w:rsidR="00A90938">
        <w:t>advice</w:t>
      </w:r>
      <w:r>
        <w:t xml:space="preserve"> to the PBAC regarding </w:t>
      </w:r>
      <w:r w:rsidRPr="00C128AB">
        <w:t xml:space="preserve">a submission for listing of sunitinib for gastrointestinal stromal </w:t>
      </w:r>
      <w:r w:rsidR="00A90938" w:rsidRPr="00C128AB">
        <w:t>tumour</w:t>
      </w:r>
      <w:r w:rsidRPr="00C128AB">
        <w:t xml:space="preserve"> (GIST) that was considered by the July 2009 PBAC.</w:t>
      </w:r>
    </w:p>
    <w:p w:rsidR="00207070" w:rsidRDefault="00207070">
      <w:pPr>
        <w:spacing w:line="276" w:lineRule="auto"/>
        <w:rPr>
          <w:rFonts w:ascii="Calibri" w:eastAsia="MS Gothic" w:hAnsi="Calibri" w:cs="Times New Roman"/>
          <w:b/>
          <w:bCs/>
          <w:sz w:val="32"/>
          <w:szCs w:val="32"/>
        </w:rPr>
      </w:pPr>
      <w:r>
        <w:rPr>
          <w:rFonts w:ascii="Calibri" w:eastAsia="MS Gothic" w:hAnsi="Calibri" w:cs="Times New Roman"/>
          <w:b/>
          <w:bCs/>
          <w:sz w:val="32"/>
          <w:szCs w:val="32"/>
        </w:rPr>
        <w:br w:type="page"/>
      </w:r>
    </w:p>
    <w:p w:rsidR="00D2256D" w:rsidRPr="00941706" w:rsidRDefault="00D2256D" w:rsidP="00D2256D">
      <w:pPr>
        <w:keepNext/>
        <w:keepLines/>
        <w:spacing w:before="480" w:after="240"/>
        <w:outlineLvl w:val="0"/>
        <w:rPr>
          <w:rFonts w:ascii="Calibri" w:eastAsia="MS Gothic" w:hAnsi="Calibri" w:cs="Times New Roman"/>
          <w:b/>
          <w:bCs/>
          <w:sz w:val="32"/>
          <w:szCs w:val="32"/>
        </w:rPr>
      </w:pPr>
      <w:r w:rsidRPr="00941706">
        <w:rPr>
          <w:rFonts w:ascii="Calibri" w:eastAsia="MS Gothic" w:hAnsi="Calibri" w:cs="Times New Roman"/>
          <w:b/>
          <w:bCs/>
          <w:sz w:val="32"/>
          <w:szCs w:val="32"/>
        </w:rPr>
        <w:t>Methods</w:t>
      </w:r>
    </w:p>
    <w:p w:rsidR="00D2256D" w:rsidRDefault="00D2256D" w:rsidP="00D2256D">
      <w:pPr>
        <w:rPr>
          <w:rFonts w:ascii="Calibri" w:eastAsia="MS Mincho" w:hAnsi="Calibri" w:cs="Times New Roman"/>
        </w:rPr>
      </w:pPr>
      <w:r>
        <w:rPr>
          <w:rFonts w:ascii="Calibri" w:eastAsia="MS Mincho" w:hAnsi="Calibri" w:cs="Times New Roman"/>
        </w:rPr>
        <w:t xml:space="preserve">PBS prescription data for sunitinib and everolimus from </w:t>
      </w:r>
      <w:r w:rsidRPr="00D2256D">
        <w:rPr>
          <w:rFonts w:ascii="Calibri" w:eastAsia="MS Mincho" w:hAnsi="Calibri" w:cs="Times New Roman"/>
        </w:rPr>
        <w:t>1 May 2009</w:t>
      </w:r>
      <w:r>
        <w:rPr>
          <w:rFonts w:ascii="Calibri" w:eastAsia="MS Mincho" w:hAnsi="Calibri" w:cs="Times New Roman"/>
        </w:rPr>
        <w:t xml:space="preserve">  (</w:t>
      </w:r>
      <w:r w:rsidRPr="00D2256D">
        <w:rPr>
          <w:rFonts w:ascii="Calibri" w:eastAsia="MS Mincho" w:hAnsi="Calibri" w:cs="Times New Roman"/>
        </w:rPr>
        <w:t>first listing for sunitinib</w:t>
      </w:r>
      <w:r>
        <w:rPr>
          <w:rFonts w:ascii="Calibri" w:eastAsia="MS Mincho" w:hAnsi="Calibri" w:cs="Times New Roman"/>
        </w:rPr>
        <w:t xml:space="preserve">) </w:t>
      </w:r>
      <w:r w:rsidRPr="00D2256D">
        <w:rPr>
          <w:rFonts w:ascii="Calibri" w:eastAsia="MS Mincho" w:hAnsi="Calibri" w:cs="Times New Roman"/>
        </w:rPr>
        <w:t>to 31 March 2017 were extracted</w:t>
      </w:r>
      <w:r>
        <w:rPr>
          <w:rFonts w:ascii="Calibri" w:eastAsia="MS Mincho" w:hAnsi="Calibri" w:cs="Times New Roman"/>
        </w:rPr>
        <w:t xml:space="preserve"> from the </w:t>
      </w:r>
      <w:r w:rsidRPr="00B87CD5">
        <w:rPr>
          <w:rFonts w:ascii="Calibri" w:eastAsia="MS Mincho" w:hAnsi="Calibri" w:cs="Times New Roman"/>
        </w:rPr>
        <w:t>DHS prescription database</w:t>
      </w:r>
      <w:r>
        <w:rPr>
          <w:rFonts w:ascii="Calibri" w:eastAsia="MS Mincho" w:hAnsi="Calibri" w:cs="Times New Roman"/>
        </w:rPr>
        <w:t xml:space="preserve"> based on the date of dispensing</w:t>
      </w:r>
      <w:r w:rsidR="008E12A9">
        <w:rPr>
          <w:rFonts w:ascii="Calibri" w:eastAsia="MS Mincho" w:hAnsi="Calibri" w:cs="Times New Roman"/>
        </w:rPr>
        <w:t xml:space="preserve"> (supply)</w:t>
      </w:r>
      <w:r>
        <w:rPr>
          <w:rFonts w:ascii="Calibri" w:eastAsia="MS Mincho" w:hAnsi="Calibri" w:cs="Times New Roman"/>
        </w:rPr>
        <w:t xml:space="preserve">. </w:t>
      </w:r>
      <w:r w:rsidR="008E12A9">
        <w:rPr>
          <w:rFonts w:ascii="Calibri" w:eastAsia="MS Mincho" w:hAnsi="Calibri" w:cs="Times New Roman"/>
        </w:rPr>
        <w:t>Reports using t</w:t>
      </w:r>
      <w:r>
        <w:rPr>
          <w:rFonts w:ascii="Calibri" w:eastAsia="MS Mincho" w:hAnsi="Calibri" w:cs="Times New Roman"/>
        </w:rPr>
        <w:t xml:space="preserve">he date of processing of PBS prescriptions may differ from the date of dispensing. Consequently there may be differences in data reported by date of dispensing or processing (such as that available </w:t>
      </w:r>
      <w:r w:rsidRPr="004E2F75">
        <w:rPr>
          <w:rFonts w:ascii="Calibri" w:eastAsia="MS Mincho" w:hAnsi="Calibri" w:cs="Times New Roman"/>
        </w:rPr>
        <w:t>publicly available</w:t>
      </w:r>
      <w:r>
        <w:rPr>
          <w:rFonts w:ascii="Calibri" w:eastAsia="MS Mincho" w:hAnsi="Calibri" w:cs="Times New Roman"/>
        </w:rPr>
        <w:t xml:space="preserve"> from</w:t>
      </w:r>
      <w:r w:rsidRPr="004E2F75">
        <w:rPr>
          <w:rFonts w:ascii="Calibri" w:eastAsia="MS Mincho" w:hAnsi="Calibri" w:cs="Times New Roman"/>
        </w:rPr>
        <w:t xml:space="preserve"> </w:t>
      </w:r>
      <w:r w:rsidRPr="00FF391C">
        <w:rPr>
          <w:rFonts w:ascii="Calibri" w:eastAsia="MS Mincho" w:hAnsi="Calibri" w:cs="Times New Roman"/>
        </w:rPr>
        <w:t>DHS Medicare website</w:t>
      </w:r>
      <w:r>
        <w:rPr>
          <w:rFonts w:ascii="Calibri" w:eastAsia="MS Mincho" w:hAnsi="Calibri" w:cs="Times New Roman"/>
        </w:rPr>
        <w:t xml:space="preserve">). </w:t>
      </w:r>
    </w:p>
    <w:p w:rsidR="00D2256D" w:rsidRDefault="00D2256D" w:rsidP="00D2256D">
      <w:pPr>
        <w:rPr>
          <w:rFonts w:ascii="Calibri" w:eastAsia="MS Mincho" w:hAnsi="Calibri" w:cs="Times New Roman"/>
        </w:rPr>
      </w:pPr>
      <w:r>
        <w:rPr>
          <w:rFonts w:ascii="Calibri" w:eastAsia="MS Mincho" w:hAnsi="Calibri" w:cs="Times New Roman"/>
        </w:rPr>
        <w:t>PBS prescription data were used to determine the number of prescriptions supplied and the PBS expenditure. These data were also used to count the number of patients, both incident (new to treatment) and prevalent (number treated in each time period, i</w:t>
      </w:r>
      <w:r w:rsidR="00AF5723">
        <w:rPr>
          <w:rFonts w:ascii="Calibri" w:eastAsia="MS Mincho" w:hAnsi="Calibri" w:cs="Times New Roman"/>
        </w:rPr>
        <w:t>.</w:t>
      </w:r>
      <w:r>
        <w:rPr>
          <w:rFonts w:ascii="Calibri" w:eastAsia="MS Mincho" w:hAnsi="Calibri" w:cs="Times New Roman"/>
        </w:rPr>
        <w:t xml:space="preserve">e. year or quarter). </w:t>
      </w:r>
    </w:p>
    <w:p w:rsidR="00D2256D" w:rsidRDefault="00D2256D" w:rsidP="00D2256D">
      <w:pPr>
        <w:rPr>
          <w:rFonts w:ascii="Calibri" w:eastAsia="MS Mincho" w:hAnsi="Calibri" w:cs="Times New Roman"/>
        </w:rPr>
      </w:pPr>
      <w:r>
        <w:rPr>
          <w:rFonts w:ascii="Calibri" w:eastAsia="MS Mincho" w:hAnsi="Calibri" w:cs="Times New Roman"/>
        </w:rPr>
        <w:t>The main analysis relates to utilisation since sunitinib was listed for the pNET indication (1</w:t>
      </w:r>
      <w:r w:rsidR="00AF5723">
        <w:rPr>
          <w:rFonts w:ascii="Calibri" w:eastAsia="MS Mincho" w:hAnsi="Calibri" w:cs="Times New Roman"/>
        </w:rPr>
        <w:t> </w:t>
      </w:r>
      <w:r w:rsidR="00A90938">
        <w:rPr>
          <w:rFonts w:ascii="Calibri" w:eastAsia="MS Mincho" w:hAnsi="Calibri" w:cs="Times New Roman"/>
        </w:rPr>
        <w:t>December</w:t>
      </w:r>
      <w:r>
        <w:rPr>
          <w:rFonts w:ascii="Calibri" w:eastAsia="MS Mincho" w:hAnsi="Calibri" w:cs="Times New Roman"/>
        </w:rPr>
        <w:t xml:space="preserve"> 2013). Data prior to this </w:t>
      </w:r>
      <w:r w:rsidR="00C1525A">
        <w:rPr>
          <w:rFonts w:ascii="Calibri" w:eastAsia="MS Mincho" w:hAnsi="Calibri" w:cs="Times New Roman"/>
        </w:rPr>
        <w:t>were</w:t>
      </w:r>
      <w:r>
        <w:rPr>
          <w:rFonts w:ascii="Calibri" w:eastAsia="MS Mincho" w:hAnsi="Calibri" w:cs="Times New Roman"/>
        </w:rPr>
        <w:t xml:space="preserve"> used as part of the analysis to determine the “Patient Classification” in the “</w:t>
      </w:r>
      <w:r w:rsidRPr="006265F9">
        <w:rPr>
          <w:rFonts w:ascii="Calibri" w:eastAsia="MS Mincho" w:hAnsi="Calibri" w:cs="Times New Roman"/>
        </w:rPr>
        <w:t>Indication sequence and patient classification</w:t>
      </w:r>
      <w:r>
        <w:rPr>
          <w:rFonts w:ascii="Calibri" w:eastAsia="MS Mincho" w:hAnsi="Calibri" w:cs="Times New Roman"/>
        </w:rPr>
        <w:t xml:space="preserve">” section. </w:t>
      </w:r>
    </w:p>
    <w:p w:rsidR="00D2256D" w:rsidRDefault="00D2256D" w:rsidP="00D2256D">
      <w:pPr>
        <w:rPr>
          <w:rFonts w:ascii="Calibri" w:eastAsia="MS Mincho" w:hAnsi="Calibri" w:cs="Times New Roman"/>
        </w:rPr>
      </w:pPr>
      <w:r>
        <w:rPr>
          <w:rFonts w:ascii="Calibri" w:eastAsia="MS Mincho" w:hAnsi="Calibri" w:cs="Times New Roman"/>
        </w:rPr>
        <w:t xml:space="preserve">There is a possibility that PBS prescriptions assigned to </w:t>
      </w:r>
      <w:r w:rsidR="008E12A9">
        <w:rPr>
          <w:rFonts w:ascii="Calibri" w:eastAsia="MS Mincho" w:hAnsi="Calibri" w:cs="Times New Roman"/>
        </w:rPr>
        <w:t xml:space="preserve">item codes for </w:t>
      </w:r>
      <w:r>
        <w:rPr>
          <w:rFonts w:ascii="Calibri" w:eastAsia="MS Mincho" w:hAnsi="Calibri" w:cs="Times New Roman"/>
        </w:rPr>
        <w:t>pNET may have been used for non-pNET patients, and vice versa. Additional information on this is detailed in section 3</w:t>
      </w:r>
      <w:r w:rsidR="00C1525A">
        <w:rPr>
          <w:rFonts w:ascii="Calibri" w:eastAsia="MS Mincho" w:hAnsi="Calibri" w:cs="Times New Roman"/>
        </w:rPr>
        <w:t xml:space="preserve"> of the results</w:t>
      </w:r>
      <w:r>
        <w:rPr>
          <w:rFonts w:ascii="Calibri" w:eastAsia="MS Mincho" w:hAnsi="Calibri" w:cs="Times New Roman"/>
        </w:rPr>
        <w:t>. As this misclassification could have an effect on the patient-level analyses</w:t>
      </w:r>
      <w:r w:rsidR="00C1525A">
        <w:rPr>
          <w:rFonts w:ascii="Calibri" w:eastAsia="MS Mincho" w:hAnsi="Calibri" w:cs="Times New Roman"/>
        </w:rPr>
        <w:t>,</w:t>
      </w:r>
      <w:r>
        <w:rPr>
          <w:rFonts w:ascii="Calibri" w:eastAsia="MS Mincho" w:hAnsi="Calibri" w:cs="Times New Roman"/>
        </w:rPr>
        <w:t xml:space="preserve"> a second dataset was developed to minimise the effect of misclassification in these analyses.</w:t>
      </w:r>
    </w:p>
    <w:p w:rsidR="00167D50" w:rsidRDefault="00167D50" w:rsidP="00167D50">
      <w:pPr>
        <w:rPr>
          <w:rFonts w:ascii="Calibri" w:eastAsia="MS Mincho" w:hAnsi="Calibri" w:cs="Times New Roman"/>
        </w:rPr>
      </w:pPr>
      <w:r>
        <w:rPr>
          <w:rFonts w:ascii="Calibri" w:eastAsia="MS Mincho" w:hAnsi="Calibri" w:cs="Times New Roman"/>
        </w:rPr>
        <w:t xml:space="preserve">There are two different sets of data used in the analyses: </w:t>
      </w:r>
    </w:p>
    <w:p w:rsidR="00167D50" w:rsidRDefault="00167D50" w:rsidP="00420931">
      <w:pPr>
        <w:pStyle w:val="ListParagraph"/>
        <w:numPr>
          <w:ilvl w:val="0"/>
          <w:numId w:val="10"/>
        </w:numPr>
        <w:rPr>
          <w:rFonts w:ascii="Calibri" w:eastAsia="MS Mincho" w:hAnsi="Calibri" w:cs="Times New Roman"/>
        </w:rPr>
      </w:pPr>
      <w:r w:rsidRPr="00443F76">
        <w:rPr>
          <w:rFonts w:ascii="Calibri" w:eastAsia="MS Mincho" w:hAnsi="Calibri" w:cs="Times New Roman"/>
        </w:rPr>
        <w:t xml:space="preserve">The utilisation dataset includes all the prescription information for </w:t>
      </w:r>
      <w:r>
        <w:rPr>
          <w:rFonts w:ascii="Calibri" w:eastAsia="MS Mincho" w:hAnsi="Calibri" w:cs="Times New Roman"/>
        </w:rPr>
        <w:t xml:space="preserve">sunitinib and everolimus prescriptions </w:t>
      </w:r>
      <w:r w:rsidRPr="00443F76">
        <w:rPr>
          <w:rFonts w:ascii="Calibri" w:eastAsia="MS Mincho" w:hAnsi="Calibri" w:cs="Times New Roman"/>
        </w:rPr>
        <w:t xml:space="preserve">indicated for </w:t>
      </w:r>
      <w:r>
        <w:rPr>
          <w:rFonts w:ascii="Calibri" w:eastAsia="MS Mincho" w:hAnsi="Calibri" w:cs="Times New Roman"/>
        </w:rPr>
        <w:t>pNET based on PBS item codes and authority approval restriction codes</w:t>
      </w:r>
      <w:r w:rsidRPr="00443F76">
        <w:rPr>
          <w:rFonts w:ascii="Calibri" w:eastAsia="MS Mincho" w:hAnsi="Calibri" w:cs="Times New Roman"/>
        </w:rPr>
        <w:t xml:space="preserve"> (</w:t>
      </w:r>
      <w:r>
        <w:rPr>
          <w:rFonts w:ascii="Calibri" w:eastAsia="MS Mincho" w:hAnsi="Calibri" w:cs="Times New Roman"/>
        </w:rPr>
        <w:t>see Table 3</w:t>
      </w:r>
      <w:r w:rsidRPr="00443F76">
        <w:rPr>
          <w:rFonts w:ascii="Calibri" w:eastAsia="MS Mincho" w:hAnsi="Calibri" w:cs="Times New Roman"/>
        </w:rPr>
        <w:t xml:space="preserve"> below). </w:t>
      </w:r>
      <w:r>
        <w:rPr>
          <w:rFonts w:ascii="Calibri" w:eastAsia="MS Mincho" w:hAnsi="Calibri" w:cs="Times New Roman"/>
        </w:rPr>
        <w:t>Refer to sections 1 and 2 of the results.</w:t>
      </w:r>
    </w:p>
    <w:p w:rsidR="00167D50" w:rsidRDefault="00167D50" w:rsidP="00420931">
      <w:pPr>
        <w:pStyle w:val="ListParagraph"/>
        <w:numPr>
          <w:ilvl w:val="0"/>
          <w:numId w:val="10"/>
        </w:numPr>
        <w:rPr>
          <w:rFonts w:ascii="Calibri" w:eastAsia="MS Mincho" w:hAnsi="Calibri" w:cs="Times New Roman"/>
        </w:rPr>
      </w:pPr>
      <w:r w:rsidRPr="00443F76">
        <w:rPr>
          <w:rFonts w:ascii="Calibri" w:eastAsia="MS Mincho" w:hAnsi="Calibri" w:cs="Times New Roman"/>
        </w:rPr>
        <w:t xml:space="preserve">The patient cohort described as “Considered to be patients with </w:t>
      </w:r>
      <w:r>
        <w:rPr>
          <w:rFonts w:ascii="Calibri" w:eastAsia="MS Mincho" w:hAnsi="Calibri" w:cs="Times New Roman"/>
        </w:rPr>
        <w:t>pNET</w:t>
      </w:r>
      <w:r w:rsidRPr="00443F76">
        <w:rPr>
          <w:rFonts w:ascii="Calibri" w:eastAsia="MS Mincho" w:hAnsi="Calibri" w:cs="Times New Roman"/>
        </w:rPr>
        <w:t xml:space="preserve">” </w:t>
      </w:r>
      <w:r>
        <w:rPr>
          <w:rFonts w:ascii="Calibri" w:eastAsia="MS Mincho" w:hAnsi="Calibri" w:cs="Times New Roman"/>
        </w:rPr>
        <w:t xml:space="preserve">(Cohort pNET) </w:t>
      </w:r>
      <w:r w:rsidRPr="00443F76">
        <w:rPr>
          <w:rFonts w:ascii="Calibri" w:eastAsia="MS Mincho" w:hAnsi="Calibri" w:cs="Times New Roman"/>
        </w:rPr>
        <w:t xml:space="preserve">contains </w:t>
      </w:r>
      <w:r>
        <w:rPr>
          <w:rFonts w:ascii="Calibri" w:eastAsia="MS Mincho" w:hAnsi="Calibri" w:cs="Times New Roman"/>
        </w:rPr>
        <w:t xml:space="preserve">everolimus and sunitinib </w:t>
      </w:r>
      <w:r w:rsidRPr="00443F76">
        <w:rPr>
          <w:rFonts w:ascii="Calibri" w:eastAsia="MS Mincho" w:hAnsi="Calibri" w:cs="Times New Roman"/>
        </w:rPr>
        <w:t xml:space="preserve">prescription data for all patients considered to </w:t>
      </w:r>
      <w:r>
        <w:rPr>
          <w:rFonts w:ascii="Calibri" w:eastAsia="MS Mincho" w:hAnsi="Calibri" w:cs="Times New Roman"/>
        </w:rPr>
        <w:t>definitely have pNET</w:t>
      </w:r>
      <w:r w:rsidRPr="00443F76">
        <w:rPr>
          <w:rFonts w:ascii="Calibri" w:eastAsia="MS Mincho" w:hAnsi="Calibri" w:cs="Times New Roman"/>
        </w:rPr>
        <w:t>.</w:t>
      </w:r>
      <w:r>
        <w:rPr>
          <w:rFonts w:ascii="Calibri" w:eastAsia="MS Mincho" w:hAnsi="Calibri" w:cs="Times New Roman"/>
        </w:rPr>
        <w:t xml:space="preserve"> Refer to section 3 of the results.</w:t>
      </w:r>
    </w:p>
    <w:p w:rsidR="001200F4" w:rsidRDefault="00167D50" w:rsidP="00D2256D">
      <w:pPr>
        <w:rPr>
          <w:rFonts w:ascii="Calibri" w:eastAsia="MS Mincho" w:hAnsi="Calibri" w:cs="Times New Roman"/>
        </w:rPr>
      </w:pPr>
      <w:r>
        <w:rPr>
          <w:rFonts w:ascii="Calibri" w:eastAsia="MS Mincho" w:hAnsi="Calibri" w:cs="Times New Roman"/>
        </w:rPr>
        <w:t xml:space="preserve">Dataset 2 </w:t>
      </w:r>
      <w:r w:rsidR="008E12A9">
        <w:rPr>
          <w:rFonts w:ascii="Calibri" w:eastAsia="MS Mincho" w:hAnsi="Calibri" w:cs="Times New Roman"/>
        </w:rPr>
        <w:t xml:space="preserve">was </w:t>
      </w:r>
      <w:r w:rsidR="00D2256D">
        <w:rPr>
          <w:rFonts w:ascii="Calibri" w:eastAsia="MS Mincho" w:hAnsi="Calibri" w:cs="Times New Roman"/>
        </w:rPr>
        <w:t>used</w:t>
      </w:r>
      <w:r w:rsidR="008E12A9">
        <w:rPr>
          <w:rFonts w:ascii="Calibri" w:eastAsia="MS Mincho" w:hAnsi="Calibri" w:cs="Times New Roman"/>
        </w:rPr>
        <w:t xml:space="preserve"> in analyses for </w:t>
      </w:r>
      <w:r w:rsidR="001200F4">
        <w:rPr>
          <w:rFonts w:ascii="Calibri" w:eastAsia="MS Mincho" w:hAnsi="Calibri" w:cs="Times New Roman"/>
        </w:rPr>
        <w:t>length of treatment with either medicine</w:t>
      </w:r>
      <w:r w:rsidR="008E12A9">
        <w:rPr>
          <w:rFonts w:ascii="Calibri" w:eastAsia="MS Mincho" w:hAnsi="Calibri" w:cs="Times New Roman"/>
        </w:rPr>
        <w:t xml:space="preserve">. The </w:t>
      </w:r>
      <w:r w:rsidR="00D2256D">
        <w:rPr>
          <w:rFonts w:ascii="Calibri" w:eastAsia="MS Mincho" w:hAnsi="Calibri" w:cs="Times New Roman"/>
        </w:rPr>
        <w:t xml:space="preserve">Kaplan Meier (aka Product-Limit) method </w:t>
      </w:r>
      <w:r w:rsidR="001200F4">
        <w:rPr>
          <w:rFonts w:ascii="Calibri" w:eastAsia="MS Mincho" w:hAnsi="Calibri" w:cs="Times New Roman"/>
        </w:rPr>
        <w:t xml:space="preserve">was applied </w:t>
      </w:r>
      <w:r w:rsidR="00D2256D">
        <w:rPr>
          <w:rFonts w:ascii="Calibri" w:eastAsia="MS Mincho" w:hAnsi="Calibri" w:cs="Times New Roman"/>
        </w:rPr>
        <w:t>to determine the length of treatment for patients on sunitinib and everolimus for pNET. T</w:t>
      </w:r>
      <w:r w:rsidR="00D2256D" w:rsidRPr="00DE3347">
        <w:rPr>
          <w:rFonts w:ascii="Calibri" w:eastAsia="MS Mincho" w:hAnsi="Calibri" w:cs="Times New Roman"/>
        </w:rPr>
        <w:t xml:space="preserve">wo </w:t>
      </w:r>
      <w:r w:rsidR="00D2256D">
        <w:rPr>
          <w:rFonts w:ascii="Calibri" w:eastAsia="MS Mincho" w:hAnsi="Calibri" w:cs="Times New Roman"/>
        </w:rPr>
        <w:t xml:space="preserve">ways of </w:t>
      </w:r>
      <w:r w:rsidR="00D2256D" w:rsidRPr="00DE3347">
        <w:rPr>
          <w:rFonts w:ascii="Calibri" w:eastAsia="MS Mincho" w:hAnsi="Calibri" w:cs="Times New Roman"/>
        </w:rPr>
        <w:t>measur</w:t>
      </w:r>
      <w:r w:rsidR="00D2256D">
        <w:rPr>
          <w:rFonts w:ascii="Calibri" w:eastAsia="MS Mincho" w:hAnsi="Calibri" w:cs="Times New Roman"/>
        </w:rPr>
        <w:t>ing length of treatment were undertaken</w:t>
      </w:r>
      <w:r w:rsidR="001200F4">
        <w:rPr>
          <w:rFonts w:ascii="Calibri" w:eastAsia="MS Mincho" w:hAnsi="Calibri" w:cs="Times New Roman"/>
        </w:rPr>
        <w:t xml:space="preserve"> to account for patients stopping medicine</w:t>
      </w:r>
      <w:r w:rsidR="001B0587">
        <w:rPr>
          <w:rFonts w:ascii="Calibri" w:eastAsia="MS Mincho" w:hAnsi="Calibri" w:cs="Times New Roman"/>
        </w:rPr>
        <w:t xml:space="preserve"> for</w:t>
      </w:r>
      <w:r w:rsidR="001200F4">
        <w:rPr>
          <w:rFonts w:ascii="Calibri" w:eastAsia="MS Mincho" w:hAnsi="Calibri" w:cs="Times New Roman"/>
        </w:rPr>
        <w:t xml:space="preserve"> periods of time (called a ‘break’ in therapy)</w:t>
      </w:r>
      <w:r w:rsidR="00D2256D" w:rsidRPr="00DE3347">
        <w:rPr>
          <w:rFonts w:ascii="Calibri" w:eastAsia="MS Mincho" w:hAnsi="Calibri" w:cs="Times New Roman"/>
        </w:rPr>
        <w:t xml:space="preserve">. One </w:t>
      </w:r>
      <w:r w:rsidR="001200F4">
        <w:rPr>
          <w:rFonts w:ascii="Calibri" w:eastAsia="MS Mincho" w:hAnsi="Calibri" w:cs="Times New Roman"/>
        </w:rPr>
        <w:t xml:space="preserve">analysis </w:t>
      </w:r>
      <w:r w:rsidR="00D2256D" w:rsidRPr="00DE3347">
        <w:rPr>
          <w:rFonts w:ascii="Calibri" w:eastAsia="MS Mincho" w:hAnsi="Calibri" w:cs="Times New Roman"/>
        </w:rPr>
        <w:t>exclude</w:t>
      </w:r>
      <w:r w:rsidR="00D2256D">
        <w:rPr>
          <w:rFonts w:ascii="Calibri" w:eastAsia="MS Mincho" w:hAnsi="Calibri" w:cs="Times New Roman"/>
        </w:rPr>
        <w:t>d</w:t>
      </w:r>
      <w:r w:rsidR="00D2256D" w:rsidRPr="00DE3347">
        <w:rPr>
          <w:rFonts w:ascii="Calibri" w:eastAsia="MS Mincho" w:hAnsi="Calibri" w:cs="Times New Roman"/>
        </w:rPr>
        <w:t xml:space="preserve"> </w:t>
      </w:r>
      <w:r w:rsidR="001200F4">
        <w:rPr>
          <w:rFonts w:ascii="Calibri" w:eastAsia="MS Mincho" w:hAnsi="Calibri" w:cs="Times New Roman"/>
        </w:rPr>
        <w:t xml:space="preserve">the time of </w:t>
      </w:r>
      <w:r w:rsidR="00D2256D" w:rsidRPr="00DE3347">
        <w:rPr>
          <w:rFonts w:ascii="Calibri" w:eastAsia="MS Mincho" w:hAnsi="Calibri" w:cs="Times New Roman"/>
        </w:rPr>
        <w:t xml:space="preserve">any breaks in treatment </w:t>
      </w:r>
      <w:r w:rsidR="001200F4">
        <w:rPr>
          <w:rFonts w:ascii="Calibri" w:eastAsia="MS Mincho" w:hAnsi="Calibri" w:cs="Times New Roman"/>
        </w:rPr>
        <w:t xml:space="preserve">(i.e. reports the total time a patient is actually receiving regular supplies of the medicine) </w:t>
      </w:r>
      <w:r w:rsidR="00D2256D" w:rsidRPr="00DE3347">
        <w:rPr>
          <w:rFonts w:ascii="Calibri" w:eastAsia="MS Mincho" w:hAnsi="Calibri" w:cs="Times New Roman"/>
        </w:rPr>
        <w:t>and the other d</w:t>
      </w:r>
      <w:r w:rsidR="00D2256D">
        <w:rPr>
          <w:rFonts w:ascii="Calibri" w:eastAsia="MS Mincho" w:hAnsi="Calibri" w:cs="Times New Roman"/>
        </w:rPr>
        <w:t>id</w:t>
      </w:r>
      <w:r w:rsidR="00D2256D" w:rsidRPr="00DE3347">
        <w:rPr>
          <w:rFonts w:ascii="Calibri" w:eastAsia="MS Mincho" w:hAnsi="Calibri" w:cs="Times New Roman"/>
        </w:rPr>
        <w:t xml:space="preserve"> not.</w:t>
      </w:r>
      <w:r w:rsidR="00D2256D">
        <w:rPr>
          <w:rFonts w:ascii="Calibri" w:eastAsia="MS Mincho" w:hAnsi="Calibri" w:cs="Times New Roman"/>
        </w:rPr>
        <w:t xml:space="preserve"> </w:t>
      </w:r>
      <w:r w:rsidR="001200F4">
        <w:rPr>
          <w:rFonts w:ascii="Calibri" w:eastAsia="MS Mincho" w:hAnsi="Calibri" w:cs="Times New Roman"/>
        </w:rPr>
        <w:t>In these analyses a</w:t>
      </w:r>
      <w:r w:rsidR="00D2256D">
        <w:rPr>
          <w:rFonts w:ascii="Calibri" w:eastAsia="MS Mincho" w:hAnsi="Calibri" w:cs="Times New Roman"/>
        </w:rPr>
        <w:t xml:space="preserve"> break in treatment was defined as a gap of more than 3 </w:t>
      </w:r>
      <w:r w:rsidR="00AF5723">
        <w:rPr>
          <w:rFonts w:ascii="Calibri" w:eastAsia="MS Mincho" w:hAnsi="Calibri" w:cs="Times New Roman"/>
        </w:rPr>
        <w:t>times the</w:t>
      </w:r>
      <w:r w:rsidR="00D2256D">
        <w:rPr>
          <w:rFonts w:ascii="Calibri" w:eastAsia="MS Mincho" w:hAnsi="Calibri" w:cs="Times New Roman"/>
        </w:rPr>
        <w:t xml:space="preserve"> median time to resupply between supplies</w:t>
      </w:r>
      <w:r w:rsidR="001200F4">
        <w:rPr>
          <w:rFonts w:ascii="Calibri" w:eastAsia="MS Mincho" w:hAnsi="Calibri" w:cs="Times New Roman"/>
        </w:rPr>
        <w:t xml:space="preserve">  of the medicine. This represented </w:t>
      </w:r>
      <w:r w:rsidR="00D2256D">
        <w:rPr>
          <w:rFonts w:ascii="Calibri" w:eastAsia="MS Mincho" w:hAnsi="Calibri" w:cs="Times New Roman"/>
        </w:rPr>
        <w:t xml:space="preserve">an estimated break in treatment of at least 2 </w:t>
      </w:r>
      <w:r w:rsidR="00AF5723">
        <w:rPr>
          <w:rFonts w:ascii="Calibri" w:eastAsia="MS Mincho" w:hAnsi="Calibri" w:cs="Times New Roman"/>
        </w:rPr>
        <w:t xml:space="preserve">times the </w:t>
      </w:r>
      <w:r w:rsidR="00D2256D">
        <w:rPr>
          <w:rFonts w:ascii="Calibri" w:eastAsia="MS Mincho" w:hAnsi="Calibri" w:cs="Times New Roman"/>
        </w:rPr>
        <w:t xml:space="preserve">median time to resupply. </w:t>
      </w:r>
    </w:p>
    <w:p w:rsidR="00D2256D" w:rsidRDefault="001200F4" w:rsidP="00D2256D">
      <w:pPr>
        <w:rPr>
          <w:rFonts w:ascii="Calibri" w:eastAsia="MS Mincho" w:hAnsi="Calibri" w:cs="Times New Roman"/>
        </w:rPr>
      </w:pPr>
      <w:r>
        <w:rPr>
          <w:rFonts w:ascii="Calibri" w:eastAsia="MS Mincho" w:hAnsi="Calibri" w:cs="Times New Roman"/>
        </w:rPr>
        <w:t>To account for the end of the data observation period appearing as patients stopping treatment</w:t>
      </w:r>
      <w:r w:rsidR="001B0587">
        <w:rPr>
          <w:rFonts w:ascii="Calibri" w:eastAsia="MS Mincho" w:hAnsi="Calibri" w:cs="Times New Roman"/>
        </w:rPr>
        <w:t xml:space="preserve"> when they would</w:t>
      </w:r>
      <w:r>
        <w:rPr>
          <w:rFonts w:ascii="Calibri" w:eastAsia="MS Mincho" w:hAnsi="Calibri" w:cs="Times New Roman"/>
        </w:rPr>
        <w:t xml:space="preserve"> probably continuing to receive supplies of the </w:t>
      </w:r>
      <w:r w:rsidR="00A90938">
        <w:rPr>
          <w:rFonts w:ascii="Calibri" w:eastAsia="MS Mincho" w:hAnsi="Calibri" w:cs="Times New Roman"/>
        </w:rPr>
        <w:t>medicine a</w:t>
      </w:r>
      <w:r>
        <w:rPr>
          <w:rFonts w:ascii="Calibri" w:eastAsia="MS Mincho" w:hAnsi="Calibri" w:cs="Times New Roman"/>
        </w:rPr>
        <w:t xml:space="preserve"> censoring definition was applied. </w:t>
      </w:r>
      <w:r w:rsidR="00D2256D">
        <w:rPr>
          <w:rFonts w:ascii="Calibri" w:eastAsia="MS Mincho" w:hAnsi="Calibri" w:cs="Times New Roman"/>
        </w:rPr>
        <w:t>A patient was deemed to be continuing treatment (classified as censored in the Product- Limit method) at the end of the data period (i</w:t>
      </w:r>
      <w:r w:rsidR="00CA0024">
        <w:rPr>
          <w:rFonts w:ascii="Calibri" w:eastAsia="MS Mincho" w:hAnsi="Calibri" w:cs="Times New Roman"/>
        </w:rPr>
        <w:t>.</w:t>
      </w:r>
      <w:r w:rsidR="00D2256D">
        <w:rPr>
          <w:rFonts w:ascii="Calibri" w:eastAsia="MS Mincho" w:hAnsi="Calibri" w:cs="Times New Roman"/>
        </w:rPr>
        <w:t xml:space="preserve">e. the end of March 2017) if their last prescription is within 3 </w:t>
      </w:r>
      <w:r w:rsidR="00CA0024">
        <w:rPr>
          <w:rFonts w:ascii="Calibri" w:eastAsia="MS Mincho" w:hAnsi="Calibri" w:cs="Times New Roman"/>
        </w:rPr>
        <w:t>times the</w:t>
      </w:r>
      <w:r w:rsidR="00D2256D">
        <w:rPr>
          <w:rFonts w:ascii="Calibri" w:eastAsia="MS Mincho" w:hAnsi="Calibri" w:cs="Times New Roman"/>
        </w:rPr>
        <w:t xml:space="preserve"> median time to resupply of this end date. Otherwise the patient is deemed to have ceased treatment with the treatment coverage end date being the supply date of their last prescription plus a median time to resupply.</w:t>
      </w:r>
    </w:p>
    <w:p w:rsidR="001B0587" w:rsidRDefault="005C3590" w:rsidP="005C3590">
      <w:pPr>
        <w:rPr>
          <w:rFonts w:ascii="Calibri" w:eastAsia="MS Mincho" w:hAnsi="Calibri" w:cs="Times New Roman"/>
        </w:rPr>
      </w:pPr>
      <w:r w:rsidRPr="005C3590">
        <w:rPr>
          <w:rFonts w:ascii="Calibri" w:eastAsia="MS Mincho" w:hAnsi="Calibri" w:cs="Times New Roman"/>
        </w:rPr>
        <w:t>Th</w:t>
      </w:r>
      <w:r w:rsidR="001B0587">
        <w:rPr>
          <w:rFonts w:ascii="Calibri" w:eastAsia="MS Mincho" w:hAnsi="Calibri" w:cs="Times New Roman"/>
        </w:rPr>
        <w:t>e patient-level analysis</w:t>
      </w:r>
      <w:r>
        <w:rPr>
          <w:rFonts w:ascii="Calibri" w:eastAsia="MS Mincho" w:hAnsi="Calibri" w:cs="Times New Roman"/>
        </w:rPr>
        <w:t xml:space="preserve"> also e</w:t>
      </w:r>
      <w:r w:rsidRPr="005C3590">
        <w:rPr>
          <w:rFonts w:ascii="Calibri" w:eastAsia="MS Mincho" w:hAnsi="Calibri" w:cs="Times New Roman"/>
        </w:rPr>
        <w:t>stimat</w:t>
      </w:r>
      <w:r>
        <w:rPr>
          <w:rFonts w:ascii="Calibri" w:eastAsia="MS Mincho" w:hAnsi="Calibri" w:cs="Times New Roman"/>
        </w:rPr>
        <w:t>es</w:t>
      </w:r>
      <w:r w:rsidRPr="005C3590">
        <w:rPr>
          <w:rFonts w:ascii="Calibri" w:eastAsia="MS Mincho" w:hAnsi="Calibri" w:cs="Times New Roman"/>
        </w:rPr>
        <w:t xml:space="preserve"> </w:t>
      </w:r>
      <w:r>
        <w:rPr>
          <w:rFonts w:ascii="Calibri" w:eastAsia="MS Mincho" w:hAnsi="Calibri" w:cs="Times New Roman"/>
        </w:rPr>
        <w:t xml:space="preserve">the </w:t>
      </w:r>
      <w:r w:rsidRPr="005C3590">
        <w:rPr>
          <w:rFonts w:ascii="Calibri" w:eastAsia="MS Mincho" w:hAnsi="Calibri" w:cs="Times New Roman"/>
        </w:rPr>
        <w:t xml:space="preserve">time from cessation of </w:t>
      </w:r>
      <w:r w:rsidR="001B0587">
        <w:rPr>
          <w:rFonts w:ascii="Calibri" w:eastAsia="MS Mincho" w:hAnsi="Calibri" w:cs="Times New Roman"/>
        </w:rPr>
        <w:t xml:space="preserve">medicine </w:t>
      </w:r>
      <w:r w:rsidRPr="005C3590">
        <w:rPr>
          <w:rFonts w:ascii="Calibri" w:eastAsia="MS Mincho" w:hAnsi="Calibri" w:cs="Times New Roman"/>
        </w:rPr>
        <w:t xml:space="preserve">treatment to death </w:t>
      </w:r>
      <w:r>
        <w:rPr>
          <w:rFonts w:ascii="Calibri" w:eastAsia="MS Mincho" w:hAnsi="Calibri" w:cs="Times New Roman"/>
        </w:rPr>
        <w:t>(section 3.3). It was decided to determined date of death using two methods</w:t>
      </w:r>
      <w:r w:rsidR="001B0587">
        <w:rPr>
          <w:rFonts w:ascii="Calibri" w:eastAsia="MS Mincho" w:hAnsi="Calibri" w:cs="Times New Roman"/>
        </w:rPr>
        <w:t>:</w:t>
      </w:r>
    </w:p>
    <w:p w:rsidR="001B0587" w:rsidRPr="001B0587" w:rsidRDefault="005C3590" w:rsidP="00420931">
      <w:pPr>
        <w:pStyle w:val="ListParagraph"/>
        <w:numPr>
          <w:ilvl w:val="0"/>
          <w:numId w:val="18"/>
        </w:numPr>
        <w:rPr>
          <w:rFonts w:ascii="Calibri" w:eastAsia="MS Mincho" w:hAnsi="Calibri" w:cs="Times New Roman"/>
        </w:rPr>
      </w:pPr>
      <w:r w:rsidRPr="001B0587">
        <w:rPr>
          <w:rFonts w:ascii="Calibri" w:eastAsia="MS Mincho" w:hAnsi="Calibri" w:cs="Times New Roman"/>
        </w:rPr>
        <w:t xml:space="preserve">PBS prescription data to estimate a proxy for date of death. </w:t>
      </w:r>
      <w:r w:rsidR="001B0587">
        <w:rPr>
          <w:rFonts w:ascii="Calibri" w:eastAsia="MS Mincho" w:hAnsi="Calibri" w:cs="Times New Roman"/>
        </w:rPr>
        <w:t xml:space="preserve"> This established method uses the cessation of supply of any PBS medicine as a proxy. Refer to Appendix B for additional details on the application of this method.</w:t>
      </w:r>
    </w:p>
    <w:p w:rsidR="005C3590" w:rsidRPr="001B0587" w:rsidRDefault="001B0587" w:rsidP="00420931">
      <w:pPr>
        <w:pStyle w:val="ListParagraph"/>
        <w:numPr>
          <w:ilvl w:val="0"/>
          <w:numId w:val="18"/>
        </w:numPr>
        <w:rPr>
          <w:rFonts w:ascii="Calibri" w:eastAsia="MS Mincho" w:hAnsi="Calibri" w:cs="Times New Roman"/>
        </w:rPr>
      </w:pPr>
      <w:r>
        <w:rPr>
          <w:rFonts w:ascii="Calibri" w:eastAsia="MS Mincho" w:hAnsi="Calibri" w:cs="Times New Roman"/>
        </w:rPr>
        <w:t xml:space="preserve">A </w:t>
      </w:r>
      <w:r w:rsidR="005C3590" w:rsidRPr="001B0587">
        <w:rPr>
          <w:rFonts w:ascii="Calibri" w:eastAsia="MS Mincho" w:hAnsi="Calibri" w:cs="Times New Roman"/>
        </w:rPr>
        <w:t xml:space="preserve">request </w:t>
      </w:r>
      <w:r>
        <w:rPr>
          <w:rFonts w:ascii="Calibri" w:eastAsia="MS Mincho" w:hAnsi="Calibri" w:cs="Times New Roman"/>
        </w:rPr>
        <w:t xml:space="preserve">for </w:t>
      </w:r>
      <w:r w:rsidR="005C3590" w:rsidRPr="001B0587">
        <w:rPr>
          <w:rFonts w:ascii="Calibri" w:eastAsia="MS Mincho" w:hAnsi="Calibri" w:cs="Times New Roman"/>
        </w:rPr>
        <w:t xml:space="preserve">the date of death from the Medicare enrolment file for pNET patients. </w:t>
      </w:r>
      <w:r w:rsidR="001431CF">
        <w:rPr>
          <w:rFonts w:ascii="Calibri" w:eastAsia="MS Mincho" w:hAnsi="Calibri" w:cs="Times New Roman"/>
        </w:rPr>
        <w:t xml:space="preserve">These data were used to validate the proxy in method 1 (see </w:t>
      </w:r>
      <w:r w:rsidR="003B7838">
        <w:rPr>
          <w:rFonts w:ascii="Calibri" w:eastAsia="MS Mincho" w:hAnsi="Calibri" w:cs="Times New Roman"/>
        </w:rPr>
        <w:t>Appendix C).</w:t>
      </w:r>
    </w:p>
    <w:p w:rsidR="00207070" w:rsidRDefault="00207070">
      <w:pPr>
        <w:spacing w:line="276" w:lineRule="auto"/>
        <w:rPr>
          <w:rFonts w:ascii="Calibri" w:eastAsia="MS Gothic" w:hAnsi="Calibri" w:cs="Times New Roman"/>
          <w:b/>
          <w:bCs/>
          <w:sz w:val="32"/>
          <w:szCs w:val="32"/>
        </w:rPr>
      </w:pPr>
      <w:r>
        <w:rPr>
          <w:rFonts w:ascii="Calibri" w:eastAsia="MS Gothic" w:hAnsi="Calibri" w:cs="Times New Roman"/>
          <w:b/>
          <w:bCs/>
          <w:sz w:val="32"/>
          <w:szCs w:val="32"/>
        </w:rPr>
        <w:br w:type="page"/>
      </w:r>
    </w:p>
    <w:p w:rsidR="005C3590" w:rsidRDefault="005C3590" w:rsidP="005C3590">
      <w:pPr>
        <w:keepNext/>
        <w:keepLines/>
        <w:spacing w:before="480" w:after="240"/>
        <w:outlineLvl w:val="0"/>
        <w:rPr>
          <w:rFonts w:ascii="Calibri" w:eastAsia="MS Gothic" w:hAnsi="Calibri" w:cs="Times New Roman"/>
          <w:b/>
          <w:bCs/>
          <w:sz w:val="32"/>
          <w:szCs w:val="32"/>
        </w:rPr>
      </w:pPr>
      <w:r w:rsidRPr="00B87CD5">
        <w:rPr>
          <w:rFonts w:ascii="Calibri" w:eastAsia="MS Gothic" w:hAnsi="Calibri" w:cs="Times New Roman"/>
          <w:b/>
          <w:bCs/>
          <w:sz w:val="32"/>
          <w:szCs w:val="32"/>
        </w:rPr>
        <w:t>Results</w:t>
      </w:r>
    </w:p>
    <w:p w:rsidR="005C3590" w:rsidRPr="00B87CD5" w:rsidRDefault="005C3590" w:rsidP="005C3590">
      <w:pPr>
        <w:spacing w:before="240"/>
        <w:outlineLvl w:val="1"/>
        <w:rPr>
          <w:rFonts w:ascii="Calibri" w:eastAsia="MS Mincho" w:hAnsi="Calibri" w:cs="Times New Roman"/>
          <w:b/>
          <w:sz w:val="28"/>
        </w:rPr>
      </w:pPr>
      <w:r>
        <w:rPr>
          <w:rFonts w:ascii="Calibri" w:eastAsia="MS Mincho" w:hAnsi="Calibri" w:cs="Times New Roman"/>
          <w:b/>
          <w:sz w:val="28"/>
        </w:rPr>
        <w:t>1. Utilisation analyses</w:t>
      </w:r>
    </w:p>
    <w:p w:rsidR="005C3590" w:rsidRDefault="005C3590" w:rsidP="005C3590">
      <w:pPr>
        <w:spacing w:before="240"/>
        <w:outlineLvl w:val="2"/>
        <w:rPr>
          <w:rFonts w:ascii="Calibri" w:eastAsia="MS Mincho" w:hAnsi="Calibri" w:cs="Times New Roman"/>
          <w:b/>
          <w:i/>
          <w:szCs w:val="28"/>
        </w:rPr>
      </w:pPr>
      <w:r>
        <w:rPr>
          <w:rFonts w:ascii="Calibri" w:eastAsia="MS Mincho" w:hAnsi="Calibri" w:cs="Times New Roman"/>
          <w:b/>
          <w:i/>
          <w:szCs w:val="28"/>
        </w:rPr>
        <w:t>1.1 Prescription U</w:t>
      </w:r>
      <w:r w:rsidRPr="00B87CD5">
        <w:rPr>
          <w:rFonts w:ascii="Calibri" w:eastAsia="MS Mincho" w:hAnsi="Calibri" w:cs="Times New Roman"/>
          <w:b/>
          <w:i/>
          <w:szCs w:val="28"/>
        </w:rPr>
        <w:t>tilisation</w:t>
      </w:r>
    </w:p>
    <w:p w:rsidR="005C3590" w:rsidRDefault="005C3590" w:rsidP="005C3590">
      <w:pPr>
        <w:rPr>
          <w:rFonts w:ascii="Calibri" w:eastAsia="MS Mincho" w:hAnsi="Calibri" w:cs="Times New Roman"/>
        </w:rPr>
      </w:pPr>
      <w:r>
        <w:rPr>
          <w:rFonts w:ascii="Calibri" w:eastAsia="MS Mincho" w:hAnsi="Calibri" w:cs="Times New Roman"/>
        </w:rPr>
        <w:t>The sunitinib PBS item codes included in the analysis were all pNET indication specific items (see Table</w:t>
      </w:r>
      <w:r w:rsidR="00593014">
        <w:rPr>
          <w:rFonts w:ascii="Calibri" w:eastAsia="MS Mincho" w:hAnsi="Calibri" w:cs="Times New Roman"/>
        </w:rPr>
        <w:t> </w:t>
      </w:r>
      <w:r>
        <w:rPr>
          <w:rFonts w:ascii="Calibri" w:eastAsia="MS Mincho" w:hAnsi="Calibri" w:cs="Times New Roman"/>
        </w:rPr>
        <w:t xml:space="preserve">3). However this is not the case for everolimus PBS item codes. The </w:t>
      </w:r>
      <w:r w:rsidR="003F608A">
        <w:rPr>
          <w:rFonts w:ascii="Calibri" w:eastAsia="MS Mincho" w:hAnsi="Calibri" w:cs="Times New Roman"/>
        </w:rPr>
        <w:t xml:space="preserve">everolimus </w:t>
      </w:r>
      <w:r>
        <w:rPr>
          <w:rFonts w:ascii="Calibri" w:eastAsia="MS Mincho" w:hAnsi="Calibri" w:cs="Times New Roman"/>
        </w:rPr>
        <w:t xml:space="preserve">item codes for pNET are also used for RCC. Prescriptions for pNET can only be distinguished from those for RCC by having regard to both the item code and the authority approval restriction code. As these items are not </w:t>
      </w:r>
      <w:r w:rsidR="00593014">
        <w:rPr>
          <w:rFonts w:ascii="Calibri" w:eastAsia="MS Mincho" w:hAnsi="Calibri" w:cs="Times New Roman"/>
        </w:rPr>
        <w:t>s</w:t>
      </w:r>
      <w:r w:rsidR="00A90938">
        <w:rPr>
          <w:rFonts w:ascii="Calibri" w:eastAsia="MS Mincho" w:hAnsi="Calibri" w:cs="Times New Roman"/>
        </w:rPr>
        <w:t>treamlined</w:t>
      </w:r>
      <w:r>
        <w:rPr>
          <w:rFonts w:ascii="Calibri" w:eastAsia="MS Mincho" w:hAnsi="Calibri" w:cs="Times New Roman"/>
        </w:rPr>
        <w:t xml:space="preserve"> </w:t>
      </w:r>
      <w:r w:rsidR="00593014">
        <w:rPr>
          <w:rFonts w:ascii="Calibri" w:eastAsia="MS Mincho" w:hAnsi="Calibri" w:cs="Times New Roman"/>
        </w:rPr>
        <w:t>a</w:t>
      </w:r>
      <w:r>
        <w:rPr>
          <w:rFonts w:ascii="Calibri" w:eastAsia="MS Mincho" w:hAnsi="Calibri" w:cs="Times New Roman"/>
        </w:rPr>
        <w:t xml:space="preserve">uthority, the restriction code </w:t>
      </w:r>
      <w:r w:rsidR="003F608A">
        <w:rPr>
          <w:rFonts w:ascii="Calibri" w:eastAsia="MS Mincho" w:hAnsi="Calibri" w:cs="Times New Roman"/>
        </w:rPr>
        <w:t>must be sourced from</w:t>
      </w:r>
      <w:r>
        <w:rPr>
          <w:rFonts w:ascii="Calibri" w:eastAsia="MS Mincho" w:hAnsi="Calibri" w:cs="Times New Roman"/>
        </w:rPr>
        <w:t xml:space="preserve"> the DHS telephone authority approval database.</w:t>
      </w:r>
    </w:p>
    <w:p w:rsidR="005C3590" w:rsidRDefault="005C3590" w:rsidP="005C3590">
      <w:pPr>
        <w:spacing w:after="0"/>
        <w:rPr>
          <w:rFonts w:ascii="Calibri" w:eastAsia="Times New Roman" w:hAnsi="Calibri" w:cs="Times New Roman"/>
          <w:b/>
          <w:iCs/>
          <w:snapToGrid w:val="0"/>
          <w:lang w:eastAsia="en-US"/>
        </w:rPr>
      </w:pPr>
      <w:r w:rsidRPr="00B87CD5">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3</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 xml:space="preserve">PBS items </w:t>
      </w:r>
      <w:r w:rsidR="007C4D5A">
        <w:rPr>
          <w:rFonts w:ascii="Calibri" w:eastAsia="Times New Roman" w:hAnsi="Calibri" w:cs="Times New Roman"/>
          <w:b/>
          <w:iCs/>
          <w:snapToGrid w:val="0"/>
          <w:lang w:eastAsia="en-US"/>
        </w:rPr>
        <w:t>and restriction codes</w:t>
      </w:r>
      <w:r>
        <w:rPr>
          <w:rFonts w:ascii="Calibri" w:eastAsia="Times New Roman" w:hAnsi="Calibri" w:cs="Times New Roman"/>
          <w:b/>
          <w:iCs/>
          <w:snapToGrid w:val="0"/>
          <w:lang w:eastAsia="en-US"/>
        </w:rPr>
        <w:t xml:space="preserve"> for the treatment of pNET</w:t>
      </w:r>
    </w:p>
    <w:tbl>
      <w:tblPr>
        <w:tblW w:w="81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920"/>
        <w:gridCol w:w="1160"/>
        <w:gridCol w:w="1160"/>
        <w:gridCol w:w="1160"/>
      </w:tblGrid>
      <w:tr w:rsidR="005C3590" w:rsidRPr="00646A4C" w:rsidTr="005C3590">
        <w:trPr>
          <w:trHeight w:val="20"/>
        </w:trPr>
        <w:tc>
          <w:tcPr>
            <w:tcW w:w="1720" w:type="dxa"/>
            <w:shd w:val="clear" w:color="auto" w:fill="BFBFBF" w:themeFill="background1" w:themeFillShade="BF"/>
            <w:noWrap/>
            <w:vAlign w:val="bottom"/>
            <w:hideMark/>
          </w:tcPr>
          <w:p w:rsidR="005C3590" w:rsidRPr="00646A4C" w:rsidRDefault="005C3590" w:rsidP="005C3590">
            <w:pPr>
              <w:spacing w:after="0"/>
              <w:rPr>
                <w:rFonts w:eastAsia="Times New Roman" w:cs="Times New Roman"/>
                <w:b/>
                <w:bCs/>
                <w:color w:val="000000"/>
                <w:sz w:val="20"/>
                <w:szCs w:val="20"/>
              </w:rPr>
            </w:pPr>
            <w:r w:rsidRPr="00646A4C">
              <w:rPr>
                <w:rFonts w:eastAsia="Times New Roman" w:cs="Times New Roman"/>
                <w:b/>
                <w:bCs/>
                <w:color w:val="000000"/>
                <w:sz w:val="20"/>
                <w:szCs w:val="20"/>
              </w:rPr>
              <w:t xml:space="preserve">Drug </w:t>
            </w:r>
          </w:p>
        </w:tc>
        <w:tc>
          <w:tcPr>
            <w:tcW w:w="2920" w:type="dxa"/>
            <w:shd w:val="clear" w:color="auto" w:fill="BFBFBF" w:themeFill="background1" w:themeFillShade="BF"/>
            <w:noWrap/>
            <w:vAlign w:val="bottom"/>
            <w:hideMark/>
          </w:tcPr>
          <w:p w:rsidR="005C3590" w:rsidRPr="00646A4C" w:rsidRDefault="005C3590" w:rsidP="005C3590">
            <w:pPr>
              <w:spacing w:after="0"/>
              <w:rPr>
                <w:rFonts w:eastAsia="Times New Roman" w:cs="Times New Roman"/>
                <w:b/>
                <w:bCs/>
                <w:color w:val="000000"/>
                <w:sz w:val="20"/>
                <w:szCs w:val="20"/>
              </w:rPr>
            </w:pPr>
            <w:r w:rsidRPr="00646A4C">
              <w:rPr>
                <w:rFonts w:eastAsia="Times New Roman" w:cs="Times New Roman"/>
                <w:b/>
                <w:bCs/>
                <w:color w:val="000000"/>
                <w:sz w:val="20"/>
                <w:szCs w:val="20"/>
              </w:rPr>
              <w:t>Description</w:t>
            </w:r>
          </w:p>
        </w:tc>
        <w:tc>
          <w:tcPr>
            <w:tcW w:w="1160" w:type="dxa"/>
            <w:shd w:val="clear" w:color="auto" w:fill="BFBFBF" w:themeFill="background1" w:themeFillShade="BF"/>
            <w:noWrap/>
            <w:vAlign w:val="bottom"/>
            <w:hideMark/>
          </w:tcPr>
          <w:p w:rsidR="005C3590" w:rsidRPr="00646A4C" w:rsidRDefault="005C3590" w:rsidP="005C3590">
            <w:pPr>
              <w:spacing w:after="0"/>
              <w:rPr>
                <w:rFonts w:eastAsia="Times New Roman" w:cs="Times New Roman"/>
                <w:b/>
                <w:bCs/>
                <w:color w:val="000000"/>
                <w:sz w:val="20"/>
                <w:szCs w:val="20"/>
              </w:rPr>
            </w:pPr>
            <w:r w:rsidRPr="00646A4C">
              <w:rPr>
                <w:rFonts w:eastAsia="Times New Roman" w:cs="Times New Roman"/>
                <w:b/>
                <w:bCs/>
                <w:color w:val="000000"/>
                <w:sz w:val="20"/>
                <w:szCs w:val="20"/>
              </w:rPr>
              <w:t>PBS Item</w:t>
            </w:r>
          </w:p>
        </w:tc>
        <w:tc>
          <w:tcPr>
            <w:tcW w:w="1160" w:type="dxa"/>
            <w:shd w:val="clear" w:color="auto" w:fill="BFBFBF" w:themeFill="background1" w:themeFillShade="BF"/>
          </w:tcPr>
          <w:p w:rsidR="005C3590" w:rsidRDefault="005C3590" w:rsidP="005C3590">
            <w:pPr>
              <w:spacing w:after="0"/>
              <w:rPr>
                <w:rFonts w:eastAsia="Times New Roman" w:cs="Times New Roman"/>
                <w:b/>
                <w:bCs/>
                <w:color w:val="000000"/>
                <w:sz w:val="20"/>
                <w:szCs w:val="20"/>
              </w:rPr>
            </w:pPr>
            <w:r>
              <w:rPr>
                <w:rFonts w:eastAsia="Times New Roman" w:cs="Times New Roman"/>
                <w:b/>
                <w:bCs/>
                <w:color w:val="000000"/>
                <w:sz w:val="20"/>
                <w:szCs w:val="20"/>
              </w:rPr>
              <w:t>Authority restriction code</w:t>
            </w:r>
          </w:p>
        </w:tc>
        <w:tc>
          <w:tcPr>
            <w:tcW w:w="1160" w:type="dxa"/>
            <w:shd w:val="clear" w:color="auto" w:fill="BFBFBF" w:themeFill="background1" w:themeFillShade="BF"/>
          </w:tcPr>
          <w:p w:rsidR="005C3590" w:rsidRPr="00646A4C" w:rsidRDefault="005C3590" w:rsidP="005C3590">
            <w:pPr>
              <w:spacing w:after="0"/>
              <w:rPr>
                <w:rFonts w:eastAsia="Times New Roman" w:cs="Times New Roman"/>
                <w:b/>
                <w:bCs/>
                <w:color w:val="000000"/>
                <w:sz w:val="20"/>
                <w:szCs w:val="20"/>
              </w:rPr>
            </w:pPr>
            <w:r>
              <w:rPr>
                <w:rFonts w:eastAsia="Times New Roman" w:cs="Times New Roman"/>
                <w:b/>
                <w:bCs/>
                <w:color w:val="000000"/>
                <w:sz w:val="20"/>
                <w:szCs w:val="20"/>
              </w:rPr>
              <w:t>Initial or Continuing</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r>
              <w:rPr>
                <w:sz w:val="20"/>
                <w:szCs w:val="20"/>
              </w:rPr>
              <w:t>everolimus</w:t>
            </w:r>
          </w:p>
        </w:tc>
        <w:tc>
          <w:tcPr>
            <w:tcW w:w="2920" w:type="dxa"/>
            <w:shd w:val="clear" w:color="auto" w:fill="auto"/>
            <w:noWrap/>
            <w:hideMark/>
          </w:tcPr>
          <w:p w:rsidR="005C3590" w:rsidRPr="001908D3" w:rsidRDefault="005C3590" w:rsidP="005C3590">
            <w:pPr>
              <w:spacing w:after="0"/>
              <w:rPr>
                <w:sz w:val="20"/>
                <w:szCs w:val="20"/>
              </w:rPr>
            </w:pPr>
            <w:r w:rsidRPr="001908D3">
              <w:rPr>
                <w:sz w:val="20"/>
                <w:szCs w:val="20"/>
              </w:rPr>
              <w:t>Tablet 5 mg</w:t>
            </w: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10133H</w:t>
            </w:r>
          </w:p>
        </w:tc>
        <w:tc>
          <w:tcPr>
            <w:tcW w:w="1160" w:type="dxa"/>
          </w:tcPr>
          <w:p w:rsidR="005C3590" w:rsidRPr="001908D3" w:rsidRDefault="005C3590" w:rsidP="005C3590">
            <w:pPr>
              <w:spacing w:after="0"/>
              <w:rPr>
                <w:sz w:val="20"/>
                <w:szCs w:val="20"/>
              </w:rPr>
            </w:pPr>
            <w:r>
              <w:rPr>
                <w:sz w:val="20"/>
                <w:szCs w:val="20"/>
              </w:rPr>
              <w:t>4861</w:t>
            </w:r>
          </w:p>
        </w:tc>
        <w:tc>
          <w:tcPr>
            <w:tcW w:w="1160" w:type="dxa"/>
          </w:tcPr>
          <w:p w:rsidR="005C3590" w:rsidRPr="001908D3" w:rsidRDefault="005C3590" w:rsidP="005C3590">
            <w:pPr>
              <w:spacing w:after="0"/>
              <w:rPr>
                <w:sz w:val="20"/>
                <w:szCs w:val="20"/>
              </w:rPr>
            </w:pPr>
            <w:r w:rsidRPr="001908D3">
              <w:rPr>
                <w:sz w:val="20"/>
                <w:szCs w:val="20"/>
              </w:rPr>
              <w:t>Initial</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10131F</w:t>
            </w:r>
          </w:p>
        </w:tc>
        <w:tc>
          <w:tcPr>
            <w:tcW w:w="1160" w:type="dxa"/>
          </w:tcPr>
          <w:p w:rsidR="005C3590" w:rsidRPr="001908D3" w:rsidRDefault="005C3590" w:rsidP="005C3590">
            <w:pPr>
              <w:spacing w:after="0"/>
              <w:rPr>
                <w:sz w:val="20"/>
                <w:szCs w:val="20"/>
              </w:rPr>
            </w:pPr>
            <w:r>
              <w:rPr>
                <w:sz w:val="20"/>
                <w:szCs w:val="20"/>
              </w:rPr>
              <w:t>4837</w:t>
            </w:r>
          </w:p>
        </w:tc>
        <w:tc>
          <w:tcPr>
            <w:tcW w:w="1160" w:type="dxa"/>
          </w:tcPr>
          <w:p w:rsidR="005C3590" w:rsidRPr="001908D3" w:rsidRDefault="005C3590" w:rsidP="005C3590">
            <w:pPr>
              <w:spacing w:after="0"/>
              <w:rPr>
                <w:sz w:val="20"/>
                <w:szCs w:val="20"/>
              </w:rPr>
            </w:pPr>
            <w:r w:rsidRPr="001908D3">
              <w:rPr>
                <w:sz w:val="20"/>
                <w:szCs w:val="20"/>
              </w:rPr>
              <w:t>Continuing</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r w:rsidRPr="001908D3">
              <w:rPr>
                <w:sz w:val="20"/>
                <w:szCs w:val="20"/>
              </w:rPr>
              <w:t>Tablet 10 mg</w:t>
            </w: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10132G</w:t>
            </w:r>
          </w:p>
        </w:tc>
        <w:tc>
          <w:tcPr>
            <w:tcW w:w="1160" w:type="dxa"/>
          </w:tcPr>
          <w:p w:rsidR="005C3590" w:rsidRPr="001908D3" w:rsidRDefault="005C3590" w:rsidP="005C3590">
            <w:pPr>
              <w:spacing w:after="0"/>
              <w:rPr>
                <w:sz w:val="20"/>
                <w:szCs w:val="20"/>
              </w:rPr>
            </w:pPr>
            <w:r>
              <w:rPr>
                <w:sz w:val="20"/>
                <w:szCs w:val="20"/>
              </w:rPr>
              <w:t>4861</w:t>
            </w:r>
          </w:p>
        </w:tc>
        <w:tc>
          <w:tcPr>
            <w:tcW w:w="1160" w:type="dxa"/>
          </w:tcPr>
          <w:p w:rsidR="005C3590" w:rsidRPr="001908D3" w:rsidRDefault="005C3590" w:rsidP="005C3590">
            <w:pPr>
              <w:spacing w:after="0"/>
              <w:rPr>
                <w:sz w:val="20"/>
                <w:szCs w:val="20"/>
              </w:rPr>
            </w:pPr>
            <w:r w:rsidRPr="001908D3">
              <w:rPr>
                <w:sz w:val="20"/>
                <w:szCs w:val="20"/>
              </w:rPr>
              <w:t>Initial</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10135K</w:t>
            </w:r>
          </w:p>
        </w:tc>
        <w:tc>
          <w:tcPr>
            <w:tcW w:w="1160" w:type="dxa"/>
          </w:tcPr>
          <w:p w:rsidR="005C3590" w:rsidRPr="001908D3" w:rsidRDefault="005C3590" w:rsidP="005C3590">
            <w:pPr>
              <w:spacing w:after="0"/>
              <w:rPr>
                <w:sz w:val="20"/>
                <w:szCs w:val="20"/>
              </w:rPr>
            </w:pPr>
            <w:r>
              <w:rPr>
                <w:sz w:val="20"/>
                <w:szCs w:val="20"/>
              </w:rPr>
              <w:t>4837</w:t>
            </w:r>
          </w:p>
        </w:tc>
        <w:tc>
          <w:tcPr>
            <w:tcW w:w="1160" w:type="dxa"/>
          </w:tcPr>
          <w:p w:rsidR="005C3590" w:rsidRPr="001908D3" w:rsidRDefault="005C3590" w:rsidP="005C3590">
            <w:pPr>
              <w:spacing w:after="0"/>
              <w:rPr>
                <w:sz w:val="20"/>
                <w:szCs w:val="20"/>
              </w:rPr>
            </w:pPr>
            <w:r w:rsidRPr="001908D3">
              <w:rPr>
                <w:sz w:val="20"/>
                <w:szCs w:val="20"/>
              </w:rPr>
              <w:t>Continuing</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r>
              <w:rPr>
                <w:sz w:val="20"/>
                <w:szCs w:val="20"/>
              </w:rPr>
              <w:t>sunitinib</w:t>
            </w:r>
          </w:p>
        </w:tc>
        <w:tc>
          <w:tcPr>
            <w:tcW w:w="2920" w:type="dxa"/>
            <w:shd w:val="clear" w:color="auto" w:fill="auto"/>
            <w:noWrap/>
            <w:hideMark/>
          </w:tcPr>
          <w:p w:rsidR="005C3590" w:rsidRPr="001908D3" w:rsidRDefault="005C3590" w:rsidP="005C3590">
            <w:pPr>
              <w:spacing w:after="0"/>
              <w:rPr>
                <w:sz w:val="20"/>
                <w:szCs w:val="20"/>
              </w:rPr>
            </w:pPr>
            <w:r w:rsidRPr="001908D3">
              <w:rPr>
                <w:sz w:val="20"/>
                <w:szCs w:val="20"/>
              </w:rPr>
              <w:t>Capsule 12.5 mg (as malate)</w:t>
            </w: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10004M</w:t>
            </w:r>
          </w:p>
        </w:tc>
        <w:tc>
          <w:tcPr>
            <w:tcW w:w="1160" w:type="dxa"/>
          </w:tcPr>
          <w:p w:rsidR="005C3590" w:rsidRPr="001908D3" w:rsidRDefault="005C3590" w:rsidP="005C3590">
            <w:pPr>
              <w:spacing w:after="0"/>
              <w:rPr>
                <w:sz w:val="20"/>
                <w:szCs w:val="20"/>
              </w:rPr>
            </w:pPr>
            <w:r>
              <w:rPr>
                <w:sz w:val="20"/>
                <w:szCs w:val="20"/>
              </w:rPr>
              <w:t>na</w:t>
            </w:r>
          </w:p>
        </w:tc>
        <w:tc>
          <w:tcPr>
            <w:tcW w:w="1160" w:type="dxa"/>
          </w:tcPr>
          <w:p w:rsidR="005C3590" w:rsidRPr="001908D3" w:rsidRDefault="005C3590" w:rsidP="005C3590">
            <w:pPr>
              <w:spacing w:after="0"/>
              <w:rPr>
                <w:sz w:val="20"/>
                <w:szCs w:val="20"/>
              </w:rPr>
            </w:pPr>
            <w:r w:rsidRPr="001908D3">
              <w:rPr>
                <w:sz w:val="20"/>
                <w:szCs w:val="20"/>
              </w:rPr>
              <w:t>Initial</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10009T</w:t>
            </w:r>
          </w:p>
        </w:tc>
        <w:tc>
          <w:tcPr>
            <w:tcW w:w="1160" w:type="dxa"/>
          </w:tcPr>
          <w:p w:rsidR="005C3590" w:rsidRPr="001908D3" w:rsidRDefault="005C3590" w:rsidP="005C3590">
            <w:pPr>
              <w:spacing w:after="0"/>
              <w:rPr>
                <w:sz w:val="20"/>
                <w:szCs w:val="20"/>
              </w:rPr>
            </w:pPr>
            <w:r>
              <w:rPr>
                <w:sz w:val="20"/>
                <w:szCs w:val="20"/>
              </w:rPr>
              <w:t>na</w:t>
            </w:r>
          </w:p>
        </w:tc>
        <w:tc>
          <w:tcPr>
            <w:tcW w:w="1160" w:type="dxa"/>
          </w:tcPr>
          <w:p w:rsidR="005C3590" w:rsidRPr="001908D3" w:rsidRDefault="005C3590" w:rsidP="005C3590">
            <w:pPr>
              <w:spacing w:after="0"/>
              <w:rPr>
                <w:sz w:val="20"/>
                <w:szCs w:val="20"/>
              </w:rPr>
            </w:pPr>
            <w:r w:rsidRPr="001908D3">
              <w:rPr>
                <w:sz w:val="20"/>
                <w:szCs w:val="20"/>
              </w:rPr>
              <w:t>Continuing</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r w:rsidRPr="001908D3">
              <w:rPr>
                <w:sz w:val="20"/>
                <w:szCs w:val="20"/>
              </w:rPr>
              <w:t>Capsule 25 mg (as malate)</w:t>
            </w: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02959R</w:t>
            </w:r>
          </w:p>
        </w:tc>
        <w:tc>
          <w:tcPr>
            <w:tcW w:w="1160" w:type="dxa"/>
          </w:tcPr>
          <w:p w:rsidR="005C3590" w:rsidRPr="001908D3" w:rsidRDefault="005C3590" w:rsidP="005C3590">
            <w:pPr>
              <w:spacing w:after="0"/>
              <w:rPr>
                <w:sz w:val="20"/>
                <w:szCs w:val="20"/>
              </w:rPr>
            </w:pPr>
            <w:r>
              <w:rPr>
                <w:sz w:val="20"/>
                <w:szCs w:val="20"/>
              </w:rPr>
              <w:t>na</w:t>
            </w:r>
          </w:p>
        </w:tc>
        <w:tc>
          <w:tcPr>
            <w:tcW w:w="1160" w:type="dxa"/>
          </w:tcPr>
          <w:p w:rsidR="005C3590" w:rsidRPr="001908D3" w:rsidRDefault="005C3590" w:rsidP="005C3590">
            <w:pPr>
              <w:spacing w:after="0"/>
              <w:rPr>
                <w:sz w:val="20"/>
                <w:szCs w:val="20"/>
              </w:rPr>
            </w:pPr>
            <w:r w:rsidRPr="001908D3">
              <w:rPr>
                <w:sz w:val="20"/>
                <w:szCs w:val="20"/>
              </w:rPr>
              <w:t>Initial</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02842N</w:t>
            </w:r>
          </w:p>
        </w:tc>
        <w:tc>
          <w:tcPr>
            <w:tcW w:w="1160" w:type="dxa"/>
          </w:tcPr>
          <w:p w:rsidR="005C3590" w:rsidRPr="001908D3" w:rsidRDefault="005C3590" w:rsidP="005C3590">
            <w:pPr>
              <w:spacing w:after="0"/>
              <w:rPr>
                <w:sz w:val="20"/>
                <w:szCs w:val="20"/>
              </w:rPr>
            </w:pPr>
            <w:r>
              <w:rPr>
                <w:sz w:val="20"/>
                <w:szCs w:val="20"/>
              </w:rPr>
              <w:t>na</w:t>
            </w:r>
          </w:p>
        </w:tc>
        <w:tc>
          <w:tcPr>
            <w:tcW w:w="1160" w:type="dxa"/>
          </w:tcPr>
          <w:p w:rsidR="005C3590" w:rsidRPr="001908D3" w:rsidRDefault="005C3590" w:rsidP="005C3590">
            <w:pPr>
              <w:spacing w:after="0"/>
              <w:rPr>
                <w:sz w:val="20"/>
                <w:szCs w:val="20"/>
              </w:rPr>
            </w:pPr>
            <w:r w:rsidRPr="001908D3">
              <w:rPr>
                <w:sz w:val="20"/>
                <w:szCs w:val="20"/>
              </w:rPr>
              <w:t>Continuing</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r w:rsidRPr="001908D3">
              <w:rPr>
                <w:sz w:val="20"/>
                <w:szCs w:val="20"/>
              </w:rPr>
              <w:t>Capsule 37.5 mg (as malate)</w:t>
            </w: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10464R</w:t>
            </w:r>
          </w:p>
        </w:tc>
        <w:tc>
          <w:tcPr>
            <w:tcW w:w="1160" w:type="dxa"/>
          </w:tcPr>
          <w:p w:rsidR="005C3590" w:rsidRPr="001908D3" w:rsidRDefault="005C3590" w:rsidP="005C3590">
            <w:pPr>
              <w:spacing w:after="0"/>
              <w:rPr>
                <w:sz w:val="20"/>
                <w:szCs w:val="20"/>
              </w:rPr>
            </w:pPr>
            <w:r>
              <w:rPr>
                <w:sz w:val="20"/>
                <w:szCs w:val="20"/>
              </w:rPr>
              <w:t>na</w:t>
            </w:r>
          </w:p>
        </w:tc>
        <w:tc>
          <w:tcPr>
            <w:tcW w:w="1160" w:type="dxa"/>
          </w:tcPr>
          <w:p w:rsidR="005C3590" w:rsidRPr="001908D3" w:rsidRDefault="005C3590" w:rsidP="005C3590">
            <w:pPr>
              <w:spacing w:after="0"/>
              <w:rPr>
                <w:sz w:val="20"/>
                <w:szCs w:val="20"/>
              </w:rPr>
            </w:pPr>
            <w:r w:rsidRPr="001908D3">
              <w:rPr>
                <w:sz w:val="20"/>
                <w:szCs w:val="20"/>
              </w:rPr>
              <w:t>Initial</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10473F</w:t>
            </w:r>
          </w:p>
        </w:tc>
        <w:tc>
          <w:tcPr>
            <w:tcW w:w="1160" w:type="dxa"/>
          </w:tcPr>
          <w:p w:rsidR="005C3590" w:rsidRPr="001908D3" w:rsidRDefault="005C3590" w:rsidP="005C3590">
            <w:pPr>
              <w:spacing w:after="0"/>
              <w:rPr>
                <w:sz w:val="20"/>
                <w:szCs w:val="20"/>
              </w:rPr>
            </w:pPr>
            <w:r>
              <w:rPr>
                <w:sz w:val="20"/>
                <w:szCs w:val="20"/>
              </w:rPr>
              <w:t>na</w:t>
            </w:r>
          </w:p>
        </w:tc>
        <w:tc>
          <w:tcPr>
            <w:tcW w:w="1160" w:type="dxa"/>
          </w:tcPr>
          <w:p w:rsidR="005C3590" w:rsidRPr="001908D3" w:rsidRDefault="005C3590" w:rsidP="005C3590">
            <w:pPr>
              <w:spacing w:after="0"/>
              <w:rPr>
                <w:sz w:val="20"/>
                <w:szCs w:val="20"/>
              </w:rPr>
            </w:pPr>
            <w:r w:rsidRPr="001908D3">
              <w:rPr>
                <w:sz w:val="20"/>
                <w:szCs w:val="20"/>
              </w:rPr>
              <w:t>Continuing</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r w:rsidRPr="001908D3">
              <w:rPr>
                <w:sz w:val="20"/>
                <w:szCs w:val="20"/>
              </w:rPr>
              <w:t>Capsule 50 mg (as malate)</w:t>
            </w: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02837H</w:t>
            </w:r>
          </w:p>
        </w:tc>
        <w:tc>
          <w:tcPr>
            <w:tcW w:w="1160" w:type="dxa"/>
          </w:tcPr>
          <w:p w:rsidR="005C3590" w:rsidRPr="001908D3" w:rsidRDefault="005C3590" w:rsidP="005C3590">
            <w:pPr>
              <w:spacing w:after="0"/>
              <w:rPr>
                <w:sz w:val="20"/>
                <w:szCs w:val="20"/>
              </w:rPr>
            </w:pPr>
            <w:r>
              <w:rPr>
                <w:sz w:val="20"/>
                <w:szCs w:val="20"/>
              </w:rPr>
              <w:t>na</w:t>
            </w:r>
          </w:p>
        </w:tc>
        <w:tc>
          <w:tcPr>
            <w:tcW w:w="1160" w:type="dxa"/>
          </w:tcPr>
          <w:p w:rsidR="005C3590" w:rsidRPr="001908D3" w:rsidRDefault="005C3590" w:rsidP="005C3590">
            <w:pPr>
              <w:spacing w:after="0"/>
              <w:rPr>
                <w:sz w:val="20"/>
                <w:szCs w:val="20"/>
              </w:rPr>
            </w:pPr>
            <w:r w:rsidRPr="001908D3">
              <w:rPr>
                <w:sz w:val="20"/>
                <w:szCs w:val="20"/>
              </w:rPr>
              <w:t>Initial</w:t>
            </w:r>
          </w:p>
        </w:tc>
      </w:tr>
      <w:tr w:rsidR="005C3590" w:rsidRPr="00646A4C" w:rsidTr="005C3590">
        <w:trPr>
          <w:trHeight w:val="20"/>
        </w:trPr>
        <w:tc>
          <w:tcPr>
            <w:tcW w:w="1720" w:type="dxa"/>
            <w:shd w:val="clear" w:color="auto" w:fill="auto"/>
            <w:noWrap/>
            <w:hideMark/>
          </w:tcPr>
          <w:p w:rsidR="005C3590" w:rsidRPr="001908D3" w:rsidRDefault="005C3590" w:rsidP="005C3590">
            <w:pPr>
              <w:spacing w:after="0"/>
              <w:rPr>
                <w:sz w:val="20"/>
                <w:szCs w:val="20"/>
              </w:rPr>
            </w:pPr>
          </w:p>
        </w:tc>
        <w:tc>
          <w:tcPr>
            <w:tcW w:w="2920" w:type="dxa"/>
            <w:shd w:val="clear" w:color="auto" w:fill="auto"/>
            <w:noWrap/>
            <w:hideMark/>
          </w:tcPr>
          <w:p w:rsidR="005C3590" w:rsidRPr="001908D3" w:rsidRDefault="005C3590" w:rsidP="005C3590">
            <w:pPr>
              <w:spacing w:after="0"/>
              <w:rPr>
                <w:sz w:val="20"/>
                <w:szCs w:val="20"/>
              </w:rPr>
            </w:pPr>
          </w:p>
        </w:tc>
        <w:tc>
          <w:tcPr>
            <w:tcW w:w="1160" w:type="dxa"/>
            <w:shd w:val="clear" w:color="auto" w:fill="auto"/>
            <w:noWrap/>
            <w:hideMark/>
          </w:tcPr>
          <w:p w:rsidR="005C3590" w:rsidRPr="001908D3" w:rsidRDefault="005C3590" w:rsidP="005C3590">
            <w:pPr>
              <w:spacing w:after="0"/>
              <w:rPr>
                <w:sz w:val="20"/>
                <w:szCs w:val="20"/>
              </w:rPr>
            </w:pPr>
            <w:r w:rsidRPr="001908D3">
              <w:rPr>
                <w:sz w:val="20"/>
                <w:szCs w:val="20"/>
              </w:rPr>
              <w:t>10010W</w:t>
            </w:r>
          </w:p>
        </w:tc>
        <w:tc>
          <w:tcPr>
            <w:tcW w:w="1160" w:type="dxa"/>
          </w:tcPr>
          <w:p w:rsidR="005C3590" w:rsidRPr="001908D3" w:rsidRDefault="005C3590" w:rsidP="005C3590">
            <w:pPr>
              <w:spacing w:after="0"/>
              <w:rPr>
                <w:sz w:val="20"/>
                <w:szCs w:val="20"/>
              </w:rPr>
            </w:pPr>
            <w:r>
              <w:rPr>
                <w:sz w:val="20"/>
                <w:szCs w:val="20"/>
              </w:rPr>
              <w:t>na</w:t>
            </w:r>
          </w:p>
        </w:tc>
        <w:tc>
          <w:tcPr>
            <w:tcW w:w="1160" w:type="dxa"/>
          </w:tcPr>
          <w:p w:rsidR="005C3590" w:rsidRPr="001908D3" w:rsidRDefault="005C3590" w:rsidP="005C3590">
            <w:pPr>
              <w:spacing w:after="0"/>
              <w:rPr>
                <w:sz w:val="20"/>
                <w:szCs w:val="20"/>
              </w:rPr>
            </w:pPr>
            <w:r w:rsidRPr="001908D3">
              <w:rPr>
                <w:sz w:val="20"/>
                <w:szCs w:val="20"/>
              </w:rPr>
              <w:t>Continuing</w:t>
            </w:r>
          </w:p>
        </w:tc>
      </w:tr>
    </w:tbl>
    <w:p w:rsidR="005C3590" w:rsidRPr="00190349" w:rsidRDefault="005C3590" w:rsidP="005C3590">
      <w:pPr>
        <w:rPr>
          <w:rFonts w:ascii="Calibri" w:eastAsia="MS Mincho" w:hAnsi="Calibri" w:cs="Times New Roman"/>
          <w:sz w:val="20"/>
          <w:szCs w:val="20"/>
        </w:rPr>
      </w:pPr>
      <w:r w:rsidRPr="00190349">
        <w:rPr>
          <w:rFonts w:ascii="Calibri" w:eastAsia="MS Mincho" w:hAnsi="Calibri" w:cs="Times New Roman"/>
          <w:sz w:val="20"/>
          <w:szCs w:val="20"/>
        </w:rPr>
        <w:t xml:space="preserve">na = not </w:t>
      </w:r>
      <w:r w:rsidR="00A90938" w:rsidRPr="00190349">
        <w:rPr>
          <w:rFonts w:ascii="Calibri" w:eastAsia="MS Mincho" w:hAnsi="Calibri" w:cs="Times New Roman"/>
          <w:sz w:val="20"/>
          <w:szCs w:val="20"/>
        </w:rPr>
        <w:t>applicable, as</w:t>
      </w:r>
      <w:r w:rsidRPr="00190349">
        <w:rPr>
          <w:rFonts w:ascii="Calibri" w:eastAsia="MS Mincho" w:hAnsi="Calibri" w:cs="Times New Roman"/>
          <w:sz w:val="20"/>
          <w:szCs w:val="20"/>
        </w:rPr>
        <w:t xml:space="preserve"> the pNET indication is specific to the PBS item code.</w:t>
      </w:r>
    </w:p>
    <w:p w:rsidR="005C3590" w:rsidRPr="000E5D72" w:rsidRDefault="005C3590" w:rsidP="005C3590">
      <w:pPr>
        <w:rPr>
          <w:rFonts w:ascii="Calibri" w:eastAsia="MS Mincho" w:hAnsi="Calibri" w:cs="Times New Roman"/>
          <w:b/>
        </w:rPr>
      </w:pPr>
      <w:r>
        <w:rPr>
          <w:noProof/>
        </w:rPr>
        <w:drawing>
          <wp:inline distT="0" distB="0" distL="0" distR="0" wp14:anchorId="7CB477A2" wp14:editId="325E74A5">
            <wp:extent cx="5687695" cy="3710978"/>
            <wp:effectExtent l="0" t="0" r="27305" b="22860"/>
            <wp:docPr id="4" name="Chart 4" title="Figure 2: Prescriptions of medicines for the treatment of pNE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87CD5">
        <w:rPr>
          <w:rFonts w:ascii="Calibri" w:eastAsia="MS Mincho" w:hAnsi="Calibri" w:cs="Times New Roman"/>
          <w:b/>
        </w:rPr>
        <w:t xml:space="preserve">Figure </w:t>
      </w:r>
      <w:r w:rsidR="00CE6D4F">
        <w:rPr>
          <w:rFonts w:ascii="Calibri" w:eastAsia="MS Mincho" w:hAnsi="Calibri" w:cs="Times New Roman"/>
          <w:b/>
        </w:rPr>
        <w:t>1</w:t>
      </w:r>
      <w:r w:rsidRPr="00B87CD5">
        <w:rPr>
          <w:rFonts w:ascii="Calibri" w:eastAsia="MS Mincho" w:hAnsi="Calibri" w:cs="Times New Roman"/>
          <w:b/>
        </w:rPr>
        <w:t xml:space="preserve">: </w:t>
      </w:r>
      <w:r>
        <w:rPr>
          <w:rFonts w:ascii="Calibri" w:eastAsia="MS Mincho" w:hAnsi="Calibri" w:cs="Times New Roman"/>
          <w:b/>
        </w:rPr>
        <w:t>Prescriptions of medicines for the treatment of pNET.</w:t>
      </w:r>
      <w:r>
        <w:rPr>
          <w:rFonts w:ascii="Calibri" w:eastAsia="MS Mincho" w:hAnsi="Calibri" w:cs="Times New Roman"/>
          <w:b/>
        </w:rPr>
        <w:br/>
      </w:r>
      <w:r>
        <w:rPr>
          <w:rFonts w:ascii="Calibri" w:eastAsia="MS Mincho" w:hAnsi="Calibri" w:cs="Times New Roman"/>
          <w:sz w:val="20"/>
        </w:rPr>
        <w:t>Source:</w:t>
      </w:r>
      <w:r w:rsidRPr="00AB4293">
        <w:rPr>
          <w:rFonts w:ascii="Calibri" w:eastAsia="MS Mincho" w:hAnsi="Calibri" w:cs="Times New Roman"/>
          <w:sz w:val="20"/>
        </w:rPr>
        <w:t xml:space="preserve"> </w:t>
      </w:r>
      <w:r w:rsidRPr="00B87CD5">
        <w:rPr>
          <w:rFonts w:ascii="Calibri" w:eastAsia="MS Mincho" w:hAnsi="Calibri" w:cs="Times New Roman"/>
          <w:sz w:val="20"/>
        </w:rPr>
        <w:t>DHS prescription claims database</w:t>
      </w:r>
      <w:r>
        <w:rPr>
          <w:rFonts w:ascii="Calibri" w:eastAsia="MS Mincho" w:hAnsi="Calibri" w:cs="Times New Roman"/>
          <w:sz w:val="20"/>
        </w:rPr>
        <w:t xml:space="preserve"> (</w:t>
      </w:r>
      <w:r w:rsidRPr="00B87CD5">
        <w:rPr>
          <w:rFonts w:ascii="Calibri" w:eastAsia="MS Mincho" w:hAnsi="Calibri" w:cs="Times New Roman"/>
          <w:sz w:val="20"/>
        </w:rPr>
        <w:t xml:space="preserve">accessed </w:t>
      </w:r>
      <w:r w:rsidR="005A3AC0">
        <w:rPr>
          <w:rFonts w:ascii="Calibri" w:eastAsia="MS Mincho" w:hAnsi="Calibri" w:cs="Times New Roman"/>
          <w:sz w:val="20"/>
        </w:rPr>
        <w:t xml:space="preserve">24 August </w:t>
      </w:r>
      <w:r w:rsidR="005A3AC0" w:rsidRPr="00B87CD5">
        <w:rPr>
          <w:rFonts w:ascii="Calibri" w:eastAsia="MS Mincho" w:hAnsi="Calibri" w:cs="Times New Roman"/>
          <w:sz w:val="20"/>
        </w:rPr>
        <w:t>201</w:t>
      </w:r>
      <w:r w:rsidR="005A3AC0">
        <w:rPr>
          <w:rFonts w:ascii="Calibri" w:eastAsia="MS Mincho" w:hAnsi="Calibri" w:cs="Times New Roman"/>
          <w:sz w:val="20"/>
        </w:rPr>
        <w:t>7</w:t>
      </w:r>
      <w:r>
        <w:rPr>
          <w:rFonts w:ascii="Calibri" w:eastAsia="MS Mincho" w:hAnsi="Calibri" w:cs="Times New Roman"/>
          <w:sz w:val="20"/>
        </w:rPr>
        <w:t>)</w:t>
      </w:r>
      <w:r w:rsidRPr="00B87CD5">
        <w:rPr>
          <w:rFonts w:ascii="Calibri" w:eastAsia="MS Mincho" w:hAnsi="Calibri" w:cs="Times New Roman"/>
          <w:sz w:val="20"/>
        </w:rPr>
        <w:t>.</w:t>
      </w:r>
      <w:r>
        <w:rPr>
          <w:rFonts w:ascii="Calibri" w:eastAsia="MS Mincho" w:hAnsi="Calibri" w:cs="Times New Roman"/>
          <w:sz w:val="20"/>
        </w:rPr>
        <w:t xml:space="preserve"> </w:t>
      </w:r>
    </w:p>
    <w:p w:rsidR="005C3590" w:rsidRPr="00CF1434" w:rsidRDefault="005C3590" w:rsidP="005C3590">
      <w:pPr>
        <w:rPr>
          <w:rFonts w:ascii="Calibri" w:eastAsia="MS Mincho" w:hAnsi="Calibri" w:cs="Times New Roman"/>
        </w:rPr>
      </w:pPr>
      <w:r>
        <w:rPr>
          <w:rFonts w:ascii="Calibri" w:eastAsia="MS Mincho" w:hAnsi="Calibri" w:cs="Times New Roman"/>
        </w:rPr>
        <w:t xml:space="preserve">Figure </w:t>
      </w:r>
      <w:r w:rsidR="00CE6D4F">
        <w:rPr>
          <w:rFonts w:ascii="Calibri" w:eastAsia="MS Mincho" w:hAnsi="Calibri" w:cs="Times New Roman"/>
        </w:rPr>
        <w:t>1</w:t>
      </w:r>
      <w:r>
        <w:rPr>
          <w:rFonts w:ascii="Calibri" w:eastAsia="MS Mincho" w:hAnsi="Calibri" w:cs="Times New Roman"/>
        </w:rPr>
        <w:t xml:space="preserve"> shows that after listing of everolimus for pNET on 1 April 2015, </w:t>
      </w:r>
      <w:r w:rsidR="00A453E9">
        <w:rPr>
          <w:rFonts w:ascii="Calibri" w:eastAsia="MS Mincho" w:hAnsi="Calibri" w:cs="Times New Roman"/>
        </w:rPr>
        <w:t>everolimus</w:t>
      </w:r>
      <w:r>
        <w:rPr>
          <w:rFonts w:ascii="Calibri" w:eastAsia="MS Mincho" w:hAnsi="Calibri" w:cs="Times New Roman"/>
        </w:rPr>
        <w:t xml:space="preserve"> appeared to gradually substitute for sunitinib and exceeded sunitinib utilisation in </w:t>
      </w:r>
      <w:r w:rsidR="00692895">
        <w:rPr>
          <w:rFonts w:ascii="Calibri" w:eastAsia="MS Mincho" w:hAnsi="Calibri" w:cs="Times New Roman"/>
        </w:rPr>
        <w:t xml:space="preserve">quarter three of </w:t>
      </w:r>
      <w:r>
        <w:rPr>
          <w:rFonts w:ascii="Calibri" w:eastAsia="MS Mincho" w:hAnsi="Calibri" w:cs="Times New Roman"/>
        </w:rPr>
        <w:t>2016.</w:t>
      </w:r>
      <w:r w:rsidR="00A453E9">
        <w:rPr>
          <w:rFonts w:ascii="Calibri" w:eastAsia="MS Mincho" w:hAnsi="Calibri" w:cs="Times New Roman"/>
        </w:rPr>
        <w:t xml:space="preserve"> The submission </w:t>
      </w:r>
      <w:r w:rsidR="00BD49D2">
        <w:rPr>
          <w:rFonts w:ascii="Calibri" w:eastAsia="MS Mincho" w:hAnsi="Calibri" w:cs="Times New Roman"/>
        </w:rPr>
        <w:t>for everolimus predicted a large number of patients would take up everolimus in preference to sunitinib. In the first year the submission predicted 50% substitution and in the second year 75%.</w:t>
      </w:r>
    </w:p>
    <w:p w:rsidR="00167D50" w:rsidRDefault="00167D50" w:rsidP="005C3590">
      <w:pPr>
        <w:rPr>
          <w:rFonts w:ascii="Calibri" w:eastAsia="MS Mincho" w:hAnsi="Calibri" w:cs="Times New Roman"/>
          <w:b/>
        </w:rPr>
      </w:pPr>
    </w:p>
    <w:p w:rsidR="005C3590" w:rsidRPr="00793E16" w:rsidRDefault="00167D50" w:rsidP="005C3590">
      <w:pPr>
        <w:rPr>
          <w:rFonts w:ascii="Calibri" w:eastAsia="MS Mincho" w:hAnsi="Calibri" w:cs="Times New Roman"/>
          <w:b/>
        </w:rPr>
      </w:pPr>
      <w:r>
        <w:rPr>
          <w:noProof/>
        </w:rPr>
        <w:drawing>
          <wp:inline distT="0" distB="0" distL="0" distR="0" wp14:anchorId="6CAD9BE8" wp14:editId="5B42F570">
            <wp:extent cx="5687695" cy="3710978"/>
            <wp:effectExtent l="0" t="0" r="27305" b="22860"/>
            <wp:docPr id="1" name="Chart 1" title="Figure 3: Sunitinib prescriptions for pNET by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C3590" w:rsidRPr="00B87CD5">
        <w:rPr>
          <w:rFonts w:ascii="Calibri" w:eastAsia="MS Mincho" w:hAnsi="Calibri" w:cs="Times New Roman"/>
          <w:b/>
        </w:rPr>
        <w:t xml:space="preserve">Figure </w:t>
      </w:r>
      <w:r w:rsidR="00CE6D4F">
        <w:rPr>
          <w:rFonts w:ascii="Calibri" w:eastAsia="MS Mincho" w:hAnsi="Calibri" w:cs="Times New Roman"/>
          <w:b/>
        </w:rPr>
        <w:t>2</w:t>
      </w:r>
      <w:r w:rsidR="005C3590" w:rsidRPr="00B87CD5">
        <w:rPr>
          <w:rFonts w:ascii="Calibri" w:eastAsia="MS Mincho" w:hAnsi="Calibri" w:cs="Times New Roman"/>
          <w:b/>
        </w:rPr>
        <w:t xml:space="preserve">: </w:t>
      </w:r>
      <w:r w:rsidR="005C3590">
        <w:rPr>
          <w:rFonts w:ascii="Calibri" w:eastAsia="MS Mincho" w:hAnsi="Calibri" w:cs="Times New Roman"/>
          <w:b/>
        </w:rPr>
        <w:t>Sunitinib prescriptions for pNET by strength</w:t>
      </w:r>
      <w:r w:rsidR="005C3590">
        <w:rPr>
          <w:rFonts w:ascii="Calibri" w:eastAsia="MS Mincho" w:hAnsi="Calibri" w:cs="Times New Roman"/>
          <w:b/>
        </w:rPr>
        <w:br/>
      </w:r>
      <w:r w:rsidR="005C3590">
        <w:rPr>
          <w:rFonts w:ascii="Calibri" w:eastAsia="MS Mincho" w:hAnsi="Calibri" w:cs="Times New Roman"/>
          <w:sz w:val="20"/>
        </w:rPr>
        <w:t>Source:</w:t>
      </w:r>
      <w:r w:rsidR="005C3590" w:rsidRPr="00AB4293">
        <w:rPr>
          <w:rFonts w:ascii="Calibri" w:eastAsia="MS Mincho" w:hAnsi="Calibri" w:cs="Times New Roman"/>
          <w:sz w:val="20"/>
        </w:rPr>
        <w:t xml:space="preserve"> </w:t>
      </w:r>
      <w:r w:rsidR="005C3590" w:rsidRPr="00B87CD5">
        <w:rPr>
          <w:rFonts w:ascii="Calibri" w:eastAsia="MS Mincho" w:hAnsi="Calibri" w:cs="Times New Roman"/>
          <w:sz w:val="20"/>
        </w:rPr>
        <w:t>DHS prescription claims database</w:t>
      </w:r>
      <w:r w:rsidR="005C3590">
        <w:rPr>
          <w:rFonts w:ascii="Calibri" w:eastAsia="MS Mincho" w:hAnsi="Calibri" w:cs="Times New Roman"/>
          <w:sz w:val="20"/>
        </w:rPr>
        <w:t xml:space="preserve"> (</w:t>
      </w:r>
      <w:r w:rsidR="005C3590" w:rsidRPr="00B87CD5">
        <w:rPr>
          <w:rFonts w:ascii="Calibri" w:eastAsia="MS Mincho" w:hAnsi="Calibri" w:cs="Times New Roman"/>
          <w:sz w:val="20"/>
        </w:rPr>
        <w:t xml:space="preserve">accessed </w:t>
      </w:r>
      <w:r w:rsidR="005C3590">
        <w:rPr>
          <w:rFonts w:ascii="Calibri" w:eastAsia="MS Mincho" w:hAnsi="Calibri" w:cs="Times New Roman"/>
          <w:sz w:val="20"/>
        </w:rPr>
        <w:t xml:space="preserve">24 August </w:t>
      </w:r>
      <w:r w:rsidR="005C3590" w:rsidRPr="00B87CD5">
        <w:rPr>
          <w:rFonts w:ascii="Calibri" w:eastAsia="MS Mincho" w:hAnsi="Calibri" w:cs="Times New Roman"/>
          <w:sz w:val="20"/>
        </w:rPr>
        <w:t>201</w:t>
      </w:r>
      <w:r w:rsidR="005C3590">
        <w:rPr>
          <w:rFonts w:ascii="Calibri" w:eastAsia="MS Mincho" w:hAnsi="Calibri" w:cs="Times New Roman"/>
          <w:sz w:val="20"/>
        </w:rPr>
        <w:t>7)</w:t>
      </w:r>
      <w:r w:rsidR="005C3590" w:rsidRPr="00B87CD5">
        <w:rPr>
          <w:rFonts w:ascii="Calibri" w:eastAsia="MS Mincho" w:hAnsi="Calibri" w:cs="Times New Roman"/>
          <w:sz w:val="20"/>
        </w:rPr>
        <w:t>.</w:t>
      </w:r>
      <w:r w:rsidR="005C3590">
        <w:rPr>
          <w:rFonts w:ascii="Calibri" w:eastAsia="MS Mincho" w:hAnsi="Calibri" w:cs="Times New Roman"/>
          <w:sz w:val="20"/>
        </w:rPr>
        <w:t xml:space="preserve"> </w:t>
      </w:r>
    </w:p>
    <w:p w:rsidR="005C3590" w:rsidRDefault="005C3590" w:rsidP="005C3590">
      <w:pPr>
        <w:rPr>
          <w:rFonts w:ascii="Calibri" w:eastAsia="MS Mincho" w:hAnsi="Calibri" w:cs="Times New Roman"/>
        </w:rPr>
      </w:pPr>
      <w:r>
        <w:rPr>
          <w:rFonts w:ascii="Calibri" w:eastAsia="MS Mincho" w:hAnsi="Calibri" w:cs="Times New Roman"/>
        </w:rPr>
        <w:t xml:space="preserve">Figure </w:t>
      </w:r>
      <w:r w:rsidR="00CE6D4F">
        <w:rPr>
          <w:rFonts w:ascii="Calibri" w:eastAsia="MS Mincho" w:hAnsi="Calibri" w:cs="Times New Roman"/>
        </w:rPr>
        <w:t>2</w:t>
      </w:r>
      <w:r>
        <w:rPr>
          <w:rFonts w:ascii="Calibri" w:eastAsia="MS Mincho" w:hAnsi="Calibri" w:cs="Times New Roman"/>
        </w:rPr>
        <w:t xml:space="preserve"> shows that the 37.5</w:t>
      </w:r>
      <w:r w:rsidR="00E36D44">
        <w:rPr>
          <w:rFonts w:ascii="Calibri" w:eastAsia="MS Mincho" w:hAnsi="Calibri" w:cs="Times New Roman"/>
        </w:rPr>
        <w:t> </w:t>
      </w:r>
      <w:r>
        <w:rPr>
          <w:rFonts w:ascii="Calibri" w:eastAsia="MS Mincho" w:hAnsi="Calibri" w:cs="Times New Roman"/>
        </w:rPr>
        <w:t>mg strength has been substituting the 12.5</w:t>
      </w:r>
      <w:r w:rsidR="00E36D44">
        <w:rPr>
          <w:rFonts w:ascii="Calibri" w:eastAsia="MS Mincho" w:hAnsi="Calibri" w:cs="Times New Roman"/>
        </w:rPr>
        <w:t> </w:t>
      </w:r>
      <w:r w:rsidR="00BD49D2">
        <w:rPr>
          <w:rFonts w:ascii="Calibri" w:eastAsia="MS Mincho" w:hAnsi="Calibri" w:cs="Times New Roman"/>
        </w:rPr>
        <w:t>mg</w:t>
      </w:r>
      <w:r>
        <w:rPr>
          <w:rFonts w:ascii="Calibri" w:eastAsia="MS Mincho" w:hAnsi="Calibri" w:cs="Times New Roman"/>
        </w:rPr>
        <w:t xml:space="preserve"> and 25</w:t>
      </w:r>
      <w:r w:rsidR="00E36D44">
        <w:rPr>
          <w:rFonts w:ascii="Calibri" w:eastAsia="MS Mincho" w:hAnsi="Calibri" w:cs="Times New Roman"/>
        </w:rPr>
        <w:t> </w:t>
      </w:r>
      <w:r w:rsidR="00BD49D2">
        <w:rPr>
          <w:rFonts w:ascii="Calibri" w:eastAsia="MS Mincho" w:hAnsi="Calibri" w:cs="Times New Roman"/>
        </w:rPr>
        <w:t>m</w:t>
      </w:r>
      <w:r>
        <w:rPr>
          <w:rFonts w:ascii="Calibri" w:eastAsia="MS Mincho" w:hAnsi="Calibri" w:cs="Times New Roman"/>
        </w:rPr>
        <w:t xml:space="preserve">g strengths since it was listed on 1 September 2015. As this involves the use of one prescription instead of two, </w:t>
      </w:r>
      <w:r w:rsidR="005A3AC0">
        <w:rPr>
          <w:rFonts w:ascii="Calibri" w:eastAsia="MS Mincho" w:hAnsi="Calibri" w:cs="Times New Roman"/>
        </w:rPr>
        <w:t>it</w:t>
      </w:r>
      <w:r>
        <w:rPr>
          <w:rFonts w:ascii="Calibri" w:eastAsia="MS Mincho" w:hAnsi="Calibri" w:cs="Times New Roman"/>
        </w:rPr>
        <w:t xml:space="preserve"> would have contributed to the fall in overall sunitinib prescriptions in Figure </w:t>
      </w:r>
      <w:r w:rsidR="00CE6D4F">
        <w:rPr>
          <w:rFonts w:ascii="Calibri" w:eastAsia="MS Mincho" w:hAnsi="Calibri" w:cs="Times New Roman"/>
        </w:rPr>
        <w:t>1</w:t>
      </w:r>
      <w:r>
        <w:rPr>
          <w:rFonts w:ascii="Calibri" w:eastAsia="MS Mincho" w:hAnsi="Calibri" w:cs="Times New Roman"/>
        </w:rPr>
        <w:t xml:space="preserve"> from </w:t>
      </w:r>
      <w:r w:rsidR="00692895">
        <w:rPr>
          <w:rFonts w:ascii="Calibri" w:eastAsia="MS Mincho" w:hAnsi="Calibri" w:cs="Times New Roman"/>
        </w:rPr>
        <w:t xml:space="preserve">quarter 3 </w:t>
      </w:r>
      <w:r>
        <w:rPr>
          <w:rFonts w:ascii="Calibri" w:eastAsia="MS Mincho" w:hAnsi="Calibri" w:cs="Times New Roman"/>
        </w:rPr>
        <w:t>2015. The 25</w:t>
      </w:r>
      <w:r w:rsidR="00E36D44">
        <w:rPr>
          <w:rFonts w:ascii="Calibri" w:eastAsia="MS Mincho" w:hAnsi="Calibri" w:cs="Times New Roman"/>
        </w:rPr>
        <w:t> </w:t>
      </w:r>
      <w:r>
        <w:rPr>
          <w:rFonts w:ascii="Calibri" w:eastAsia="MS Mincho" w:hAnsi="Calibri" w:cs="Times New Roman"/>
        </w:rPr>
        <w:t xml:space="preserve">mg was the most used strength of sunitinib until </w:t>
      </w:r>
      <w:r w:rsidR="00692895">
        <w:rPr>
          <w:rFonts w:ascii="Calibri" w:eastAsia="MS Mincho" w:hAnsi="Calibri" w:cs="Times New Roman"/>
        </w:rPr>
        <w:t xml:space="preserve">quarter 2 </w:t>
      </w:r>
      <w:r>
        <w:rPr>
          <w:rFonts w:ascii="Calibri" w:eastAsia="MS Mincho" w:hAnsi="Calibri" w:cs="Times New Roman"/>
        </w:rPr>
        <w:t>2016, after which the 37.5</w:t>
      </w:r>
      <w:r w:rsidR="00E36D44">
        <w:rPr>
          <w:rFonts w:ascii="Calibri" w:eastAsia="MS Mincho" w:hAnsi="Calibri" w:cs="Times New Roman"/>
        </w:rPr>
        <w:t> </w:t>
      </w:r>
      <w:r>
        <w:rPr>
          <w:rFonts w:ascii="Calibri" w:eastAsia="MS Mincho" w:hAnsi="Calibri" w:cs="Times New Roman"/>
        </w:rPr>
        <w:t xml:space="preserve">mg strength </w:t>
      </w:r>
      <w:r w:rsidR="003A1817">
        <w:rPr>
          <w:rFonts w:ascii="Calibri" w:eastAsia="MS Mincho" w:hAnsi="Calibri" w:cs="Times New Roman"/>
        </w:rPr>
        <w:t>became</w:t>
      </w:r>
      <w:r>
        <w:rPr>
          <w:rFonts w:ascii="Calibri" w:eastAsia="MS Mincho" w:hAnsi="Calibri" w:cs="Times New Roman"/>
        </w:rPr>
        <w:t xml:space="preserve"> the most common.</w:t>
      </w:r>
    </w:p>
    <w:p w:rsidR="005C3590" w:rsidRPr="00451E8A" w:rsidRDefault="005C3590" w:rsidP="005C3590">
      <w:pPr>
        <w:rPr>
          <w:rFonts w:ascii="Calibri" w:eastAsia="MS Mincho" w:hAnsi="Calibri" w:cs="Times New Roman"/>
        </w:rPr>
      </w:pPr>
      <w:r>
        <w:rPr>
          <w:noProof/>
        </w:rPr>
        <w:drawing>
          <wp:inline distT="0" distB="0" distL="0" distR="0" wp14:anchorId="32CEA194" wp14:editId="3C198714">
            <wp:extent cx="5687695" cy="3710978"/>
            <wp:effectExtent l="0" t="0" r="27305" b="22860"/>
            <wp:docPr id="6" name="Chart 6" title="Figure 4: Everolimus prescriptions for pNET by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B87CD5">
        <w:rPr>
          <w:rFonts w:ascii="Calibri" w:eastAsia="MS Mincho" w:hAnsi="Calibri" w:cs="Times New Roman"/>
          <w:b/>
        </w:rPr>
        <w:t xml:space="preserve">Figure </w:t>
      </w:r>
      <w:r w:rsidR="00CE6D4F">
        <w:rPr>
          <w:rFonts w:ascii="Calibri" w:eastAsia="MS Mincho" w:hAnsi="Calibri" w:cs="Times New Roman"/>
          <w:b/>
        </w:rPr>
        <w:t>3</w:t>
      </w:r>
      <w:r w:rsidRPr="00B87CD5">
        <w:rPr>
          <w:rFonts w:ascii="Calibri" w:eastAsia="MS Mincho" w:hAnsi="Calibri" w:cs="Times New Roman"/>
          <w:b/>
        </w:rPr>
        <w:t xml:space="preserve">: </w:t>
      </w:r>
      <w:r>
        <w:rPr>
          <w:rFonts w:ascii="Calibri" w:eastAsia="MS Mincho" w:hAnsi="Calibri" w:cs="Times New Roman"/>
          <w:b/>
        </w:rPr>
        <w:t>Everolimus prescriptions for pNET by strength</w:t>
      </w:r>
      <w:r>
        <w:rPr>
          <w:rFonts w:ascii="Calibri" w:eastAsia="MS Mincho" w:hAnsi="Calibri" w:cs="Times New Roman"/>
          <w:b/>
        </w:rPr>
        <w:br/>
      </w:r>
      <w:r>
        <w:rPr>
          <w:rFonts w:ascii="Calibri" w:eastAsia="MS Mincho" w:hAnsi="Calibri" w:cs="Times New Roman"/>
          <w:sz w:val="20"/>
        </w:rPr>
        <w:t>Source:</w:t>
      </w:r>
      <w:r w:rsidRPr="00AB4293">
        <w:rPr>
          <w:rFonts w:ascii="Calibri" w:eastAsia="MS Mincho" w:hAnsi="Calibri" w:cs="Times New Roman"/>
          <w:sz w:val="20"/>
        </w:rPr>
        <w:t xml:space="preserve"> </w:t>
      </w:r>
      <w:r w:rsidRPr="00B87CD5">
        <w:rPr>
          <w:rFonts w:ascii="Calibri" w:eastAsia="MS Mincho" w:hAnsi="Calibri" w:cs="Times New Roman"/>
          <w:sz w:val="20"/>
        </w:rPr>
        <w:t>DHS prescription claims database</w:t>
      </w:r>
      <w:r>
        <w:rPr>
          <w:rFonts w:ascii="Calibri" w:eastAsia="MS Mincho" w:hAnsi="Calibri" w:cs="Times New Roman"/>
          <w:sz w:val="20"/>
        </w:rPr>
        <w:t xml:space="preserve"> (</w:t>
      </w:r>
      <w:r w:rsidRPr="00B87CD5">
        <w:rPr>
          <w:rFonts w:ascii="Calibri" w:eastAsia="MS Mincho" w:hAnsi="Calibri" w:cs="Times New Roman"/>
          <w:sz w:val="20"/>
        </w:rPr>
        <w:t xml:space="preserve">accessed </w:t>
      </w:r>
      <w:r>
        <w:rPr>
          <w:rFonts w:ascii="Calibri" w:eastAsia="MS Mincho" w:hAnsi="Calibri" w:cs="Times New Roman"/>
          <w:sz w:val="20"/>
        </w:rPr>
        <w:t xml:space="preserve">24 August </w:t>
      </w:r>
      <w:r w:rsidRPr="00B87CD5">
        <w:rPr>
          <w:rFonts w:ascii="Calibri" w:eastAsia="MS Mincho" w:hAnsi="Calibri" w:cs="Times New Roman"/>
          <w:sz w:val="20"/>
        </w:rPr>
        <w:t>201</w:t>
      </w:r>
      <w:r>
        <w:rPr>
          <w:rFonts w:ascii="Calibri" w:eastAsia="MS Mincho" w:hAnsi="Calibri" w:cs="Times New Roman"/>
          <w:sz w:val="20"/>
        </w:rPr>
        <w:t>7)</w:t>
      </w:r>
      <w:r w:rsidRPr="00B87CD5">
        <w:rPr>
          <w:rFonts w:ascii="Calibri" w:eastAsia="MS Mincho" w:hAnsi="Calibri" w:cs="Times New Roman"/>
          <w:sz w:val="20"/>
        </w:rPr>
        <w:t>.</w:t>
      </w:r>
      <w:r>
        <w:rPr>
          <w:rFonts w:ascii="Calibri" w:eastAsia="MS Mincho" w:hAnsi="Calibri" w:cs="Times New Roman"/>
          <w:sz w:val="20"/>
        </w:rPr>
        <w:t xml:space="preserve"> </w:t>
      </w:r>
    </w:p>
    <w:p w:rsidR="00BD49D2" w:rsidRDefault="00A90938" w:rsidP="005C3590">
      <w:pPr>
        <w:rPr>
          <w:rFonts w:ascii="Calibri" w:eastAsia="MS Mincho" w:hAnsi="Calibri" w:cs="Times New Roman"/>
        </w:rPr>
      </w:pPr>
      <w:r>
        <w:rPr>
          <w:rFonts w:ascii="Calibri" w:eastAsia="MS Mincho" w:hAnsi="Calibri" w:cs="Times New Roman"/>
        </w:rPr>
        <w:t>Supply of both strengths of everolimus has</w:t>
      </w:r>
      <w:r w:rsidR="005C3590">
        <w:rPr>
          <w:rFonts w:ascii="Calibri" w:eastAsia="MS Mincho" w:hAnsi="Calibri" w:cs="Times New Roman"/>
        </w:rPr>
        <w:t xml:space="preserve"> increased steadily since listing, except for a decrease in </w:t>
      </w:r>
      <w:r w:rsidR="00692895">
        <w:rPr>
          <w:rFonts w:ascii="Calibri" w:eastAsia="MS Mincho" w:hAnsi="Calibri" w:cs="Times New Roman"/>
        </w:rPr>
        <w:t xml:space="preserve">quarter 1 </w:t>
      </w:r>
      <w:r w:rsidR="005C3590">
        <w:rPr>
          <w:rFonts w:ascii="Calibri" w:eastAsia="MS Mincho" w:hAnsi="Calibri" w:cs="Times New Roman"/>
        </w:rPr>
        <w:t>2017.</w:t>
      </w:r>
      <w:r w:rsidR="00BD49D2">
        <w:rPr>
          <w:rFonts w:ascii="Calibri" w:eastAsia="MS Mincho" w:hAnsi="Calibri" w:cs="Times New Roman"/>
        </w:rPr>
        <w:t xml:space="preserve"> </w:t>
      </w:r>
    </w:p>
    <w:p w:rsidR="005C3590" w:rsidRDefault="00BD49D2" w:rsidP="005C3590">
      <w:pPr>
        <w:rPr>
          <w:rFonts w:ascii="Calibri" w:eastAsia="MS Mincho" w:hAnsi="Calibri" w:cs="Times New Roman"/>
        </w:rPr>
      </w:pPr>
      <w:r>
        <w:rPr>
          <w:rFonts w:ascii="Calibri" w:eastAsia="MS Mincho" w:hAnsi="Calibri" w:cs="Times New Roman"/>
        </w:rPr>
        <w:t xml:space="preserve">The steady increase in prescriptions is related to Figure </w:t>
      </w:r>
      <w:r w:rsidR="00CE6D4F">
        <w:rPr>
          <w:rFonts w:ascii="Calibri" w:eastAsia="MS Mincho" w:hAnsi="Calibri" w:cs="Times New Roman"/>
        </w:rPr>
        <w:t>5</w:t>
      </w:r>
      <w:r w:rsidR="003A1817">
        <w:rPr>
          <w:rFonts w:ascii="Calibri" w:eastAsia="MS Mincho" w:hAnsi="Calibri" w:cs="Times New Roman"/>
        </w:rPr>
        <w:t>,</w:t>
      </w:r>
      <w:r>
        <w:rPr>
          <w:rFonts w:ascii="Calibri" w:eastAsia="MS Mincho" w:hAnsi="Calibri" w:cs="Times New Roman"/>
        </w:rPr>
        <w:t xml:space="preserve"> showing </w:t>
      </w:r>
      <w:r w:rsidR="00A90938">
        <w:rPr>
          <w:rFonts w:ascii="Calibri" w:eastAsia="MS Mincho" w:hAnsi="Calibri" w:cs="Times New Roman"/>
        </w:rPr>
        <w:t>a</w:t>
      </w:r>
      <w:r>
        <w:rPr>
          <w:rFonts w:ascii="Calibri" w:eastAsia="MS Mincho" w:hAnsi="Calibri" w:cs="Times New Roman"/>
        </w:rPr>
        <w:t xml:space="preserve"> steady increase in the number of prevalent patients taking everolimus.</w:t>
      </w:r>
    </w:p>
    <w:p w:rsidR="005C3590" w:rsidRDefault="005C3590" w:rsidP="005C3590">
      <w:pPr>
        <w:spacing w:line="276" w:lineRule="auto"/>
        <w:rPr>
          <w:rFonts w:ascii="Calibri" w:eastAsia="MS Mincho" w:hAnsi="Calibri" w:cs="Times New Roman"/>
          <w:b/>
          <w:i/>
        </w:rPr>
      </w:pPr>
      <w:r>
        <w:rPr>
          <w:rFonts w:ascii="Calibri" w:eastAsia="MS Mincho" w:hAnsi="Calibri" w:cs="Times New Roman"/>
          <w:b/>
          <w:i/>
        </w:rPr>
        <w:br w:type="page"/>
      </w:r>
    </w:p>
    <w:p w:rsidR="005C3590" w:rsidRPr="00190784" w:rsidRDefault="005C3590" w:rsidP="005C3590">
      <w:pPr>
        <w:rPr>
          <w:rFonts w:ascii="Calibri" w:eastAsia="MS Mincho" w:hAnsi="Calibri" w:cs="Times New Roman"/>
          <w:b/>
          <w:i/>
        </w:rPr>
      </w:pPr>
      <w:r w:rsidRPr="00190784">
        <w:rPr>
          <w:rFonts w:ascii="Calibri" w:eastAsia="MS Mincho" w:hAnsi="Calibri" w:cs="Times New Roman"/>
          <w:b/>
          <w:i/>
        </w:rPr>
        <w:t xml:space="preserve">1.2 </w:t>
      </w:r>
      <w:r>
        <w:rPr>
          <w:rFonts w:ascii="Calibri" w:eastAsia="MS Mincho" w:hAnsi="Calibri" w:cs="Times New Roman"/>
          <w:b/>
          <w:i/>
        </w:rPr>
        <w:t>I</w:t>
      </w:r>
      <w:r w:rsidRPr="00190784">
        <w:rPr>
          <w:rFonts w:ascii="Calibri" w:eastAsia="MS Mincho" w:hAnsi="Calibri" w:cs="Times New Roman"/>
          <w:b/>
          <w:i/>
        </w:rPr>
        <w:t>nitiating and prevalent patient</w:t>
      </w:r>
      <w:r>
        <w:rPr>
          <w:rFonts w:ascii="Calibri" w:eastAsia="MS Mincho" w:hAnsi="Calibri" w:cs="Times New Roman"/>
          <w:b/>
          <w:i/>
        </w:rPr>
        <w:t xml:space="preserve"> counts</w:t>
      </w:r>
    </w:p>
    <w:p w:rsidR="005C3590" w:rsidRPr="00515CE4" w:rsidRDefault="005C3590" w:rsidP="005C3590">
      <w:pPr>
        <w:rPr>
          <w:rFonts w:ascii="Calibri" w:eastAsia="MS Mincho" w:hAnsi="Calibri" w:cs="Times New Roman"/>
        </w:rPr>
      </w:pPr>
      <w:r>
        <w:rPr>
          <w:noProof/>
        </w:rPr>
        <w:drawing>
          <wp:inline distT="0" distB="0" distL="0" distR="0" wp14:anchorId="3A5FDBB7" wp14:editId="0A7CBFF8">
            <wp:extent cx="5687695" cy="3710978"/>
            <wp:effectExtent l="0" t="0" r="27305" b="22860"/>
            <wp:docPr id="7" name="Chart 7" title="Figure 5: Number of patients initiating and prevalent to therapy for pNE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B87CD5">
        <w:rPr>
          <w:rFonts w:ascii="Calibri" w:eastAsia="MS Mincho" w:hAnsi="Calibri" w:cs="Times New Roman"/>
          <w:b/>
        </w:rPr>
        <w:t xml:space="preserve">Figure </w:t>
      </w:r>
      <w:r w:rsidR="00CE6D4F">
        <w:rPr>
          <w:rFonts w:ascii="Calibri" w:eastAsia="MS Mincho" w:hAnsi="Calibri" w:cs="Times New Roman"/>
          <w:b/>
        </w:rPr>
        <w:t>4</w:t>
      </w:r>
      <w:r w:rsidRPr="00B87CD5">
        <w:rPr>
          <w:rFonts w:ascii="Calibri" w:eastAsia="MS Mincho" w:hAnsi="Calibri" w:cs="Times New Roman"/>
          <w:b/>
        </w:rPr>
        <w:t xml:space="preserve">: </w:t>
      </w:r>
      <w:r>
        <w:rPr>
          <w:rFonts w:ascii="Calibri" w:eastAsia="MS Mincho" w:hAnsi="Calibri" w:cs="Times New Roman"/>
          <w:b/>
        </w:rPr>
        <w:t>Number of patients initiating and prevalent to therapy for pNET.</w:t>
      </w:r>
      <w:r>
        <w:rPr>
          <w:rFonts w:ascii="Calibri" w:eastAsia="MS Mincho" w:hAnsi="Calibri" w:cs="Times New Roman"/>
          <w:b/>
        </w:rPr>
        <w:br/>
      </w:r>
      <w:r w:rsidR="00515CE4">
        <w:rPr>
          <w:rFonts w:ascii="Calibri" w:eastAsia="MS Mincho" w:hAnsi="Calibri" w:cs="Times New Roman"/>
          <w:sz w:val="20"/>
        </w:rPr>
        <w:t>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r w:rsidRPr="00A30F52">
        <w:rPr>
          <w:rFonts w:ascii="Calibri" w:eastAsia="MS Mincho" w:hAnsi="Calibri" w:cs="Times New Roman"/>
          <w:sz w:val="20"/>
        </w:rPr>
        <w:t>Note: “therapy” means supply of everolimus or sunitinib</w:t>
      </w:r>
    </w:p>
    <w:p w:rsidR="0028222E" w:rsidRDefault="005C3590" w:rsidP="005C3590">
      <w:pPr>
        <w:spacing w:before="240"/>
        <w:outlineLvl w:val="1"/>
        <w:rPr>
          <w:rFonts w:ascii="Calibri" w:eastAsia="MS Mincho" w:hAnsi="Calibri" w:cs="Times New Roman"/>
        </w:rPr>
      </w:pPr>
      <w:r>
        <w:rPr>
          <w:rFonts w:ascii="Calibri" w:eastAsia="MS Mincho" w:hAnsi="Calibri" w:cs="Times New Roman"/>
        </w:rPr>
        <w:t xml:space="preserve">The number of </w:t>
      </w:r>
      <w:r w:rsidR="00A453E9">
        <w:rPr>
          <w:rFonts w:ascii="Calibri" w:eastAsia="MS Mincho" w:hAnsi="Calibri" w:cs="Times New Roman"/>
        </w:rPr>
        <w:t xml:space="preserve">unique therapy </w:t>
      </w:r>
      <w:r>
        <w:rPr>
          <w:rFonts w:ascii="Calibri" w:eastAsia="MS Mincho" w:hAnsi="Calibri" w:cs="Times New Roman"/>
        </w:rPr>
        <w:t xml:space="preserve">initiating patients was greatest in </w:t>
      </w:r>
      <w:r w:rsidR="00692895">
        <w:rPr>
          <w:rFonts w:ascii="Calibri" w:eastAsia="MS Mincho" w:hAnsi="Calibri" w:cs="Times New Roman"/>
        </w:rPr>
        <w:t xml:space="preserve">quarter 1 </w:t>
      </w:r>
      <w:r>
        <w:rPr>
          <w:rFonts w:ascii="Calibri" w:eastAsia="MS Mincho" w:hAnsi="Calibri" w:cs="Times New Roman"/>
        </w:rPr>
        <w:t>201</w:t>
      </w:r>
      <w:r w:rsidR="00A453E9">
        <w:rPr>
          <w:rFonts w:ascii="Calibri" w:eastAsia="MS Mincho" w:hAnsi="Calibri" w:cs="Times New Roman"/>
        </w:rPr>
        <w:t>3</w:t>
      </w:r>
      <w:r>
        <w:rPr>
          <w:rFonts w:ascii="Calibri" w:eastAsia="MS Mincho" w:hAnsi="Calibri" w:cs="Times New Roman"/>
        </w:rPr>
        <w:t xml:space="preserve"> (41</w:t>
      </w:r>
      <w:r w:rsidR="00692895">
        <w:rPr>
          <w:rFonts w:ascii="Calibri" w:eastAsia="MS Mincho" w:hAnsi="Calibri" w:cs="Times New Roman"/>
        </w:rPr>
        <w:t> </w:t>
      </w:r>
      <w:r>
        <w:rPr>
          <w:rFonts w:ascii="Calibri" w:eastAsia="MS Mincho" w:hAnsi="Calibri" w:cs="Times New Roman"/>
        </w:rPr>
        <w:t>patients), the first full quarter after sunitinib was listed for pNET</w:t>
      </w:r>
      <w:r w:rsidR="003A1817">
        <w:rPr>
          <w:rFonts w:ascii="Calibri" w:eastAsia="MS Mincho" w:hAnsi="Calibri" w:cs="Times New Roman"/>
        </w:rPr>
        <w:t>,</w:t>
      </w:r>
      <w:r>
        <w:rPr>
          <w:rFonts w:ascii="Calibri" w:eastAsia="MS Mincho" w:hAnsi="Calibri" w:cs="Times New Roman"/>
        </w:rPr>
        <w:t xml:space="preserve"> and again in </w:t>
      </w:r>
      <w:r w:rsidR="00692895">
        <w:rPr>
          <w:rFonts w:ascii="Calibri" w:eastAsia="MS Mincho" w:hAnsi="Calibri" w:cs="Times New Roman"/>
        </w:rPr>
        <w:t xml:space="preserve">quarter 2 </w:t>
      </w:r>
      <w:r>
        <w:rPr>
          <w:rFonts w:ascii="Calibri" w:eastAsia="MS Mincho" w:hAnsi="Calibri" w:cs="Times New Roman"/>
        </w:rPr>
        <w:t>2015 (41 patients)</w:t>
      </w:r>
      <w:r w:rsidR="003A1817">
        <w:rPr>
          <w:rFonts w:ascii="Calibri" w:eastAsia="MS Mincho" w:hAnsi="Calibri" w:cs="Times New Roman"/>
        </w:rPr>
        <w:t>,</w:t>
      </w:r>
      <w:r>
        <w:rPr>
          <w:rFonts w:ascii="Calibri" w:eastAsia="MS Mincho" w:hAnsi="Calibri" w:cs="Times New Roman"/>
        </w:rPr>
        <w:t xml:space="preserve"> the first full quarter after everolimus was listed for pNET on 1</w:t>
      </w:r>
      <w:r w:rsidR="00692895">
        <w:rPr>
          <w:rFonts w:ascii="Calibri" w:eastAsia="MS Mincho" w:hAnsi="Calibri" w:cs="Times New Roman"/>
        </w:rPr>
        <w:t> </w:t>
      </w:r>
      <w:r>
        <w:rPr>
          <w:rFonts w:ascii="Calibri" w:eastAsia="MS Mincho" w:hAnsi="Calibri" w:cs="Times New Roman"/>
        </w:rPr>
        <w:t>April</w:t>
      </w:r>
      <w:r w:rsidR="00692895">
        <w:rPr>
          <w:rFonts w:ascii="Calibri" w:eastAsia="MS Mincho" w:hAnsi="Calibri" w:cs="Times New Roman"/>
        </w:rPr>
        <w:t> </w:t>
      </w:r>
      <w:r>
        <w:rPr>
          <w:rFonts w:ascii="Calibri" w:eastAsia="MS Mincho" w:hAnsi="Calibri" w:cs="Times New Roman"/>
        </w:rPr>
        <w:t xml:space="preserve">2015. Overall the trend of </w:t>
      </w:r>
      <w:r w:rsidR="00A453E9">
        <w:rPr>
          <w:rFonts w:ascii="Calibri" w:eastAsia="MS Mincho" w:hAnsi="Calibri" w:cs="Times New Roman"/>
        </w:rPr>
        <w:t xml:space="preserve">uptake for </w:t>
      </w:r>
      <w:r>
        <w:rPr>
          <w:rFonts w:ascii="Calibri" w:eastAsia="MS Mincho" w:hAnsi="Calibri" w:cs="Times New Roman"/>
        </w:rPr>
        <w:t>initiators is</w:t>
      </w:r>
      <w:r w:rsidR="00A453E9">
        <w:rPr>
          <w:rFonts w:ascii="Calibri" w:eastAsia="MS Mincho" w:hAnsi="Calibri" w:cs="Times New Roman"/>
        </w:rPr>
        <w:t xml:space="preserve"> constant</w:t>
      </w:r>
      <w:r>
        <w:rPr>
          <w:rFonts w:ascii="Calibri" w:eastAsia="MS Mincho" w:hAnsi="Calibri" w:cs="Times New Roman"/>
        </w:rPr>
        <w:t xml:space="preserve">. The number of prevalent patients may have plateaued but this </w:t>
      </w:r>
      <w:r w:rsidR="00A453E9">
        <w:rPr>
          <w:rFonts w:ascii="Calibri" w:eastAsia="MS Mincho" w:hAnsi="Calibri" w:cs="Times New Roman"/>
        </w:rPr>
        <w:t>analysis does not provide sufficient observation time to be confident</w:t>
      </w:r>
      <w:r w:rsidR="003A1817">
        <w:rPr>
          <w:rFonts w:ascii="Calibri" w:eastAsia="MS Mincho" w:hAnsi="Calibri" w:cs="Times New Roman"/>
        </w:rPr>
        <w:t xml:space="preserve"> of this</w:t>
      </w:r>
      <w:r w:rsidR="00A453E9">
        <w:rPr>
          <w:rFonts w:ascii="Calibri" w:eastAsia="MS Mincho" w:hAnsi="Calibri" w:cs="Times New Roman"/>
        </w:rPr>
        <w:t>.</w:t>
      </w:r>
    </w:p>
    <w:p w:rsidR="00A453E9" w:rsidRDefault="00A453E9" w:rsidP="005C3590">
      <w:pPr>
        <w:spacing w:before="240"/>
        <w:outlineLvl w:val="1"/>
        <w:rPr>
          <w:rFonts w:ascii="Calibri" w:eastAsia="MS Mincho" w:hAnsi="Calibri" w:cs="Times New Roman"/>
        </w:rPr>
      </w:pPr>
      <w:r>
        <w:rPr>
          <w:rFonts w:ascii="Calibri" w:eastAsia="MS Mincho" w:hAnsi="Calibri" w:cs="Times New Roman"/>
        </w:rPr>
        <w:t xml:space="preserve">This graph only counts patients once so that those patients who have switched from sunitinib to everolimus after 1 </w:t>
      </w:r>
      <w:r w:rsidR="00A90938">
        <w:rPr>
          <w:rFonts w:ascii="Calibri" w:eastAsia="MS Mincho" w:hAnsi="Calibri" w:cs="Times New Roman"/>
        </w:rPr>
        <w:t>April</w:t>
      </w:r>
      <w:r>
        <w:rPr>
          <w:rFonts w:ascii="Calibri" w:eastAsia="MS Mincho" w:hAnsi="Calibri" w:cs="Times New Roman"/>
        </w:rPr>
        <w:t xml:space="preserve"> 2015 or who subsequently switch are not double counted. The following graph </w:t>
      </w:r>
      <w:r w:rsidR="00A90938">
        <w:rPr>
          <w:rFonts w:ascii="Calibri" w:eastAsia="MS Mincho" w:hAnsi="Calibri" w:cs="Times New Roman"/>
        </w:rPr>
        <w:t>(Figure</w:t>
      </w:r>
      <w:r w:rsidR="0028222E">
        <w:rPr>
          <w:rFonts w:ascii="Calibri" w:eastAsia="MS Mincho" w:hAnsi="Calibri" w:cs="Times New Roman"/>
        </w:rPr>
        <w:t xml:space="preserve"> </w:t>
      </w:r>
      <w:r w:rsidR="00CE6D4F">
        <w:rPr>
          <w:rFonts w:ascii="Calibri" w:eastAsia="MS Mincho" w:hAnsi="Calibri" w:cs="Times New Roman"/>
        </w:rPr>
        <w:t>5</w:t>
      </w:r>
      <w:r w:rsidR="0028222E">
        <w:rPr>
          <w:rFonts w:ascii="Calibri" w:eastAsia="MS Mincho" w:hAnsi="Calibri" w:cs="Times New Roman"/>
        </w:rPr>
        <w:t xml:space="preserve">) </w:t>
      </w:r>
      <w:r>
        <w:rPr>
          <w:rFonts w:ascii="Calibri" w:eastAsia="MS Mincho" w:hAnsi="Calibri" w:cs="Times New Roman"/>
        </w:rPr>
        <w:t xml:space="preserve">provides </w:t>
      </w:r>
      <w:r w:rsidR="0028222E">
        <w:rPr>
          <w:rFonts w:ascii="Calibri" w:eastAsia="MS Mincho" w:hAnsi="Calibri" w:cs="Times New Roman"/>
        </w:rPr>
        <w:t>the number of patients who are initiating</w:t>
      </w:r>
      <w:r>
        <w:rPr>
          <w:rFonts w:ascii="Calibri" w:eastAsia="MS Mincho" w:hAnsi="Calibri" w:cs="Times New Roman"/>
        </w:rPr>
        <w:t xml:space="preserve"> and pre</w:t>
      </w:r>
      <w:r w:rsidR="0028222E">
        <w:rPr>
          <w:rFonts w:ascii="Calibri" w:eastAsia="MS Mincho" w:hAnsi="Calibri" w:cs="Times New Roman"/>
        </w:rPr>
        <w:t>valent</w:t>
      </w:r>
      <w:r>
        <w:rPr>
          <w:rFonts w:ascii="Calibri" w:eastAsia="MS Mincho" w:hAnsi="Calibri" w:cs="Times New Roman"/>
        </w:rPr>
        <w:t xml:space="preserve"> for each medicine separately</w:t>
      </w:r>
      <w:r w:rsidR="0028222E">
        <w:rPr>
          <w:rFonts w:ascii="Calibri" w:eastAsia="MS Mincho" w:hAnsi="Calibri" w:cs="Times New Roman"/>
        </w:rPr>
        <w:t xml:space="preserve">. This shows the uptake of both </w:t>
      </w:r>
      <w:r>
        <w:rPr>
          <w:rFonts w:ascii="Calibri" w:eastAsia="MS Mincho" w:hAnsi="Calibri" w:cs="Times New Roman"/>
        </w:rPr>
        <w:t>drug</w:t>
      </w:r>
      <w:r w:rsidR="004315F7">
        <w:rPr>
          <w:rFonts w:ascii="Calibri" w:eastAsia="MS Mincho" w:hAnsi="Calibri" w:cs="Times New Roman"/>
        </w:rPr>
        <w:t>s</w:t>
      </w:r>
      <w:r>
        <w:rPr>
          <w:rFonts w:ascii="Calibri" w:eastAsia="MS Mincho" w:hAnsi="Calibri" w:cs="Times New Roman"/>
        </w:rPr>
        <w:t>.</w:t>
      </w:r>
    </w:p>
    <w:p w:rsidR="0028222E" w:rsidRDefault="0028222E" w:rsidP="005C3590">
      <w:pPr>
        <w:spacing w:before="240"/>
        <w:outlineLvl w:val="1"/>
        <w:rPr>
          <w:rFonts w:ascii="Calibri" w:eastAsia="MS Mincho" w:hAnsi="Calibri" w:cs="Times New Roman"/>
        </w:rPr>
      </w:pPr>
      <w:r>
        <w:rPr>
          <w:rFonts w:ascii="Calibri" w:eastAsia="MS Mincho" w:hAnsi="Calibri" w:cs="Times New Roman"/>
        </w:rPr>
        <w:t xml:space="preserve">Comparison of Figure </w:t>
      </w:r>
      <w:r w:rsidR="00CE6D4F">
        <w:rPr>
          <w:rFonts w:ascii="Calibri" w:eastAsia="MS Mincho" w:hAnsi="Calibri" w:cs="Times New Roman"/>
        </w:rPr>
        <w:t>4</w:t>
      </w:r>
      <w:r>
        <w:rPr>
          <w:rFonts w:ascii="Calibri" w:eastAsia="MS Mincho" w:hAnsi="Calibri" w:cs="Times New Roman"/>
        </w:rPr>
        <w:t xml:space="preserve"> and Figure </w:t>
      </w:r>
      <w:r w:rsidR="00CE6D4F">
        <w:rPr>
          <w:rFonts w:ascii="Calibri" w:eastAsia="MS Mincho" w:hAnsi="Calibri" w:cs="Times New Roman"/>
        </w:rPr>
        <w:t>5</w:t>
      </w:r>
      <w:r>
        <w:rPr>
          <w:rFonts w:ascii="Calibri" w:eastAsia="MS Mincho" w:hAnsi="Calibri" w:cs="Times New Roman"/>
        </w:rPr>
        <w:t xml:space="preserve"> show</w:t>
      </w:r>
      <w:r w:rsidR="003A1817">
        <w:rPr>
          <w:rFonts w:ascii="Calibri" w:eastAsia="MS Mincho" w:hAnsi="Calibri" w:cs="Times New Roman"/>
        </w:rPr>
        <w:t>s</w:t>
      </w:r>
      <w:r>
        <w:rPr>
          <w:rFonts w:ascii="Calibri" w:eastAsia="MS Mincho" w:hAnsi="Calibri" w:cs="Times New Roman"/>
        </w:rPr>
        <w:t xml:space="preserve"> the extent of substitution of everolimus for </w:t>
      </w:r>
      <w:r w:rsidR="00A90938">
        <w:rPr>
          <w:rFonts w:ascii="Calibri" w:eastAsia="MS Mincho" w:hAnsi="Calibri" w:cs="Times New Roman"/>
        </w:rPr>
        <w:t>sunitinib</w:t>
      </w:r>
      <w:r>
        <w:rPr>
          <w:rFonts w:ascii="Calibri" w:eastAsia="MS Mincho" w:hAnsi="Calibri" w:cs="Times New Roman"/>
        </w:rPr>
        <w:t xml:space="preserve"> in the therapeutic market for treatment of pNET.</w:t>
      </w:r>
    </w:p>
    <w:p w:rsidR="005C3590" w:rsidRDefault="005C3590" w:rsidP="005C3590">
      <w:pPr>
        <w:spacing w:before="240"/>
        <w:outlineLvl w:val="1"/>
        <w:rPr>
          <w:rFonts w:ascii="Calibri" w:eastAsia="MS Mincho" w:hAnsi="Calibri" w:cs="Times New Roman"/>
        </w:rPr>
      </w:pPr>
    </w:p>
    <w:p w:rsidR="005C3590" w:rsidRDefault="005C3590" w:rsidP="005C3590">
      <w:pPr>
        <w:spacing w:before="240"/>
        <w:outlineLvl w:val="1"/>
        <w:rPr>
          <w:rFonts w:ascii="Calibri" w:eastAsia="MS Mincho" w:hAnsi="Calibri" w:cs="Times New Roman"/>
          <w:b/>
        </w:rPr>
      </w:pPr>
    </w:p>
    <w:p w:rsidR="00515CE4" w:rsidRPr="00793E16" w:rsidRDefault="005C3590" w:rsidP="00515CE4">
      <w:pPr>
        <w:rPr>
          <w:rFonts w:ascii="Calibri" w:eastAsia="MS Mincho" w:hAnsi="Calibri" w:cs="Times New Roman"/>
          <w:b/>
        </w:rPr>
      </w:pPr>
      <w:r>
        <w:rPr>
          <w:noProof/>
        </w:rPr>
        <w:drawing>
          <wp:inline distT="0" distB="0" distL="0" distR="0" wp14:anchorId="6EDD4151" wp14:editId="391FB16B">
            <wp:extent cx="5687695" cy="3710978"/>
            <wp:effectExtent l="0" t="0" r="27305" b="22860"/>
            <wp:docPr id="8" name="Chart 8" title="Figure 6: Number of patients initiating and prevalent to everolimus and sunitinib for pNE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B87CD5">
        <w:rPr>
          <w:rFonts w:ascii="Calibri" w:eastAsia="MS Mincho" w:hAnsi="Calibri" w:cs="Times New Roman"/>
          <w:b/>
        </w:rPr>
        <w:t xml:space="preserve">Figure </w:t>
      </w:r>
      <w:r w:rsidR="00CE6D4F">
        <w:rPr>
          <w:rFonts w:ascii="Calibri" w:eastAsia="MS Mincho" w:hAnsi="Calibri" w:cs="Times New Roman"/>
          <w:b/>
        </w:rPr>
        <w:t>5</w:t>
      </w:r>
      <w:r w:rsidRPr="00B87CD5">
        <w:rPr>
          <w:rFonts w:ascii="Calibri" w:eastAsia="MS Mincho" w:hAnsi="Calibri" w:cs="Times New Roman"/>
          <w:b/>
        </w:rPr>
        <w:t xml:space="preserve">: </w:t>
      </w:r>
      <w:r>
        <w:rPr>
          <w:rFonts w:ascii="Calibri" w:eastAsia="MS Mincho" w:hAnsi="Calibri" w:cs="Times New Roman"/>
          <w:b/>
        </w:rPr>
        <w:t>Number of patients initiating and prevalent to everolimus and sunitinib for pNET.</w:t>
      </w:r>
      <w:r w:rsidR="00515CE4">
        <w:rPr>
          <w:rFonts w:ascii="Calibri" w:eastAsia="MS Mincho" w:hAnsi="Calibri" w:cs="Times New Roman"/>
          <w:b/>
        </w:rPr>
        <w:t xml:space="preserve"> </w:t>
      </w:r>
      <w:r w:rsidR="00515CE4">
        <w:rPr>
          <w:rFonts w:ascii="Calibri" w:eastAsia="MS Mincho" w:hAnsi="Calibri" w:cs="Times New Roman"/>
          <w:sz w:val="20"/>
        </w:rPr>
        <w:t>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p>
    <w:p w:rsidR="005C3590" w:rsidRDefault="003A1817" w:rsidP="005C3590">
      <w:pPr>
        <w:spacing w:before="240"/>
        <w:outlineLvl w:val="1"/>
        <w:rPr>
          <w:rFonts w:ascii="Calibri" w:eastAsia="MS Mincho" w:hAnsi="Calibri" w:cs="Times New Roman"/>
        </w:rPr>
      </w:pPr>
      <w:r>
        <w:rPr>
          <w:rFonts w:ascii="Calibri" w:eastAsia="MS Mincho" w:hAnsi="Calibri" w:cs="Times New Roman"/>
        </w:rPr>
        <w:t xml:space="preserve">The total number of patients on </w:t>
      </w:r>
      <w:r w:rsidR="00385343">
        <w:rPr>
          <w:rFonts w:ascii="Calibri" w:eastAsia="MS Mincho" w:hAnsi="Calibri" w:cs="Times New Roman"/>
        </w:rPr>
        <w:t>everolimus</w:t>
      </w:r>
      <w:r>
        <w:rPr>
          <w:rFonts w:ascii="Calibri" w:eastAsia="MS Mincho" w:hAnsi="Calibri" w:cs="Times New Roman"/>
        </w:rPr>
        <w:t xml:space="preserve"> was higher than the total number of patients on sunitinib by the end of the period. </w:t>
      </w:r>
      <w:r w:rsidR="005C3590">
        <w:rPr>
          <w:rFonts w:ascii="Calibri" w:eastAsia="MS Mincho" w:hAnsi="Calibri" w:cs="Times New Roman"/>
        </w:rPr>
        <w:t xml:space="preserve">The number of patients initiating everolimus </w:t>
      </w:r>
      <w:r>
        <w:rPr>
          <w:rFonts w:ascii="Calibri" w:eastAsia="MS Mincho" w:hAnsi="Calibri" w:cs="Times New Roman"/>
        </w:rPr>
        <w:t>was also</w:t>
      </w:r>
      <w:r w:rsidR="005C3590">
        <w:rPr>
          <w:rFonts w:ascii="Calibri" w:eastAsia="MS Mincho" w:hAnsi="Calibri" w:cs="Times New Roman"/>
        </w:rPr>
        <w:t xml:space="preserve"> higher </w:t>
      </w:r>
      <w:r w:rsidR="007846DE">
        <w:rPr>
          <w:rFonts w:ascii="Calibri" w:eastAsia="MS Mincho" w:hAnsi="Calibri" w:cs="Times New Roman"/>
        </w:rPr>
        <w:t>than for sunitinib</w:t>
      </w:r>
      <w:r w:rsidR="005C3590">
        <w:rPr>
          <w:rFonts w:ascii="Calibri" w:eastAsia="MS Mincho" w:hAnsi="Calibri" w:cs="Times New Roman"/>
        </w:rPr>
        <w:t>.</w:t>
      </w:r>
      <w:r w:rsidR="00BA498C">
        <w:rPr>
          <w:rFonts w:ascii="Calibri" w:eastAsia="MS Mincho" w:hAnsi="Calibri" w:cs="Times New Roman"/>
        </w:rPr>
        <w:t xml:space="preserve"> A proportion of patients who initiate</w:t>
      </w:r>
      <w:r>
        <w:rPr>
          <w:rFonts w:ascii="Calibri" w:eastAsia="MS Mincho" w:hAnsi="Calibri" w:cs="Times New Roman"/>
        </w:rPr>
        <w:t>d</w:t>
      </w:r>
      <w:r w:rsidR="00BA498C">
        <w:rPr>
          <w:rFonts w:ascii="Calibri" w:eastAsia="MS Mincho" w:hAnsi="Calibri" w:cs="Times New Roman"/>
        </w:rPr>
        <w:t xml:space="preserve"> on or after 1 April 2015 </w:t>
      </w:r>
      <w:r>
        <w:rPr>
          <w:rFonts w:ascii="Calibri" w:eastAsia="MS Mincho" w:hAnsi="Calibri" w:cs="Times New Roman"/>
        </w:rPr>
        <w:t>may have switched</w:t>
      </w:r>
      <w:r w:rsidR="00BA498C">
        <w:rPr>
          <w:rFonts w:ascii="Calibri" w:eastAsia="MS Mincho" w:hAnsi="Calibri" w:cs="Times New Roman"/>
        </w:rPr>
        <w:t xml:space="preserve"> from sunitinib to </w:t>
      </w:r>
      <w:r w:rsidR="00A90938">
        <w:rPr>
          <w:rFonts w:ascii="Calibri" w:eastAsia="MS Mincho" w:hAnsi="Calibri" w:cs="Times New Roman"/>
        </w:rPr>
        <w:t>everolimus</w:t>
      </w:r>
      <w:r w:rsidR="00BA498C">
        <w:rPr>
          <w:rFonts w:ascii="Calibri" w:eastAsia="MS Mincho" w:hAnsi="Calibri" w:cs="Times New Roman"/>
        </w:rPr>
        <w:t>, and subsequently from everolimus to sunitinib.</w:t>
      </w:r>
    </w:p>
    <w:p w:rsidR="007846DE" w:rsidRDefault="007846DE">
      <w:pPr>
        <w:spacing w:line="276" w:lineRule="auto"/>
        <w:rPr>
          <w:rFonts w:ascii="Calibri" w:eastAsia="MS Mincho" w:hAnsi="Calibri" w:cs="Times New Roman"/>
          <w:b/>
          <w:sz w:val="28"/>
        </w:rPr>
      </w:pPr>
      <w:r>
        <w:rPr>
          <w:rFonts w:ascii="Calibri" w:eastAsia="MS Mincho" w:hAnsi="Calibri" w:cs="Times New Roman"/>
          <w:b/>
          <w:sz w:val="28"/>
        </w:rPr>
        <w:br w:type="page"/>
      </w:r>
    </w:p>
    <w:p w:rsidR="005C3590" w:rsidRPr="00B87CD5" w:rsidRDefault="005C3590" w:rsidP="005C3590">
      <w:pPr>
        <w:spacing w:before="240"/>
        <w:outlineLvl w:val="1"/>
        <w:rPr>
          <w:rFonts w:ascii="Calibri" w:eastAsia="MS Mincho" w:hAnsi="Calibri" w:cs="Times New Roman"/>
          <w:b/>
          <w:sz w:val="28"/>
        </w:rPr>
      </w:pPr>
      <w:r>
        <w:rPr>
          <w:rFonts w:ascii="Calibri" w:eastAsia="MS Mincho" w:hAnsi="Calibri" w:cs="Times New Roman"/>
          <w:b/>
          <w:sz w:val="28"/>
        </w:rPr>
        <w:t xml:space="preserve">2. </w:t>
      </w:r>
      <w:r w:rsidRPr="00B87CD5">
        <w:rPr>
          <w:rFonts w:ascii="Calibri" w:eastAsia="MS Mincho" w:hAnsi="Calibri" w:cs="Times New Roman"/>
          <w:b/>
          <w:sz w:val="28"/>
        </w:rPr>
        <w:t>Analysis of predicted versus actual utilisation</w:t>
      </w:r>
    </w:p>
    <w:p w:rsidR="005C3590" w:rsidRDefault="005C3590" w:rsidP="005C3590">
      <w:pPr>
        <w:rPr>
          <w:rFonts w:ascii="Calibri" w:eastAsia="MS Mincho" w:hAnsi="Calibri" w:cs="Times New Roman"/>
        </w:rPr>
      </w:pPr>
      <w:r w:rsidRPr="00B87CD5">
        <w:rPr>
          <w:rFonts w:ascii="Calibri" w:eastAsia="MS Mincho" w:hAnsi="Calibri" w:cs="Times New Roman"/>
        </w:rPr>
        <w:t xml:space="preserve">This analysis compares the predicted and actual use of use of </w:t>
      </w:r>
      <w:r>
        <w:rPr>
          <w:rFonts w:ascii="Calibri" w:eastAsia="MS Mincho" w:hAnsi="Calibri" w:cs="Times New Roman"/>
        </w:rPr>
        <w:t xml:space="preserve">sunitinib and everolimus for pNET. The predicted use was extracted from final agreed estimates between the sponsor and the Department of Health. The PBS items </w:t>
      </w:r>
      <w:r w:rsidR="007846DE">
        <w:rPr>
          <w:rFonts w:ascii="Calibri" w:eastAsia="MS Mincho" w:hAnsi="Calibri" w:cs="Times New Roman"/>
        </w:rPr>
        <w:t xml:space="preserve">and restriction codes </w:t>
      </w:r>
      <w:r>
        <w:rPr>
          <w:rFonts w:ascii="Calibri" w:eastAsia="MS Mincho" w:hAnsi="Calibri" w:cs="Times New Roman"/>
        </w:rPr>
        <w:t xml:space="preserve">included in this analysis of actual utilisation </w:t>
      </w:r>
      <w:r w:rsidR="007846DE">
        <w:rPr>
          <w:rFonts w:ascii="Calibri" w:eastAsia="MS Mincho" w:hAnsi="Calibri" w:cs="Times New Roman"/>
        </w:rPr>
        <w:t xml:space="preserve">are specified in </w:t>
      </w:r>
      <w:r>
        <w:rPr>
          <w:rFonts w:ascii="Calibri" w:eastAsia="MS Mincho" w:hAnsi="Calibri" w:cs="Times New Roman"/>
        </w:rPr>
        <w:t>Table 3.</w:t>
      </w:r>
    </w:p>
    <w:p w:rsidR="005C3590" w:rsidRDefault="005C3590" w:rsidP="005C3590">
      <w:pPr>
        <w:spacing w:after="0"/>
        <w:rPr>
          <w:rFonts w:ascii="Calibri" w:eastAsia="Times New Roman" w:hAnsi="Calibri" w:cs="Times New Roman"/>
          <w:b/>
          <w:iCs/>
          <w:snapToGrid w:val="0"/>
          <w:lang w:eastAsia="en-US"/>
        </w:rPr>
      </w:pPr>
      <w:r w:rsidRPr="00B87CD5">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4</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Predicted vs Actual analysis – sunitinib for pNET</w:t>
      </w:r>
    </w:p>
    <w:tbl>
      <w:tblPr>
        <w:tblW w:w="4803" w:type="pct"/>
        <w:tblLayout w:type="fixed"/>
        <w:tblLook w:val="04A0" w:firstRow="1" w:lastRow="0" w:firstColumn="1" w:lastColumn="0" w:noHBand="0" w:noVBand="1"/>
      </w:tblPr>
      <w:tblGrid>
        <w:gridCol w:w="3686"/>
        <w:gridCol w:w="1305"/>
        <w:gridCol w:w="1277"/>
        <w:gridCol w:w="1272"/>
        <w:gridCol w:w="1272"/>
      </w:tblGrid>
      <w:tr w:rsidR="0094602A" w:rsidRPr="00BA4FD0" w:rsidTr="0094602A">
        <w:trPr>
          <w:trHeight w:val="300"/>
        </w:trPr>
        <w:tc>
          <w:tcPr>
            <w:tcW w:w="209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C3590" w:rsidRPr="0094602A" w:rsidRDefault="005C3590" w:rsidP="005C3590">
            <w:pPr>
              <w:spacing w:after="0"/>
              <w:rPr>
                <w:rFonts w:eastAsia="Times New Roman" w:cs="Arial"/>
                <w:color w:val="000000"/>
                <w:sz w:val="20"/>
                <w:szCs w:val="20"/>
              </w:rPr>
            </w:pPr>
            <w:r w:rsidRPr="0094602A">
              <w:rPr>
                <w:rFonts w:eastAsia="Times New Roman" w:cs="Arial"/>
                <w:color w:val="000000"/>
                <w:sz w:val="20"/>
                <w:szCs w:val="20"/>
              </w:rPr>
              <w:t> </w:t>
            </w:r>
          </w:p>
        </w:tc>
        <w:tc>
          <w:tcPr>
            <w:tcW w:w="74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3590" w:rsidRPr="0094602A" w:rsidRDefault="005C3590" w:rsidP="0094602A">
            <w:pPr>
              <w:spacing w:after="0"/>
              <w:rPr>
                <w:rFonts w:eastAsia="Times New Roman" w:cs="Arial"/>
                <w:b/>
                <w:bCs/>
                <w:color w:val="000000"/>
                <w:sz w:val="20"/>
                <w:szCs w:val="20"/>
              </w:rPr>
            </w:pPr>
            <w:r w:rsidRPr="0094602A">
              <w:rPr>
                <w:rFonts w:eastAsia="Times New Roman" w:cs="Arial"/>
                <w:b/>
                <w:bCs/>
                <w:color w:val="000000"/>
                <w:sz w:val="20"/>
                <w:szCs w:val="20"/>
              </w:rPr>
              <w:t> </w:t>
            </w:r>
          </w:p>
        </w:tc>
        <w:tc>
          <w:tcPr>
            <w:tcW w:w="724" w:type="pct"/>
            <w:tcBorders>
              <w:top w:val="single" w:sz="4" w:space="0" w:color="auto"/>
              <w:left w:val="nil"/>
              <w:bottom w:val="single" w:sz="4" w:space="0" w:color="auto"/>
              <w:right w:val="single" w:sz="4" w:space="0" w:color="auto"/>
            </w:tcBorders>
            <w:shd w:val="clear" w:color="000000" w:fill="BFBFBF"/>
            <w:noWrap/>
            <w:vAlign w:val="center"/>
            <w:hideMark/>
          </w:tcPr>
          <w:p w:rsidR="005C3590" w:rsidRPr="0094602A" w:rsidRDefault="005C3590" w:rsidP="0094602A">
            <w:pPr>
              <w:spacing w:after="0"/>
              <w:jc w:val="center"/>
              <w:rPr>
                <w:rFonts w:eastAsia="Times New Roman" w:cs="Arial"/>
                <w:b/>
                <w:bCs/>
                <w:color w:val="000000"/>
                <w:sz w:val="20"/>
                <w:szCs w:val="20"/>
              </w:rPr>
            </w:pPr>
            <w:r w:rsidRPr="0094602A">
              <w:rPr>
                <w:rFonts w:eastAsia="Times New Roman" w:cs="Arial"/>
                <w:b/>
                <w:bCs/>
                <w:color w:val="000000"/>
                <w:sz w:val="20"/>
                <w:szCs w:val="20"/>
              </w:rPr>
              <w:t>Year1</w:t>
            </w:r>
          </w:p>
        </w:tc>
        <w:tc>
          <w:tcPr>
            <w:tcW w:w="722" w:type="pct"/>
            <w:tcBorders>
              <w:top w:val="single" w:sz="4" w:space="0" w:color="auto"/>
              <w:left w:val="nil"/>
              <w:bottom w:val="single" w:sz="4" w:space="0" w:color="auto"/>
              <w:right w:val="single" w:sz="4" w:space="0" w:color="auto"/>
            </w:tcBorders>
            <w:shd w:val="clear" w:color="000000" w:fill="BFBFBF"/>
            <w:noWrap/>
            <w:vAlign w:val="center"/>
            <w:hideMark/>
          </w:tcPr>
          <w:p w:rsidR="005C3590" w:rsidRPr="0094602A" w:rsidRDefault="005C3590" w:rsidP="0094602A">
            <w:pPr>
              <w:spacing w:after="0"/>
              <w:jc w:val="center"/>
              <w:rPr>
                <w:rFonts w:eastAsia="Times New Roman" w:cs="Arial"/>
                <w:b/>
                <w:bCs/>
                <w:color w:val="000000"/>
                <w:sz w:val="20"/>
                <w:szCs w:val="20"/>
              </w:rPr>
            </w:pPr>
            <w:r w:rsidRPr="0094602A">
              <w:rPr>
                <w:rFonts w:eastAsia="Times New Roman" w:cs="Arial"/>
                <w:b/>
                <w:bCs/>
                <w:color w:val="000000"/>
                <w:sz w:val="20"/>
                <w:szCs w:val="20"/>
              </w:rPr>
              <w:t>Year 2</w:t>
            </w:r>
          </w:p>
        </w:tc>
        <w:tc>
          <w:tcPr>
            <w:tcW w:w="722" w:type="pct"/>
            <w:tcBorders>
              <w:top w:val="single" w:sz="4" w:space="0" w:color="auto"/>
              <w:left w:val="nil"/>
              <w:bottom w:val="single" w:sz="4" w:space="0" w:color="auto"/>
              <w:right w:val="single" w:sz="4" w:space="0" w:color="auto"/>
            </w:tcBorders>
            <w:shd w:val="clear" w:color="000000" w:fill="BFBFBF"/>
            <w:noWrap/>
            <w:vAlign w:val="center"/>
            <w:hideMark/>
          </w:tcPr>
          <w:p w:rsidR="005C3590" w:rsidRPr="0094602A" w:rsidRDefault="005C3590" w:rsidP="0094602A">
            <w:pPr>
              <w:spacing w:after="0"/>
              <w:jc w:val="center"/>
              <w:rPr>
                <w:rFonts w:eastAsia="Times New Roman" w:cs="Arial"/>
                <w:b/>
                <w:bCs/>
                <w:color w:val="000000"/>
                <w:sz w:val="20"/>
                <w:szCs w:val="20"/>
              </w:rPr>
            </w:pPr>
            <w:r w:rsidRPr="0094602A">
              <w:rPr>
                <w:rFonts w:eastAsia="Times New Roman" w:cs="Arial"/>
                <w:b/>
                <w:bCs/>
                <w:color w:val="000000"/>
                <w:sz w:val="20"/>
                <w:szCs w:val="20"/>
              </w:rPr>
              <w:t>Year 3</w:t>
            </w:r>
          </w:p>
        </w:tc>
      </w:tr>
      <w:tr w:rsidR="0094602A" w:rsidRPr="00BA4FD0" w:rsidTr="0094602A">
        <w:trPr>
          <w:trHeight w:val="300"/>
        </w:trPr>
        <w:tc>
          <w:tcPr>
            <w:tcW w:w="2091" w:type="pct"/>
            <w:vMerge/>
            <w:tcBorders>
              <w:top w:val="single" w:sz="4" w:space="0" w:color="auto"/>
              <w:left w:val="single" w:sz="4" w:space="0" w:color="auto"/>
              <w:bottom w:val="single" w:sz="4" w:space="0" w:color="auto"/>
              <w:right w:val="single" w:sz="4" w:space="0" w:color="auto"/>
            </w:tcBorders>
            <w:vAlign w:val="center"/>
            <w:hideMark/>
          </w:tcPr>
          <w:p w:rsidR="005C3590" w:rsidRPr="0094602A" w:rsidRDefault="005C3590" w:rsidP="005C3590">
            <w:pPr>
              <w:spacing w:after="0"/>
              <w:rPr>
                <w:rFonts w:eastAsia="Times New Roman" w:cs="Arial"/>
                <w:color w:val="000000"/>
                <w:sz w:val="20"/>
                <w:szCs w:val="20"/>
              </w:rPr>
            </w:pPr>
          </w:p>
        </w:tc>
        <w:tc>
          <w:tcPr>
            <w:tcW w:w="740" w:type="pct"/>
            <w:vMerge/>
            <w:tcBorders>
              <w:top w:val="single" w:sz="4" w:space="0" w:color="auto"/>
              <w:left w:val="single" w:sz="4" w:space="0" w:color="auto"/>
              <w:bottom w:val="single" w:sz="4" w:space="0" w:color="auto"/>
              <w:right w:val="single" w:sz="4" w:space="0" w:color="auto"/>
            </w:tcBorders>
            <w:vAlign w:val="center"/>
            <w:hideMark/>
          </w:tcPr>
          <w:p w:rsidR="005C3590" w:rsidRPr="0094602A" w:rsidRDefault="005C3590" w:rsidP="0094602A">
            <w:pPr>
              <w:spacing w:after="0"/>
              <w:rPr>
                <w:rFonts w:eastAsia="Times New Roman" w:cs="Arial"/>
                <w:b/>
                <w:bCs/>
                <w:color w:val="000000"/>
                <w:sz w:val="20"/>
                <w:szCs w:val="20"/>
              </w:rPr>
            </w:pPr>
          </w:p>
        </w:tc>
        <w:tc>
          <w:tcPr>
            <w:tcW w:w="724" w:type="pct"/>
            <w:tcBorders>
              <w:top w:val="nil"/>
              <w:left w:val="nil"/>
              <w:bottom w:val="single" w:sz="4" w:space="0" w:color="auto"/>
              <w:right w:val="single" w:sz="4" w:space="0" w:color="auto"/>
            </w:tcBorders>
            <w:shd w:val="clear" w:color="000000" w:fill="BFBFBF"/>
            <w:noWrap/>
            <w:vAlign w:val="center"/>
            <w:hideMark/>
          </w:tcPr>
          <w:p w:rsidR="005C3590" w:rsidRPr="0094602A" w:rsidRDefault="005C3590" w:rsidP="0094602A">
            <w:pPr>
              <w:spacing w:after="0"/>
              <w:jc w:val="center"/>
              <w:rPr>
                <w:rFonts w:eastAsia="Times New Roman" w:cs="Arial"/>
                <w:b/>
                <w:bCs/>
                <w:color w:val="000000"/>
                <w:sz w:val="20"/>
                <w:szCs w:val="20"/>
              </w:rPr>
            </w:pPr>
            <w:r w:rsidRPr="0094602A">
              <w:rPr>
                <w:rFonts w:eastAsia="Times New Roman" w:cs="Arial"/>
                <w:b/>
                <w:bCs/>
                <w:color w:val="000000"/>
                <w:sz w:val="20"/>
                <w:szCs w:val="20"/>
              </w:rPr>
              <w:t>Dec13 to Nov14</w:t>
            </w:r>
          </w:p>
        </w:tc>
        <w:tc>
          <w:tcPr>
            <w:tcW w:w="722" w:type="pct"/>
            <w:tcBorders>
              <w:top w:val="nil"/>
              <w:left w:val="nil"/>
              <w:bottom w:val="single" w:sz="4" w:space="0" w:color="auto"/>
              <w:right w:val="single" w:sz="4" w:space="0" w:color="auto"/>
            </w:tcBorders>
            <w:shd w:val="clear" w:color="000000" w:fill="BFBFBF"/>
            <w:noWrap/>
            <w:vAlign w:val="center"/>
            <w:hideMark/>
          </w:tcPr>
          <w:p w:rsidR="005C3590" w:rsidRPr="0094602A" w:rsidRDefault="005C3590" w:rsidP="0094602A">
            <w:pPr>
              <w:spacing w:after="0"/>
              <w:jc w:val="center"/>
              <w:rPr>
                <w:rFonts w:eastAsia="Times New Roman" w:cs="Arial"/>
                <w:b/>
                <w:bCs/>
                <w:color w:val="000000"/>
                <w:sz w:val="20"/>
                <w:szCs w:val="20"/>
              </w:rPr>
            </w:pPr>
            <w:r w:rsidRPr="0094602A">
              <w:rPr>
                <w:rFonts w:eastAsia="Times New Roman" w:cs="Arial"/>
                <w:b/>
                <w:bCs/>
                <w:color w:val="000000"/>
                <w:sz w:val="20"/>
                <w:szCs w:val="20"/>
              </w:rPr>
              <w:t>Dec14 to Nov15</w:t>
            </w:r>
          </w:p>
        </w:tc>
        <w:tc>
          <w:tcPr>
            <w:tcW w:w="722" w:type="pct"/>
            <w:tcBorders>
              <w:top w:val="nil"/>
              <w:left w:val="nil"/>
              <w:bottom w:val="single" w:sz="4" w:space="0" w:color="auto"/>
              <w:right w:val="single" w:sz="4" w:space="0" w:color="auto"/>
            </w:tcBorders>
            <w:shd w:val="clear" w:color="000000" w:fill="BFBFBF"/>
            <w:noWrap/>
            <w:vAlign w:val="center"/>
            <w:hideMark/>
          </w:tcPr>
          <w:p w:rsidR="005C3590" w:rsidRPr="0094602A" w:rsidRDefault="005C3590" w:rsidP="0094602A">
            <w:pPr>
              <w:spacing w:after="0"/>
              <w:jc w:val="center"/>
              <w:rPr>
                <w:rFonts w:eastAsia="Times New Roman" w:cs="Arial"/>
                <w:b/>
                <w:bCs/>
                <w:color w:val="000000"/>
                <w:sz w:val="20"/>
                <w:szCs w:val="20"/>
              </w:rPr>
            </w:pPr>
            <w:r w:rsidRPr="0094602A">
              <w:rPr>
                <w:rFonts w:eastAsia="Times New Roman" w:cs="Arial"/>
                <w:b/>
                <w:bCs/>
                <w:color w:val="000000"/>
                <w:sz w:val="20"/>
                <w:szCs w:val="20"/>
              </w:rPr>
              <w:t>Dec15 to Nov16</w:t>
            </w:r>
          </w:p>
        </w:tc>
      </w:tr>
      <w:tr w:rsidR="0094602A" w:rsidRPr="00B84847" w:rsidTr="0094602A">
        <w:trPr>
          <w:trHeight w:val="20"/>
        </w:trPr>
        <w:tc>
          <w:tcPr>
            <w:tcW w:w="2091" w:type="pct"/>
            <w:tcBorders>
              <w:top w:val="nil"/>
              <w:left w:val="single" w:sz="4" w:space="0" w:color="auto"/>
              <w:bottom w:val="single" w:sz="4" w:space="0" w:color="auto"/>
              <w:right w:val="single" w:sz="4" w:space="0" w:color="auto"/>
            </w:tcBorders>
            <w:shd w:val="clear" w:color="auto" w:fill="auto"/>
            <w:noWrap/>
            <w:vAlign w:val="center"/>
          </w:tcPr>
          <w:p w:rsidR="00856B66" w:rsidRPr="00FF391C" w:rsidRDefault="00D64098" w:rsidP="005C3590">
            <w:pPr>
              <w:spacing w:after="0"/>
              <w:rPr>
                <w:rFonts w:eastAsia="Times New Roman" w:cs="Arial"/>
                <w:color w:val="000000"/>
                <w:sz w:val="20"/>
                <w:szCs w:val="20"/>
              </w:rPr>
            </w:pPr>
            <w:r w:rsidRPr="00D1669E">
              <w:rPr>
                <w:rFonts w:eastAsia="Times New Roman" w:cs="Arial"/>
                <w:color w:val="000000"/>
                <w:sz w:val="20"/>
                <w:szCs w:val="20"/>
              </w:rPr>
              <w:t>Prevalent eligible  (incidence 0.22/100,000 * median survival (30.5months) *</w:t>
            </w:r>
            <w:r w:rsidR="00397A11" w:rsidRPr="00D1669E">
              <w:rPr>
                <w:rFonts w:eastAsia="Times New Roman" w:cs="Arial"/>
                <w:color w:val="000000"/>
                <w:sz w:val="20"/>
                <w:szCs w:val="20"/>
              </w:rPr>
              <w:t xml:space="preserve"> 75% with unresectable disease )</w:t>
            </w:r>
          </w:p>
        </w:tc>
        <w:tc>
          <w:tcPr>
            <w:tcW w:w="740" w:type="pct"/>
            <w:tcBorders>
              <w:top w:val="nil"/>
              <w:left w:val="nil"/>
              <w:bottom w:val="single" w:sz="4" w:space="0" w:color="auto"/>
              <w:right w:val="single" w:sz="4" w:space="0" w:color="auto"/>
            </w:tcBorders>
            <w:shd w:val="clear" w:color="auto" w:fill="auto"/>
            <w:vAlign w:val="center"/>
          </w:tcPr>
          <w:p w:rsidR="00856B66" w:rsidRPr="00FF391C" w:rsidRDefault="00856B66" w:rsidP="0094602A">
            <w:pPr>
              <w:spacing w:after="0"/>
              <w:rPr>
                <w:rFonts w:eastAsia="Times New Roman" w:cs="Arial"/>
                <w:color w:val="000000"/>
                <w:sz w:val="20"/>
                <w:szCs w:val="20"/>
              </w:rPr>
            </w:pPr>
          </w:p>
        </w:tc>
        <w:tc>
          <w:tcPr>
            <w:tcW w:w="724" w:type="pct"/>
            <w:tcBorders>
              <w:top w:val="nil"/>
              <w:left w:val="nil"/>
              <w:bottom w:val="single" w:sz="4" w:space="0" w:color="auto"/>
              <w:right w:val="single" w:sz="4" w:space="0" w:color="auto"/>
            </w:tcBorders>
            <w:shd w:val="clear" w:color="auto" w:fill="auto"/>
            <w:vAlign w:val="center"/>
          </w:tcPr>
          <w:p w:rsidR="00856B66"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tcPr>
          <w:p w:rsidR="00856B66"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tcPr>
          <w:p w:rsidR="00856B66"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r>
      <w:tr w:rsidR="0094602A" w:rsidRPr="00B84847" w:rsidTr="0094602A">
        <w:trPr>
          <w:trHeight w:val="20"/>
        </w:trPr>
        <w:tc>
          <w:tcPr>
            <w:tcW w:w="2091" w:type="pct"/>
            <w:tcBorders>
              <w:top w:val="nil"/>
              <w:left w:val="single" w:sz="4" w:space="0" w:color="auto"/>
              <w:bottom w:val="single" w:sz="4" w:space="0" w:color="auto"/>
              <w:right w:val="single" w:sz="4" w:space="0" w:color="auto"/>
            </w:tcBorders>
            <w:shd w:val="clear" w:color="auto" w:fill="auto"/>
            <w:noWrap/>
            <w:vAlign w:val="center"/>
          </w:tcPr>
          <w:p w:rsidR="00856B66" w:rsidRPr="00D1669E" w:rsidRDefault="00D64098" w:rsidP="005C3590">
            <w:pPr>
              <w:spacing w:after="0"/>
              <w:rPr>
                <w:rFonts w:eastAsia="Times New Roman" w:cs="Arial"/>
                <w:color w:val="000000"/>
                <w:sz w:val="20"/>
                <w:szCs w:val="20"/>
              </w:rPr>
            </w:pPr>
            <w:r w:rsidRPr="00D1669E">
              <w:rPr>
                <w:rFonts w:eastAsia="Times New Roman" w:cs="Arial"/>
                <w:color w:val="000000"/>
                <w:sz w:val="20"/>
                <w:szCs w:val="20"/>
              </w:rPr>
              <w:t>Incident eligible population per year</w:t>
            </w:r>
          </w:p>
        </w:tc>
        <w:tc>
          <w:tcPr>
            <w:tcW w:w="740" w:type="pct"/>
            <w:tcBorders>
              <w:top w:val="nil"/>
              <w:left w:val="nil"/>
              <w:bottom w:val="single" w:sz="4" w:space="0" w:color="auto"/>
              <w:right w:val="single" w:sz="4" w:space="0" w:color="auto"/>
            </w:tcBorders>
            <w:shd w:val="clear" w:color="auto" w:fill="auto"/>
            <w:vAlign w:val="center"/>
          </w:tcPr>
          <w:p w:rsidR="00856B66" w:rsidRPr="00FF391C" w:rsidRDefault="00856B66" w:rsidP="0094602A">
            <w:pPr>
              <w:spacing w:after="0"/>
              <w:rPr>
                <w:rFonts w:eastAsia="Times New Roman" w:cs="Arial"/>
                <w:color w:val="000000"/>
                <w:sz w:val="20"/>
                <w:szCs w:val="20"/>
              </w:rPr>
            </w:pPr>
          </w:p>
        </w:tc>
        <w:tc>
          <w:tcPr>
            <w:tcW w:w="724" w:type="pct"/>
            <w:tcBorders>
              <w:top w:val="nil"/>
              <w:left w:val="nil"/>
              <w:bottom w:val="single" w:sz="4" w:space="0" w:color="auto"/>
              <w:right w:val="single" w:sz="4" w:space="0" w:color="auto"/>
            </w:tcBorders>
            <w:shd w:val="clear" w:color="auto" w:fill="auto"/>
            <w:vAlign w:val="center"/>
          </w:tcPr>
          <w:p w:rsidR="00856B66"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tcPr>
          <w:p w:rsidR="00856B66"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tcPr>
          <w:p w:rsidR="00856B66"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r>
      <w:tr w:rsidR="0094602A" w:rsidRPr="00B84847" w:rsidTr="0094602A">
        <w:trPr>
          <w:trHeight w:val="20"/>
        </w:trPr>
        <w:tc>
          <w:tcPr>
            <w:tcW w:w="2091" w:type="pct"/>
            <w:tcBorders>
              <w:top w:val="nil"/>
              <w:left w:val="single" w:sz="4" w:space="0" w:color="auto"/>
              <w:bottom w:val="single" w:sz="4" w:space="0" w:color="auto"/>
              <w:right w:val="single" w:sz="4" w:space="0" w:color="auto"/>
            </w:tcBorders>
            <w:shd w:val="clear" w:color="auto" w:fill="auto"/>
            <w:noWrap/>
            <w:vAlign w:val="center"/>
          </w:tcPr>
          <w:p w:rsidR="00856B66" w:rsidRPr="00D1669E" w:rsidRDefault="00D64098" w:rsidP="005C3590">
            <w:pPr>
              <w:spacing w:after="0"/>
              <w:rPr>
                <w:rFonts w:eastAsia="Times New Roman" w:cs="Arial"/>
                <w:color w:val="000000"/>
                <w:sz w:val="20"/>
                <w:szCs w:val="20"/>
              </w:rPr>
            </w:pPr>
            <w:r w:rsidRPr="00D1669E">
              <w:rPr>
                <w:rFonts w:eastAsia="Times New Roman" w:cs="Arial"/>
                <w:color w:val="000000"/>
                <w:sz w:val="20"/>
                <w:szCs w:val="20"/>
              </w:rPr>
              <w:t>Uptake of treatment with sunitinib</w:t>
            </w:r>
          </w:p>
        </w:tc>
        <w:tc>
          <w:tcPr>
            <w:tcW w:w="740" w:type="pct"/>
            <w:tcBorders>
              <w:top w:val="nil"/>
              <w:left w:val="nil"/>
              <w:bottom w:val="single" w:sz="4" w:space="0" w:color="auto"/>
              <w:right w:val="single" w:sz="4" w:space="0" w:color="auto"/>
            </w:tcBorders>
            <w:shd w:val="clear" w:color="auto" w:fill="auto"/>
            <w:vAlign w:val="center"/>
          </w:tcPr>
          <w:p w:rsidR="00856B66" w:rsidRPr="00FF391C" w:rsidRDefault="00856B66" w:rsidP="0094602A">
            <w:pPr>
              <w:spacing w:after="0"/>
              <w:rPr>
                <w:rFonts w:eastAsia="Times New Roman" w:cs="Arial"/>
                <w:color w:val="000000"/>
                <w:sz w:val="20"/>
                <w:szCs w:val="20"/>
              </w:rPr>
            </w:pPr>
          </w:p>
        </w:tc>
        <w:tc>
          <w:tcPr>
            <w:tcW w:w="724" w:type="pct"/>
            <w:tcBorders>
              <w:top w:val="nil"/>
              <w:left w:val="nil"/>
              <w:bottom w:val="single" w:sz="4" w:space="0" w:color="auto"/>
              <w:right w:val="single" w:sz="4" w:space="0" w:color="auto"/>
            </w:tcBorders>
            <w:shd w:val="clear" w:color="auto" w:fill="auto"/>
            <w:vAlign w:val="center"/>
          </w:tcPr>
          <w:p w:rsidR="00856B66"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tcPr>
          <w:p w:rsidR="00856B66"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tcPr>
          <w:p w:rsidR="00856B66"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r>
      <w:tr w:rsidR="0094602A" w:rsidRPr="00B84847" w:rsidTr="0094602A">
        <w:trPr>
          <w:trHeight w:val="20"/>
        </w:trPr>
        <w:tc>
          <w:tcPr>
            <w:tcW w:w="20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C3590" w:rsidRPr="00D1669E" w:rsidRDefault="00856B66" w:rsidP="005C3590">
            <w:pPr>
              <w:spacing w:after="0"/>
              <w:rPr>
                <w:rFonts w:eastAsia="Times New Roman" w:cs="Arial"/>
                <w:color w:val="000000"/>
                <w:sz w:val="20"/>
                <w:szCs w:val="20"/>
              </w:rPr>
            </w:pPr>
            <w:r w:rsidRPr="00D1669E">
              <w:rPr>
                <w:rFonts w:eastAsia="Times New Roman" w:cs="Arial"/>
                <w:color w:val="000000"/>
                <w:sz w:val="20"/>
                <w:szCs w:val="20"/>
              </w:rPr>
              <w:t>Treated eligible</w:t>
            </w:r>
            <w:r w:rsidR="005C3590" w:rsidRPr="00D1669E">
              <w:rPr>
                <w:rFonts w:eastAsia="Times New Roman" w:cs="Arial"/>
                <w:color w:val="000000"/>
                <w:sz w:val="20"/>
                <w:szCs w:val="20"/>
              </w:rPr>
              <w:t xml:space="preserve"> patients</w:t>
            </w: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rPr>
                <w:rFonts w:eastAsia="Times New Roman" w:cs="Arial"/>
                <w:color w:val="000000"/>
                <w:sz w:val="20"/>
                <w:szCs w:val="20"/>
                <w:highlight w:val="black"/>
              </w:rPr>
            </w:pPr>
            <w:r>
              <w:rPr>
                <w:rFonts w:eastAsia="Times New Roman" w:cs="Arial"/>
                <w:noProof/>
                <w:color w:val="000000"/>
                <w:sz w:val="20"/>
                <w:szCs w:val="20"/>
                <w:highlight w:val="black"/>
              </w:rPr>
              <w:t>''''''''''''''''' '''''</w:t>
            </w:r>
          </w:p>
        </w:tc>
        <w:tc>
          <w:tcPr>
            <w:tcW w:w="724"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r>
      <w:tr w:rsidR="0094602A" w:rsidRPr="00B84847" w:rsidTr="0094602A">
        <w:trPr>
          <w:trHeight w:val="20"/>
        </w:trPr>
        <w:tc>
          <w:tcPr>
            <w:tcW w:w="2091" w:type="pct"/>
            <w:vMerge/>
            <w:tcBorders>
              <w:top w:val="nil"/>
              <w:left w:val="single" w:sz="4" w:space="0" w:color="auto"/>
              <w:bottom w:val="single" w:sz="4" w:space="0" w:color="auto"/>
              <w:right w:val="single" w:sz="4" w:space="0" w:color="auto"/>
            </w:tcBorders>
            <w:vAlign w:val="center"/>
            <w:hideMark/>
          </w:tcPr>
          <w:p w:rsidR="005C3590" w:rsidRPr="00D1669E"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5C3590" w:rsidP="0094602A">
            <w:pPr>
              <w:spacing w:after="0"/>
              <w:rPr>
                <w:rFonts w:eastAsia="Times New Roman" w:cs="Arial"/>
                <w:color w:val="000000"/>
                <w:sz w:val="20"/>
                <w:szCs w:val="20"/>
              </w:rPr>
            </w:pPr>
            <w:r w:rsidRPr="00D1669E">
              <w:rPr>
                <w:rFonts w:eastAsia="Times New Roman" w:cs="Arial"/>
                <w:color w:val="000000"/>
                <w:sz w:val="20"/>
                <w:szCs w:val="20"/>
              </w:rPr>
              <w:t>Actual (A)</w:t>
            </w:r>
          </w:p>
        </w:tc>
        <w:tc>
          <w:tcPr>
            <w:tcW w:w="724" w:type="pct"/>
            <w:tcBorders>
              <w:top w:val="nil"/>
              <w:left w:val="nil"/>
              <w:bottom w:val="single" w:sz="4" w:space="0" w:color="auto"/>
              <w:right w:val="single" w:sz="4" w:space="0" w:color="auto"/>
            </w:tcBorders>
            <w:shd w:val="clear" w:color="auto" w:fill="auto"/>
            <w:vAlign w:val="center"/>
            <w:hideMark/>
          </w:tcPr>
          <w:p w:rsidR="005C3590" w:rsidRPr="00FF391C"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106</w:t>
            </w:r>
          </w:p>
        </w:tc>
        <w:tc>
          <w:tcPr>
            <w:tcW w:w="722" w:type="pct"/>
            <w:tcBorders>
              <w:top w:val="nil"/>
              <w:left w:val="nil"/>
              <w:bottom w:val="single" w:sz="4" w:space="0" w:color="auto"/>
              <w:right w:val="single" w:sz="4" w:space="0" w:color="auto"/>
            </w:tcBorders>
            <w:shd w:val="clear" w:color="auto" w:fill="auto"/>
            <w:vAlign w:val="center"/>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118</w:t>
            </w:r>
          </w:p>
        </w:tc>
        <w:tc>
          <w:tcPr>
            <w:tcW w:w="722" w:type="pct"/>
            <w:tcBorders>
              <w:top w:val="nil"/>
              <w:left w:val="nil"/>
              <w:bottom w:val="single" w:sz="4" w:space="0" w:color="auto"/>
              <w:right w:val="single" w:sz="4" w:space="0" w:color="auto"/>
            </w:tcBorders>
            <w:shd w:val="clear" w:color="auto" w:fill="auto"/>
            <w:vAlign w:val="center"/>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87</w:t>
            </w:r>
          </w:p>
        </w:tc>
      </w:tr>
      <w:tr w:rsidR="0094602A" w:rsidRPr="00B84847" w:rsidTr="0094602A">
        <w:trPr>
          <w:trHeight w:val="20"/>
        </w:trPr>
        <w:tc>
          <w:tcPr>
            <w:tcW w:w="2091" w:type="pct"/>
            <w:vMerge/>
            <w:tcBorders>
              <w:top w:val="nil"/>
              <w:left w:val="single" w:sz="4" w:space="0" w:color="auto"/>
              <w:bottom w:val="single" w:sz="4" w:space="0" w:color="auto"/>
              <w:right w:val="single" w:sz="4" w:space="0" w:color="auto"/>
            </w:tcBorders>
            <w:vAlign w:val="center"/>
            <w:hideMark/>
          </w:tcPr>
          <w:p w:rsidR="005C3590" w:rsidRPr="00D1669E"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rPr>
                <w:rFonts w:eastAsia="Times New Roman" w:cs="Arial"/>
                <w:color w:val="000000"/>
                <w:sz w:val="20"/>
                <w:szCs w:val="20"/>
                <w:highlight w:val="black"/>
              </w:rPr>
            </w:pPr>
            <w:r>
              <w:rPr>
                <w:rFonts w:eastAsia="Times New Roman" w:cs="Arial"/>
                <w:noProof/>
                <w:color w:val="000000"/>
                <w:sz w:val="20"/>
                <w:szCs w:val="20"/>
                <w:highlight w:val="black"/>
              </w:rPr>
              <w:t>'''' ''''''''''''''''''''' ''''''''''''''</w:t>
            </w:r>
          </w:p>
        </w:tc>
        <w:tc>
          <w:tcPr>
            <w:tcW w:w="724"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r>
      <w:tr w:rsidR="0094602A" w:rsidRPr="00B84847" w:rsidTr="0094602A">
        <w:trPr>
          <w:trHeight w:val="20"/>
        </w:trPr>
        <w:tc>
          <w:tcPr>
            <w:tcW w:w="20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C3590" w:rsidRPr="00D1669E" w:rsidRDefault="005C3590" w:rsidP="005C3590">
            <w:pPr>
              <w:spacing w:after="0"/>
              <w:rPr>
                <w:rFonts w:eastAsia="Times New Roman" w:cs="Arial"/>
                <w:color w:val="000000"/>
                <w:sz w:val="20"/>
                <w:szCs w:val="20"/>
              </w:rPr>
            </w:pPr>
            <w:r w:rsidRPr="00D1669E">
              <w:rPr>
                <w:rFonts w:eastAsia="Times New Roman" w:cs="Arial"/>
                <w:color w:val="000000"/>
                <w:sz w:val="20"/>
                <w:szCs w:val="20"/>
              </w:rPr>
              <w:t xml:space="preserve">Prescriptions </w:t>
            </w: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rPr>
                <w:rFonts w:cs="Arial"/>
                <w:color w:val="000000"/>
                <w:sz w:val="20"/>
                <w:szCs w:val="20"/>
                <w:highlight w:val="black"/>
              </w:rPr>
            </w:pPr>
            <w:r>
              <w:rPr>
                <w:rFonts w:cs="Arial"/>
                <w:noProof/>
                <w:color w:val="000000"/>
                <w:sz w:val="20"/>
                <w:szCs w:val="20"/>
                <w:highlight w:val="black"/>
              </w:rPr>
              <w:t>'''''''''''''''''''' ''''''</w:t>
            </w:r>
          </w:p>
        </w:tc>
        <w:tc>
          <w:tcPr>
            <w:tcW w:w="724"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r>
      <w:tr w:rsidR="0094602A" w:rsidRPr="00B84847" w:rsidTr="0094602A">
        <w:trPr>
          <w:trHeight w:val="20"/>
        </w:trPr>
        <w:tc>
          <w:tcPr>
            <w:tcW w:w="2091" w:type="pct"/>
            <w:vMerge/>
            <w:tcBorders>
              <w:top w:val="nil"/>
              <w:left w:val="single" w:sz="4" w:space="0" w:color="auto"/>
              <w:bottom w:val="single" w:sz="4" w:space="0" w:color="auto"/>
              <w:right w:val="single" w:sz="4" w:space="0" w:color="auto"/>
            </w:tcBorders>
            <w:vAlign w:val="center"/>
            <w:hideMark/>
          </w:tcPr>
          <w:p w:rsidR="005C3590" w:rsidRPr="00D1669E"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rPr>
                <w:rFonts w:cs="Arial"/>
                <w:color w:val="000000"/>
                <w:sz w:val="20"/>
                <w:szCs w:val="20"/>
                <w:highlight w:val="black"/>
              </w:rPr>
            </w:pPr>
            <w:r>
              <w:rPr>
                <w:rFonts w:cs="Arial"/>
                <w:noProof/>
                <w:color w:val="000000"/>
                <w:sz w:val="20"/>
                <w:szCs w:val="20"/>
                <w:highlight w:val="black"/>
              </w:rPr>
              <w:t>'''''''''''''''' '' ''''''''''''''' ''''''''</w:t>
            </w:r>
          </w:p>
        </w:tc>
        <w:tc>
          <w:tcPr>
            <w:tcW w:w="724"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r>
      <w:tr w:rsidR="0094602A" w:rsidRPr="00B84847" w:rsidTr="0094602A">
        <w:trPr>
          <w:trHeight w:val="20"/>
        </w:trPr>
        <w:tc>
          <w:tcPr>
            <w:tcW w:w="2091" w:type="pct"/>
            <w:vMerge/>
            <w:tcBorders>
              <w:top w:val="nil"/>
              <w:left w:val="single" w:sz="4" w:space="0" w:color="auto"/>
              <w:bottom w:val="single" w:sz="4" w:space="0" w:color="auto"/>
              <w:right w:val="single" w:sz="4" w:space="0" w:color="auto"/>
            </w:tcBorders>
            <w:vAlign w:val="center"/>
            <w:hideMark/>
          </w:tcPr>
          <w:p w:rsidR="005C3590" w:rsidRPr="00D1669E"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5C3590" w:rsidP="0094602A">
            <w:pPr>
              <w:spacing w:after="0"/>
              <w:rPr>
                <w:rFonts w:cs="Arial"/>
                <w:color w:val="000000"/>
                <w:sz w:val="20"/>
                <w:szCs w:val="20"/>
              </w:rPr>
            </w:pPr>
            <w:r w:rsidRPr="00D1669E">
              <w:rPr>
                <w:rFonts w:eastAsia="Times New Roman" w:cs="Arial"/>
                <w:color w:val="000000"/>
                <w:sz w:val="20"/>
                <w:szCs w:val="20"/>
              </w:rPr>
              <w:t>Actual (A)</w:t>
            </w:r>
          </w:p>
        </w:tc>
        <w:tc>
          <w:tcPr>
            <w:tcW w:w="724" w:type="pct"/>
            <w:tcBorders>
              <w:top w:val="nil"/>
              <w:left w:val="nil"/>
              <w:bottom w:val="single" w:sz="4" w:space="0" w:color="auto"/>
              <w:right w:val="single" w:sz="4" w:space="0" w:color="auto"/>
            </w:tcBorders>
            <w:shd w:val="clear" w:color="auto" w:fill="auto"/>
            <w:noWrap/>
            <w:vAlign w:val="center"/>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453</w:t>
            </w:r>
          </w:p>
        </w:tc>
        <w:tc>
          <w:tcPr>
            <w:tcW w:w="722" w:type="pct"/>
            <w:tcBorders>
              <w:top w:val="nil"/>
              <w:left w:val="nil"/>
              <w:bottom w:val="single" w:sz="4" w:space="0" w:color="auto"/>
              <w:right w:val="single" w:sz="4" w:space="0" w:color="auto"/>
            </w:tcBorders>
            <w:shd w:val="clear" w:color="auto" w:fill="auto"/>
            <w:noWrap/>
            <w:vAlign w:val="center"/>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514</w:t>
            </w:r>
          </w:p>
        </w:tc>
        <w:tc>
          <w:tcPr>
            <w:tcW w:w="722" w:type="pct"/>
            <w:tcBorders>
              <w:top w:val="nil"/>
              <w:left w:val="nil"/>
              <w:bottom w:val="single" w:sz="4" w:space="0" w:color="auto"/>
              <w:right w:val="single" w:sz="4" w:space="0" w:color="auto"/>
            </w:tcBorders>
            <w:shd w:val="clear" w:color="auto" w:fill="auto"/>
            <w:noWrap/>
            <w:vAlign w:val="center"/>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335</w:t>
            </w:r>
          </w:p>
        </w:tc>
      </w:tr>
      <w:tr w:rsidR="0094602A" w:rsidRPr="00B84847" w:rsidTr="0094602A">
        <w:trPr>
          <w:trHeight w:val="20"/>
        </w:trPr>
        <w:tc>
          <w:tcPr>
            <w:tcW w:w="2091" w:type="pct"/>
            <w:vMerge/>
            <w:tcBorders>
              <w:top w:val="nil"/>
              <w:left w:val="single" w:sz="4" w:space="0" w:color="auto"/>
              <w:bottom w:val="single" w:sz="4" w:space="0" w:color="auto"/>
              <w:right w:val="single" w:sz="4" w:space="0" w:color="auto"/>
            </w:tcBorders>
            <w:vAlign w:val="center"/>
          </w:tcPr>
          <w:p w:rsidR="005C3590" w:rsidRPr="00D1669E"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tcPr>
          <w:p w:rsidR="005C3590" w:rsidRPr="00FF391C" w:rsidRDefault="00FF391C" w:rsidP="0094602A">
            <w:pPr>
              <w:spacing w:after="0"/>
              <w:rPr>
                <w:rFonts w:cs="Arial"/>
                <w:color w:val="000000"/>
                <w:sz w:val="20"/>
                <w:szCs w:val="20"/>
                <w:highlight w:val="black"/>
              </w:rPr>
            </w:pPr>
            <w:r>
              <w:rPr>
                <w:rFonts w:cs="Arial"/>
                <w:noProof/>
                <w:color w:val="000000"/>
                <w:sz w:val="20"/>
                <w:szCs w:val="20"/>
                <w:highlight w:val="black"/>
              </w:rPr>
              <w:t>''' ''''''''''''''''' ''''''''''''</w:t>
            </w:r>
          </w:p>
        </w:tc>
        <w:tc>
          <w:tcPr>
            <w:tcW w:w="724" w:type="pct"/>
            <w:tcBorders>
              <w:top w:val="nil"/>
              <w:left w:val="nil"/>
              <w:bottom w:val="single" w:sz="4" w:space="0" w:color="auto"/>
              <w:right w:val="single" w:sz="4" w:space="0" w:color="auto"/>
            </w:tcBorders>
            <w:shd w:val="clear" w:color="auto" w:fill="auto"/>
            <w:vAlign w:val="center"/>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r>
      <w:tr w:rsidR="0094602A" w:rsidRPr="00B84847" w:rsidTr="0094602A">
        <w:trPr>
          <w:trHeight w:val="20"/>
        </w:trPr>
        <w:tc>
          <w:tcPr>
            <w:tcW w:w="2091" w:type="pct"/>
            <w:vMerge/>
            <w:tcBorders>
              <w:top w:val="nil"/>
              <w:left w:val="single" w:sz="4" w:space="0" w:color="auto"/>
              <w:bottom w:val="single" w:sz="4" w:space="0" w:color="auto"/>
              <w:right w:val="single" w:sz="4" w:space="0" w:color="auto"/>
            </w:tcBorders>
            <w:vAlign w:val="center"/>
            <w:hideMark/>
          </w:tcPr>
          <w:p w:rsidR="005C3590" w:rsidRPr="00D1669E"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rPr>
                <w:rFonts w:cs="Arial"/>
                <w:color w:val="000000"/>
                <w:sz w:val="20"/>
                <w:szCs w:val="20"/>
                <w:highlight w:val="black"/>
              </w:rPr>
            </w:pPr>
            <w:r>
              <w:rPr>
                <w:rFonts w:cs="Arial"/>
                <w:noProof/>
                <w:color w:val="000000"/>
                <w:sz w:val="20"/>
                <w:szCs w:val="20"/>
                <w:highlight w:val="black"/>
              </w:rPr>
              <w:t>''' ''''''''''''''''' ''''''''''''''''''''</w:t>
            </w:r>
          </w:p>
        </w:tc>
        <w:tc>
          <w:tcPr>
            <w:tcW w:w="724"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cs="Arial"/>
                <w:color w:val="000000"/>
                <w:sz w:val="20"/>
                <w:szCs w:val="20"/>
                <w:highlight w:val="black"/>
              </w:rPr>
            </w:pPr>
            <w:r>
              <w:rPr>
                <w:rFonts w:cs="Arial"/>
                <w:noProof/>
                <w:color w:val="000000"/>
                <w:sz w:val="20"/>
                <w:szCs w:val="20"/>
                <w:highlight w:val="black"/>
              </w:rPr>
              <w:t>''''''</w:t>
            </w:r>
          </w:p>
        </w:tc>
      </w:tr>
      <w:tr w:rsidR="0094602A" w:rsidRPr="00B84847" w:rsidTr="0094602A">
        <w:trPr>
          <w:trHeight w:val="20"/>
        </w:trPr>
        <w:tc>
          <w:tcPr>
            <w:tcW w:w="209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5C3590" w:rsidRPr="00D1669E" w:rsidRDefault="005C3590" w:rsidP="005C3590">
            <w:pPr>
              <w:spacing w:after="0"/>
              <w:rPr>
                <w:rFonts w:eastAsia="Times New Roman" w:cs="Arial"/>
                <w:color w:val="000000"/>
                <w:sz w:val="20"/>
                <w:szCs w:val="20"/>
              </w:rPr>
            </w:pPr>
            <w:r w:rsidRPr="00D1669E">
              <w:rPr>
                <w:rFonts w:eastAsia="Times New Roman" w:cs="Arial"/>
                <w:color w:val="000000"/>
                <w:sz w:val="20"/>
                <w:szCs w:val="20"/>
              </w:rPr>
              <w:t>Prescriptions per patient</w:t>
            </w: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rPr>
                <w:rFonts w:eastAsia="Times New Roman" w:cs="Arial"/>
                <w:color w:val="000000"/>
                <w:sz w:val="20"/>
                <w:szCs w:val="20"/>
                <w:highlight w:val="black"/>
              </w:rPr>
            </w:pPr>
            <w:r>
              <w:rPr>
                <w:rFonts w:eastAsia="Times New Roman" w:cs="Arial"/>
                <w:noProof/>
                <w:color w:val="000000"/>
                <w:sz w:val="20"/>
                <w:szCs w:val="20"/>
                <w:highlight w:val="black"/>
              </w:rPr>
              <w:t>'''''''''''''''''' ''''''</w:t>
            </w:r>
          </w:p>
        </w:tc>
        <w:tc>
          <w:tcPr>
            <w:tcW w:w="724"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r>
      <w:tr w:rsidR="0094602A" w:rsidRPr="00B84847" w:rsidTr="0094602A">
        <w:trPr>
          <w:trHeight w:val="20"/>
        </w:trPr>
        <w:tc>
          <w:tcPr>
            <w:tcW w:w="2091" w:type="pct"/>
            <w:vMerge/>
            <w:tcBorders>
              <w:top w:val="nil"/>
              <w:left w:val="single" w:sz="4" w:space="0" w:color="auto"/>
              <w:bottom w:val="single" w:sz="4" w:space="0" w:color="000000"/>
              <w:right w:val="single" w:sz="4" w:space="0" w:color="auto"/>
            </w:tcBorders>
            <w:vAlign w:val="center"/>
            <w:hideMark/>
          </w:tcPr>
          <w:p w:rsidR="005C3590" w:rsidRPr="00D1669E"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5C3590" w:rsidP="0094602A">
            <w:pPr>
              <w:spacing w:after="0"/>
              <w:rPr>
                <w:rFonts w:eastAsia="Times New Roman" w:cs="Arial"/>
                <w:color w:val="000000"/>
                <w:sz w:val="20"/>
                <w:szCs w:val="20"/>
              </w:rPr>
            </w:pPr>
            <w:r w:rsidRPr="00D1669E">
              <w:rPr>
                <w:rFonts w:eastAsia="Times New Roman" w:cs="Arial"/>
                <w:color w:val="000000"/>
                <w:sz w:val="20"/>
                <w:szCs w:val="20"/>
              </w:rPr>
              <w:t>Actual (A)</w:t>
            </w:r>
          </w:p>
        </w:tc>
        <w:tc>
          <w:tcPr>
            <w:tcW w:w="724" w:type="pct"/>
            <w:tcBorders>
              <w:top w:val="nil"/>
              <w:left w:val="nil"/>
              <w:bottom w:val="single" w:sz="4" w:space="0" w:color="auto"/>
              <w:right w:val="single" w:sz="4" w:space="0" w:color="auto"/>
            </w:tcBorders>
            <w:shd w:val="clear" w:color="auto" w:fill="auto"/>
            <w:vAlign w:val="center"/>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4.3</w:t>
            </w:r>
          </w:p>
        </w:tc>
        <w:tc>
          <w:tcPr>
            <w:tcW w:w="722" w:type="pct"/>
            <w:tcBorders>
              <w:top w:val="nil"/>
              <w:left w:val="nil"/>
              <w:bottom w:val="single" w:sz="4" w:space="0" w:color="auto"/>
              <w:right w:val="single" w:sz="4" w:space="0" w:color="auto"/>
            </w:tcBorders>
            <w:shd w:val="clear" w:color="auto" w:fill="auto"/>
            <w:vAlign w:val="center"/>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4.4</w:t>
            </w:r>
          </w:p>
        </w:tc>
        <w:tc>
          <w:tcPr>
            <w:tcW w:w="722" w:type="pct"/>
            <w:tcBorders>
              <w:top w:val="nil"/>
              <w:left w:val="nil"/>
              <w:bottom w:val="single" w:sz="4" w:space="0" w:color="auto"/>
              <w:right w:val="single" w:sz="4" w:space="0" w:color="auto"/>
            </w:tcBorders>
            <w:shd w:val="clear" w:color="auto" w:fill="auto"/>
            <w:vAlign w:val="center"/>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3.9</w:t>
            </w:r>
          </w:p>
        </w:tc>
      </w:tr>
      <w:tr w:rsidR="0094602A" w:rsidRPr="00B84847" w:rsidTr="0094602A">
        <w:trPr>
          <w:trHeight w:val="20"/>
        </w:trPr>
        <w:tc>
          <w:tcPr>
            <w:tcW w:w="2091" w:type="pct"/>
            <w:vMerge/>
            <w:tcBorders>
              <w:top w:val="nil"/>
              <w:left w:val="single" w:sz="4" w:space="0" w:color="auto"/>
              <w:bottom w:val="single" w:sz="4" w:space="0" w:color="000000"/>
              <w:right w:val="single" w:sz="4" w:space="0" w:color="auto"/>
            </w:tcBorders>
            <w:vAlign w:val="center"/>
            <w:hideMark/>
          </w:tcPr>
          <w:p w:rsidR="005C3590" w:rsidRPr="00D1669E"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rPr>
                <w:rFonts w:eastAsia="Times New Roman" w:cs="Arial"/>
                <w:color w:val="000000"/>
                <w:sz w:val="20"/>
                <w:szCs w:val="20"/>
                <w:highlight w:val="black"/>
              </w:rPr>
            </w:pPr>
            <w:r>
              <w:rPr>
                <w:rFonts w:eastAsia="Times New Roman" w:cs="Arial"/>
                <w:noProof/>
                <w:color w:val="000000"/>
                <w:sz w:val="20"/>
                <w:szCs w:val="20"/>
                <w:highlight w:val="black"/>
              </w:rPr>
              <w:t>''' ''''''''''''''''''' '''''''''''''''</w:t>
            </w:r>
          </w:p>
        </w:tc>
        <w:tc>
          <w:tcPr>
            <w:tcW w:w="724"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r>
      <w:tr w:rsidR="0094602A" w:rsidRPr="00B84847" w:rsidTr="0094602A">
        <w:trPr>
          <w:trHeight w:val="20"/>
        </w:trPr>
        <w:tc>
          <w:tcPr>
            <w:tcW w:w="209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5C3590" w:rsidRPr="00D1669E" w:rsidRDefault="005C3590" w:rsidP="005C3590">
            <w:pPr>
              <w:spacing w:after="0"/>
              <w:rPr>
                <w:rFonts w:eastAsia="Times New Roman" w:cs="Arial"/>
                <w:color w:val="000000"/>
                <w:sz w:val="20"/>
                <w:szCs w:val="20"/>
              </w:rPr>
            </w:pPr>
            <w:r w:rsidRPr="00D1669E">
              <w:rPr>
                <w:rFonts w:eastAsia="Times New Roman" w:cs="Arial"/>
                <w:color w:val="000000"/>
                <w:sz w:val="20"/>
                <w:szCs w:val="20"/>
              </w:rPr>
              <w:t>R/PBS expenditure (published)</w:t>
            </w: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rPr>
                <w:rFonts w:eastAsia="Times New Roman" w:cs="Arial"/>
                <w:color w:val="000000"/>
                <w:sz w:val="20"/>
                <w:szCs w:val="20"/>
                <w:highlight w:val="black"/>
              </w:rPr>
            </w:pPr>
            <w:r>
              <w:rPr>
                <w:rFonts w:eastAsia="Times New Roman" w:cs="Arial"/>
                <w:noProof/>
                <w:color w:val="000000"/>
                <w:sz w:val="20"/>
                <w:szCs w:val="20"/>
                <w:highlight w:val="black"/>
              </w:rPr>
              <w:t>'''''''''''''''' ''''''</w:t>
            </w:r>
          </w:p>
        </w:tc>
        <w:tc>
          <w:tcPr>
            <w:tcW w:w="724" w:type="pct"/>
            <w:tcBorders>
              <w:top w:val="nil"/>
              <w:left w:val="nil"/>
              <w:bottom w:val="single" w:sz="4" w:space="0" w:color="auto"/>
              <w:right w:val="single" w:sz="4" w:space="0" w:color="auto"/>
            </w:tcBorders>
            <w:shd w:val="clear" w:color="auto" w:fill="auto"/>
            <w:noWrap/>
            <w:vAlign w:val="bottom"/>
            <w:hideMark/>
          </w:tcPr>
          <w:p w:rsidR="005C3590" w:rsidRPr="00FF391C" w:rsidRDefault="00FF391C" w:rsidP="0094602A">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noWrap/>
            <w:vAlign w:val="bottom"/>
            <w:hideMark/>
          </w:tcPr>
          <w:p w:rsidR="005C3590" w:rsidRPr="00FF391C" w:rsidRDefault="00FF391C" w:rsidP="0094602A">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noWrap/>
            <w:vAlign w:val="bottom"/>
            <w:hideMark/>
          </w:tcPr>
          <w:p w:rsidR="005C3590" w:rsidRPr="00FF391C" w:rsidRDefault="00FF391C" w:rsidP="0094602A">
            <w:pPr>
              <w:spacing w:after="0"/>
              <w:jc w:val="center"/>
              <w:rPr>
                <w:rFonts w:eastAsia="Times New Roman" w:cs="Arial"/>
                <w:sz w:val="20"/>
                <w:szCs w:val="20"/>
                <w:highlight w:val="black"/>
              </w:rPr>
            </w:pPr>
            <w:r>
              <w:rPr>
                <w:rFonts w:eastAsia="Times New Roman" w:cs="Arial"/>
                <w:noProof/>
                <w:color w:val="000000"/>
                <w:sz w:val="20"/>
                <w:szCs w:val="20"/>
                <w:highlight w:val="black"/>
              </w:rPr>
              <w:t>'''''''''''''''''''''</w:t>
            </w:r>
          </w:p>
        </w:tc>
      </w:tr>
      <w:tr w:rsidR="0094602A" w:rsidRPr="00D1669E" w:rsidTr="0094602A">
        <w:trPr>
          <w:trHeight w:val="20"/>
        </w:trPr>
        <w:tc>
          <w:tcPr>
            <w:tcW w:w="2091" w:type="pct"/>
            <w:vMerge/>
            <w:tcBorders>
              <w:top w:val="nil"/>
              <w:left w:val="single" w:sz="4" w:space="0" w:color="auto"/>
              <w:bottom w:val="single" w:sz="4" w:space="0" w:color="000000"/>
              <w:right w:val="single" w:sz="4" w:space="0" w:color="auto"/>
            </w:tcBorders>
            <w:vAlign w:val="center"/>
            <w:hideMark/>
          </w:tcPr>
          <w:p w:rsidR="005C3590" w:rsidRPr="00FF391C"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5C3590" w:rsidP="0094602A">
            <w:pPr>
              <w:spacing w:after="0"/>
              <w:rPr>
                <w:rFonts w:eastAsia="Times New Roman" w:cs="Arial"/>
                <w:color w:val="000000"/>
                <w:sz w:val="20"/>
                <w:szCs w:val="20"/>
              </w:rPr>
            </w:pPr>
            <w:r w:rsidRPr="00D1669E">
              <w:rPr>
                <w:rFonts w:eastAsia="Times New Roman" w:cs="Arial"/>
                <w:color w:val="000000"/>
                <w:sz w:val="20"/>
                <w:szCs w:val="20"/>
              </w:rPr>
              <w:t>Actual (A)</w:t>
            </w:r>
          </w:p>
        </w:tc>
        <w:tc>
          <w:tcPr>
            <w:tcW w:w="724" w:type="pct"/>
            <w:tcBorders>
              <w:top w:val="nil"/>
              <w:left w:val="nil"/>
              <w:bottom w:val="single" w:sz="4" w:space="0" w:color="auto"/>
              <w:right w:val="single" w:sz="4" w:space="0" w:color="auto"/>
            </w:tcBorders>
            <w:shd w:val="clear" w:color="auto" w:fill="auto"/>
            <w:noWrap/>
            <w:vAlign w:val="bottom"/>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$1,498,960</w:t>
            </w:r>
          </w:p>
        </w:tc>
        <w:tc>
          <w:tcPr>
            <w:tcW w:w="722" w:type="pct"/>
            <w:tcBorders>
              <w:top w:val="nil"/>
              <w:left w:val="nil"/>
              <w:bottom w:val="single" w:sz="4" w:space="0" w:color="auto"/>
              <w:right w:val="single" w:sz="4" w:space="0" w:color="auto"/>
            </w:tcBorders>
            <w:shd w:val="clear" w:color="auto" w:fill="auto"/>
            <w:noWrap/>
            <w:vAlign w:val="bottom"/>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$1,835,211</w:t>
            </w:r>
          </w:p>
        </w:tc>
        <w:tc>
          <w:tcPr>
            <w:tcW w:w="722" w:type="pct"/>
            <w:tcBorders>
              <w:top w:val="nil"/>
              <w:left w:val="nil"/>
              <w:bottom w:val="single" w:sz="4" w:space="0" w:color="auto"/>
              <w:right w:val="single" w:sz="4" w:space="0" w:color="auto"/>
            </w:tcBorders>
            <w:shd w:val="clear" w:color="auto" w:fill="auto"/>
            <w:noWrap/>
            <w:vAlign w:val="bottom"/>
            <w:hideMark/>
          </w:tcPr>
          <w:p w:rsidR="005C3590" w:rsidRPr="00D1669E" w:rsidRDefault="005C3590" w:rsidP="0094602A">
            <w:pPr>
              <w:spacing w:after="0"/>
              <w:jc w:val="center"/>
              <w:rPr>
                <w:rFonts w:eastAsia="Times New Roman" w:cs="Arial"/>
                <w:color w:val="000000"/>
                <w:sz w:val="20"/>
                <w:szCs w:val="20"/>
              </w:rPr>
            </w:pPr>
            <w:r w:rsidRPr="00D1669E">
              <w:rPr>
                <w:rFonts w:eastAsia="Times New Roman" w:cs="Arial"/>
                <w:color w:val="000000"/>
                <w:sz w:val="20"/>
                <w:szCs w:val="20"/>
              </w:rPr>
              <w:t>$1,389,243</w:t>
            </w:r>
          </w:p>
        </w:tc>
      </w:tr>
      <w:tr w:rsidR="0094602A" w:rsidRPr="00B84847" w:rsidTr="0094602A">
        <w:trPr>
          <w:trHeight w:val="20"/>
        </w:trPr>
        <w:tc>
          <w:tcPr>
            <w:tcW w:w="2091" w:type="pct"/>
            <w:vMerge/>
            <w:tcBorders>
              <w:top w:val="nil"/>
              <w:left w:val="single" w:sz="4" w:space="0" w:color="auto"/>
              <w:bottom w:val="single" w:sz="4" w:space="0" w:color="000000"/>
              <w:right w:val="single" w:sz="4" w:space="0" w:color="auto"/>
            </w:tcBorders>
            <w:vAlign w:val="center"/>
            <w:hideMark/>
          </w:tcPr>
          <w:p w:rsidR="005C3590" w:rsidRPr="00FF391C" w:rsidRDefault="005C3590" w:rsidP="005C3590">
            <w:pPr>
              <w:spacing w:after="0"/>
              <w:rPr>
                <w:rFonts w:eastAsia="Times New Roman" w:cs="Arial"/>
                <w:color w:val="000000"/>
                <w:sz w:val="20"/>
                <w:szCs w:val="20"/>
              </w:rPr>
            </w:pPr>
          </w:p>
        </w:tc>
        <w:tc>
          <w:tcPr>
            <w:tcW w:w="740"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rPr>
                <w:rFonts w:eastAsia="Times New Roman" w:cs="Arial"/>
                <w:color w:val="000000"/>
                <w:sz w:val="20"/>
                <w:szCs w:val="20"/>
                <w:highlight w:val="black"/>
              </w:rPr>
            </w:pPr>
            <w:r>
              <w:rPr>
                <w:rFonts w:eastAsia="Times New Roman" w:cs="Arial"/>
                <w:noProof/>
                <w:color w:val="000000"/>
                <w:sz w:val="20"/>
                <w:szCs w:val="20"/>
                <w:highlight w:val="black"/>
              </w:rPr>
              <w:t>''' ''''''''''''''''''''' ''''''''''''</w:t>
            </w:r>
          </w:p>
        </w:tc>
        <w:tc>
          <w:tcPr>
            <w:tcW w:w="724"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c>
          <w:tcPr>
            <w:tcW w:w="722" w:type="pct"/>
            <w:tcBorders>
              <w:top w:val="nil"/>
              <w:left w:val="nil"/>
              <w:bottom w:val="single" w:sz="4" w:space="0" w:color="auto"/>
              <w:right w:val="single" w:sz="4" w:space="0" w:color="auto"/>
            </w:tcBorders>
            <w:shd w:val="clear" w:color="auto" w:fill="auto"/>
            <w:vAlign w:val="center"/>
            <w:hideMark/>
          </w:tcPr>
          <w:p w:rsidR="005C3590" w:rsidRPr="00FF391C" w:rsidRDefault="00FF391C" w:rsidP="0094602A">
            <w:pPr>
              <w:spacing w:after="0"/>
              <w:jc w:val="center"/>
              <w:rPr>
                <w:rFonts w:eastAsia="Times New Roman" w:cs="Arial"/>
                <w:color w:val="000000"/>
                <w:sz w:val="20"/>
                <w:szCs w:val="20"/>
                <w:highlight w:val="black"/>
              </w:rPr>
            </w:pPr>
            <w:r>
              <w:rPr>
                <w:rFonts w:eastAsia="Times New Roman" w:cs="Arial"/>
                <w:noProof/>
                <w:color w:val="000000"/>
                <w:sz w:val="20"/>
                <w:szCs w:val="20"/>
                <w:highlight w:val="black"/>
              </w:rPr>
              <w:t>''''''''''</w:t>
            </w:r>
          </w:p>
        </w:tc>
      </w:tr>
    </w:tbl>
    <w:p w:rsidR="005C3590" w:rsidRPr="00504AA2" w:rsidRDefault="005C3590" w:rsidP="005C3590">
      <w:pPr>
        <w:widowControl w:val="0"/>
        <w:spacing w:after="0"/>
        <w:rPr>
          <w:rFonts w:ascii="Calibri" w:eastAsia="Times New Roman" w:hAnsi="Calibri" w:cs="Times New Roman"/>
          <w:iCs/>
          <w:snapToGrid w:val="0"/>
          <w:sz w:val="20"/>
          <w:szCs w:val="20"/>
          <w:lang w:eastAsia="en-US"/>
        </w:rPr>
      </w:pPr>
      <w:r w:rsidRPr="00504AA2">
        <w:rPr>
          <w:rFonts w:ascii="Calibri" w:eastAsia="Times New Roman" w:hAnsi="Calibri" w:cs="Times New Roman"/>
          <w:iCs/>
          <w:snapToGrid w:val="0"/>
          <w:sz w:val="20"/>
          <w:szCs w:val="20"/>
          <w:lang w:eastAsia="en-US"/>
        </w:rPr>
        <w:t>Source</w:t>
      </w:r>
      <w:r>
        <w:rPr>
          <w:rFonts w:ascii="Calibri" w:eastAsia="Times New Roman" w:hAnsi="Calibri" w:cs="Times New Roman"/>
          <w:iCs/>
          <w:snapToGrid w:val="0"/>
          <w:sz w:val="20"/>
          <w:szCs w:val="20"/>
          <w:lang w:eastAsia="en-US"/>
        </w:rPr>
        <w:t>: Final agreed estimates</w:t>
      </w:r>
    </w:p>
    <w:p w:rsidR="005C3590" w:rsidRDefault="005C3590" w:rsidP="005C3590">
      <w:pPr>
        <w:widowControl w:val="0"/>
        <w:spacing w:after="0"/>
        <w:rPr>
          <w:rFonts w:ascii="Calibri" w:eastAsia="Times New Roman" w:hAnsi="Calibri" w:cs="Times New Roman"/>
          <w:iCs/>
          <w:snapToGrid w:val="0"/>
          <w:sz w:val="20"/>
          <w:szCs w:val="20"/>
          <w:lang w:eastAsia="en-US"/>
        </w:rPr>
      </w:pPr>
      <w:r w:rsidRPr="00C270D8">
        <w:rPr>
          <w:rFonts w:ascii="Calibri" w:eastAsia="Times New Roman" w:hAnsi="Calibri" w:cs="Times New Roman"/>
          <w:iCs/>
          <w:snapToGrid w:val="0"/>
          <w:sz w:val="20"/>
          <w:szCs w:val="20"/>
          <w:lang w:eastAsia="en-US"/>
        </w:rPr>
        <w:t>* The predicted number</w:t>
      </w:r>
      <w:r>
        <w:rPr>
          <w:rFonts w:ascii="Calibri" w:eastAsia="Times New Roman" w:hAnsi="Calibri" w:cs="Times New Roman"/>
          <w:iCs/>
          <w:snapToGrid w:val="0"/>
          <w:sz w:val="20"/>
          <w:szCs w:val="20"/>
          <w:lang w:eastAsia="en-US"/>
        </w:rPr>
        <w:t xml:space="preserve"> </w:t>
      </w:r>
      <w:r w:rsidRPr="00C270D8">
        <w:rPr>
          <w:rFonts w:ascii="Calibri" w:eastAsia="Times New Roman" w:hAnsi="Calibri" w:cs="Times New Roman"/>
          <w:iCs/>
          <w:snapToGrid w:val="0"/>
          <w:sz w:val="20"/>
          <w:szCs w:val="20"/>
          <w:lang w:eastAsia="en-US"/>
        </w:rPr>
        <w:t xml:space="preserve">of prescriptions was based on </w:t>
      </w:r>
      <w:r>
        <w:rPr>
          <w:rFonts w:ascii="Calibri" w:eastAsia="Times New Roman" w:hAnsi="Calibri" w:cs="Times New Roman"/>
          <w:iCs/>
          <w:snapToGrid w:val="0"/>
          <w:sz w:val="20"/>
          <w:szCs w:val="20"/>
          <w:lang w:eastAsia="en-US"/>
        </w:rPr>
        <w:t xml:space="preserve">the </w:t>
      </w:r>
      <w:r w:rsidR="00FF391C">
        <w:rPr>
          <w:rFonts w:ascii="Calibri" w:eastAsia="Times New Roman" w:hAnsi="Calibri" w:cs="Times New Roman"/>
          <w:iCs/>
          <w:noProof/>
          <w:snapToGrid w:val="0"/>
          <w:color w:val="000000"/>
          <w:sz w:val="20"/>
          <w:szCs w:val="20"/>
          <w:highlight w:val="black"/>
          <w:lang w:eastAsia="en-US"/>
        </w:rPr>
        <w:t>'''''''''</w:t>
      </w:r>
      <w:r>
        <w:rPr>
          <w:rFonts w:ascii="Calibri" w:eastAsia="Times New Roman" w:hAnsi="Calibri" w:cs="Times New Roman"/>
          <w:iCs/>
          <w:snapToGrid w:val="0"/>
          <w:sz w:val="20"/>
          <w:szCs w:val="20"/>
          <w:lang w:eastAsia="en-US"/>
        </w:rPr>
        <w:t xml:space="preserve">% of </w:t>
      </w:r>
      <w:r w:rsidRPr="00C270D8">
        <w:rPr>
          <w:rFonts w:ascii="Calibri" w:eastAsia="Times New Roman" w:hAnsi="Calibri" w:cs="Times New Roman"/>
          <w:iCs/>
          <w:snapToGrid w:val="0"/>
          <w:sz w:val="20"/>
          <w:szCs w:val="20"/>
          <w:lang w:eastAsia="en-US"/>
        </w:rPr>
        <w:t>patients on a dose of 37.5</w:t>
      </w:r>
      <w:r w:rsidR="00692895">
        <w:rPr>
          <w:rFonts w:ascii="Calibri" w:eastAsia="Times New Roman" w:hAnsi="Calibri" w:cs="Times New Roman"/>
          <w:iCs/>
          <w:snapToGrid w:val="0"/>
          <w:sz w:val="20"/>
          <w:szCs w:val="20"/>
          <w:lang w:eastAsia="en-US"/>
        </w:rPr>
        <w:t> </w:t>
      </w:r>
      <w:r w:rsidRPr="00C270D8">
        <w:rPr>
          <w:rFonts w:ascii="Calibri" w:eastAsia="Times New Roman" w:hAnsi="Calibri" w:cs="Times New Roman"/>
          <w:iCs/>
          <w:snapToGrid w:val="0"/>
          <w:sz w:val="20"/>
          <w:szCs w:val="20"/>
          <w:lang w:eastAsia="en-US"/>
        </w:rPr>
        <w:t>mg having only one prescription. However, this was incorrect and these patients would have required 2 prescriptions (one each for the 12.5</w:t>
      </w:r>
      <w:r w:rsidR="00692895">
        <w:rPr>
          <w:rFonts w:ascii="Calibri" w:eastAsia="Times New Roman" w:hAnsi="Calibri" w:cs="Times New Roman"/>
          <w:iCs/>
          <w:snapToGrid w:val="0"/>
          <w:sz w:val="20"/>
          <w:szCs w:val="20"/>
          <w:lang w:eastAsia="en-US"/>
        </w:rPr>
        <w:t> </w:t>
      </w:r>
      <w:r w:rsidRPr="00C270D8">
        <w:rPr>
          <w:rFonts w:ascii="Calibri" w:eastAsia="Times New Roman" w:hAnsi="Calibri" w:cs="Times New Roman"/>
          <w:iCs/>
          <w:snapToGrid w:val="0"/>
          <w:sz w:val="20"/>
          <w:szCs w:val="20"/>
          <w:lang w:eastAsia="en-US"/>
        </w:rPr>
        <w:t>mg and 25</w:t>
      </w:r>
      <w:r w:rsidR="00692895">
        <w:rPr>
          <w:rFonts w:ascii="Calibri" w:eastAsia="Times New Roman" w:hAnsi="Calibri" w:cs="Times New Roman"/>
          <w:iCs/>
          <w:snapToGrid w:val="0"/>
          <w:sz w:val="20"/>
          <w:szCs w:val="20"/>
          <w:lang w:eastAsia="en-US"/>
        </w:rPr>
        <w:t> </w:t>
      </w:r>
      <w:r w:rsidRPr="00C270D8">
        <w:rPr>
          <w:rFonts w:ascii="Calibri" w:eastAsia="Times New Roman" w:hAnsi="Calibri" w:cs="Times New Roman"/>
          <w:iCs/>
          <w:snapToGrid w:val="0"/>
          <w:sz w:val="20"/>
          <w:szCs w:val="20"/>
          <w:lang w:eastAsia="en-US"/>
        </w:rPr>
        <w:t>mg strengths) up until the 37.5</w:t>
      </w:r>
      <w:r w:rsidR="00692895">
        <w:rPr>
          <w:rFonts w:ascii="Calibri" w:eastAsia="Times New Roman" w:hAnsi="Calibri" w:cs="Times New Roman"/>
          <w:iCs/>
          <w:snapToGrid w:val="0"/>
          <w:sz w:val="20"/>
          <w:szCs w:val="20"/>
          <w:lang w:eastAsia="en-US"/>
        </w:rPr>
        <w:t> </w:t>
      </w:r>
      <w:r w:rsidRPr="00C270D8">
        <w:rPr>
          <w:rFonts w:ascii="Calibri" w:eastAsia="Times New Roman" w:hAnsi="Calibri" w:cs="Times New Roman"/>
          <w:iCs/>
          <w:snapToGrid w:val="0"/>
          <w:sz w:val="20"/>
          <w:szCs w:val="20"/>
          <w:lang w:eastAsia="en-US"/>
        </w:rPr>
        <w:t>mg strength was listed in September 2015. Thus the Year 1 and 2 figures have been adjusted</w:t>
      </w:r>
      <w:r w:rsidR="00856B66">
        <w:rPr>
          <w:rFonts w:ascii="Calibri" w:eastAsia="Times New Roman" w:hAnsi="Calibri" w:cs="Times New Roman"/>
          <w:iCs/>
          <w:snapToGrid w:val="0"/>
          <w:sz w:val="20"/>
          <w:szCs w:val="20"/>
          <w:lang w:eastAsia="en-US"/>
        </w:rPr>
        <w:t xml:space="preserve"> in this report</w:t>
      </w:r>
      <w:r w:rsidRPr="00C270D8">
        <w:rPr>
          <w:rFonts w:ascii="Calibri" w:eastAsia="Times New Roman" w:hAnsi="Calibri" w:cs="Times New Roman"/>
          <w:iCs/>
          <w:snapToGrid w:val="0"/>
          <w:sz w:val="20"/>
          <w:szCs w:val="20"/>
          <w:lang w:eastAsia="en-US"/>
        </w:rPr>
        <w:t xml:space="preserve"> to take this into account. Year 3 is not adjusted as the listing of  the 37.5</w:t>
      </w:r>
      <w:r w:rsidR="00692895">
        <w:rPr>
          <w:rFonts w:ascii="Calibri" w:eastAsia="Times New Roman" w:hAnsi="Calibri" w:cs="Times New Roman"/>
          <w:iCs/>
          <w:snapToGrid w:val="0"/>
          <w:sz w:val="20"/>
          <w:szCs w:val="20"/>
          <w:lang w:eastAsia="en-US"/>
        </w:rPr>
        <w:t> </w:t>
      </w:r>
      <w:r w:rsidRPr="00C270D8">
        <w:rPr>
          <w:rFonts w:ascii="Calibri" w:eastAsia="Times New Roman" w:hAnsi="Calibri" w:cs="Times New Roman"/>
          <w:iCs/>
          <w:snapToGrid w:val="0"/>
          <w:sz w:val="20"/>
          <w:szCs w:val="20"/>
          <w:lang w:eastAsia="en-US"/>
        </w:rPr>
        <w:t>mg strength was not anticipated in the submission.</w:t>
      </w:r>
    </w:p>
    <w:p w:rsidR="00D64098" w:rsidRPr="00C270D8" w:rsidRDefault="00D64098" w:rsidP="005C3590">
      <w:pPr>
        <w:widowControl w:val="0"/>
        <w:spacing w:after="0"/>
        <w:rPr>
          <w:rFonts w:ascii="Calibri" w:eastAsia="Times New Roman" w:hAnsi="Calibri" w:cs="Times New Roman"/>
          <w:iCs/>
          <w:snapToGrid w:val="0"/>
          <w:sz w:val="20"/>
          <w:szCs w:val="20"/>
          <w:lang w:eastAsia="en-US"/>
        </w:rPr>
      </w:pPr>
      <w:r>
        <w:rPr>
          <w:rFonts w:ascii="Calibri" w:eastAsia="Times New Roman" w:hAnsi="Calibri" w:cs="Times New Roman"/>
          <w:iCs/>
          <w:snapToGrid w:val="0"/>
          <w:sz w:val="20"/>
          <w:szCs w:val="20"/>
          <w:lang w:eastAsia="en-US"/>
        </w:rPr>
        <w:t># extracted from the submission estimates and agreed PBS estimates spreadsheets.</w:t>
      </w:r>
    </w:p>
    <w:p w:rsidR="005C3590" w:rsidRDefault="005C3590" w:rsidP="005C3590">
      <w:pPr>
        <w:widowControl w:val="0"/>
        <w:spacing w:after="0"/>
        <w:rPr>
          <w:rFonts w:ascii="Calibri" w:eastAsia="Times New Roman" w:hAnsi="Calibri" w:cs="Times New Roman"/>
          <w:b/>
          <w:iCs/>
          <w:snapToGrid w:val="0"/>
          <w:lang w:eastAsia="en-US"/>
        </w:rPr>
      </w:pPr>
    </w:p>
    <w:p w:rsidR="005C3590" w:rsidRDefault="005C3590" w:rsidP="005C3590">
      <w:pPr>
        <w:widowControl w:val="0"/>
        <w:spacing w:after="0"/>
        <w:rPr>
          <w:rFonts w:ascii="Calibri" w:eastAsia="Times New Roman" w:hAnsi="Calibri" w:cs="Times New Roman"/>
          <w:iCs/>
          <w:snapToGrid w:val="0"/>
          <w:lang w:eastAsia="en-US"/>
        </w:rPr>
      </w:pPr>
      <w:r w:rsidRPr="0014500E">
        <w:rPr>
          <w:rFonts w:ascii="Calibri" w:eastAsia="Times New Roman" w:hAnsi="Calibri" w:cs="Times New Roman"/>
          <w:iCs/>
          <w:snapToGrid w:val="0"/>
          <w:lang w:eastAsia="en-US"/>
        </w:rPr>
        <w:t xml:space="preserve">Table 4 shows that the </w:t>
      </w:r>
      <w:r>
        <w:rPr>
          <w:rFonts w:ascii="Calibri" w:eastAsia="Times New Roman" w:hAnsi="Calibri" w:cs="Times New Roman"/>
          <w:iCs/>
          <w:snapToGrid w:val="0"/>
          <w:lang w:eastAsia="en-US"/>
        </w:rPr>
        <w:t xml:space="preserve">number of patients prevalent to sunitinib in Year 1 and 2 </w:t>
      </w:r>
      <w:r w:rsidR="00FF391C">
        <w:rPr>
          <w:rFonts w:ascii="Calibri" w:eastAsia="Times New Roman" w:hAnsi="Calibri" w:cs="Times New Roman"/>
          <w:iCs/>
          <w:noProof/>
          <w:snapToGrid w:val="0"/>
          <w:color w:val="000000"/>
          <w:highlight w:val="black"/>
          <w:lang w:eastAsia="en-US"/>
        </w:rPr>
        <w:t>''''''' ''''''''''' '''''''''' ''''''''''''</w:t>
      </w:r>
      <w:r>
        <w:rPr>
          <w:rFonts w:ascii="Calibri" w:eastAsia="Times New Roman" w:hAnsi="Calibri" w:cs="Times New Roman"/>
          <w:iCs/>
          <w:snapToGrid w:val="0"/>
          <w:lang w:eastAsia="en-US"/>
        </w:rPr>
        <w:t xml:space="preserve"> that predicted. In Year 3 it was </w:t>
      </w:r>
      <w:r w:rsidR="00FF391C">
        <w:rPr>
          <w:rFonts w:ascii="Calibri" w:eastAsia="Times New Roman" w:hAnsi="Calibri" w:cs="Times New Roman"/>
          <w:iCs/>
          <w:noProof/>
          <w:snapToGrid w:val="0"/>
          <w:color w:val="000000"/>
          <w:highlight w:val="black"/>
          <w:lang w:eastAsia="en-US"/>
        </w:rPr>
        <w:t xml:space="preserve">''''''''' </w:t>
      </w:r>
      <w:r w:rsidRPr="00CC257D">
        <w:rPr>
          <w:rFonts w:ascii="Calibri" w:eastAsia="Times New Roman" w:hAnsi="Calibri" w:cs="Times New Roman"/>
          <w:iCs/>
          <w:snapToGrid w:val="0"/>
          <w:lang w:eastAsia="en-US"/>
        </w:rPr>
        <w:t>more</w:t>
      </w:r>
      <w:r>
        <w:rPr>
          <w:rFonts w:ascii="Calibri" w:eastAsia="Times New Roman" w:hAnsi="Calibri" w:cs="Times New Roman"/>
          <w:iCs/>
          <w:snapToGrid w:val="0"/>
          <w:lang w:eastAsia="en-US"/>
        </w:rPr>
        <w:t xml:space="preserve"> than predicted. In </w:t>
      </w:r>
      <w:r w:rsidR="00A90938">
        <w:rPr>
          <w:rFonts w:ascii="Calibri" w:eastAsia="Times New Roman" w:hAnsi="Calibri" w:cs="Times New Roman"/>
          <w:iCs/>
          <w:snapToGrid w:val="0"/>
          <w:lang w:eastAsia="en-US"/>
        </w:rPr>
        <w:t>contrast</w:t>
      </w:r>
      <w:r>
        <w:rPr>
          <w:rFonts w:ascii="Calibri" w:eastAsia="Times New Roman" w:hAnsi="Calibri" w:cs="Times New Roman"/>
          <w:iCs/>
          <w:snapToGrid w:val="0"/>
          <w:lang w:eastAsia="en-US"/>
        </w:rPr>
        <w:t xml:space="preserve"> the </w:t>
      </w:r>
      <w:r w:rsidR="00A90938">
        <w:rPr>
          <w:rFonts w:ascii="Calibri" w:eastAsia="Times New Roman" w:hAnsi="Calibri" w:cs="Times New Roman"/>
          <w:iCs/>
          <w:snapToGrid w:val="0"/>
          <w:lang w:eastAsia="en-US"/>
        </w:rPr>
        <w:t>number of prescriptions was</w:t>
      </w:r>
      <w:r>
        <w:rPr>
          <w:rFonts w:ascii="Calibri" w:eastAsia="Times New Roman" w:hAnsi="Calibri" w:cs="Times New Roman"/>
          <w:iCs/>
          <w:snapToGrid w:val="0"/>
          <w:lang w:eastAsia="en-US"/>
        </w:rPr>
        <w:t xml:space="preserve"> less than predicted. This is due to the number prescriptions per patient </w:t>
      </w:r>
      <w:r w:rsidR="007846DE">
        <w:rPr>
          <w:rFonts w:ascii="Calibri" w:eastAsia="Times New Roman" w:hAnsi="Calibri" w:cs="Times New Roman"/>
          <w:iCs/>
          <w:snapToGrid w:val="0"/>
          <w:lang w:eastAsia="en-US"/>
        </w:rPr>
        <w:t xml:space="preserve">per year </w:t>
      </w:r>
      <w:r>
        <w:rPr>
          <w:rFonts w:ascii="Calibri" w:eastAsia="Times New Roman" w:hAnsi="Calibri" w:cs="Times New Roman"/>
          <w:iCs/>
          <w:snapToGrid w:val="0"/>
          <w:lang w:eastAsia="en-US"/>
        </w:rPr>
        <w:t xml:space="preserve">being </w:t>
      </w:r>
      <w:r w:rsidR="00FF391C">
        <w:rPr>
          <w:rFonts w:ascii="Calibri" w:eastAsia="Times New Roman" w:hAnsi="Calibri" w:cs="Times New Roman"/>
          <w:iCs/>
          <w:noProof/>
          <w:snapToGrid w:val="0"/>
          <w:color w:val="000000"/>
          <w:highlight w:val="black"/>
          <w:lang w:eastAsia="en-US"/>
        </w:rPr>
        <w:t xml:space="preserve">'''''''' '''''''' '''''' </w:t>
      </w:r>
      <w:r w:rsidRPr="00814B56">
        <w:rPr>
          <w:rFonts w:ascii="Calibri" w:eastAsia="Times New Roman" w:hAnsi="Calibri" w:cs="Times New Roman"/>
          <w:iCs/>
          <w:snapToGrid w:val="0"/>
          <w:lang w:eastAsia="en-US"/>
        </w:rPr>
        <w:t>that</w:t>
      </w:r>
      <w:r>
        <w:rPr>
          <w:rFonts w:ascii="Calibri" w:eastAsia="Times New Roman" w:hAnsi="Calibri" w:cs="Times New Roman"/>
          <w:iCs/>
          <w:snapToGrid w:val="0"/>
          <w:lang w:eastAsia="en-US"/>
        </w:rPr>
        <w:t xml:space="preserve"> predicted (using the adjusted number of predicted prescriptions).</w:t>
      </w:r>
    </w:p>
    <w:p w:rsidR="004D3637" w:rsidRDefault="004D3637" w:rsidP="005C3590">
      <w:pPr>
        <w:widowControl w:val="0"/>
        <w:spacing w:after="0"/>
        <w:rPr>
          <w:rFonts w:ascii="Calibri" w:eastAsia="Times New Roman" w:hAnsi="Calibri" w:cs="Times New Roman"/>
          <w:iCs/>
          <w:snapToGrid w:val="0"/>
          <w:lang w:eastAsia="en-US"/>
        </w:rPr>
      </w:pPr>
    </w:p>
    <w:p w:rsidR="0094602A" w:rsidRDefault="0094602A">
      <w:pPr>
        <w:spacing w:line="276" w:lineRule="auto"/>
        <w:rPr>
          <w:rFonts w:ascii="Calibri" w:eastAsia="Times New Roman" w:hAnsi="Calibri" w:cs="Times New Roman"/>
          <w:b/>
          <w:iCs/>
          <w:snapToGrid w:val="0"/>
          <w:lang w:eastAsia="en-US"/>
        </w:rPr>
      </w:pPr>
      <w:r>
        <w:rPr>
          <w:rFonts w:ascii="Calibri" w:eastAsia="Times New Roman" w:hAnsi="Calibri" w:cs="Times New Roman"/>
          <w:b/>
          <w:iCs/>
          <w:snapToGrid w:val="0"/>
          <w:lang w:eastAsia="en-US"/>
        </w:rPr>
        <w:br w:type="page"/>
      </w:r>
    </w:p>
    <w:p w:rsidR="005C3590" w:rsidRDefault="005C3590" w:rsidP="004D3637">
      <w:pPr>
        <w:spacing w:line="276" w:lineRule="auto"/>
        <w:rPr>
          <w:rFonts w:ascii="Calibri" w:eastAsia="Times New Roman" w:hAnsi="Calibri" w:cs="Times New Roman"/>
          <w:b/>
          <w:iCs/>
          <w:snapToGrid w:val="0"/>
          <w:lang w:eastAsia="en-US"/>
        </w:rPr>
      </w:pPr>
      <w:r w:rsidRPr="00B87CD5">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5</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Predicted vs Actual analysis – everolimus for pNET</w:t>
      </w:r>
    </w:p>
    <w:tbl>
      <w:tblPr>
        <w:tblW w:w="9060" w:type="dxa"/>
        <w:tblInd w:w="93" w:type="dxa"/>
        <w:tblLook w:val="04A0" w:firstRow="1" w:lastRow="0" w:firstColumn="1" w:lastColumn="0" w:noHBand="0" w:noVBand="1"/>
      </w:tblPr>
      <w:tblGrid>
        <w:gridCol w:w="2960"/>
        <w:gridCol w:w="2180"/>
        <w:gridCol w:w="1960"/>
        <w:gridCol w:w="1960"/>
      </w:tblGrid>
      <w:tr w:rsidR="005C3590" w:rsidRPr="00504AA2" w:rsidTr="005C3590">
        <w:trPr>
          <w:trHeight w:val="300"/>
        </w:trPr>
        <w:tc>
          <w:tcPr>
            <w:tcW w:w="29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 </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C3590" w:rsidRPr="00504AA2" w:rsidRDefault="005C3590" w:rsidP="005C3590">
            <w:pPr>
              <w:spacing w:after="0"/>
              <w:rPr>
                <w:rFonts w:ascii="Calibri" w:eastAsia="Times New Roman" w:hAnsi="Calibri" w:cs="Times New Roman"/>
                <w:b/>
                <w:bCs/>
                <w:color w:val="000000"/>
                <w:sz w:val="20"/>
                <w:szCs w:val="20"/>
              </w:rPr>
            </w:pPr>
            <w:r w:rsidRPr="00504AA2">
              <w:rPr>
                <w:rFonts w:ascii="Calibri" w:eastAsia="Times New Roman" w:hAnsi="Calibri" w:cs="Times New Roman"/>
                <w:b/>
                <w:bCs/>
                <w:color w:val="000000"/>
                <w:sz w:val="20"/>
                <w:szCs w:val="20"/>
              </w:rPr>
              <w:t> </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rsidR="005C3590" w:rsidRPr="00504AA2" w:rsidRDefault="005C3590" w:rsidP="005C3590">
            <w:pPr>
              <w:spacing w:after="0"/>
              <w:jc w:val="center"/>
              <w:rPr>
                <w:rFonts w:ascii="Calibri" w:eastAsia="Times New Roman" w:hAnsi="Calibri" w:cs="Times New Roman"/>
                <w:b/>
                <w:bCs/>
                <w:color w:val="000000"/>
                <w:sz w:val="20"/>
                <w:szCs w:val="20"/>
              </w:rPr>
            </w:pPr>
            <w:r w:rsidRPr="00504AA2">
              <w:rPr>
                <w:rFonts w:ascii="Calibri" w:eastAsia="Times New Roman" w:hAnsi="Calibri" w:cs="Times New Roman"/>
                <w:b/>
                <w:bCs/>
                <w:color w:val="000000"/>
                <w:sz w:val="20"/>
                <w:szCs w:val="20"/>
              </w:rPr>
              <w:t>Year1</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rsidR="005C3590" w:rsidRPr="00504AA2" w:rsidRDefault="005C3590" w:rsidP="005C3590">
            <w:pPr>
              <w:spacing w:after="0"/>
              <w:jc w:val="center"/>
              <w:rPr>
                <w:rFonts w:ascii="Calibri" w:eastAsia="Times New Roman" w:hAnsi="Calibri" w:cs="Times New Roman"/>
                <w:b/>
                <w:bCs/>
                <w:color w:val="000000"/>
                <w:sz w:val="20"/>
                <w:szCs w:val="20"/>
              </w:rPr>
            </w:pPr>
            <w:r w:rsidRPr="00504AA2">
              <w:rPr>
                <w:rFonts w:ascii="Calibri" w:eastAsia="Times New Roman" w:hAnsi="Calibri" w:cs="Times New Roman"/>
                <w:b/>
                <w:bCs/>
                <w:color w:val="000000"/>
                <w:sz w:val="20"/>
                <w:szCs w:val="20"/>
              </w:rPr>
              <w:t>Year 2</w:t>
            </w:r>
          </w:p>
        </w:tc>
      </w:tr>
      <w:tr w:rsidR="005C3590" w:rsidRPr="00504AA2" w:rsidTr="005C3590">
        <w:trPr>
          <w:trHeight w:val="300"/>
        </w:trPr>
        <w:tc>
          <w:tcPr>
            <w:tcW w:w="2960" w:type="dxa"/>
            <w:vMerge/>
            <w:tcBorders>
              <w:top w:val="single" w:sz="4" w:space="0" w:color="auto"/>
              <w:left w:val="single" w:sz="4" w:space="0" w:color="auto"/>
              <w:bottom w:val="single" w:sz="4" w:space="0" w:color="auto"/>
              <w:right w:val="single" w:sz="4" w:space="0" w:color="auto"/>
            </w:tcBorders>
            <w:vAlign w:val="center"/>
            <w:hideMark/>
          </w:tcPr>
          <w:p w:rsidR="005C3590" w:rsidRPr="00504AA2" w:rsidRDefault="005C3590" w:rsidP="005C3590">
            <w:pPr>
              <w:spacing w:after="0"/>
              <w:rPr>
                <w:rFonts w:ascii="Calibri" w:eastAsia="Times New Roman" w:hAnsi="Calibri" w:cs="Times New Roman"/>
                <w:color w:val="000000"/>
                <w:sz w:val="20"/>
                <w:szCs w:val="2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5C3590" w:rsidRPr="00504AA2" w:rsidRDefault="005C3590" w:rsidP="005C3590">
            <w:pPr>
              <w:spacing w:after="0"/>
              <w:rPr>
                <w:rFonts w:ascii="Calibri" w:eastAsia="Times New Roman" w:hAnsi="Calibri" w:cs="Times New Roman"/>
                <w:b/>
                <w:bCs/>
                <w:color w:val="000000"/>
                <w:sz w:val="20"/>
                <w:szCs w:val="20"/>
              </w:rPr>
            </w:pPr>
          </w:p>
        </w:tc>
        <w:tc>
          <w:tcPr>
            <w:tcW w:w="1960" w:type="dxa"/>
            <w:tcBorders>
              <w:top w:val="nil"/>
              <w:left w:val="nil"/>
              <w:bottom w:val="single" w:sz="4" w:space="0" w:color="auto"/>
              <w:right w:val="single" w:sz="4" w:space="0" w:color="auto"/>
            </w:tcBorders>
            <w:shd w:val="clear" w:color="000000" w:fill="BFBFBF"/>
            <w:noWrap/>
            <w:vAlign w:val="center"/>
            <w:hideMark/>
          </w:tcPr>
          <w:p w:rsidR="005C3590" w:rsidRPr="00504AA2" w:rsidRDefault="005C3590" w:rsidP="005C3590">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Apr15 to Mar</w:t>
            </w:r>
            <w:r w:rsidRPr="00504AA2">
              <w:rPr>
                <w:rFonts w:ascii="Calibri" w:eastAsia="Times New Roman" w:hAnsi="Calibri" w:cs="Times New Roman"/>
                <w:b/>
                <w:bCs/>
                <w:color w:val="000000"/>
                <w:sz w:val="20"/>
                <w:szCs w:val="20"/>
              </w:rPr>
              <w:t>1</w:t>
            </w:r>
            <w:r>
              <w:rPr>
                <w:rFonts w:ascii="Calibri" w:eastAsia="Times New Roman" w:hAnsi="Calibri" w:cs="Times New Roman"/>
                <w:b/>
                <w:bCs/>
                <w:color w:val="000000"/>
                <w:sz w:val="20"/>
                <w:szCs w:val="20"/>
              </w:rPr>
              <w:t>6</w:t>
            </w:r>
          </w:p>
        </w:tc>
        <w:tc>
          <w:tcPr>
            <w:tcW w:w="1960" w:type="dxa"/>
            <w:tcBorders>
              <w:top w:val="nil"/>
              <w:left w:val="nil"/>
              <w:bottom w:val="single" w:sz="4" w:space="0" w:color="auto"/>
              <w:right w:val="single" w:sz="4" w:space="0" w:color="auto"/>
            </w:tcBorders>
            <w:shd w:val="clear" w:color="000000" w:fill="BFBFBF"/>
            <w:noWrap/>
            <w:vAlign w:val="center"/>
            <w:hideMark/>
          </w:tcPr>
          <w:p w:rsidR="005C3590" w:rsidRPr="00504AA2" w:rsidRDefault="005C3590" w:rsidP="005C3590">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Apr16 to Mar17</w:t>
            </w:r>
          </w:p>
        </w:tc>
      </w:tr>
      <w:tr w:rsidR="005C3590" w:rsidRPr="00EF68E3" w:rsidTr="005C3590">
        <w:trPr>
          <w:trHeight w:val="300"/>
        </w:trPr>
        <w:tc>
          <w:tcPr>
            <w:tcW w:w="2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3590" w:rsidRPr="00FF391C" w:rsidRDefault="004D3637" w:rsidP="00C83EA7">
            <w:pPr>
              <w:spacing w:after="0"/>
              <w:rPr>
                <w:rFonts w:ascii="Calibri" w:hAnsi="Calibri"/>
                <w:color w:val="000000"/>
                <w:sz w:val="20"/>
                <w:szCs w:val="20"/>
              </w:rPr>
            </w:pPr>
            <w:r w:rsidRPr="00C83EA7">
              <w:rPr>
                <w:rFonts w:ascii="Calibri" w:hAnsi="Calibri"/>
                <w:color w:val="000000"/>
                <w:sz w:val="20"/>
                <w:szCs w:val="20"/>
              </w:rPr>
              <w:t xml:space="preserve">Treated </w:t>
            </w:r>
            <w:r w:rsidR="005C3590" w:rsidRPr="00C83EA7">
              <w:rPr>
                <w:rFonts w:ascii="Calibri" w:hAnsi="Calibri"/>
                <w:color w:val="000000"/>
                <w:sz w:val="20"/>
                <w:szCs w:val="20"/>
              </w:rPr>
              <w:t>Prevalent patients (PBS &amp; RPBS)</w:t>
            </w:r>
          </w:p>
        </w:tc>
        <w:tc>
          <w:tcPr>
            <w:tcW w:w="2180" w:type="dxa"/>
            <w:tcBorders>
              <w:top w:val="nil"/>
              <w:left w:val="nil"/>
              <w:bottom w:val="single" w:sz="4" w:space="0" w:color="auto"/>
              <w:right w:val="single" w:sz="4" w:space="0" w:color="auto"/>
            </w:tcBorders>
            <w:shd w:val="clear" w:color="auto" w:fill="auto"/>
            <w:vAlign w:val="center"/>
            <w:hideMark/>
          </w:tcPr>
          <w:p w:rsidR="005C3590" w:rsidRPr="00FF391C" w:rsidRDefault="005C3590" w:rsidP="00C128AB">
            <w:pPr>
              <w:spacing w:after="0"/>
              <w:rPr>
                <w:rFonts w:ascii="Calibri" w:hAnsi="Calibri"/>
                <w:color w:val="000000"/>
                <w:sz w:val="20"/>
                <w:szCs w:val="20"/>
              </w:rPr>
            </w:pPr>
            <w:r w:rsidRPr="00C83EA7">
              <w:rPr>
                <w:rFonts w:ascii="Calibri" w:hAnsi="Calibri"/>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5C3590" w:rsidRPr="00504AA2" w:rsidTr="005C3590">
        <w:trPr>
          <w:trHeight w:val="300"/>
        </w:trPr>
        <w:tc>
          <w:tcPr>
            <w:tcW w:w="2960" w:type="dxa"/>
            <w:vMerge/>
            <w:tcBorders>
              <w:top w:val="nil"/>
              <w:left w:val="single" w:sz="4" w:space="0" w:color="auto"/>
              <w:bottom w:val="single" w:sz="4" w:space="0" w:color="auto"/>
              <w:right w:val="single" w:sz="4" w:space="0" w:color="auto"/>
            </w:tcBorders>
            <w:vAlign w:val="center"/>
            <w:hideMark/>
          </w:tcPr>
          <w:p w:rsidR="005C3590" w:rsidRPr="00504AA2" w:rsidRDefault="005C3590" w:rsidP="005C3590">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5C3590" w:rsidRPr="00C83EA7" w:rsidRDefault="005C3590" w:rsidP="005C3590">
            <w:pPr>
              <w:spacing w:after="0"/>
              <w:jc w:val="center"/>
              <w:rPr>
                <w:rFonts w:ascii="Calibri" w:hAnsi="Calibri"/>
                <w:color w:val="000000"/>
                <w:sz w:val="20"/>
                <w:szCs w:val="20"/>
              </w:rPr>
            </w:pPr>
            <w:r w:rsidRPr="00C83EA7">
              <w:rPr>
                <w:rFonts w:ascii="Calibri" w:hAnsi="Calibri"/>
                <w:color w:val="000000"/>
                <w:sz w:val="20"/>
                <w:szCs w:val="20"/>
              </w:rPr>
              <w:t>60</w:t>
            </w:r>
          </w:p>
        </w:tc>
        <w:tc>
          <w:tcPr>
            <w:tcW w:w="1960" w:type="dxa"/>
            <w:tcBorders>
              <w:top w:val="nil"/>
              <w:left w:val="nil"/>
              <w:bottom w:val="single" w:sz="4" w:space="0" w:color="auto"/>
              <w:right w:val="single" w:sz="4" w:space="0" w:color="auto"/>
            </w:tcBorders>
            <w:shd w:val="clear" w:color="auto" w:fill="auto"/>
            <w:vAlign w:val="center"/>
            <w:hideMark/>
          </w:tcPr>
          <w:p w:rsidR="005C3590" w:rsidRPr="00C83EA7" w:rsidRDefault="005C3590" w:rsidP="005C3590">
            <w:pPr>
              <w:spacing w:after="0"/>
              <w:jc w:val="center"/>
              <w:rPr>
                <w:rFonts w:ascii="Calibri" w:hAnsi="Calibri"/>
                <w:color w:val="000000"/>
                <w:sz w:val="20"/>
                <w:szCs w:val="20"/>
              </w:rPr>
            </w:pPr>
            <w:r w:rsidRPr="00C83EA7">
              <w:rPr>
                <w:rFonts w:ascii="Calibri" w:hAnsi="Calibri"/>
                <w:color w:val="000000"/>
                <w:sz w:val="20"/>
                <w:szCs w:val="20"/>
              </w:rPr>
              <w:t>94</w:t>
            </w:r>
          </w:p>
        </w:tc>
      </w:tr>
      <w:tr w:rsidR="005C3590" w:rsidRPr="00504AA2" w:rsidTr="005C3590">
        <w:trPr>
          <w:trHeight w:val="300"/>
        </w:trPr>
        <w:tc>
          <w:tcPr>
            <w:tcW w:w="2960" w:type="dxa"/>
            <w:vMerge/>
            <w:tcBorders>
              <w:top w:val="nil"/>
              <w:left w:val="single" w:sz="4" w:space="0" w:color="auto"/>
              <w:bottom w:val="single" w:sz="4" w:space="0" w:color="auto"/>
              <w:right w:val="single" w:sz="4" w:space="0" w:color="auto"/>
            </w:tcBorders>
            <w:vAlign w:val="center"/>
            <w:hideMark/>
          </w:tcPr>
          <w:p w:rsidR="005C3590" w:rsidRPr="00504AA2" w:rsidRDefault="005C3590" w:rsidP="005C3590">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5C3590" w:rsidRPr="00504AA2" w:rsidTr="005C3590">
        <w:trPr>
          <w:trHeight w:val="300"/>
        </w:trPr>
        <w:tc>
          <w:tcPr>
            <w:tcW w:w="2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 xml:space="preserve">Prescriptions </w:t>
            </w: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5C3590" w:rsidRPr="00504AA2" w:rsidTr="005C3590">
        <w:trPr>
          <w:trHeight w:val="300"/>
        </w:trPr>
        <w:tc>
          <w:tcPr>
            <w:tcW w:w="2960" w:type="dxa"/>
            <w:vMerge/>
            <w:tcBorders>
              <w:top w:val="nil"/>
              <w:left w:val="single" w:sz="4" w:space="0" w:color="auto"/>
              <w:bottom w:val="single" w:sz="4" w:space="0" w:color="auto"/>
              <w:right w:val="single" w:sz="4" w:space="0" w:color="auto"/>
            </w:tcBorders>
            <w:vAlign w:val="center"/>
            <w:hideMark/>
          </w:tcPr>
          <w:p w:rsidR="005C3590" w:rsidRPr="00504AA2" w:rsidRDefault="005C3590" w:rsidP="005C3590">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5C3590" w:rsidRPr="00C83EA7" w:rsidRDefault="005C3590" w:rsidP="005C3590">
            <w:pPr>
              <w:spacing w:after="0"/>
              <w:jc w:val="center"/>
              <w:rPr>
                <w:rFonts w:ascii="Calibri" w:hAnsi="Calibri"/>
                <w:color w:val="000000"/>
                <w:sz w:val="20"/>
                <w:szCs w:val="20"/>
              </w:rPr>
            </w:pPr>
            <w:r w:rsidRPr="00C83EA7">
              <w:rPr>
                <w:rFonts w:ascii="Calibri" w:hAnsi="Calibri"/>
                <w:color w:val="000000"/>
                <w:sz w:val="20"/>
                <w:szCs w:val="20"/>
              </w:rPr>
              <w:t>233</w:t>
            </w:r>
          </w:p>
        </w:tc>
        <w:tc>
          <w:tcPr>
            <w:tcW w:w="1960" w:type="dxa"/>
            <w:tcBorders>
              <w:top w:val="nil"/>
              <w:left w:val="nil"/>
              <w:bottom w:val="single" w:sz="4" w:space="0" w:color="auto"/>
              <w:right w:val="single" w:sz="4" w:space="0" w:color="auto"/>
            </w:tcBorders>
            <w:shd w:val="clear" w:color="auto" w:fill="auto"/>
            <w:vAlign w:val="center"/>
            <w:hideMark/>
          </w:tcPr>
          <w:p w:rsidR="005C3590" w:rsidRPr="00C83EA7" w:rsidRDefault="005C3590" w:rsidP="005C3590">
            <w:pPr>
              <w:spacing w:after="0"/>
              <w:jc w:val="center"/>
              <w:rPr>
                <w:rFonts w:ascii="Calibri" w:hAnsi="Calibri"/>
                <w:color w:val="000000"/>
                <w:sz w:val="20"/>
                <w:szCs w:val="20"/>
              </w:rPr>
            </w:pPr>
            <w:r w:rsidRPr="00C83EA7">
              <w:rPr>
                <w:rFonts w:ascii="Calibri" w:hAnsi="Calibri"/>
                <w:color w:val="000000"/>
                <w:sz w:val="20"/>
                <w:szCs w:val="20"/>
              </w:rPr>
              <w:t>367</w:t>
            </w:r>
          </w:p>
        </w:tc>
      </w:tr>
      <w:tr w:rsidR="005C3590" w:rsidRPr="00504AA2" w:rsidTr="005C3590">
        <w:trPr>
          <w:trHeight w:val="300"/>
        </w:trPr>
        <w:tc>
          <w:tcPr>
            <w:tcW w:w="2960" w:type="dxa"/>
            <w:vMerge/>
            <w:tcBorders>
              <w:top w:val="nil"/>
              <w:left w:val="single" w:sz="4" w:space="0" w:color="auto"/>
              <w:bottom w:val="single" w:sz="4" w:space="0" w:color="auto"/>
              <w:right w:val="single" w:sz="4" w:space="0" w:color="auto"/>
            </w:tcBorders>
            <w:vAlign w:val="center"/>
            <w:hideMark/>
          </w:tcPr>
          <w:p w:rsidR="005C3590" w:rsidRPr="00504AA2" w:rsidRDefault="005C3590" w:rsidP="005C3590">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5C3590" w:rsidRPr="00504AA2" w:rsidTr="005C3590">
        <w:trPr>
          <w:trHeight w:val="300"/>
        </w:trPr>
        <w:tc>
          <w:tcPr>
            <w:tcW w:w="2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Prescriptions per patient</w:t>
            </w: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5C3590" w:rsidRPr="00504AA2" w:rsidTr="005C3590">
        <w:trPr>
          <w:trHeight w:val="300"/>
        </w:trPr>
        <w:tc>
          <w:tcPr>
            <w:tcW w:w="2960" w:type="dxa"/>
            <w:vMerge/>
            <w:tcBorders>
              <w:top w:val="nil"/>
              <w:left w:val="single" w:sz="4" w:space="0" w:color="auto"/>
              <w:bottom w:val="single" w:sz="4" w:space="0" w:color="000000"/>
              <w:right w:val="single" w:sz="4" w:space="0" w:color="auto"/>
            </w:tcBorders>
            <w:vAlign w:val="center"/>
            <w:hideMark/>
          </w:tcPr>
          <w:p w:rsidR="005C3590" w:rsidRPr="00504AA2" w:rsidRDefault="005C3590" w:rsidP="005C3590">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vAlign w:val="center"/>
            <w:hideMark/>
          </w:tcPr>
          <w:p w:rsidR="005C3590" w:rsidRPr="00C83EA7" w:rsidRDefault="005C3590" w:rsidP="005C3590">
            <w:pPr>
              <w:spacing w:after="0"/>
              <w:jc w:val="center"/>
              <w:rPr>
                <w:rFonts w:ascii="Calibri" w:hAnsi="Calibri"/>
                <w:color w:val="000000"/>
                <w:sz w:val="20"/>
                <w:szCs w:val="20"/>
              </w:rPr>
            </w:pPr>
            <w:r w:rsidRPr="00C83EA7">
              <w:rPr>
                <w:rFonts w:ascii="Calibri" w:hAnsi="Calibri"/>
                <w:color w:val="000000"/>
                <w:sz w:val="20"/>
                <w:szCs w:val="20"/>
              </w:rPr>
              <w:t>3.9</w:t>
            </w:r>
          </w:p>
        </w:tc>
        <w:tc>
          <w:tcPr>
            <w:tcW w:w="1960" w:type="dxa"/>
            <w:tcBorders>
              <w:top w:val="nil"/>
              <w:left w:val="nil"/>
              <w:bottom w:val="single" w:sz="4" w:space="0" w:color="auto"/>
              <w:right w:val="single" w:sz="4" w:space="0" w:color="auto"/>
            </w:tcBorders>
            <w:shd w:val="clear" w:color="auto" w:fill="auto"/>
            <w:vAlign w:val="center"/>
            <w:hideMark/>
          </w:tcPr>
          <w:p w:rsidR="005C3590" w:rsidRPr="00C83EA7" w:rsidRDefault="005C3590" w:rsidP="005C3590">
            <w:pPr>
              <w:spacing w:after="0"/>
              <w:jc w:val="center"/>
              <w:rPr>
                <w:rFonts w:ascii="Calibri" w:hAnsi="Calibri"/>
                <w:color w:val="000000"/>
                <w:sz w:val="20"/>
                <w:szCs w:val="20"/>
              </w:rPr>
            </w:pPr>
            <w:r w:rsidRPr="00C83EA7">
              <w:rPr>
                <w:rFonts w:ascii="Calibri" w:hAnsi="Calibri"/>
                <w:color w:val="000000"/>
                <w:sz w:val="20"/>
                <w:szCs w:val="20"/>
              </w:rPr>
              <w:t>3.9</w:t>
            </w:r>
          </w:p>
        </w:tc>
      </w:tr>
      <w:tr w:rsidR="005C3590" w:rsidRPr="00504AA2" w:rsidTr="005C3590">
        <w:trPr>
          <w:trHeight w:val="300"/>
        </w:trPr>
        <w:tc>
          <w:tcPr>
            <w:tcW w:w="2960" w:type="dxa"/>
            <w:vMerge/>
            <w:tcBorders>
              <w:top w:val="nil"/>
              <w:left w:val="single" w:sz="4" w:space="0" w:color="auto"/>
              <w:bottom w:val="single" w:sz="4" w:space="0" w:color="000000"/>
              <w:right w:val="single" w:sz="4" w:space="0" w:color="auto"/>
            </w:tcBorders>
            <w:vAlign w:val="center"/>
            <w:hideMark/>
          </w:tcPr>
          <w:p w:rsidR="005C3590" w:rsidRPr="00504AA2" w:rsidRDefault="005C3590" w:rsidP="005C3590">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noWrap/>
            <w:vAlign w:val="bottom"/>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noWrap/>
            <w:vAlign w:val="bottom"/>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5C3590" w:rsidRPr="00504AA2" w:rsidTr="005C3590">
        <w:trPr>
          <w:trHeight w:val="300"/>
        </w:trPr>
        <w:tc>
          <w:tcPr>
            <w:tcW w:w="2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R/PBS expenditure (published)</w:t>
            </w: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Predicted (P)</w:t>
            </w:r>
          </w:p>
        </w:tc>
        <w:tc>
          <w:tcPr>
            <w:tcW w:w="1960" w:type="dxa"/>
            <w:tcBorders>
              <w:top w:val="nil"/>
              <w:left w:val="nil"/>
              <w:bottom w:val="single" w:sz="4" w:space="0" w:color="auto"/>
              <w:right w:val="single" w:sz="4" w:space="0" w:color="auto"/>
            </w:tcBorders>
            <w:shd w:val="clear" w:color="auto" w:fill="auto"/>
            <w:noWrap/>
            <w:vAlign w:val="bottom"/>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noWrap/>
            <w:vAlign w:val="bottom"/>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r w:rsidR="005C3590" w:rsidRPr="00504AA2" w:rsidTr="005C3590">
        <w:trPr>
          <w:trHeight w:val="300"/>
        </w:trPr>
        <w:tc>
          <w:tcPr>
            <w:tcW w:w="2960" w:type="dxa"/>
            <w:vMerge/>
            <w:tcBorders>
              <w:top w:val="nil"/>
              <w:left w:val="single" w:sz="4" w:space="0" w:color="auto"/>
              <w:bottom w:val="single" w:sz="4" w:space="0" w:color="000000"/>
              <w:right w:val="single" w:sz="4" w:space="0" w:color="auto"/>
            </w:tcBorders>
            <w:vAlign w:val="center"/>
            <w:hideMark/>
          </w:tcPr>
          <w:p w:rsidR="005C3590" w:rsidRPr="00504AA2" w:rsidRDefault="005C3590" w:rsidP="005C3590">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Actual (A)</w:t>
            </w:r>
          </w:p>
        </w:tc>
        <w:tc>
          <w:tcPr>
            <w:tcW w:w="1960" w:type="dxa"/>
            <w:tcBorders>
              <w:top w:val="nil"/>
              <w:left w:val="nil"/>
              <w:bottom w:val="single" w:sz="4" w:space="0" w:color="auto"/>
              <w:right w:val="single" w:sz="4" w:space="0" w:color="auto"/>
            </w:tcBorders>
            <w:shd w:val="clear" w:color="auto" w:fill="auto"/>
            <w:noWrap/>
            <w:vAlign w:val="bottom"/>
            <w:hideMark/>
          </w:tcPr>
          <w:p w:rsidR="005C3590" w:rsidRPr="00C83EA7" w:rsidRDefault="005C3590" w:rsidP="005C3590">
            <w:pPr>
              <w:spacing w:after="0"/>
              <w:jc w:val="center"/>
              <w:rPr>
                <w:rFonts w:ascii="Calibri" w:hAnsi="Calibri"/>
                <w:color w:val="000000"/>
                <w:sz w:val="20"/>
                <w:szCs w:val="20"/>
              </w:rPr>
            </w:pPr>
            <w:r w:rsidRPr="00C83EA7">
              <w:rPr>
                <w:rFonts w:ascii="Calibri" w:hAnsi="Calibri"/>
                <w:color w:val="000000"/>
                <w:sz w:val="20"/>
                <w:szCs w:val="20"/>
              </w:rPr>
              <w:t>$1,081,798</w:t>
            </w:r>
          </w:p>
        </w:tc>
        <w:tc>
          <w:tcPr>
            <w:tcW w:w="1960" w:type="dxa"/>
            <w:tcBorders>
              <w:top w:val="nil"/>
              <w:left w:val="nil"/>
              <w:bottom w:val="single" w:sz="4" w:space="0" w:color="auto"/>
              <w:right w:val="single" w:sz="4" w:space="0" w:color="auto"/>
            </w:tcBorders>
            <w:shd w:val="clear" w:color="auto" w:fill="auto"/>
            <w:noWrap/>
            <w:vAlign w:val="bottom"/>
            <w:hideMark/>
          </w:tcPr>
          <w:p w:rsidR="005C3590" w:rsidRPr="00C83EA7" w:rsidRDefault="005C3590" w:rsidP="005C3590">
            <w:pPr>
              <w:spacing w:after="0"/>
              <w:jc w:val="center"/>
              <w:rPr>
                <w:rFonts w:ascii="Calibri" w:hAnsi="Calibri"/>
                <w:color w:val="000000"/>
                <w:sz w:val="20"/>
                <w:szCs w:val="20"/>
              </w:rPr>
            </w:pPr>
            <w:r w:rsidRPr="00C83EA7">
              <w:rPr>
                <w:rFonts w:ascii="Calibri" w:hAnsi="Calibri"/>
                <w:color w:val="000000"/>
                <w:sz w:val="20"/>
                <w:szCs w:val="20"/>
              </w:rPr>
              <w:t>$1,590,009</w:t>
            </w:r>
          </w:p>
        </w:tc>
      </w:tr>
      <w:tr w:rsidR="005C3590" w:rsidRPr="00504AA2" w:rsidTr="005C3590">
        <w:trPr>
          <w:trHeight w:val="300"/>
        </w:trPr>
        <w:tc>
          <w:tcPr>
            <w:tcW w:w="2960" w:type="dxa"/>
            <w:vMerge/>
            <w:tcBorders>
              <w:top w:val="nil"/>
              <w:left w:val="single" w:sz="4" w:space="0" w:color="auto"/>
              <w:bottom w:val="single" w:sz="4" w:space="0" w:color="000000"/>
              <w:right w:val="single" w:sz="4" w:space="0" w:color="auto"/>
            </w:tcBorders>
            <w:vAlign w:val="center"/>
            <w:hideMark/>
          </w:tcPr>
          <w:p w:rsidR="005C3590" w:rsidRPr="00504AA2" w:rsidRDefault="005C3590" w:rsidP="005C3590">
            <w:pPr>
              <w:spacing w:after="0"/>
              <w:rPr>
                <w:rFonts w:ascii="Calibri" w:eastAsia="Times New Roman" w:hAnsi="Calibri" w:cs="Times New Roman"/>
                <w:color w:val="000000"/>
                <w:sz w:val="20"/>
                <w:szCs w:val="20"/>
              </w:rPr>
            </w:pPr>
          </w:p>
        </w:tc>
        <w:tc>
          <w:tcPr>
            <w:tcW w:w="2180" w:type="dxa"/>
            <w:tcBorders>
              <w:top w:val="nil"/>
              <w:left w:val="nil"/>
              <w:bottom w:val="single" w:sz="4" w:space="0" w:color="auto"/>
              <w:right w:val="single" w:sz="4" w:space="0" w:color="auto"/>
            </w:tcBorders>
            <w:shd w:val="clear" w:color="auto" w:fill="auto"/>
            <w:vAlign w:val="center"/>
            <w:hideMark/>
          </w:tcPr>
          <w:p w:rsidR="005C3590" w:rsidRPr="00504AA2" w:rsidRDefault="005C3590" w:rsidP="005C3590">
            <w:pPr>
              <w:spacing w:after="0"/>
              <w:rPr>
                <w:rFonts w:ascii="Calibri" w:eastAsia="Times New Roman" w:hAnsi="Calibri" w:cs="Times New Roman"/>
                <w:color w:val="000000"/>
                <w:sz w:val="20"/>
                <w:szCs w:val="20"/>
              </w:rPr>
            </w:pPr>
            <w:r w:rsidRPr="00504AA2">
              <w:rPr>
                <w:rFonts w:ascii="Calibri" w:eastAsia="Times New Roman" w:hAnsi="Calibri" w:cs="Times New Roman"/>
                <w:color w:val="000000"/>
                <w:sz w:val="20"/>
                <w:szCs w:val="20"/>
              </w:rPr>
              <w:t>% Difference (A-P)/P</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c>
          <w:tcPr>
            <w:tcW w:w="1960" w:type="dxa"/>
            <w:tcBorders>
              <w:top w:val="nil"/>
              <w:left w:val="nil"/>
              <w:bottom w:val="single" w:sz="4" w:space="0" w:color="auto"/>
              <w:right w:val="single" w:sz="4" w:space="0" w:color="auto"/>
            </w:tcBorders>
            <w:shd w:val="clear" w:color="auto" w:fill="auto"/>
            <w:vAlign w:val="center"/>
            <w:hideMark/>
          </w:tcPr>
          <w:p w:rsidR="005C3590" w:rsidRPr="00FF391C" w:rsidRDefault="00FF391C" w:rsidP="005C3590">
            <w:pPr>
              <w:spacing w:after="0"/>
              <w:jc w:val="center"/>
              <w:rPr>
                <w:rFonts w:ascii="Calibri" w:hAnsi="Calibri"/>
                <w:color w:val="000000"/>
                <w:sz w:val="20"/>
                <w:szCs w:val="20"/>
                <w:highlight w:val="black"/>
              </w:rPr>
            </w:pPr>
            <w:r>
              <w:rPr>
                <w:rFonts w:ascii="Calibri" w:hAnsi="Calibri"/>
                <w:noProof/>
                <w:color w:val="000000"/>
                <w:sz w:val="20"/>
                <w:szCs w:val="20"/>
                <w:highlight w:val="black"/>
              </w:rPr>
              <w:t>''''''''''</w:t>
            </w:r>
          </w:p>
        </w:tc>
      </w:tr>
    </w:tbl>
    <w:p w:rsidR="005C3590" w:rsidRDefault="005C3590" w:rsidP="005C3590">
      <w:pPr>
        <w:widowControl w:val="0"/>
        <w:spacing w:after="0"/>
        <w:rPr>
          <w:rFonts w:ascii="Calibri" w:eastAsia="Times New Roman" w:hAnsi="Calibri" w:cs="Times New Roman"/>
          <w:iCs/>
          <w:snapToGrid w:val="0"/>
          <w:sz w:val="20"/>
          <w:szCs w:val="20"/>
          <w:lang w:eastAsia="en-US"/>
        </w:rPr>
      </w:pPr>
      <w:r w:rsidRPr="00504AA2">
        <w:rPr>
          <w:rFonts w:ascii="Calibri" w:eastAsia="Times New Roman" w:hAnsi="Calibri" w:cs="Times New Roman"/>
          <w:iCs/>
          <w:snapToGrid w:val="0"/>
          <w:sz w:val="20"/>
          <w:szCs w:val="20"/>
          <w:lang w:eastAsia="en-US"/>
        </w:rPr>
        <w:t>Source</w:t>
      </w:r>
      <w:r>
        <w:rPr>
          <w:rFonts w:ascii="Calibri" w:eastAsia="Times New Roman" w:hAnsi="Calibri" w:cs="Times New Roman"/>
          <w:iCs/>
          <w:snapToGrid w:val="0"/>
          <w:sz w:val="20"/>
          <w:szCs w:val="20"/>
          <w:lang w:eastAsia="en-US"/>
        </w:rPr>
        <w:t>: Final agreed estimates</w:t>
      </w:r>
    </w:p>
    <w:p w:rsidR="005C3590" w:rsidRPr="00504AA2" w:rsidRDefault="005C3590" w:rsidP="005C3590">
      <w:pPr>
        <w:widowControl w:val="0"/>
        <w:spacing w:after="0"/>
        <w:rPr>
          <w:rFonts w:ascii="Calibri" w:eastAsia="Times New Roman" w:hAnsi="Calibri" w:cs="Times New Roman"/>
          <w:iCs/>
          <w:snapToGrid w:val="0"/>
          <w:sz w:val="20"/>
          <w:szCs w:val="20"/>
          <w:lang w:eastAsia="en-US"/>
        </w:rPr>
      </w:pPr>
    </w:p>
    <w:p w:rsidR="005C3590" w:rsidRDefault="005C3590" w:rsidP="005C3590">
      <w:pPr>
        <w:spacing w:line="276" w:lineRule="auto"/>
        <w:rPr>
          <w:rFonts w:ascii="Calibri" w:eastAsia="Times New Roman" w:hAnsi="Calibri" w:cs="Times New Roman"/>
          <w:iCs/>
          <w:snapToGrid w:val="0"/>
          <w:lang w:eastAsia="en-US"/>
        </w:rPr>
      </w:pPr>
      <w:r w:rsidRPr="0014500E">
        <w:rPr>
          <w:rFonts w:ascii="Calibri" w:eastAsia="Times New Roman" w:hAnsi="Calibri" w:cs="Times New Roman"/>
          <w:iCs/>
          <w:snapToGrid w:val="0"/>
          <w:lang w:eastAsia="en-US"/>
        </w:rPr>
        <w:t xml:space="preserve">Table </w:t>
      </w:r>
      <w:r>
        <w:rPr>
          <w:rFonts w:ascii="Calibri" w:eastAsia="Times New Roman" w:hAnsi="Calibri" w:cs="Times New Roman"/>
          <w:iCs/>
          <w:snapToGrid w:val="0"/>
          <w:lang w:eastAsia="en-US"/>
        </w:rPr>
        <w:t>5</w:t>
      </w:r>
      <w:r w:rsidRPr="0014500E">
        <w:rPr>
          <w:rFonts w:ascii="Calibri" w:eastAsia="Times New Roman" w:hAnsi="Calibri" w:cs="Times New Roman"/>
          <w:iCs/>
          <w:snapToGrid w:val="0"/>
          <w:lang w:eastAsia="en-US"/>
        </w:rPr>
        <w:t xml:space="preserve"> shows that the </w:t>
      </w:r>
      <w:r>
        <w:rPr>
          <w:rFonts w:ascii="Calibri" w:eastAsia="Times New Roman" w:hAnsi="Calibri" w:cs="Times New Roman"/>
          <w:iCs/>
          <w:snapToGrid w:val="0"/>
          <w:lang w:eastAsia="en-US"/>
        </w:rPr>
        <w:t xml:space="preserve">number of patients prevalent to </w:t>
      </w:r>
      <w:r w:rsidRPr="008841C6">
        <w:rPr>
          <w:rFonts w:ascii="Calibri" w:eastAsia="Times New Roman" w:hAnsi="Calibri" w:cs="Times New Roman"/>
          <w:iCs/>
          <w:snapToGrid w:val="0"/>
          <w:lang w:eastAsia="en-US"/>
        </w:rPr>
        <w:t xml:space="preserve">everolimus was </w:t>
      </w:r>
      <w:r w:rsidR="00FF391C">
        <w:rPr>
          <w:rFonts w:ascii="Calibri" w:eastAsia="Times New Roman" w:hAnsi="Calibri" w:cs="Times New Roman"/>
          <w:iCs/>
          <w:noProof/>
          <w:snapToGrid w:val="0"/>
          <w:color w:val="000000"/>
          <w:highlight w:val="black"/>
          <w:lang w:eastAsia="en-US"/>
        </w:rPr>
        <w:t>''''''''''''' '''''''''''''</w:t>
      </w:r>
      <w:r w:rsidRPr="008841C6">
        <w:rPr>
          <w:rFonts w:ascii="Calibri" w:eastAsia="Times New Roman" w:hAnsi="Calibri" w:cs="Times New Roman"/>
          <w:iCs/>
          <w:snapToGrid w:val="0"/>
          <w:lang w:eastAsia="en-US"/>
        </w:rPr>
        <w:t xml:space="preserve"> that</w:t>
      </w:r>
      <w:r>
        <w:rPr>
          <w:rFonts w:ascii="Calibri" w:eastAsia="Times New Roman" w:hAnsi="Calibri" w:cs="Times New Roman"/>
          <w:iCs/>
          <w:snapToGrid w:val="0"/>
          <w:lang w:eastAsia="en-US"/>
        </w:rPr>
        <w:t xml:space="preserve"> predicted in Year 2. </w:t>
      </w:r>
      <w:r w:rsidR="00FF391C">
        <w:rPr>
          <w:rFonts w:ascii="Calibri" w:eastAsia="Times New Roman" w:hAnsi="Calibri" w:cs="Times New Roman"/>
          <w:iCs/>
          <w:noProof/>
          <w:snapToGrid w:val="0"/>
          <w:color w:val="000000"/>
          <w:highlight w:val="black"/>
          <w:lang w:eastAsia="en-US"/>
        </w:rPr>
        <w:t>'''''''''''' ''''' '''''''''''''''''</w:t>
      </w:r>
      <w:r>
        <w:rPr>
          <w:rFonts w:ascii="Calibri" w:eastAsia="Times New Roman" w:hAnsi="Calibri" w:cs="Times New Roman"/>
          <w:iCs/>
          <w:snapToGrid w:val="0"/>
          <w:lang w:eastAsia="en-US"/>
        </w:rPr>
        <w:t>, the number of prescriptions per patient</w:t>
      </w:r>
      <w:r w:rsidR="007846DE">
        <w:rPr>
          <w:rFonts w:ascii="Calibri" w:eastAsia="Times New Roman" w:hAnsi="Calibri" w:cs="Times New Roman"/>
          <w:iCs/>
          <w:snapToGrid w:val="0"/>
          <w:lang w:eastAsia="en-US"/>
        </w:rPr>
        <w:t xml:space="preserve"> per year</w:t>
      </w:r>
      <w:r>
        <w:rPr>
          <w:rFonts w:ascii="Calibri" w:eastAsia="Times New Roman" w:hAnsi="Calibri" w:cs="Times New Roman"/>
          <w:iCs/>
          <w:snapToGrid w:val="0"/>
          <w:lang w:eastAsia="en-US"/>
        </w:rPr>
        <w:t xml:space="preserve"> </w:t>
      </w:r>
      <w:r w:rsidRPr="008841C6">
        <w:rPr>
          <w:rFonts w:ascii="Calibri" w:eastAsia="Times New Roman" w:hAnsi="Calibri" w:cs="Times New Roman"/>
          <w:iCs/>
          <w:snapToGrid w:val="0"/>
          <w:lang w:eastAsia="en-US"/>
        </w:rPr>
        <w:t xml:space="preserve">was </w:t>
      </w:r>
      <w:r w:rsidR="00FF391C">
        <w:rPr>
          <w:rFonts w:ascii="Calibri" w:eastAsia="Times New Roman" w:hAnsi="Calibri" w:cs="Times New Roman"/>
          <w:iCs/>
          <w:noProof/>
          <w:snapToGrid w:val="0"/>
          <w:color w:val="000000"/>
          <w:highlight w:val="black"/>
          <w:lang w:eastAsia="en-US"/>
        </w:rPr>
        <w:t>''''''' '''''''''' ''''''''</w:t>
      </w:r>
      <w:r>
        <w:rPr>
          <w:rFonts w:ascii="Calibri" w:eastAsia="Times New Roman" w:hAnsi="Calibri" w:cs="Times New Roman"/>
          <w:iCs/>
          <w:snapToGrid w:val="0"/>
          <w:lang w:eastAsia="en-US"/>
        </w:rPr>
        <w:t xml:space="preserve"> that predicted. This resulted in the number of prescriptions and the R/PBS expenditure being less </w:t>
      </w:r>
      <w:r w:rsidR="00A90938">
        <w:rPr>
          <w:rFonts w:ascii="Calibri" w:eastAsia="Times New Roman" w:hAnsi="Calibri" w:cs="Times New Roman"/>
          <w:iCs/>
          <w:snapToGrid w:val="0"/>
          <w:lang w:eastAsia="en-US"/>
        </w:rPr>
        <w:t>than</w:t>
      </w:r>
      <w:r>
        <w:rPr>
          <w:rFonts w:ascii="Calibri" w:eastAsia="Times New Roman" w:hAnsi="Calibri" w:cs="Times New Roman"/>
          <w:iCs/>
          <w:snapToGrid w:val="0"/>
          <w:lang w:eastAsia="en-US"/>
        </w:rPr>
        <w:t xml:space="preserve"> expected.</w:t>
      </w:r>
    </w:p>
    <w:p w:rsidR="005C3590" w:rsidRPr="00D4587C" w:rsidRDefault="005C3590" w:rsidP="00EF68E3">
      <w:pPr>
        <w:spacing w:after="0"/>
        <w:jc w:val="center"/>
        <w:rPr>
          <w:rFonts w:ascii="Calibri" w:eastAsia="Times New Roman" w:hAnsi="Calibri" w:cs="Times New Roman"/>
          <w:iCs/>
          <w:snapToGrid w:val="0"/>
          <w:lang w:eastAsia="en-US"/>
        </w:rPr>
      </w:pPr>
      <w:r>
        <w:rPr>
          <w:rFonts w:ascii="Calibri" w:eastAsia="Times New Roman" w:hAnsi="Calibri" w:cs="Times New Roman"/>
          <w:iCs/>
          <w:snapToGrid w:val="0"/>
          <w:lang w:eastAsia="en-US"/>
        </w:rPr>
        <w:br w:type="page"/>
      </w:r>
    </w:p>
    <w:p w:rsidR="005C3590" w:rsidRPr="00215A58" w:rsidRDefault="005C3590" w:rsidP="00420931">
      <w:pPr>
        <w:pStyle w:val="ListParagraph"/>
        <w:numPr>
          <w:ilvl w:val="0"/>
          <w:numId w:val="10"/>
        </w:numPr>
        <w:spacing w:line="276" w:lineRule="auto"/>
        <w:rPr>
          <w:rFonts w:ascii="Calibri" w:eastAsia="Times New Roman" w:hAnsi="Calibri" w:cs="Times New Roman"/>
          <w:b/>
          <w:iCs/>
          <w:snapToGrid w:val="0"/>
          <w:sz w:val="28"/>
          <w:lang w:eastAsia="en-US"/>
        </w:rPr>
      </w:pPr>
      <w:r w:rsidRPr="00215A58">
        <w:rPr>
          <w:rFonts w:ascii="Calibri" w:eastAsia="Times New Roman" w:hAnsi="Calibri" w:cs="Times New Roman"/>
          <w:b/>
          <w:iCs/>
          <w:snapToGrid w:val="0"/>
          <w:sz w:val="28"/>
          <w:lang w:eastAsia="en-US"/>
        </w:rPr>
        <w:t xml:space="preserve">Patient-level duration of therapy </w:t>
      </w:r>
    </w:p>
    <w:p w:rsidR="005C3590" w:rsidRPr="00306A08" w:rsidRDefault="005C3590" w:rsidP="005C3590">
      <w:pPr>
        <w:spacing w:line="276" w:lineRule="auto"/>
        <w:rPr>
          <w:rFonts w:ascii="Calibri" w:eastAsia="Times New Roman" w:hAnsi="Calibri" w:cs="Times New Roman"/>
          <w:i/>
          <w:iCs/>
          <w:snapToGrid w:val="0"/>
          <w:lang w:eastAsia="en-US"/>
        </w:rPr>
      </w:pPr>
      <w:r w:rsidRPr="00306A08">
        <w:rPr>
          <w:rFonts w:ascii="Calibri" w:eastAsia="Times New Roman" w:hAnsi="Calibri" w:cs="Times New Roman"/>
          <w:i/>
          <w:iCs/>
          <w:snapToGrid w:val="0"/>
          <w:lang w:eastAsia="en-US"/>
        </w:rPr>
        <w:t>Indication sequence and patient classification issues</w:t>
      </w:r>
    </w:p>
    <w:p w:rsidR="004D3637" w:rsidRDefault="005C3590" w:rsidP="005C3590">
      <w:pPr>
        <w:rPr>
          <w:rFonts w:ascii="Calibri" w:eastAsia="MS Mincho" w:hAnsi="Calibri" w:cs="Times New Roman"/>
          <w:szCs w:val="28"/>
        </w:rPr>
      </w:pPr>
      <w:r>
        <w:rPr>
          <w:rFonts w:ascii="Calibri" w:eastAsia="MS Mincho" w:hAnsi="Calibri" w:cs="Times New Roman"/>
          <w:szCs w:val="28"/>
        </w:rPr>
        <w:t>Applications for authority to prescribe sunitinib and everolimus for pNET are obtained via the PBS telephone authority approval systems</w:t>
      </w:r>
      <w:r w:rsidR="004D3637">
        <w:rPr>
          <w:rFonts w:ascii="Calibri" w:eastAsia="MS Mincho" w:hAnsi="Calibri" w:cs="Times New Roman"/>
          <w:szCs w:val="28"/>
        </w:rPr>
        <w:t xml:space="preserve"> operated by DHS</w:t>
      </w:r>
      <w:r>
        <w:rPr>
          <w:rFonts w:ascii="Calibri" w:eastAsia="MS Mincho" w:hAnsi="Calibri" w:cs="Times New Roman"/>
          <w:szCs w:val="28"/>
        </w:rPr>
        <w:t xml:space="preserve">. The first supply </w:t>
      </w:r>
      <w:r w:rsidR="004D3637">
        <w:rPr>
          <w:rFonts w:ascii="Calibri" w:eastAsia="MS Mincho" w:hAnsi="Calibri" w:cs="Times New Roman"/>
          <w:szCs w:val="28"/>
        </w:rPr>
        <w:t xml:space="preserve">of a medicine by a dispensing pharmacy </w:t>
      </w:r>
      <w:r>
        <w:rPr>
          <w:rFonts w:ascii="Calibri" w:eastAsia="MS Mincho" w:hAnsi="Calibri" w:cs="Times New Roman"/>
          <w:szCs w:val="28"/>
        </w:rPr>
        <w:t>is cross</w:t>
      </w:r>
      <w:r w:rsidR="003A1817">
        <w:rPr>
          <w:rFonts w:ascii="Calibri" w:eastAsia="MS Mincho" w:hAnsi="Calibri" w:cs="Times New Roman"/>
          <w:szCs w:val="28"/>
        </w:rPr>
        <w:t>-</w:t>
      </w:r>
      <w:r>
        <w:rPr>
          <w:rFonts w:ascii="Calibri" w:eastAsia="MS Mincho" w:hAnsi="Calibri" w:cs="Times New Roman"/>
          <w:szCs w:val="28"/>
        </w:rPr>
        <w:t xml:space="preserve">checked against the </w:t>
      </w:r>
      <w:r w:rsidR="00A90938">
        <w:rPr>
          <w:rFonts w:ascii="Calibri" w:eastAsia="MS Mincho" w:hAnsi="Calibri" w:cs="Times New Roman"/>
          <w:szCs w:val="28"/>
        </w:rPr>
        <w:t>authorities</w:t>
      </w:r>
      <w:r>
        <w:rPr>
          <w:rFonts w:ascii="Calibri" w:eastAsia="MS Mincho" w:hAnsi="Calibri" w:cs="Times New Roman"/>
          <w:szCs w:val="28"/>
        </w:rPr>
        <w:t xml:space="preserve"> database at the time the prescription is supplied (via the PBS Online claiming system). The information checked is that </w:t>
      </w:r>
      <w:r w:rsidR="00A90938">
        <w:rPr>
          <w:rFonts w:ascii="Calibri" w:eastAsia="MS Mincho" w:hAnsi="Calibri" w:cs="Times New Roman"/>
          <w:szCs w:val="28"/>
        </w:rPr>
        <w:t>an</w:t>
      </w:r>
      <w:r>
        <w:rPr>
          <w:rFonts w:ascii="Calibri" w:eastAsia="MS Mincho" w:hAnsi="Calibri" w:cs="Times New Roman"/>
          <w:szCs w:val="28"/>
        </w:rPr>
        <w:t xml:space="preserve"> authority approval exists for the prescription and that the dispensed PBS items matches the one assigned in the</w:t>
      </w:r>
      <w:r w:rsidR="00BF3830">
        <w:rPr>
          <w:rFonts w:ascii="Calibri" w:eastAsia="MS Mincho" w:hAnsi="Calibri" w:cs="Times New Roman"/>
          <w:szCs w:val="28"/>
        </w:rPr>
        <w:t xml:space="preserve"> authority approval.</w:t>
      </w:r>
      <w:r w:rsidR="004D3637">
        <w:rPr>
          <w:rFonts w:ascii="Calibri" w:eastAsia="MS Mincho" w:hAnsi="Calibri" w:cs="Times New Roman"/>
          <w:szCs w:val="28"/>
        </w:rPr>
        <w:t xml:space="preserve"> Subsequent repeats </w:t>
      </w:r>
      <w:r w:rsidR="003A1817">
        <w:rPr>
          <w:rFonts w:ascii="Calibri" w:eastAsia="MS Mincho" w:hAnsi="Calibri" w:cs="Times New Roman"/>
          <w:szCs w:val="28"/>
        </w:rPr>
        <w:t xml:space="preserve">could </w:t>
      </w:r>
      <w:r w:rsidR="004D3637">
        <w:rPr>
          <w:rFonts w:ascii="Calibri" w:eastAsia="MS Mincho" w:hAnsi="Calibri" w:cs="Times New Roman"/>
          <w:szCs w:val="28"/>
        </w:rPr>
        <w:t>be misclassified at the time of dispensing.</w:t>
      </w:r>
    </w:p>
    <w:p w:rsidR="005C3590" w:rsidRDefault="00BF3830" w:rsidP="005C3590">
      <w:pPr>
        <w:rPr>
          <w:rFonts w:ascii="Calibri" w:eastAsia="MS Mincho" w:hAnsi="Calibri" w:cs="Times New Roman"/>
          <w:szCs w:val="28"/>
        </w:rPr>
      </w:pPr>
      <w:r>
        <w:rPr>
          <w:rFonts w:ascii="Calibri" w:eastAsia="MS Mincho" w:hAnsi="Calibri" w:cs="Times New Roman"/>
          <w:szCs w:val="28"/>
        </w:rPr>
        <w:t>A</w:t>
      </w:r>
      <w:r w:rsidR="005C3590">
        <w:rPr>
          <w:rFonts w:ascii="Calibri" w:eastAsia="MS Mincho" w:hAnsi="Calibri" w:cs="Times New Roman"/>
          <w:szCs w:val="28"/>
        </w:rPr>
        <w:t xml:space="preserve"> cohort of patients identified using first original prescriptions specifically for pNET was assumed to be the least likely to have misclassification bias. It was still possible for a small number of subsequent original and repeat prescriptions to be entered in the pharmacy claim database with an inaccurate item number. This possibility was considered and the extent and possible effect of misclassification was explored.</w:t>
      </w:r>
    </w:p>
    <w:p w:rsidR="005C3590" w:rsidRPr="00306A08" w:rsidRDefault="005C3590" w:rsidP="005C3590">
      <w:pPr>
        <w:rPr>
          <w:rFonts w:ascii="Calibri" w:eastAsia="MS Mincho" w:hAnsi="Calibri" w:cs="Times New Roman"/>
          <w:i/>
          <w:szCs w:val="28"/>
        </w:rPr>
      </w:pPr>
      <w:r w:rsidRPr="00306A08">
        <w:rPr>
          <w:rFonts w:ascii="Calibri" w:eastAsia="MS Mincho" w:hAnsi="Calibri" w:cs="Times New Roman"/>
          <w:i/>
          <w:szCs w:val="28"/>
        </w:rPr>
        <w:t xml:space="preserve">Construction of dataset 2 containing patients with </w:t>
      </w:r>
      <w:r>
        <w:rPr>
          <w:rFonts w:ascii="Calibri" w:eastAsia="MS Mincho" w:hAnsi="Calibri" w:cs="Times New Roman"/>
          <w:i/>
          <w:szCs w:val="28"/>
        </w:rPr>
        <w:t>pNET</w:t>
      </w:r>
      <w:r w:rsidRPr="00306A08">
        <w:rPr>
          <w:rFonts w:ascii="Calibri" w:eastAsia="MS Mincho" w:hAnsi="Calibri" w:cs="Times New Roman"/>
          <w:i/>
          <w:szCs w:val="28"/>
        </w:rPr>
        <w:t xml:space="preserve"> and minimal misclassification</w:t>
      </w:r>
    </w:p>
    <w:p w:rsidR="005C3590" w:rsidRDefault="005C3590" w:rsidP="005C3590">
      <w:pPr>
        <w:rPr>
          <w:rFonts w:ascii="Calibri" w:eastAsia="MS Mincho" w:hAnsi="Calibri" w:cs="Times New Roman"/>
          <w:szCs w:val="28"/>
        </w:rPr>
      </w:pPr>
      <w:r>
        <w:rPr>
          <w:rFonts w:ascii="Calibri" w:eastAsia="MS Mincho" w:hAnsi="Calibri" w:cs="Times New Roman"/>
          <w:szCs w:val="28"/>
        </w:rPr>
        <w:t xml:space="preserve">In order to identify an ‘as accurate as possible’ cohort of patients with pNET with a full medication history for sunitinib and everolimus, all PBS supplied prescriptions from the DHS pharmacy claim database for sunitinib and everolimus (1 May 2009, first listing for sunitinib, to 31 March 2017) were extracted. </w:t>
      </w:r>
    </w:p>
    <w:p w:rsidR="005C3590" w:rsidRDefault="005C3590" w:rsidP="005C3590">
      <w:pPr>
        <w:widowControl w:val="0"/>
        <w:rPr>
          <w:rFonts w:ascii="Calibri" w:eastAsia="Times New Roman" w:hAnsi="Calibri" w:cs="Times New Roman"/>
          <w:iCs/>
          <w:snapToGrid w:val="0"/>
          <w:lang w:eastAsia="en-US"/>
        </w:rPr>
      </w:pPr>
      <w:r w:rsidRPr="0010077B">
        <w:rPr>
          <w:rFonts w:ascii="Calibri" w:eastAsia="Times New Roman" w:hAnsi="Calibri" w:cs="Times New Roman"/>
          <w:iCs/>
          <w:snapToGrid w:val="0"/>
          <w:lang w:eastAsia="en-US"/>
        </w:rPr>
        <w:t xml:space="preserve">Patients were classified as being likely to have </w:t>
      </w:r>
      <w:r>
        <w:rPr>
          <w:rFonts w:ascii="Calibri" w:eastAsia="Times New Roman" w:hAnsi="Calibri" w:cs="Times New Roman"/>
          <w:iCs/>
          <w:snapToGrid w:val="0"/>
          <w:lang w:eastAsia="en-US"/>
        </w:rPr>
        <w:t xml:space="preserve">pNET </w:t>
      </w:r>
      <w:r w:rsidRPr="0010077B">
        <w:rPr>
          <w:rFonts w:ascii="Calibri" w:eastAsia="Times New Roman" w:hAnsi="Calibri" w:cs="Times New Roman"/>
          <w:iCs/>
          <w:snapToGrid w:val="0"/>
          <w:lang w:eastAsia="en-US"/>
        </w:rPr>
        <w:t xml:space="preserve">or </w:t>
      </w:r>
      <w:r>
        <w:rPr>
          <w:rFonts w:ascii="Calibri" w:eastAsia="Times New Roman" w:hAnsi="Calibri" w:cs="Times New Roman"/>
          <w:iCs/>
          <w:snapToGrid w:val="0"/>
          <w:lang w:eastAsia="en-US"/>
        </w:rPr>
        <w:t xml:space="preserve">non-pNET </w:t>
      </w:r>
      <w:r w:rsidRPr="0010077B">
        <w:rPr>
          <w:rFonts w:ascii="Calibri" w:eastAsia="Times New Roman" w:hAnsi="Calibri" w:cs="Times New Roman"/>
          <w:iCs/>
          <w:snapToGrid w:val="0"/>
          <w:lang w:eastAsia="en-US"/>
        </w:rPr>
        <w:t xml:space="preserve">based on the indication sequence of original prescriptions in relation to the </w:t>
      </w:r>
      <w:r>
        <w:rPr>
          <w:rFonts w:ascii="Calibri" w:eastAsia="Times New Roman" w:hAnsi="Calibri" w:cs="Times New Roman"/>
          <w:iCs/>
          <w:snapToGrid w:val="0"/>
          <w:lang w:eastAsia="en-US"/>
        </w:rPr>
        <w:t xml:space="preserve">pNET </w:t>
      </w:r>
      <w:r w:rsidRPr="0010077B">
        <w:rPr>
          <w:rFonts w:ascii="Calibri" w:eastAsia="Times New Roman" w:hAnsi="Calibri" w:cs="Times New Roman"/>
          <w:iCs/>
          <w:snapToGrid w:val="0"/>
          <w:lang w:eastAsia="en-US"/>
        </w:rPr>
        <w:t>indication listing date of 1</w:t>
      </w:r>
      <w:r w:rsidR="00692895">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 xml:space="preserve">December </w:t>
      </w:r>
      <w:r w:rsidRPr="0010077B">
        <w:rPr>
          <w:rFonts w:ascii="Calibri" w:eastAsia="Times New Roman" w:hAnsi="Calibri" w:cs="Times New Roman"/>
          <w:iCs/>
          <w:snapToGrid w:val="0"/>
          <w:lang w:eastAsia="en-US"/>
        </w:rPr>
        <w:t>2013.</w:t>
      </w:r>
      <w:r>
        <w:rPr>
          <w:rFonts w:ascii="Calibri" w:eastAsia="Times New Roman" w:hAnsi="Calibri" w:cs="Times New Roman"/>
          <w:iCs/>
          <w:snapToGrid w:val="0"/>
          <w:lang w:eastAsia="en-US"/>
        </w:rPr>
        <w:t xml:space="preserve"> </w:t>
      </w:r>
      <w:r w:rsidR="00A90938">
        <w:rPr>
          <w:rFonts w:ascii="Calibri" w:eastAsia="Times New Roman" w:hAnsi="Calibri" w:cs="Times New Roman"/>
          <w:iCs/>
          <w:snapToGrid w:val="0"/>
          <w:lang w:eastAsia="en-US"/>
        </w:rPr>
        <w:t xml:space="preserve">That is, if a patient’s first original prescription after 1 December 2013 was indicated for pNET and they did not receive a non-pNET indicated original prescription prior to 1 December 2013 then it was considered that the patient was being treated for pNET (Cohort pNET - 219 patients). </w:t>
      </w:r>
      <w:r>
        <w:rPr>
          <w:rFonts w:ascii="Calibri" w:eastAsia="Times New Roman" w:hAnsi="Calibri" w:cs="Times New Roman"/>
          <w:iCs/>
          <w:snapToGrid w:val="0"/>
          <w:lang w:eastAsia="en-US"/>
        </w:rPr>
        <w:t>Otherwise the patient was considered to be treated for a non-pNET co</w:t>
      </w:r>
      <w:r w:rsidR="00BF3830">
        <w:rPr>
          <w:rFonts w:ascii="Calibri" w:eastAsia="Times New Roman" w:hAnsi="Calibri" w:cs="Times New Roman"/>
          <w:iCs/>
          <w:snapToGrid w:val="0"/>
          <w:lang w:eastAsia="en-US"/>
        </w:rPr>
        <w:t>ndition (Cohort non-pNET – 7,524</w:t>
      </w:r>
      <w:r>
        <w:rPr>
          <w:rFonts w:ascii="Calibri" w:eastAsia="Times New Roman" w:hAnsi="Calibri" w:cs="Times New Roman"/>
          <w:iCs/>
          <w:snapToGrid w:val="0"/>
          <w:lang w:eastAsia="en-US"/>
        </w:rPr>
        <w:t xml:space="preserve"> patients).</w:t>
      </w:r>
    </w:p>
    <w:p w:rsidR="005C3590" w:rsidRDefault="005C3590" w:rsidP="005C3590">
      <w:pPr>
        <w:rPr>
          <w:rFonts w:ascii="Calibri" w:eastAsia="MS Mincho" w:hAnsi="Calibri" w:cs="Times New Roman"/>
          <w:szCs w:val="28"/>
        </w:rPr>
      </w:pPr>
      <w:r>
        <w:rPr>
          <w:rFonts w:ascii="Calibri" w:eastAsia="MS Mincho" w:hAnsi="Calibri" w:cs="Times New Roman"/>
          <w:szCs w:val="28"/>
        </w:rPr>
        <w:t>Non-pNET PBS indications for sunitinib are;</w:t>
      </w:r>
    </w:p>
    <w:p w:rsidR="005C3590" w:rsidRDefault="005C3590" w:rsidP="00420931">
      <w:pPr>
        <w:pStyle w:val="ListParagraph"/>
        <w:numPr>
          <w:ilvl w:val="0"/>
          <w:numId w:val="2"/>
        </w:numPr>
        <w:rPr>
          <w:rFonts w:ascii="Calibri" w:eastAsia="MS Mincho" w:hAnsi="Calibri" w:cs="Times New Roman"/>
          <w:szCs w:val="28"/>
        </w:rPr>
      </w:pPr>
      <w:r>
        <w:rPr>
          <w:rFonts w:ascii="Calibri" w:eastAsia="MS Mincho" w:hAnsi="Calibri" w:cs="Times New Roman"/>
          <w:szCs w:val="28"/>
        </w:rPr>
        <w:t>m</w:t>
      </w:r>
      <w:r w:rsidRPr="00F532D2">
        <w:rPr>
          <w:rFonts w:ascii="Calibri" w:eastAsia="MS Mincho" w:hAnsi="Calibri" w:cs="Times New Roman"/>
          <w:szCs w:val="28"/>
        </w:rPr>
        <w:t>etastatic or unresectable malignant gastrointestinal stromal tumour</w:t>
      </w:r>
      <w:r>
        <w:rPr>
          <w:rFonts w:ascii="Calibri" w:eastAsia="MS Mincho" w:hAnsi="Calibri" w:cs="Times New Roman"/>
          <w:szCs w:val="28"/>
        </w:rPr>
        <w:t xml:space="preserve"> (GIST); and</w:t>
      </w:r>
    </w:p>
    <w:p w:rsidR="005C3590" w:rsidRDefault="005C3590" w:rsidP="00420931">
      <w:pPr>
        <w:pStyle w:val="ListParagraph"/>
        <w:numPr>
          <w:ilvl w:val="0"/>
          <w:numId w:val="2"/>
        </w:numPr>
        <w:rPr>
          <w:rFonts w:ascii="Calibri" w:eastAsia="MS Mincho" w:hAnsi="Calibri" w:cs="Times New Roman"/>
          <w:szCs w:val="28"/>
        </w:rPr>
      </w:pPr>
      <w:r>
        <w:rPr>
          <w:rFonts w:ascii="Calibri" w:eastAsia="MS Mincho" w:hAnsi="Calibri" w:cs="Times New Roman"/>
          <w:szCs w:val="28"/>
        </w:rPr>
        <w:t>s</w:t>
      </w:r>
      <w:r w:rsidRPr="00AB5789">
        <w:rPr>
          <w:rFonts w:ascii="Calibri" w:eastAsia="MS Mincho" w:hAnsi="Calibri" w:cs="Times New Roman"/>
          <w:szCs w:val="28"/>
        </w:rPr>
        <w:t>tage IV clear cell variant renal cell carcinoma (RCC).</w:t>
      </w:r>
    </w:p>
    <w:p w:rsidR="005C3590" w:rsidRDefault="005C3590" w:rsidP="005C3590">
      <w:pPr>
        <w:rPr>
          <w:rFonts w:ascii="Calibri" w:eastAsia="MS Mincho" w:hAnsi="Calibri" w:cs="Times New Roman"/>
          <w:szCs w:val="28"/>
        </w:rPr>
      </w:pPr>
      <w:r w:rsidRPr="00AB5789">
        <w:rPr>
          <w:rFonts w:ascii="Calibri" w:eastAsia="MS Mincho" w:hAnsi="Calibri" w:cs="Times New Roman"/>
          <w:szCs w:val="28"/>
        </w:rPr>
        <w:t xml:space="preserve">Non-pNET </w:t>
      </w:r>
      <w:r>
        <w:rPr>
          <w:rFonts w:ascii="Calibri" w:eastAsia="MS Mincho" w:hAnsi="Calibri" w:cs="Times New Roman"/>
          <w:szCs w:val="28"/>
        </w:rPr>
        <w:t xml:space="preserve">PBS </w:t>
      </w:r>
      <w:r w:rsidRPr="00AB5789">
        <w:rPr>
          <w:rFonts w:ascii="Calibri" w:eastAsia="MS Mincho" w:hAnsi="Calibri" w:cs="Times New Roman"/>
          <w:szCs w:val="28"/>
        </w:rPr>
        <w:t xml:space="preserve">indications for </w:t>
      </w:r>
      <w:r>
        <w:rPr>
          <w:rFonts w:ascii="Calibri" w:eastAsia="MS Mincho" w:hAnsi="Calibri" w:cs="Times New Roman"/>
          <w:szCs w:val="28"/>
        </w:rPr>
        <w:t>everolimus</w:t>
      </w:r>
      <w:r w:rsidRPr="00AB5789">
        <w:rPr>
          <w:rFonts w:ascii="Calibri" w:eastAsia="MS Mincho" w:hAnsi="Calibri" w:cs="Times New Roman"/>
          <w:szCs w:val="28"/>
        </w:rPr>
        <w:t xml:space="preserve"> are;</w:t>
      </w:r>
    </w:p>
    <w:p w:rsidR="005C3590" w:rsidRDefault="005C3590" w:rsidP="00420931">
      <w:pPr>
        <w:pStyle w:val="ListParagraph"/>
        <w:numPr>
          <w:ilvl w:val="0"/>
          <w:numId w:val="2"/>
        </w:numPr>
        <w:rPr>
          <w:rFonts w:ascii="Calibri" w:eastAsia="MS Mincho" w:hAnsi="Calibri" w:cs="Times New Roman"/>
          <w:szCs w:val="28"/>
        </w:rPr>
      </w:pPr>
      <w:r>
        <w:rPr>
          <w:rFonts w:ascii="Calibri" w:eastAsia="MS Mincho" w:hAnsi="Calibri" w:cs="Times New Roman"/>
          <w:szCs w:val="28"/>
        </w:rPr>
        <w:t xml:space="preserve">tuberous </w:t>
      </w:r>
      <w:r w:rsidRPr="00F532D2">
        <w:rPr>
          <w:rFonts w:ascii="Calibri" w:eastAsia="MS Mincho" w:hAnsi="Calibri" w:cs="Times New Roman"/>
          <w:szCs w:val="28"/>
        </w:rPr>
        <w:t>sclerosis complex (TSC)</w:t>
      </w:r>
      <w:r>
        <w:rPr>
          <w:rFonts w:ascii="Calibri" w:eastAsia="MS Mincho" w:hAnsi="Calibri" w:cs="Times New Roman"/>
          <w:szCs w:val="28"/>
        </w:rPr>
        <w:t xml:space="preserve">; </w:t>
      </w:r>
    </w:p>
    <w:p w:rsidR="005C3590" w:rsidRDefault="005C3590" w:rsidP="00420931">
      <w:pPr>
        <w:pStyle w:val="ListParagraph"/>
        <w:numPr>
          <w:ilvl w:val="0"/>
          <w:numId w:val="2"/>
        </w:numPr>
        <w:rPr>
          <w:rFonts w:ascii="Calibri" w:eastAsia="MS Mincho" w:hAnsi="Calibri" w:cs="Times New Roman"/>
          <w:szCs w:val="28"/>
        </w:rPr>
      </w:pPr>
      <w:r>
        <w:rPr>
          <w:rFonts w:ascii="Calibri" w:eastAsia="MS Mincho" w:hAnsi="Calibri" w:cs="Times New Roman"/>
          <w:szCs w:val="28"/>
        </w:rPr>
        <w:t>m</w:t>
      </w:r>
      <w:r w:rsidRPr="00F532D2">
        <w:rPr>
          <w:rFonts w:ascii="Calibri" w:eastAsia="MS Mincho" w:hAnsi="Calibri" w:cs="Times New Roman"/>
          <w:szCs w:val="28"/>
        </w:rPr>
        <w:t>etastatic (Stage IV) breast cancer</w:t>
      </w:r>
      <w:r>
        <w:rPr>
          <w:rFonts w:ascii="Calibri" w:eastAsia="MS Mincho" w:hAnsi="Calibri" w:cs="Times New Roman"/>
          <w:szCs w:val="28"/>
        </w:rPr>
        <w:t>;</w:t>
      </w:r>
    </w:p>
    <w:p w:rsidR="005C3590" w:rsidRDefault="005C3590" w:rsidP="00420931">
      <w:pPr>
        <w:pStyle w:val="ListParagraph"/>
        <w:numPr>
          <w:ilvl w:val="0"/>
          <w:numId w:val="2"/>
        </w:numPr>
        <w:rPr>
          <w:rFonts w:ascii="Calibri" w:eastAsia="MS Mincho" w:hAnsi="Calibri" w:cs="Times New Roman"/>
          <w:szCs w:val="28"/>
        </w:rPr>
      </w:pPr>
      <w:r>
        <w:rPr>
          <w:rFonts w:ascii="Calibri" w:eastAsia="MS Mincho" w:hAnsi="Calibri" w:cs="Times New Roman"/>
          <w:szCs w:val="28"/>
        </w:rPr>
        <w:t>s</w:t>
      </w:r>
      <w:r w:rsidRPr="00F532D2">
        <w:rPr>
          <w:rFonts w:ascii="Calibri" w:eastAsia="MS Mincho" w:hAnsi="Calibri" w:cs="Times New Roman"/>
          <w:szCs w:val="28"/>
        </w:rPr>
        <w:t>tage IV clear cell variant renal cell carcinoma (RCC)</w:t>
      </w:r>
      <w:r>
        <w:rPr>
          <w:rFonts w:ascii="Calibri" w:eastAsia="MS Mincho" w:hAnsi="Calibri" w:cs="Times New Roman"/>
          <w:szCs w:val="28"/>
        </w:rPr>
        <w:t xml:space="preserve">; and </w:t>
      </w:r>
    </w:p>
    <w:p w:rsidR="005C3590" w:rsidRPr="00F532D2" w:rsidRDefault="005C3590" w:rsidP="00420931">
      <w:pPr>
        <w:pStyle w:val="ListParagraph"/>
        <w:numPr>
          <w:ilvl w:val="0"/>
          <w:numId w:val="2"/>
        </w:numPr>
        <w:rPr>
          <w:rFonts w:ascii="Calibri" w:eastAsia="MS Mincho" w:hAnsi="Calibri" w:cs="Times New Roman"/>
          <w:szCs w:val="28"/>
        </w:rPr>
      </w:pPr>
      <w:r>
        <w:rPr>
          <w:rFonts w:ascii="Calibri" w:eastAsia="MS Mincho" w:hAnsi="Calibri" w:cs="Times New Roman"/>
          <w:szCs w:val="28"/>
        </w:rPr>
        <w:t>m</w:t>
      </w:r>
      <w:r w:rsidRPr="00F532D2">
        <w:rPr>
          <w:rFonts w:ascii="Calibri" w:eastAsia="MS Mincho" w:hAnsi="Calibri" w:cs="Times New Roman"/>
          <w:szCs w:val="28"/>
        </w:rPr>
        <w:t xml:space="preserve">anagement of renal </w:t>
      </w:r>
      <w:r>
        <w:rPr>
          <w:rFonts w:ascii="Calibri" w:eastAsia="MS Mincho" w:hAnsi="Calibri" w:cs="Times New Roman"/>
          <w:szCs w:val="28"/>
        </w:rPr>
        <w:t xml:space="preserve">and cardiac </w:t>
      </w:r>
      <w:r w:rsidRPr="00F532D2">
        <w:rPr>
          <w:rFonts w:ascii="Calibri" w:eastAsia="MS Mincho" w:hAnsi="Calibri" w:cs="Times New Roman"/>
          <w:szCs w:val="28"/>
        </w:rPr>
        <w:t>allograft rejection</w:t>
      </w:r>
      <w:r>
        <w:rPr>
          <w:rFonts w:ascii="Calibri" w:eastAsia="MS Mincho" w:hAnsi="Calibri" w:cs="Times New Roman"/>
          <w:szCs w:val="28"/>
        </w:rPr>
        <w:t>.</w:t>
      </w:r>
    </w:p>
    <w:p w:rsidR="005C3590" w:rsidRDefault="005C3590" w:rsidP="005C3590">
      <w:pPr>
        <w:rPr>
          <w:rFonts w:ascii="Calibri" w:eastAsia="MS Mincho" w:hAnsi="Calibri" w:cs="Times New Roman"/>
          <w:szCs w:val="28"/>
        </w:rPr>
      </w:pPr>
      <w:r>
        <w:rPr>
          <w:rFonts w:ascii="Calibri" w:eastAsia="MS Mincho" w:hAnsi="Calibri" w:cs="Times New Roman"/>
          <w:szCs w:val="28"/>
        </w:rPr>
        <w:t xml:space="preserve">Table </w:t>
      </w:r>
      <w:r w:rsidR="00BF3830">
        <w:rPr>
          <w:rFonts w:ascii="Calibri" w:eastAsia="MS Mincho" w:hAnsi="Calibri" w:cs="Times New Roman"/>
          <w:szCs w:val="28"/>
        </w:rPr>
        <w:t>6</w:t>
      </w:r>
      <w:r>
        <w:rPr>
          <w:rFonts w:ascii="Calibri" w:eastAsia="MS Mincho" w:hAnsi="Calibri" w:cs="Times New Roman"/>
          <w:szCs w:val="28"/>
        </w:rPr>
        <w:t xml:space="preserve"> shows </w:t>
      </w:r>
      <w:r w:rsidRPr="00AA6F7E">
        <w:rPr>
          <w:rFonts w:ascii="Calibri" w:eastAsia="MS Mincho" w:hAnsi="Calibri" w:cs="Times New Roman"/>
          <w:szCs w:val="28"/>
        </w:rPr>
        <w:t>indication sequence</w:t>
      </w:r>
      <w:r>
        <w:rPr>
          <w:rFonts w:ascii="Calibri" w:eastAsia="MS Mincho" w:hAnsi="Calibri" w:cs="Times New Roman"/>
          <w:szCs w:val="28"/>
        </w:rPr>
        <w:t>s</w:t>
      </w:r>
      <w:r w:rsidRPr="00AA6F7E">
        <w:rPr>
          <w:rFonts w:ascii="Calibri" w:eastAsia="MS Mincho" w:hAnsi="Calibri" w:cs="Times New Roman"/>
          <w:szCs w:val="28"/>
        </w:rPr>
        <w:t xml:space="preserve"> for </w:t>
      </w:r>
      <w:r>
        <w:rPr>
          <w:rFonts w:ascii="Calibri" w:eastAsia="MS Mincho" w:hAnsi="Calibri" w:cs="Times New Roman"/>
          <w:szCs w:val="28"/>
        </w:rPr>
        <w:t>all sunitinib and everolimus original prescriptions (i</w:t>
      </w:r>
      <w:r w:rsidR="00692895">
        <w:rPr>
          <w:rFonts w:ascii="Calibri" w:eastAsia="MS Mincho" w:hAnsi="Calibri" w:cs="Times New Roman"/>
          <w:szCs w:val="28"/>
        </w:rPr>
        <w:t>.</w:t>
      </w:r>
      <w:r>
        <w:rPr>
          <w:rFonts w:ascii="Calibri" w:eastAsia="MS Mincho" w:hAnsi="Calibri" w:cs="Times New Roman"/>
          <w:szCs w:val="28"/>
        </w:rPr>
        <w:t>e. including all PBS item codes for these medications) and subsequent patient classifications.</w:t>
      </w:r>
    </w:p>
    <w:p w:rsidR="005C3590" w:rsidRDefault="005C3590" w:rsidP="005C3590">
      <w:pPr>
        <w:widowControl w:val="0"/>
        <w:spacing w:after="0"/>
        <w:rPr>
          <w:rFonts w:ascii="Calibri" w:eastAsia="Times New Roman" w:hAnsi="Calibri" w:cs="Times New Roman"/>
          <w:b/>
          <w:iCs/>
          <w:snapToGrid w:val="0"/>
          <w:lang w:eastAsia="en-US"/>
        </w:rPr>
      </w:pPr>
      <w:r>
        <w:rPr>
          <w:rFonts w:ascii="Calibri" w:eastAsia="Times New Roman" w:hAnsi="Calibri" w:cs="Times New Roman"/>
          <w:b/>
          <w:iCs/>
          <w:snapToGrid w:val="0"/>
          <w:lang w:eastAsia="en-US"/>
        </w:rPr>
        <w:t>Table 6</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Original prescription indication sequence</w:t>
      </w:r>
    </w:p>
    <w:tbl>
      <w:tblPr>
        <w:tblW w:w="4888" w:type="pct"/>
        <w:tblLayout w:type="fixed"/>
        <w:tblLook w:val="04A0" w:firstRow="1" w:lastRow="0" w:firstColumn="1" w:lastColumn="0" w:noHBand="0" w:noVBand="1"/>
      </w:tblPr>
      <w:tblGrid>
        <w:gridCol w:w="3065"/>
        <w:gridCol w:w="4089"/>
        <w:gridCol w:w="908"/>
        <w:gridCol w:w="906"/>
      </w:tblGrid>
      <w:tr w:rsidR="005C3590" w:rsidRPr="006520F5" w:rsidTr="005C3590">
        <w:trPr>
          <w:trHeight w:val="897"/>
        </w:trPr>
        <w:tc>
          <w:tcPr>
            <w:tcW w:w="1709" w:type="pct"/>
            <w:tcBorders>
              <w:top w:val="single" w:sz="4" w:space="0" w:color="auto"/>
              <w:left w:val="single" w:sz="4" w:space="0" w:color="auto"/>
              <w:bottom w:val="single" w:sz="4" w:space="0" w:color="auto"/>
              <w:right w:val="single" w:sz="4" w:space="0" w:color="auto"/>
            </w:tcBorders>
            <w:shd w:val="clear" w:color="000000" w:fill="BFBFBF"/>
            <w:vAlign w:val="center"/>
          </w:tcPr>
          <w:p w:rsidR="005C3590" w:rsidRPr="00D05EFE" w:rsidRDefault="005C3590" w:rsidP="005C3590">
            <w:pPr>
              <w:jc w:val="center"/>
              <w:rPr>
                <w:rFonts w:ascii="Calibri" w:hAnsi="Calibri"/>
                <w:b/>
                <w:bCs/>
                <w:color w:val="000000"/>
                <w:sz w:val="20"/>
              </w:rPr>
            </w:pPr>
            <w:r w:rsidRPr="00D05EFE">
              <w:rPr>
                <w:rFonts w:ascii="Calibri" w:hAnsi="Calibri"/>
                <w:b/>
                <w:bCs/>
                <w:color w:val="000000"/>
                <w:sz w:val="20"/>
                <w:szCs w:val="22"/>
              </w:rPr>
              <w:t>Patient classification</w:t>
            </w:r>
          </w:p>
        </w:tc>
        <w:tc>
          <w:tcPr>
            <w:tcW w:w="2280" w:type="pct"/>
            <w:tcBorders>
              <w:top w:val="single" w:sz="4" w:space="0" w:color="auto"/>
              <w:left w:val="nil"/>
              <w:bottom w:val="single" w:sz="4" w:space="0" w:color="auto"/>
              <w:right w:val="single" w:sz="4" w:space="0" w:color="auto"/>
            </w:tcBorders>
            <w:shd w:val="clear" w:color="000000" w:fill="BFBFBF"/>
            <w:noWrap/>
            <w:vAlign w:val="center"/>
          </w:tcPr>
          <w:p w:rsidR="005C3590" w:rsidRPr="00D05EFE" w:rsidRDefault="005C3590" w:rsidP="005C3590">
            <w:pPr>
              <w:jc w:val="center"/>
              <w:rPr>
                <w:rFonts w:ascii="Calibri" w:hAnsi="Calibri"/>
                <w:b/>
                <w:bCs/>
                <w:color w:val="000000"/>
                <w:sz w:val="20"/>
              </w:rPr>
            </w:pPr>
            <w:r w:rsidRPr="00D05EFE">
              <w:rPr>
                <w:rFonts w:ascii="Calibri" w:hAnsi="Calibri"/>
                <w:b/>
                <w:bCs/>
                <w:color w:val="000000"/>
                <w:sz w:val="20"/>
                <w:szCs w:val="22"/>
              </w:rPr>
              <w:t>Original prescription indication sequence</w:t>
            </w:r>
          </w:p>
        </w:tc>
        <w:tc>
          <w:tcPr>
            <w:tcW w:w="506" w:type="pct"/>
            <w:tcBorders>
              <w:top w:val="single" w:sz="4" w:space="0" w:color="auto"/>
              <w:left w:val="nil"/>
              <w:bottom w:val="single" w:sz="4" w:space="0" w:color="auto"/>
              <w:right w:val="single" w:sz="4" w:space="0" w:color="auto"/>
            </w:tcBorders>
            <w:shd w:val="clear" w:color="000000" w:fill="BFBFBF"/>
            <w:noWrap/>
            <w:vAlign w:val="center"/>
          </w:tcPr>
          <w:p w:rsidR="005C3590" w:rsidRPr="00D05EFE" w:rsidRDefault="005C3590" w:rsidP="005C3590">
            <w:pPr>
              <w:jc w:val="center"/>
              <w:rPr>
                <w:rFonts w:ascii="Calibri" w:hAnsi="Calibri"/>
                <w:b/>
                <w:bCs/>
                <w:color w:val="000000"/>
                <w:sz w:val="20"/>
              </w:rPr>
            </w:pPr>
            <w:r w:rsidRPr="00D05EFE">
              <w:rPr>
                <w:rFonts w:ascii="Calibri" w:hAnsi="Calibri"/>
                <w:b/>
                <w:bCs/>
                <w:color w:val="000000"/>
                <w:sz w:val="20"/>
                <w:szCs w:val="22"/>
              </w:rPr>
              <w:t>Patients</w:t>
            </w:r>
          </w:p>
        </w:tc>
        <w:tc>
          <w:tcPr>
            <w:tcW w:w="505" w:type="pct"/>
            <w:tcBorders>
              <w:top w:val="single" w:sz="4" w:space="0" w:color="auto"/>
              <w:left w:val="nil"/>
              <w:bottom w:val="single" w:sz="4" w:space="0" w:color="auto"/>
              <w:right w:val="single" w:sz="4" w:space="0" w:color="auto"/>
            </w:tcBorders>
            <w:shd w:val="clear" w:color="000000" w:fill="BFBFBF"/>
            <w:vAlign w:val="center"/>
          </w:tcPr>
          <w:p w:rsidR="005C3590" w:rsidRPr="00D05EFE" w:rsidRDefault="005C3590" w:rsidP="005C3590">
            <w:pPr>
              <w:jc w:val="center"/>
              <w:rPr>
                <w:rFonts w:ascii="Calibri" w:hAnsi="Calibri"/>
                <w:b/>
                <w:bCs/>
                <w:color w:val="000000"/>
                <w:sz w:val="20"/>
              </w:rPr>
            </w:pPr>
            <w:r w:rsidRPr="00D05EFE">
              <w:rPr>
                <w:rFonts w:ascii="Calibri" w:hAnsi="Calibri"/>
                <w:b/>
                <w:bCs/>
                <w:color w:val="000000"/>
                <w:sz w:val="20"/>
                <w:szCs w:val="22"/>
              </w:rPr>
              <w:t>% Patients</w:t>
            </w:r>
          </w:p>
        </w:tc>
      </w:tr>
      <w:tr w:rsidR="005C3590" w:rsidRPr="009852B5" w:rsidTr="005C3590">
        <w:trPr>
          <w:trHeight w:val="283"/>
        </w:trPr>
        <w:tc>
          <w:tcPr>
            <w:tcW w:w="1709" w:type="pct"/>
            <w:vMerge w:val="restart"/>
            <w:tcBorders>
              <w:top w:val="single" w:sz="4" w:space="0" w:color="auto"/>
              <w:left w:val="single" w:sz="4" w:space="0" w:color="auto"/>
              <w:bottom w:val="single" w:sz="4" w:space="0" w:color="auto"/>
              <w:right w:val="single" w:sz="4" w:space="0" w:color="auto"/>
            </w:tcBorders>
            <w:shd w:val="clear" w:color="auto" w:fill="auto"/>
          </w:tcPr>
          <w:p w:rsidR="005C3590" w:rsidRPr="00D05EFE" w:rsidRDefault="005C3590" w:rsidP="005C3590">
            <w:pPr>
              <w:spacing w:after="0"/>
              <w:rPr>
                <w:rFonts w:ascii="Calibri" w:hAnsi="Calibri"/>
                <w:b/>
                <w:bCs/>
                <w:color w:val="000000"/>
                <w:sz w:val="20"/>
              </w:rPr>
            </w:pPr>
            <w:r w:rsidRPr="00D05EFE">
              <w:rPr>
                <w:rFonts w:ascii="Calibri" w:hAnsi="Calibri"/>
                <w:b/>
                <w:bCs/>
                <w:color w:val="000000"/>
                <w:sz w:val="20"/>
                <w:szCs w:val="22"/>
              </w:rPr>
              <w:t xml:space="preserve">Considered to be patients with </w:t>
            </w:r>
            <w:r>
              <w:rPr>
                <w:rFonts w:ascii="Calibri" w:hAnsi="Calibri"/>
                <w:b/>
                <w:bCs/>
                <w:color w:val="000000"/>
                <w:sz w:val="20"/>
                <w:szCs w:val="22"/>
              </w:rPr>
              <w:t>pNET (Cohort pNET)</w:t>
            </w:r>
          </w:p>
        </w:tc>
        <w:tc>
          <w:tcPr>
            <w:tcW w:w="2280" w:type="pct"/>
            <w:tcBorders>
              <w:top w:val="nil"/>
              <w:left w:val="nil"/>
              <w:bottom w:val="single" w:sz="4" w:space="0" w:color="auto"/>
              <w:right w:val="single" w:sz="4" w:space="0" w:color="auto"/>
            </w:tcBorders>
            <w:shd w:val="clear" w:color="auto" w:fill="auto"/>
            <w:noWrap/>
          </w:tcPr>
          <w:p w:rsidR="005C3590" w:rsidRPr="00D05EFE" w:rsidRDefault="005C3590" w:rsidP="005C3590">
            <w:pPr>
              <w:spacing w:after="0"/>
              <w:rPr>
                <w:rFonts w:ascii="Calibri" w:hAnsi="Calibri"/>
                <w:sz w:val="20"/>
              </w:rPr>
            </w:pPr>
            <w:r w:rsidRPr="00D05EFE">
              <w:rPr>
                <w:rFonts w:ascii="Calibri" w:hAnsi="Calibri"/>
                <w:sz w:val="20"/>
                <w:szCs w:val="22"/>
              </w:rPr>
              <w:t xml:space="preserve">All original prescriptions were indicated for </w:t>
            </w:r>
            <w:r>
              <w:rPr>
                <w:rFonts w:ascii="Calibri" w:hAnsi="Calibri"/>
                <w:sz w:val="20"/>
                <w:szCs w:val="22"/>
              </w:rPr>
              <w:t>pNET</w:t>
            </w:r>
          </w:p>
        </w:tc>
        <w:tc>
          <w:tcPr>
            <w:tcW w:w="506" w:type="pct"/>
            <w:tcBorders>
              <w:top w:val="nil"/>
              <w:left w:val="nil"/>
              <w:bottom w:val="single" w:sz="4" w:space="0" w:color="auto"/>
              <w:right w:val="single" w:sz="4" w:space="0" w:color="auto"/>
            </w:tcBorders>
            <w:shd w:val="clear" w:color="auto" w:fill="auto"/>
            <w:noWrap/>
            <w:vAlign w:val="center"/>
          </w:tcPr>
          <w:p w:rsidR="005C3590" w:rsidRPr="001E78F6" w:rsidRDefault="005C3590" w:rsidP="005C3590">
            <w:pPr>
              <w:spacing w:after="0"/>
              <w:jc w:val="center"/>
              <w:rPr>
                <w:rFonts w:ascii="Calibri" w:hAnsi="Calibri"/>
                <w:sz w:val="20"/>
              </w:rPr>
            </w:pPr>
            <w:r w:rsidRPr="001E78F6">
              <w:rPr>
                <w:rFonts w:ascii="Calibri" w:hAnsi="Calibri"/>
                <w:sz w:val="20"/>
              </w:rPr>
              <w:t>159</w:t>
            </w:r>
          </w:p>
        </w:tc>
        <w:tc>
          <w:tcPr>
            <w:tcW w:w="505" w:type="pct"/>
            <w:tcBorders>
              <w:top w:val="nil"/>
              <w:left w:val="nil"/>
              <w:bottom w:val="single" w:sz="4" w:space="0" w:color="auto"/>
              <w:right w:val="single" w:sz="4" w:space="0" w:color="auto"/>
            </w:tcBorders>
            <w:vAlign w:val="center"/>
          </w:tcPr>
          <w:p w:rsidR="005C3590" w:rsidRPr="001E78F6" w:rsidRDefault="005C3590" w:rsidP="005C3590">
            <w:pPr>
              <w:spacing w:after="0"/>
              <w:jc w:val="center"/>
              <w:rPr>
                <w:rFonts w:ascii="Calibri" w:hAnsi="Calibri"/>
                <w:sz w:val="20"/>
              </w:rPr>
            </w:pPr>
            <w:r w:rsidRPr="001E78F6">
              <w:rPr>
                <w:rFonts w:ascii="Calibri" w:hAnsi="Calibri"/>
                <w:sz w:val="20"/>
              </w:rPr>
              <w:t>2.1%</w:t>
            </w:r>
          </w:p>
        </w:tc>
      </w:tr>
      <w:tr w:rsidR="005C3590" w:rsidRPr="009852B5" w:rsidTr="005C3590">
        <w:trPr>
          <w:trHeight w:val="283"/>
        </w:trPr>
        <w:tc>
          <w:tcPr>
            <w:tcW w:w="1709" w:type="pct"/>
            <w:vMerge/>
            <w:tcBorders>
              <w:top w:val="single" w:sz="4" w:space="0" w:color="auto"/>
              <w:left w:val="single" w:sz="4" w:space="0" w:color="auto"/>
              <w:bottom w:val="single" w:sz="4" w:space="0" w:color="auto"/>
              <w:right w:val="single" w:sz="4" w:space="0" w:color="auto"/>
            </w:tcBorders>
            <w:shd w:val="clear" w:color="auto" w:fill="auto"/>
          </w:tcPr>
          <w:p w:rsidR="005C3590" w:rsidRPr="00D05EFE" w:rsidRDefault="005C3590" w:rsidP="005C3590">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5C3590" w:rsidRPr="00D05EFE" w:rsidRDefault="005C3590" w:rsidP="005C3590">
            <w:pPr>
              <w:spacing w:after="0"/>
              <w:rPr>
                <w:rFonts w:ascii="Calibri" w:hAnsi="Calibri"/>
                <w:sz w:val="20"/>
              </w:rPr>
            </w:pPr>
            <w:r w:rsidRPr="00D05EFE">
              <w:rPr>
                <w:rFonts w:ascii="Calibri" w:hAnsi="Calibri"/>
                <w:sz w:val="20"/>
                <w:szCs w:val="22"/>
              </w:rPr>
              <w:t xml:space="preserve">First original prescription was post 1 </w:t>
            </w:r>
            <w:r>
              <w:rPr>
                <w:rFonts w:ascii="Calibri" w:hAnsi="Calibri"/>
                <w:sz w:val="20"/>
                <w:szCs w:val="22"/>
              </w:rPr>
              <w:t xml:space="preserve">December 2013 was </w:t>
            </w:r>
            <w:r w:rsidRPr="00D05EFE">
              <w:rPr>
                <w:rFonts w:ascii="Calibri" w:hAnsi="Calibri"/>
                <w:sz w:val="20"/>
                <w:szCs w:val="22"/>
              </w:rPr>
              <w:t xml:space="preserve">indicated for </w:t>
            </w:r>
            <w:r>
              <w:rPr>
                <w:rFonts w:ascii="Calibri" w:hAnsi="Calibri"/>
                <w:sz w:val="20"/>
                <w:szCs w:val="22"/>
              </w:rPr>
              <w:t>pNET</w:t>
            </w:r>
            <w:r w:rsidRPr="00D05EFE">
              <w:rPr>
                <w:rFonts w:ascii="Calibri" w:hAnsi="Calibri"/>
                <w:sz w:val="20"/>
                <w:szCs w:val="22"/>
              </w:rPr>
              <w:t>, but patient</w:t>
            </w:r>
            <w:r>
              <w:rPr>
                <w:rFonts w:ascii="Calibri" w:hAnsi="Calibri"/>
                <w:sz w:val="20"/>
                <w:szCs w:val="22"/>
              </w:rPr>
              <w:t>s</w:t>
            </w:r>
            <w:r w:rsidRPr="00D05EFE">
              <w:rPr>
                <w:rFonts w:ascii="Calibri" w:hAnsi="Calibri"/>
                <w:sz w:val="20"/>
                <w:szCs w:val="22"/>
              </w:rPr>
              <w:t xml:space="preserve"> also had at least one </w:t>
            </w:r>
            <w:r>
              <w:rPr>
                <w:rFonts w:ascii="Calibri" w:hAnsi="Calibri"/>
                <w:sz w:val="20"/>
                <w:szCs w:val="22"/>
              </w:rPr>
              <w:t xml:space="preserve">non-pNET </w:t>
            </w:r>
            <w:r w:rsidRPr="00D05EFE">
              <w:rPr>
                <w:rFonts w:ascii="Calibri" w:hAnsi="Calibri"/>
                <w:sz w:val="20"/>
                <w:szCs w:val="22"/>
              </w:rPr>
              <w:t>original after this</w:t>
            </w:r>
            <w:r>
              <w:rPr>
                <w:rFonts w:ascii="Calibri" w:hAnsi="Calibri"/>
                <w:sz w:val="20"/>
                <w:szCs w:val="22"/>
              </w:rPr>
              <w:t>.</w:t>
            </w:r>
          </w:p>
        </w:tc>
        <w:tc>
          <w:tcPr>
            <w:tcW w:w="506" w:type="pct"/>
            <w:tcBorders>
              <w:top w:val="nil"/>
              <w:left w:val="nil"/>
              <w:bottom w:val="single" w:sz="4" w:space="0" w:color="auto"/>
              <w:right w:val="single" w:sz="4" w:space="0" w:color="auto"/>
            </w:tcBorders>
            <w:shd w:val="clear" w:color="auto" w:fill="auto"/>
            <w:noWrap/>
            <w:vAlign w:val="center"/>
          </w:tcPr>
          <w:p w:rsidR="005C3590" w:rsidRPr="001E78F6" w:rsidRDefault="005C3590" w:rsidP="005C3590">
            <w:pPr>
              <w:spacing w:after="0"/>
              <w:jc w:val="center"/>
              <w:rPr>
                <w:rFonts w:ascii="Calibri" w:hAnsi="Calibri"/>
                <w:sz w:val="20"/>
              </w:rPr>
            </w:pPr>
            <w:r w:rsidRPr="001E78F6">
              <w:rPr>
                <w:rFonts w:ascii="Calibri" w:hAnsi="Calibri"/>
                <w:sz w:val="20"/>
              </w:rPr>
              <w:t>60</w:t>
            </w:r>
          </w:p>
        </w:tc>
        <w:tc>
          <w:tcPr>
            <w:tcW w:w="505" w:type="pct"/>
            <w:tcBorders>
              <w:top w:val="nil"/>
              <w:left w:val="nil"/>
              <w:bottom w:val="single" w:sz="4" w:space="0" w:color="auto"/>
              <w:right w:val="single" w:sz="4" w:space="0" w:color="auto"/>
            </w:tcBorders>
            <w:vAlign w:val="center"/>
          </w:tcPr>
          <w:p w:rsidR="005C3590" w:rsidRPr="001E78F6" w:rsidRDefault="005C3590" w:rsidP="005C3590">
            <w:pPr>
              <w:spacing w:after="0"/>
              <w:jc w:val="center"/>
              <w:rPr>
                <w:rFonts w:ascii="Calibri" w:hAnsi="Calibri"/>
                <w:sz w:val="20"/>
              </w:rPr>
            </w:pPr>
            <w:r w:rsidRPr="001E78F6">
              <w:rPr>
                <w:rFonts w:ascii="Calibri" w:hAnsi="Calibri"/>
                <w:sz w:val="20"/>
              </w:rPr>
              <w:t>0.8%</w:t>
            </w:r>
          </w:p>
        </w:tc>
      </w:tr>
      <w:tr w:rsidR="005C3590" w:rsidRPr="009852B5" w:rsidTr="005C3590">
        <w:trPr>
          <w:trHeight w:val="283"/>
        </w:trPr>
        <w:tc>
          <w:tcPr>
            <w:tcW w:w="1709" w:type="pct"/>
            <w:vMerge/>
            <w:tcBorders>
              <w:top w:val="single" w:sz="4" w:space="0" w:color="auto"/>
              <w:left w:val="single" w:sz="4" w:space="0" w:color="auto"/>
              <w:bottom w:val="single" w:sz="4" w:space="0" w:color="auto"/>
              <w:right w:val="single" w:sz="4" w:space="0" w:color="auto"/>
            </w:tcBorders>
            <w:shd w:val="clear" w:color="auto" w:fill="auto"/>
          </w:tcPr>
          <w:p w:rsidR="005C3590" w:rsidRPr="00D05EFE" w:rsidRDefault="005C3590" w:rsidP="005C3590">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5C3590" w:rsidRPr="00D05EFE" w:rsidRDefault="005C3590" w:rsidP="005C3590">
            <w:pPr>
              <w:spacing w:after="0"/>
              <w:rPr>
                <w:rFonts w:ascii="Calibri" w:hAnsi="Calibri"/>
                <w:sz w:val="20"/>
              </w:rPr>
            </w:pPr>
            <w:r w:rsidRPr="00D05EFE">
              <w:rPr>
                <w:rFonts w:ascii="Calibri" w:hAnsi="Calibri"/>
                <w:sz w:val="20"/>
                <w:szCs w:val="22"/>
              </w:rPr>
              <w:t>Sub-total</w:t>
            </w:r>
          </w:p>
        </w:tc>
        <w:tc>
          <w:tcPr>
            <w:tcW w:w="506" w:type="pct"/>
            <w:tcBorders>
              <w:top w:val="nil"/>
              <w:left w:val="nil"/>
              <w:bottom w:val="single" w:sz="4" w:space="0" w:color="auto"/>
              <w:right w:val="single" w:sz="4" w:space="0" w:color="auto"/>
            </w:tcBorders>
            <w:shd w:val="clear" w:color="auto" w:fill="auto"/>
            <w:noWrap/>
            <w:vAlign w:val="center"/>
          </w:tcPr>
          <w:p w:rsidR="005C3590" w:rsidRPr="001E78F6" w:rsidRDefault="005C3590" w:rsidP="005C3590">
            <w:pPr>
              <w:spacing w:after="0"/>
              <w:jc w:val="center"/>
              <w:rPr>
                <w:rFonts w:ascii="Calibri" w:hAnsi="Calibri"/>
                <w:b/>
                <w:sz w:val="20"/>
              </w:rPr>
            </w:pPr>
            <w:r w:rsidRPr="001E78F6">
              <w:rPr>
                <w:rFonts w:ascii="Calibri" w:hAnsi="Calibri"/>
                <w:b/>
                <w:sz w:val="20"/>
              </w:rPr>
              <w:t>219</w:t>
            </w:r>
          </w:p>
        </w:tc>
        <w:tc>
          <w:tcPr>
            <w:tcW w:w="505" w:type="pct"/>
            <w:tcBorders>
              <w:top w:val="nil"/>
              <w:left w:val="nil"/>
              <w:bottom w:val="single" w:sz="4" w:space="0" w:color="auto"/>
              <w:right w:val="single" w:sz="4" w:space="0" w:color="auto"/>
            </w:tcBorders>
            <w:vAlign w:val="center"/>
          </w:tcPr>
          <w:p w:rsidR="005C3590" w:rsidRPr="001E78F6" w:rsidRDefault="005C3590" w:rsidP="005C3590">
            <w:pPr>
              <w:spacing w:after="0"/>
              <w:jc w:val="center"/>
              <w:rPr>
                <w:rFonts w:ascii="Calibri" w:hAnsi="Calibri"/>
                <w:b/>
                <w:sz w:val="20"/>
              </w:rPr>
            </w:pPr>
            <w:r w:rsidRPr="001E78F6">
              <w:rPr>
                <w:rFonts w:ascii="Calibri" w:hAnsi="Calibri"/>
                <w:b/>
                <w:sz w:val="20"/>
              </w:rPr>
              <w:t>2.8%</w:t>
            </w:r>
          </w:p>
        </w:tc>
      </w:tr>
      <w:tr w:rsidR="005C3590" w:rsidRPr="009852B5" w:rsidTr="005C3590">
        <w:trPr>
          <w:trHeight w:val="283"/>
        </w:trPr>
        <w:tc>
          <w:tcPr>
            <w:tcW w:w="1709" w:type="pct"/>
            <w:vMerge w:val="restart"/>
            <w:tcBorders>
              <w:top w:val="single" w:sz="4" w:space="0" w:color="auto"/>
              <w:left w:val="single" w:sz="4" w:space="0" w:color="auto"/>
              <w:right w:val="single" w:sz="4" w:space="0" w:color="auto"/>
            </w:tcBorders>
            <w:shd w:val="clear" w:color="auto" w:fill="auto"/>
          </w:tcPr>
          <w:p w:rsidR="005C3590" w:rsidRDefault="005C3590" w:rsidP="005C3590">
            <w:pPr>
              <w:spacing w:after="0"/>
              <w:rPr>
                <w:rFonts w:ascii="Calibri" w:hAnsi="Calibri"/>
                <w:b/>
                <w:bCs/>
                <w:color w:val="000000"/>
                <w:sz w:val="20"/>
              </w:rPr>
            </w:pPr>
            <w:r w:rsidRPr="00D05EFE">
              <w:rPr>
                <w:rFonts w:ascii="Calibri" w:hAnsi="Calibri"/>
                <w:b/>
                <w:bCs/>
                <w:color w:val="000000"/>
                <w:sz w:val="20"/>
                <w:szCs w:val="22"/>
              </w:rPr>
              <w:t xml:space="preserve">Considered to be patients with </w:t>
            </w:r>
            <w:r>
              <w:rPr>
                <w:rFonts w:ascii="Calibri" w:hAnsi="Calibri"/>
                <w:b/>
                <w:bCs/>
                <w:color w:val="000000"/>
                <w:sz w:val="20"/>
                <w:szCs w:val="22"/>
              </w:rPr>
              <w:t>a non-pNET condition (Cohort non-pNET).</w:t>
            </w:r>
          </w:p>
          <w:p w:rsidR="005C3590" w:rsidRPr="00D05EFE" w:rsidRDefault="005C3590" w:rsidP="005C3590">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5C3590" w:rsidRPr="00D05EFE" w:rsidRDefault="005C3590" w:rsidP="005C3590">
            <w:pPr>
              <w:spacing w:after="0"/>
              <w:rPr>
                <w:rFonts w:ascii="Calibri" w:hAnsi="Calibri"/>
                <w:sz w:val="20"/>
              </w:rPr>
            </w:pPr>
            <w:r w:rsidRPr="00D05EFE">
              <w:rPr>
                <w:rFonts w:ascii="Calibri" w:hAnsi="Calibri"/>
                <w:sz w:val="20"/>
                <w:szCs w:val="22"/>
              </w:rPr>
              <w:t xml:space="preserve">First original prescription post 1 </w:t>
            </w:r>
            <w:r>
              <w:rPr>
                <w:rFonts w:ascii="Calibri" w:hAnsi="Calibri"/>
                <w:sz w:val="20"/>
                <w:szCs w:val="22"/>
              </w:rPr>
              <w:t>December</w:t>
            </w:r>
            <w:r w:rsidRPr="00D05EFE">
              <w:rPr>
                <w:rFonts w:ascii="Calibri" w:hAnsi="Calibri"/>
                <w:sz w:val="20"/>
                <w:szCs w:val="22"/>
              </w:rPr>
              <w:t xml:space="preserve"> 2013 was indicated for </w:t>
            </w:r>
            <w:r>
              <w:rPr>
                <w:rFonts w:ascii="Calibri" w:hAnsi="Calibri"/>
                <w:sz w:val="20"/>
                <w:szCs w:val="22"/>
              </w:rPr>
              <w:t>pNET</w:t>
            </w:r>
            <w:r w:rsidRPr="00D05EFE">
              <w:rPr>
                <w:rFonts w:ascii="Calibri" w:hAnsi="Calibri"/>
                <w:sz w:val="20"/>
                <w:szCs w:val="22"/>
              </w:rPr>
              <w:t>, but patient</w:t>
            </w:r>
            <w:r>
              <w:rPr>
                <w:rFonts w:ascii="Calibri" w:hAnsi="Calibri"/>
                <w:sz w:val="20"/>
                <w:szCs w:val="22"/>
              </w:rPr>
              <w:t>s</w:t>
            </w:r>
            <w:r w:rsidRPr="00D05EFE">
              <w:rPr>
                <w:rFonts w:ascii="Calibri" w:hAnsi="Calibri"/>
                <w:sz w:val="20"/>
                <w:szCs w:val="22"/>
              </w:rPr>
              <w:t xml:space="preserve"> also had at least one </w:t>
            </w:r>
            <w:r>
              <w:rPr>
                <w:rFonts w:ascii="Calibri" w:hAnsi="Calibri"/>
                <w:sz w:val="20"/>
                <w:szCs w:val="22"/>
              </w:rPr>
              <w:t>non-pNET</w:t>
            </w:r>
            <w:r w:rsidRPr="00D05EFE">
              <w:rPr>
                <w:rFonts w:ascii="Calibri" w:hAnsi="Calibri"/>
                <w:sz w:val="20"/>
                <w:szCs w:val="22"/>
              </w:rPr>
              <w:t xml:space="preserve"> original prior to 1 </w:t>
            </w:r>
            <w:r>
              <w:rPr>
                <w:rFonts w:ascii="Calibri" w:hAnsi="Calibri"/>
                <w:sz w:val="20"/>
                <w:szCs w:val="22"/>
              </w:rPr>
              <w:t>December</w:t>
            </w:r>
            <w:r w:rsidRPr="00D05EFE">
              <w:rPr>
                <w:rFonts w:ascii="Calibri" w:hAnsi="Calibri"/>
                <w:sz w:val="20"/>
                <w:szCs w:val="22"/>
              </w:rPr>
              <w:t xml:space="preserve"> 2013</w:t>
            </w:r>
            <w:r>
              <w:rPr>
                <w:rFonts w:ascii="Calibri" w:hAnsi="Calibri"/>
                <w:sz w:val="20"/>
                <w:szCs w:val="22"/>
              </w:rPr>
              <w:t>. Not clear if pNET post 1 December entry was an error.</w:t>
            </w:r>
          </w:p>
        </w:tc>
        <w:tc>
          <w:tcPr>
            <w:tcW w:w="506" w:type="pct"/>
            <w:tcBorders>
              <w:top w:val="nil"/>
              <w:left w:val="nil"/>
              <w:bottom w:val="single" w:sz="4" w:space="0" w:color="auto"/>
              <w:right w:val="single" w:sz="4" w:space="0" w:color="auto"/>
            </w:tcBorders>
            <w:shd w:val="clear" w:color="auto" w:fill="auto"/>
            <w:noWrap/>
            <w:vAlign w:val="center"/>
          </w:tcPr>
          <w:p w:rsidR="005C3590" w:rsidRPr="001E78F6" w:rsidRDefault="005C3590" w:rsidP="005C3590">
            <w:pPr>
              <w:spacing w:after="0"/>
              <w:jc w:val="center"/>
              <w:rPr>
                <w:rFonts w:ascii="Calibri" w:hAnsi="Calibri"/>
                <w:sz w:val="20"/>
              </w:rPr>
            </w:pPr>
            <w:r w:rsidRPr="001E78F6">
              <w:rPr>
                <w:rFonts w:ascii="Calibri" w:hAnsi="Calibri"/>
                <w:sz w:val="20"/>
              </w:rPr>
              <w:t>10</w:t>
            </w:r>
          </w:p>
        </w:tc>
        <w:tc>
          <w:tcPr>
            <w:tcW w:w="505" w:type="pct"/>
            <w:tcBorders>
              <w:top w:val="nil"/>
              <w:left w:val="nil"/>
              <w:bottom w:val="single" w:sz="4" w:space="0" w:color="auto"/>
              <w:right w:val="single" w:sz="4" w:space="0" w:color="auto"/>
            </w:tcBorders>
            <w:vAlign w:val="center"/>
          </w:tcPr>
          <w:p w:rsidR="005C3590" w:rsidRPr="001E78F6" w:rsidRDefault="005C3590" w:rsidP="005C3590">
            <w:pPr>
              <w:spacing w:after="0"/>
              <w:jc w:val="center"/>
              <w:rPr>
                <w:rFonts w:ascii="Calibri" w:hAnsi="Calibri"/>
                <w:sz w:val="20"/>
              </w:rPr>
            </w:pPr>
            <w:r w:rsidRPr="001E78F6">
              <w:rPr>
                <w:rFonts w:ascii="Calibri" w:hAnsi="Calibri"/>
                <w:sz w:val="20"/>
              </w:rPr>
              <w:t>0.1%</w:t>
            </w:r>
          </w:p>
        </w:tc>
      </w:tr>
      <w:tr w:rsidR="005C3590" w:rsidRPr="009852B5" w:rsidTr="005C3590">
        <w:trPr>
          <w:trHeight w:val="283"/>
        </w:trPr>
        <w:tc>
          <w:tcPr>
            <w:tcW w:w="1709" w:type="pct"/>
            <w:vMerge/>
            <w:tcBorders>
              <w:left w:val="single" w:sz="4" w:space="0" w:color="auto"/>
              <w:right w:val="single" w:sz="4" w:space="0" w:color="auto"/>
            </w:tcBorders>
            <w:shd w:val="clear" w:color="auto" w:fill="auto"/>
          </w:tcPr>
          <w:p w:rsidR="005C3590" w:rsidRPr="00D05EFE" w:rsidRDefault="005C3590" w:rsidP="005C3590">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5C3590" w:rsidRPr="00D05EFE" w:rsidRDefault="005C3590" w:rsidP="005C3590">
            <w:pPr>
              <w:spacing w:after="0"/>
              <w:rPr>
                <w:rFonts w:ascii="Calibri" w:hAnsi="Calibri"/>
                <w:sz w:val="20"/>
              </w:rPr>
            </w:pPr>
            <w:r w:rsidRPr="00D05EFE">
              <w:rPr>
                <w:rFonts w:ascii="Calibri" w:hAnsi="Calibri"/>
                <w:sz w:val="20"/>
                <w:szCs w:val="22"/>
              </w:rPr>
              <w:t xml:space="preserve">All original prescriptions were indicated for </w:t>
            </w:r>
            <w:r>
              <w:rPr>
                <w:rFonts w:ascii="Calibri" w:hAnsi="Calibri"/>
                <w:sz w:val="20"/>
                <w:szCs w:val="22"/>
              </w:rPr>
              <w:t>non-pNET PBS item numbers</w:t>
            </w:r>
          </w:p>
        </w:tc>
        <w:tc>
          <w:tcPr>
            <w:tcW w:w="506" w:type="pct"/>
            <w:tcBorders>
              <w:top w:val="nil"/>
              <w:left w:val="nil"/>
              <w:bottom w:val="single" w:sz="4" w:space="0" w:color="auto"/>
              <w:right w:val="single" w:sz="4" w:space="0" w:color="auto"/>
            </w:tcBorders>
            <w:shd w:val="clear" w:color="auto" w:fill="auto"/>
            <w:noWrap/>
            <w:vAlign w:val="center"/>
          </w:tcPr>
          <w:p w:rsidR="005C3590" w:rsidRPr="001E78F6" w:rsidRDefault="005C3590" w:rsidP="005C3590">
            <w:pPr>
              <w:spacing w:after="0"/>
              <w:jc w:val="center"/>
              <w:rPr>
                <w:rFonts w:ascii="Calibri" w:hAnsi="Calibri"/>
                <w:sz w:val="20"/>
              </w:rPr>
            </w:pPr>
            <w:r w:rsidRPr="001E78F6">
              <w:rPr>
                <w:rFonts w:ascii="Calibri" w:hAnsi="Calibri"/>
                <w:sz w:val="20"/>
              </w:rPr>
              <w:t>6,273</w:t>
            </w:r>
          </w:p>
        </w:tc>
        <w:tc>
          <w:tcPr>
            <w:tcW w:w="505" w:type="pct"/>
            <w:tcBorders>
              <w:top w:val="nil"/>
              <w:left w:val="nil"/>
              <w:bottom w:val="single" w:sz="4" w:space="0" w:color="auto"/>
              <w:right w:val="single" w:sz="4" w:space="0" w:color="auto"/>
            </w:tcBorders>
            <w:vAlign w:val="center"/>
          </w:tcPr>
          <w:p w:rsidR="005C3590" w:rsidRPr="001E78F6" w:rsidRDefault="005C3590" w:rsidP="005C3590">
            <w:pPr>
              <w:spacing w:after="0"/>
              <w:jc w:val="center"/>
              <w:rPr>
                <w:rFonts w:ascii="Calibri" w:hAnsi="Calibri"/>
                <w:sz w:val="20"/>
              </w:rPr>
            </w:pPr>
            <w:r w:rsidRPr="001E78F6">
              <w:rPr>
                <w:rFonts w:ascii="Calibri" w:hAnsi="Calibri"/>
                <w:sz w:val="20"/>
              </w:rPr>
              <w:t>81.0%</w:t>
            </w:r>
          </w:p>
        </w:tc>
      </w:tr>
      <w:tr w:rsidR="005C3590" w:rsidRPr="009852B5" w:rsidTr="005C3590">
        <w:trPr>
          <w:trHeight w:val="283"/>
        </w:trPr>
        <w:tc>
          <w:tcPr>
            <w:tcW w:w="1709" w:type="pct"/>
            <w:vMerge/>
            <w:tcBorders>
              <w:left w:val="single" w:sz="4" w:space="0" w:color="auto"/>
              <w:bottom w:val="single" w:sz="4" w:space="0" w:color="auto"/>
              <w:right w:val="single" w:sz="4" w:space="0" w:color="auto"/>
            </w:tcBorders>
            <w:shd w:val="clear" w:color="auto" w:fill="auto"/>
          </w:tcPr>
          <w:p w:rsidR="005C3590" w:rsidRPr="00D05EFE" w:rsidRDefault="005C3590" w:rsidP="005C3590">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5C3590" w:rsidRPr="00D05EFE" w:rsidRDefault="005C3590" w:rsidP="005C3590">
            <w:pPr>
              <w:spacing w:after="0"/>
              <w:rPr>
                <w:rFonts w:ascii="Calibri" w:hAnsi="Calibri"/>
                <w:sz w:val="20"/>
              </w:rPr>
            </w:pPr>
            <w:r w:rsidRPr="00D05EFE">
              <w:rPr>
                <w:rFonts w:ascii="Calibri" w:hAnsi="Calibri"/>
                <w:sz w:val="20"/>
                <w:szCs w:val="22"/>
              </w:rPr>
              <w:t>Patients whose</w:t>
            </w:r>
            <w:r>
              <w:rPr>
                <w:rFonts w:ascii="Calibri" w:hAnsi="Calibri"/>
                <w:sz w:val="20"/>
                <w:szCs w:val="22"/>
              </w:rPr>
              <w:t xml:space="preserve"> first</w:t>
            </w:r>
            <w:r w:rsidRPr="00D05EFE">
              <w:rPr>
                <w:rFonts w:ascii="Calibri" w:hAnsi="Calibri"/>
                <w:sz w:val="20"/>
                <w:szCs w:val="22"/>
              </w:rPr>
              <w:t xml:space="preserve"> original </w:t>
            </w:r>
            <w:r>
              <w:rPr>
                <w:rFonts w:ascii="Calibri" w:hAnsi="Calibri"/>
                <w:sz w:val="20"/>
                <w:szCs w:val="22"/>
              </w:rPr>
              <w:t xml:space="preserve">authority </w:t>
            </w:r>
            <w:r w:rsidRPr="00D05EFE">
              <w:rPr>
                <w:rFonts w:ascii="Calibri" w:hAnsi="Calibri"/>
                <w:sz w:val="20"/>
                <w:szCs w:val="22"/>
              </w:rPr>
              <w:t xml:space="preserve">prescription </w:t>
            </w:r>
            <w:r>
              <w:rPr>
                <w:rFonts w:ascii="Calibri" w:hAnsi="Calibri"/>
                <w:sz w:val="20"/>
                <w:szCs w:val="22"/>
              </w:rPr>
              <w:t xml:space="preserve">was for non-pNET but at least one subsequent original authority prescription </w:t>
            </w:r>
            <w:r w:rsidR="00A90938">
              <w:rPr>
                <w:rFonts w:ascii="Calibri" w:hAnsi="Calibri"/>
                <w:sz w:val="20"/>
                <w:szCs w:val="22"/>
              </w:rPr>
              <w:t>was for</w:t>
            </w:r>
            <w:r>
              <w:rPr>
                <w:rFonts w:ascii="Calibri" w:hAnsi="Calibri"/>
                <w:sz w:val="20"/>
                <w:szCs w:val="22"/>
              </w:rPr>
              <w:t xml:space="preserve"> pNET. Later originals could have been for either indication </w:t>
            </w:r>
          </w:p>
        </w:tc>
        <w:tc>
          <w:tcPr>
            <w:tcW w:w="506" w:type="pct"/>
            <w:tcBorders>
              <w:top w:val="nil"/>
              <w:left w:val="nil"/>
              <w:bottom w:val="single" w:sz="4" w:space="0" w:color="auto"/>
              <w:right w:val="single" w:sz="4" w:space="0" w:color="auto"/>
            </w:tcBorders>
            <w:shd w:val="clear" w:color="auto" w:fill="auto"/>
            <w:noWrap/>
            <w:vAlign w:val="center"/>
          </w:tcPr>
          <w:p w:rsidR="005C3590" w:rsidRPr="00D05EFE" w:rsidRDefault="005C3590" w:rsidP="005C3590">
            <w:pPr>
              <w:spacing w:after="0"/>
              <w:jc w:val="center"/>
              <w:rPr>
                <w:rFonts w:ascii="Calibri" w:hAnsi="Calibri"/>
                <w:sz w:val="20"/>
              </w:rPr>
            </w:pPr>
            <w:r w:rsidRPr="001E78F6">
              <w:rPr>
                <w:rFonts w:ascii="Calibri" w:hAnsi="Calibri"/>
                <w:sz w:val="20"/>
              </w:rPr>
              <w:t>1,241</w:t>
            </w:r>
          </w:p>
        </w:tc>
        <w:tc>
          <w:tcPr>
            <w:tcW w:w="505" w:type="pct"/>
            <w:tcBorders>
              <w:top w:val="nil"/>
              <w:left w:val="nil"/>
              <w:bottom w:val="single" w:sz="4" w:space="0" w:color="auto"/>
              <w:right w:val="single" w:sz="4" w:space="0" w:color="auto"/>
            </w:tcBorders>
            <w:vAlign w:val="center"/>
          </w:tcPr>
          <w:p w:rsidR="005C3590" w:rsidRPr="00D05EFE" w:rsidRDefault="005C3590" w:rsidP="005C3590">
            <w:pPr>
              <w:spacing w:after="0"/>
              <w:jc w:val="center"/>
              <w:rPr>
                <w:rFonts w:ascii="Calibri" w:hAnsi="Calibri"/>
                <w:sz w:val="20"/>
              </w:rPr>
            </w:pPr>
            <w:r w:rsidRPr="001E78F6">
              <w:rPr>
                <w:rFonts w:ascii="Calibri" w:hAnsi="Calibri"/>
                <w:sz w:val="20"/>
              </w:rPr>
              <w:t>16.0%</w:t>
            </w:r>
          </w:p>
        </w:tc>
      </w:tr>
      <w:tr w:rsidR="005C3590" w:rsidRPr="009852B5" w:rsidTr="005C3590">
        <w:trPr>
          <w:trHeight w:val="283"/>
        </w:trPr>
        <w:tc>
          <w:tcPr>
            <w:tcW w:w="1709" w:type="pct"/>
            <w:tcBorders>
              <w:left w:val="single" w:sz="4" w:space="0" w:color="auto"/>
              <w:bottom w:val="single" w:sz="4" w:space="0" w:color="auto"/>
              <w:right w:val="single" w:sz="4" w:space="0" w:color="auto"/>
            </w:tcBorders>
            <w:shd w:val="clear" w:color="auto" w:fill="auto"/>
          </w:tcPr>
          <w:p w:rsidR="005C3590" w:rsidRPr="00D05EFE" w:rsidRDefault="005C3590" w:rsidP="005C3590">
            <w:pPr>
              <w:spacing w:after="0"/>
              <w:rPr>
                <w:rFonts w:ascii="Calibri" w:hAnsi="Calibri"/>
                <w:b/>
                <w:bCs/>
                <w:color w:val="000000"/>
                <w:sz w:val="20"/>
              </w:rPr>
            </w:pPr>
          </w:p>
        </w:tc>
        <w:tc>
          <w:tcPr>
            <w:tcW w:w="2280" w:type="pct"/>
            <w:tcBorders>
              <w:top w:val="nil"/>
              <w:left w:val="nil"/>
              <w:bottom w:val="single" w:sz="4" w:space="0" w:color="auto"/>
              <w:right w:val="single" w:sz="4" w:space="0" w:color="auto"/>
            </w:tcBorders>
            <w:shd w:val="clear" w:color="auto" w:fill="auto"/>
            <w:noWrap/>
          </w:tcPr>
          <w:p w:rsidR="005C3590" w:rsidRPr="00D05EFE" w:rsidRDefault="005C3590" w:rsidP="005C3590">
            <w:pPr>
              <w:spacing w:after="0"/>
              <w:rPr>
                <w:rFonts w:ascii="Calibri" w:hAnsi="Calibri"/>
                <w:sz w:val="20"/>
              </w:rPr>
            </w:pPr>
            <w:r w:rsidRPr="00D05EFE">
              <w:rPr>
                <w:rFonts w:ascii="Calibri" w:hAnsi="Calibri"/>
                <w:sz w:val="20"/>
                <w:szCs w:val="22"/>
              </w:rPr>
              <w:t>Sub-total</w:t>
            </w:r>
          </w:p>
        </w:tc>
        <w:tc>
          <w:tcPr>
            <w:tcW w:w="506" w:type="pct"/>
            <w:tcBorders>
              <w:top w:val="nil"/>
              <w:left w:val="nil"/>
              <w:bottom w:val="single" w:sz="4" w:space="0" w:color="auto"/>
              <w:right w:val="single" w:sz="4" w:space="0" w:color="auto"/>
            </w:tcBorders>
            <w:shd w:val="clear" w:color="auto" w:fill="auto"/>
            <w:noWrap/>
            <w:vAlign w:val="bottom"/>
          </w:tcPr>
          <w:p w:rsidR="005C3590" w:rsidRPr="001E78F6" w:rsidRDefault="005C3590" w:rsidP="005C3590">
            <w:pPr>
              <w:spacing w:after="0"/>
              <w:jc w:val="center"/>
              <w:rPr>
                <w:rFonts w:ascii="Calibri" w:hAnsi="Calibri"/>
                <w:b/>
                <w:sz w:val="20"/>
              </w:rPr>
            </w:pPr>
            <w:r w:rsidRPr="001E78F6">
              <w:rPr>
                <w:rFonts w:ascii="Calibri" w:hAnsi="Calibri"/>
                <w:b/>
                <w:sz w:val="20"/>
              </w:rPr>
              <w:t>7</w:t>
            </w:r>
            <w:r w:rsidR="003C4A33">
              <w:rPr>
                <w:rFonts w:ascii="Calibri" w:hAnsi="Calibri"/>
                <w:b/>
                <w:sz w:val="20"/>
              </w:rPr>
              <w:t>,</w:t>
            </w:r>
            <w:r w:rsidRPr="001E78F6">
              <w:rPr>
                <w:rFonts w:ascii="Calibri" w:hAnsi="Calibri"/>
                <w:b/>
                <w:sz w:val="20"/>
              </w:rPr>
              <w:t>524</w:t>
            </w:r>
          </w:p>
        </w:tc>
        <w:tc>
          <w:tcPr>
            <w:tcW w:w="505" w:type="pct"/>
            <w:tcBorders>
              <w:top w:val="nil"/>
              <w:left w:val="nil"/>
              <w:bottom w:val="single" w:sz="4" w:space="0" w:color="auto"/>
              <w:right w:val="single" w:sz="4" w:space="0" w:color="auto"/>
            </w:tcBorders>
            <w:vAlign w:val="bottom"/>
          </w:tcPr>
          <w:p w:rsidR="005C3590" w:rsidRPr="001E78F6" w:rsidRDefault="005C3590" w:rsidP="005C3590">
            <w:pPr>
              <w:spacing w:after="0"/>
              <w:jc w:val="center"/>
              <w:rPr>
                <w:rFonts w:ascii="Calibri" w:hAnsi="Calibri"/>
                <w:b/>
                <w:sz w:val="20"/>
              </w:rPr>
            </w:pPr>
            <w:r w:rsidRPr="001E78F6">
              <w:rPr>
                <w:rFonts w:ascii="Calibri" w:hAnsi="Calibri"/>
                <w:b/>
                <w:sz w:val="20"/>
              </w:rPr>
              <w:t>97.2%</w:t>
            </w:r>
          </w:p>
        </w:tc>
      </w:tr>
      <w:tr w:rsidR="005C3590" w:rsidRPr="009852B5" w:rsidTr="005C3590">
        <w:trPr>
          <w:trHeight w:val="283"/>
        </w:trPr>
        <w:tc>
          <w:tcPr>
            <w:tcW w:w="1709" w:type="pct"/>
            <w:tcBorders>
              <w:top w:val="nil"/>
              <w:left w:val="single" w:sz="4" w:space="0" w:color="auto"/>
              <w:bottom w:val="single" w:sz="4" w:space="0" w:color="auto"/>
              <w:right w:val="single" w:sz="4" w:space="0" w:color="auto"/>
            </w:tcBorders>
            <w:shd w:val="clear" w:color="auto" w:fill="auto"/>
          </w:tcPr>
          <w:p w:rsidR="005C3590" w:rsidRPr="00D05EFE" w:rsidRDefault="005C3590" w:rsidP="005C3590">
            <w:pPr>
              <w:spacing w:after="0"/>
              <w:rPr>
                <w:rFonts w:ascii="Calibri" w:hAnsi="Calibri"/>
                <w:b/>
                <w:bCs/>
                <w:color w:val="000000"/>
                <w:sz w:val="20"/>
              </w:rPr>
            </w:pPr>
            <w:r w:rsidRPr="00D05EFE">
              <w:rPr>
                <w:rFonts w:ascii="Calibri" w:hAnsi="Calibri"/>
                <w:b/>
                <w:bCs/>
                <w:color w:val="000000"/>
                <w:sz w:val="20"/>
                <w:szCs w:val="22"/>
              </w:rPr>
              <w:t>Total</w:t>
            </w:r>
          </w:p>
        </w:tc>
        <w:tc>
          <w:tcPr>
            <w:tcW w:w="2280" w:type="pct"/>
            <w:tcBorders>
              <w:top w:val="nil"/>
              <w:left w:val="nil"/>
              <w:bottom w:val="single" w:sz="4" w:space="0" w:color="auto"/>
              <w:right w:val="single" w:sz="4" w:space="0" w:color="auto"/>
            </w:tcBorders>
            <w:shd w:val="clear" w:color="auto" w:fill="auto"/>
            <w:noWrap/>
          </w:tcPr>
          <w:p w:rsidR="005C3590" w:rsidRPr="00D05EFE" w:rsidRDefault="005C3590" w:rsidP="005C3590">
            <w:pPr>
              <w:spacing w:after="0"/>
              <w:rPr>
                <w:rFonts w:ascii="Calibri" w:hAnsi="Calibri"/>
                <w:b/>
                <w:bCs/>
                <w:color w:val="000000"/>
                <w:sz w:val="20"/>
              </w:rPr>
            </w:pPr>
          </w:p>
        </w:tc>
        <w:tc>
          <w:tcPr>
            <w:tcW w:w="506" w:type="pct"/>
            <w:tcBorders>
              <w:top w:val="nil"/>
              <w:left w:val="nil"/>
              <w:bottom w:val="single" w:sz="4" w:space="0" w:color="auto"/>
              <w:right w:val="single" w:sz="4" w:space="0" w:color="auto"/>
            </w:tcBorders>
            <w:shd w:val="clear" w:color="auto" w:fill="auto"/>
            <w:noWrap/>
            <w:vAlign w:val="bottom"/>
          </w:tcPr>
          <w:p w:rsidR="005C3590" w:rsidRPr="001E78F6" w:rsidRDefault="005C3590" w:rsidP="005C3590">
            <w:pPr>
              <w:spacing w:after="0"/>
              <w:jc w:val="center"/>
              <w:rPr>
                <w:rFonts w:ascii="Calibri" w:hAnsi="Calibri"/>
                <w:b/>
                <w:sz w:val="20"/>
              </w:rPr>
            </w:pPr>
            <w:r w:rsidRPr="001E78F6">
              <w:rPr>
                <w:rFonts w:ascii="Calibri" w:hAnsi="Calibri"/>
                <w:b/>
                <w:sz w:val="20"/>
              </w:rPr>
              <w:t>7</w:t>
            </w:r>
            <w:r w:rsidR="003C4A33">
              <w:rPr>
                <w:rFonts w:ascii="Calibri" w:hAnsi="Calibri"/>
                <w:b/>
                <w:sz w:val="20"/>
              </w:rPr>
              <w:t>,</w:t>
            </w:r>
            <w:r w:rsidRPr="001E78F6">
              <w:rPr>
                <w:rFonts w:ascii="Calibri" w:hAnsi="Calibri"/>
                <w:b/>
                <w:sz w:val="20"/>
              </w:rPr>
              <w:t>743</w:t>
            </w:r>
          </w:p>
        </w:tc>
        <w:tc>
          <w:tcPr>
            <w:tcW w:w="505" w:type="pct"/>
            <w:tcBorders>
              <w:top w:val="nil"/>
              <w:left w:val="nil"/>
              <w:bottom w:val="single" w:sz="4" w:space="0" w:color="auto"/>
              <w:right w:val="single" w:sz="4" w:space="0" w:color="auto"/>
            </w:tcBorders>
            <w:vAlign w:val="bottom"/>
          </w:tcPr>
          <w:p w:rsidR="005C3590" w:rsidRPr="001E78F6" w:rsidRDefault="005C3590" w:rsidP="005C3590">
            <w:pPr>
              <w:spacing w:after="0"/>
              <w:jc w:val="center"/>
              <w:rPr>
                <w:rFonts w:ascii="Calibri" w:hAnsi="Calibri"/>
                <w:b/>
                <w:sz w:val="20"/>
              </w:rPr>
            </w:pPr>
            <w:r w:rsidRPr="001E78F6">
              <w:rPr>
                <w:rFonts w:ascii="Calibri" w:hAnsi="Calibri"/>
                <w:b/>
                <w:sz w:val="20"/>
              </w:rPr>
              <w:t>100.0%</w:t>
            </w:r>
          </w:p>
        </w:tc>
      </w:tr>
    </w:tbl>
    <w:p w:rsidR="005C3590" w:rsidRDefault="005C3590" w:rsidP="005C3590">
      <w:pPr>
        <w:spacing w:after="0"/>
        <w:rPr>
          <w:rFonts w:ascii="Calibri" w:eastAsia="MS Mincho" w:hAnsi="Calibri" w:cs="Times New Roman"/>
          <w:szCs w:val="28"/>
        </w:rPr>
      </w:pPr>
    </w:p>
    <w:p w:rsidR="005C3590" w:rsidRDefault="005C3590" w:rsidP="005C3590">
      <w:pPr>
        <w:widowControl w:val="0"/>
        <w:spacing w:after="0"/>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total number of patients in the previous analyses (sections 1 &amp; 2), which only had regard to pNET indicated prescriptions (both originals and repeats), was 366. This means that 366 – 219 = 147 patients that were included in the previous analysis were possibly misclassified as pNET patients. For the purpose of </w:t>
      </w:r>
      <w:r w:rsidR="009D4D36">
        <w:rPr>
          <w:rFonts w:ascii="Calibri" w:eastAsia="Times New Roman" w:hAnsi="Calibri" w:cs="Times New Roman"/>
          <w:iCs/>
          <w:snapToGrid w:val="0"/>
          <w:lang w:eastAsia="en-US"/>
        </w:rPr>
        <w:t xml:space="preserve">patient-level </w:t>
      </w:r>
      <w:r>
        <w:rPr>
          <w:rFonts w:ascii="Calibri" w:eastAsia="Times New Roman" w:hAnsi="Calibri" w:cs="Times New Roman"/>
          <w:iCs/>
          <w:snapToGrid w:val="0"/>
          <w:lang w:eastAsia="en-US"/>
        </w:rPr>
        <w:t>analysis of utilisation these patients did not have a complete prescription history for both sunitinib and everolimus as all non-pNET indicated prescription supplies were not included for these 147 patients</w:t>
      </w:r>
      <w:r w:rsidR="009D4D36">
        <w:rPr>
          <w:rFonts w:ascii="Calibri" w:eastAsia="Times New Roman" w:hAnsi="Calibri" w:cs="Times New Roman"/>
          <w:iCs/>
          <w:snapToGrid w:val="0"/>
          <w:lang w:eastAsia="en-US"/>
        </w:rPr>
        <w:t xml:space="preserve"> which would introduce additional bias in determining duration of therapy related analyses</w:t>
      </w:r>
      <w:r>
        <w:rPr>
          <w:rFonts w:ascii="Calibri" w:eastAsia="Times New Roman" w:hAnsi="Calibri" w:cs="Times New Roman"/>
          <w:iCs/>
          <w:snapToGrid w:val="0"/>
          <w:lang w:eastAsia="en-US"/>
        </w:rPr>
        <w:t xml:space="preserve">. </w:t>
      </w:r>
    </w:p>
    <w:p w:rsidR="005C3590" w:rsidRDefault="005C3590" w:rsidP="005C3590">
      <w:pPr>
        <w:widowControl w:val="0"/>
        <w:spacing w:after="0"/>
        <w:rPr>
          <w:rFonts w:ascii="Calibri" w:eastAsia="Times New Roman" w:hAnsi="Calibri" w:cs="Times New Roman"/>
          <w:iCs/>
          <w:snapToGrid w:val="0"/>
          <w:lang w:eastAsia="en-US"/>
        </w:rPr>
      </w:pPr>
    </w:p>
    <w:p w:rsidR="005C3590" w:rsidRDefault="005C3590" w:rsidP="005C3590">
      <w:pPr>
        <w:widowControl w:val="0"/>
        <w:spacing w:after="0"/>
        <w:rPr>
          <w:rFonts w:ascii="Calibri" w:eastAsia="Times New Roman" w:hAnsi="Calibri" w:cs="Times New Roman"/>
          <w:iCs/>
          <w:snapToGrid w:val="0"/>
          <w:lang w:eastAsia="en-US"/>
        </w:rPr>
      </w:pPr>
      <w:r>
        <w:rPr>
          <w:rFonts w:ascii="Calibri" w:eastAsia="Times New Roman" w:hAnsi="Calibri" w:cs="Times New Roman"/>
          <w:iCs/>
          <w:snapToGrid w:val="0"/>
          <w:lang w:eastAsia="en-US"/>
        </w:rPr>
        <w:t xml:space="preserve">The subsequent analyses in this report </w:t>
      </w:r>
      <w:r w:rsidR="00455CB9">
        <w:rPr>
          <w:rFonts w:ascii="Calibri" w:eastAsia="Times New Roman" w:hAnsi="Calibri" w:cs="Times New Roman"/>
          <w:iCs/>
          <w:snapToGrid w:val="0"/>
          <w:lang w:eastAsia="en-US"/>
        </w:rPr>
        <w:t>use dataset 2 (i</w:t>
      </w:r>
      <w:r w:rsidR="00692895">
        <w:rPr>
          <w:rFonts w:ascii="Calibri" w:eastAsia="Times New Roman" w:hAnsi="Calibri" w:cs="Times New Roman"/>
          <w:iCs/>
          <w:snapToGrid w:val="0"/>
          <w:lang w:eastAsia="en-US"/>
        </w:rPr>
        <w:t>.</w:t>
      </w:r>
      <w:r w:rsidR="00455CB9">
        <w:rPr>
          <w:rFonts w:ascii="Calibri" w:eastAsia="Times New Roman" w:hAnsi="Calibri" w:cs="Times New Roman"/>
          <w:iCs/>
          <w:snapToGrid w:val="0"/>
          <w:lang w:eastAsia="en-US"/>
        </w:rPr>
        <w:t xml:space="preserve">e. all </w:t>
      </w:r>
      <w:r w:rsidR="00455CB9">
        <w:rPr>
          <w:rFonts w:ascii="Calibri" w:eastAsia="MS Mincho" w:hAnsi="Calibri" w:cs="Times New Roman"/>
          <w:szCs w:val="28"/>
        </w:rPr>
        <w:t xml:space="preserve">sunitinib and everolimus prescriptions for Cohort pNET patients) </w:t>
      </w:r>
      <w:r w:rsidR="00455CB9">
        <w:rPr>
          <w:rFonts w:ascii="Calibri" w:eastAsia="Times New Roman" w:hAnsi="Calibri" w:cs="Times New Roman"/>
          <w:iCs/>
          <w:snapToGrid w:val="0"/>
          <w:lang w:eastAsia="en-US"/>
        </w:rPr>
        <w:t xml:space="preserve">and </w:t>
      </w:r>
      <w:r>
        <w:rPr>
          <w:rFonts w:ascii="Calibri" w:eastAsia="Times New Roman" w:hAnsi="Calibri" w:cs="Times New Roman"/>
          <w:iCs/>
          <w:snapToGrid w:val="0"/>
          <w:lang w:eastAsia="en-US"/>
        </w:rPr>
        <w:t>were designed to compare parameters assumed in the submissions with an estimate of the parameters observed in practice (e</w:t>
      </w:r>
      <w:r w:rsidR="00692895">
        <w:rPr>
          <w:rFonts w:ascii="Calibri" w:eastAsia="Times New Roman" w:hAnsi="Calibri" w:cs="Times New Roman"/>
          <w:iCs/>
          <w:snapToGrid w:val="0"/>
          <w:lang w:eastAsia="en-US"/>
        </w:rPr>
        <w:t>.</w:t>
      </w:r>
      <w:r>
        <w:rPr>
          <w:rFonts w:ascii="Calibri" w:eastAsia="Times New Roman" w:hAnsi="Calibri" w:cs="Times New Roman"/>
          <w:iCs/>
          <w:snapToGrid w:val="0"/>
          <w:lang w:eastAsia="en-US"/>
        </w:rPr>
        <w:t>g.</w:t>
      </w:r>
      <w:r w:rsidR="00692895">
        <w:rPr>
          <w:rFonts w:ascii="Calibri" w:eastAsia="Times New Roman" w:hAnsi="Calibri" w:cs="Times New Roman"/>
          <w:iCs/>
          <w:snapToGrid w:val="0"/>
          <w:lang w:eastAsia="en-US"/>
        </w:rPr>
        <w:t> </w:t>
      </w:r>
      <w:r>
        <w:rPr>
          <w:rFonts w:ascii="Calibri" w:eastAsia="Times New Roman" w:hAnsi="Calibri" w:cs="Times New Roman"/>
          <w:iCs/>
          <w:snapToGrid w:val="0"/>
          <w:lang w:eastAsia="en-US"/>
        </w:rPr>
        <w:t xml:space="preserve">length of treatment, time to resupply, number prescriptions per patient). This parameter estimation </w:t>
      </w:r>
      <w:r w:rsidR="003C4A33">
        <w:rPr>
          <w:rFonts w:ascii="Calibri" w:eastAsia="Times New Roman" w:hAnsi="Calibri" w:cs="Times New Roman"/>
          <w:iCs/>
          <w:snapToGrid w:val="0"/>
          <w:lang w:eastAsia="en-US"/>
        </w:rPr>
        <w:t>is</w:t>
      </w:r>
      <w:r>
        <w:rPr>
          <w:rFonts w:ascii="Calibri" w:eastAsia="Times New Roman" w:hAnsi="Calibri" w:cs="Times New Roman"/>
          <w:iCs/>
          <w:snapToGrid w:val="0"/>
          <w:lang w:eastAsia="en-US"/>
        </w:rPr>
        <w:t xml:space="preserve"> most accurate if based on a cohort of patients in which there was a high degree of confidence that they were pNET patients and that they had their full sunitinib and everolimus</w:t>
      </w:r>
      <w:r w:rsidR="003C4A33">
        <w:rPr>
          <w:rFonts w:ascii="Calibri" w:eastAsia="Times New Roman" w:hAnsi="Calibri" w:cs="Times New Roman"/>
          <w:iCs/>
          <w:snapToGrid w:val="0"/>
          <w:lang w:eastAsia="en-US"/>
        </w:rPr>
        <w:t xml:space="preserve"> </w:t>
      </w:r>
      <w:r>
        <w:rPr>
          <w:rFonts w:ascii="Calibri" w:eastAsia="Times New Roman" w:hAnsi="Calibri" w:cs="Times New Roman"/>
          <w:iCs/>
          <w:snapToGrid w:val="0"/>
          <w:lang w:eastAsia="en-US"/>
        </w:rPr>
        <w:t>prescription history; even if some prescriptions were misclassified as being for a non-pNET patient (</w:t>
      </w:r>
      <w:r w:rsidR="003C4A33">
        <w:rPr>
          <w:rFonts w:ascii="Calibri" w:eastAsia="Times New Roman" w:hAnsi="Calibri" w:cs="Times New Roman"/>
          <w:iCs/>
          <w:snapToGrid w:val="0"/>
          <w:lang w:eastAsia="en-US"/>
        </w:rPr>
        <w:t>147</w:t>
      </w:r>
      <w:r>
        <w:rPr>
          <w:rFonts w:ascii="Calibri" w:eastAsia="Times New Roman" w:hAnsi="Calibri" w:cs="Times New Roman"/>
          <w:iCs/>
          <w:snapToGrid w:val="0"/>
          <w:lang w:eastAsia="en-US"/>
        </w:rPr>
        <w:t xml:space="preserve"> patients).</w:t>
      </w:r>
    </w:p>
    <w:p w:rsidR="005C3590" w:rsidRDefault="005C3590" w:rsidP="005C3590">
      <w:pPr>
        <w:spacing w:line="276" w:lineRule="auto"/>
        <w:rPr>
          <w:rFonts w:ascii="Calibri" w:eastAsia="Times New Roman" w:hAnsi="Calibri" w:cs="Times New Roman"/>
          <w:b/>
          <w:iCs/>
          <w:snapToGrid w:val="0"/>
          <w:sz w:val="28"/>
          <w:lang w:eastAsia="en-US"/>
        </w:rPr>
      </w:pPr>
      <w:r>
        <w:rPr>
          <w:rFonts w:ascii="Calibri" w:eastAsia="Times New Roman" w:hAnsi="Calibri" w:cs="Times New Roman"/>
          <w:b/>
          <w:iCs/>
          <w:snapToGrid w:val="0"/>
          <w:sz w:val="28"/>
          <w:lang w:eastAsia="en-US"/>
        </w:rPr>
        <w:br w:type="page"/>
      </w:r>
    </w:p>
    <w:p w:rsidR="005C3590" w:rsidRPr="00DD079D" w:rsidRDefault="005C3590" w:rsidP="005C3590">
      <w:pPr>
        <w:spacing w:line="276" w:lineRule="auto"/>
        <w:rPr>
          <w:rFonts w:ascii="Calibri" w:eastAsia="Times New Roman" w:hAnsi="Calibri" w:cs="Times New Roman"/>
          <w:b/>
          <w:i/>
          <w:iCs/>
          <w:snapToGrid w:val="0"/>
          <w:lang w:eastAsia="en-US"/>
        </w:rPr>
      </w:pPr>
      <w:r w:rsidRPr="00DD079D">
        <w:rPr>
          <w:rFonts w:ascii="Calibri" w:eastAsia="Times New Roman" w:hAnsi="Calibri" w:cs="Times New Roman"/>
          <w:b/>
          <w:i/>
          <w:iCs/>
          <w:snapToGrid w:val="0"/>
          <w:lang w:eastAsia="en-US"/>
        </w:rPr>
        <w:t xml:space="preserve">3.1 Time to resupply and length of treatment for Cohort </w:t>
      </w:r>
      <w:r>
        <w:rPr>
          <w:rFonts w:ascii="Calibri" w:eastAsia="Times New Roman" w:hAnsi="Calibri" w:cs="Times New Roman"/>
          <w:b/>
          <w:i/>
          <w:iCs/>
          <w:snapToGrid w:val="0"/>
          <w:lang w:eastAsia="en-US"/>
        </w:rPr>
        <w:t>pNET</w:t>
      </w:r>
      <w:r w:rsidRPr="00DD079D">
        <w:rPr>
          <w:rFonts w:ascii="Calibri" w:eastAsia="Times New Roman" w:hAnsi="Calibri" w:cs="Times New Roman"/>
          <w:b/>
          <w:i/>
          <w:iCs/>
          <w:snapToGrid w:val="0"/>
          <w:lang w:eastAsia="en-US"/>
        </w:rPr>
        <w:t xml:space="preserve"> patients</w:t>
      </w:r>
    </w:p>
    <w:p w:rsidR="005C3590" w:rsidRPr="00E868D6" w:rsidRDefault="005C3590" w:rsidP="00515CE4">
      <w:pPr>
        <w:rPr>
          <w:rFonts w:ascii="Calibri" w:eastAsia="MS Mincho" w:hAnsi="Calibri" w:cs="Times New Roman"/>
          <w:b/>
        </w:rPr>
      </w:pPr>
      <w:r>
        <w:rPr>
          <w:noProof/>
        </w:rPr>
        <w:drawing>
          <wp:inline distT="0" distB="0" distL="0" distR="0" wp14:anchorId="0FE62C6B" wp14:editId="0C42B07C">
            <wp:extent cx="5687695" cy="3715232"/>
            <wp:effectExtent l="0" t="0" r="27305" b="19050"/>
            <wp:docPr id="9" name="Chart 9" title="Figure 7: Number of days to prescription resupply for Cohort pNET patients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C0BEF">
        <w:rPr>
          <w:rFonts w:ascii="Calibri" w:eastAsia="MS Mincho" w:hAnsi="Calibri" w:cs="Times New Roman"/>
          <w:b/>
        </w:rPr>
        <w:t xml:space="preserve">Figure </w:t>
      </w:r>
      <w:r w:rsidR="006F42A3">
        <w:rPr>
          <w:rFonts w:ascii="Calibri" w:eastAsia="MS Mincho" w:hAnsi="Calibri" w:cs="Times New Roman"/>
          <w:b/>
        </w:rPr>
        <w:t>6</w:t>
      </w:r>
      <w:r w:rsidRPr="009C0BEF">
        <w:rPr>
          <w:rFonts w:ascii="Calibri" w:eastAsia="MS Mincho" w:hAnsi="Calibri" w:cs="Times New Roman"/>
          <w:b/>
        </w:rPr>
        <w:t xml:space="preserve">: Number of days to prescription </w:t>
      </w:r>
      <w:r>
        <w:rPr>
          <w:rFonts w:ascii="Calibri" w:eastAsia="MS Mincho" w:hAnsi="Calibri" w:cs="Times New Roman"/>
          <w:b/>
        </w:rPr>
        <w:t>resupply</w:t>
      </w:r>
      <w:r w:rsidRPr="009C0BEF">
        <w:rPr>
          <w:rFonts w:ascii="Calibri" w:eastAsia="MS Mincho" w:hAnsi="Calibri" w:cs="Times New Roman"/>
          <w:b/>
        </w:rPr>
        <w:t xml:space="preserve"> for </w:t>
      </w:r>
      <w:r>
        <w:rPr>
          <w:rFonts w:ascii="Calibri" w:eastAsia="MS Mincho" w:hAnsi="Calibri" w:cs="Times New Roman"/>
          <w:b/>
        </w:rPr>
        <w:t>Cohort pNET patients by drug</w:t>
      </w:r>
      <w:r w:rsidRPr="009C0BEF">
        <w:rPr>
          <w:rFonts w:ascii="Calibri" w:eastAsia="MS Mincho" w:hAnsi="Calibri" w:cs="Times New Roman"/>
          <w:b/>
        </w:rPr>
        <w:t>.</w:t>
      </w:r>
      <w:r>
        <w:rPr>
          <w:rFonts w:ascii="Calibri" w:eastAsia="MS Mincho" w:hAnsi="Calibri" w:cs="Times New Roman"/>
          <w:b/>
        </w:rPr>
        <w:t xml:space="preserve"> </w:t>
      </w:r>
      <w:r>
        <w:rPr>
          <w:rFonts w:ascii="Calibri" w:eastAsia="MS Mincho" w:hAnsi="Calibri" w:cs="Times New Roman"/>
          <w:b/>
        </w:rPr>
        <w:br/>
      </w:r>
      <w:r w:rsidR="00515CE4">
        <w:rPr>
          <w:rFonts w:ascii="Calibri" w:eastAsia="MS Mincho" w:hAnsi="Calibri" w:cs="Times New Roman"/>
          <w:sz w:val="20"/>
        </w:rPr>
        <w:t>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r w:rsidRPr="009C0BEF">
        <w:rPr>
          <w:rFonts w:ascii="Calibri" w:eastAsia="MS Mincho" w:hAnsi="Calibri" w:cs="Times New Roman"/>
          <w:sz w:val="20"/>
        </w:rPr>
        <w:t xml:space="preserve">Note: does not include prescriptions with no </w:t>
      </w:r>
      <w:r>
        <w:rPr>
          <w:rFonts w:ascii="Calibri" w:eastAsia="MS Mincho" w:hAnsi="Calibri" w:cs="Times New Roman"/>
          <w:sz w:val="20"/>
        </w:rPr>
        <w:t>resupply</w:t>
      </w:r>
      <w:r w:rsidRPr="009C0BEF">
        <w:rPr>
          <w:rFonts w:ascii="Calibri" w:eastAsia="MS Mincho" w:hAnsi="Calibri" w:cs="Times New Roman"/>
          <w:sz w:val="20"/>
        </w:rPr>
        <w:t xml:space="preserve"> and </w:t>
      </w:r>
      <w:r>
        <w:rPr>
          <w:rFonts w:ascii="Calibri" w:eastAsia="MS Mincho" w:hAnsi="Calibri" w:cs="Times New Roman"/>
          <w:sz w:val="20"/>
        </w:rPr>
        <w:t>resupply</w:t>
      </w:r>
      <w:r w:rsidRPr="009C0BEF">
        <w:rPr>
          <w:rFonts w:ascii="Calibri" w:eastAsia="MS Mincho" w:hAnsi="Calibri" w:cs="Times New Roman"/>
          <w:sz w:val="20"/>
        </w:rPr>
        <w:t xml:space="preserve"> &gt; 90 days.</w:t>
      </w:r>
    </w:p>
    <w:p w:rsidR="005C3590" w:rsidRDefault="005C3590" w:rsidP="005C3590">
      <w:pPr>
        <w:rPr>
          <w:rFonts w:ascii="Calibri" w:eastAsia="MS Mincho" w:hAnsi="Calibri" w:cs="Times New Roman"/>
        </w:rPr>
      </w:pPr>
      <w:r w:rsidRPr="009C0BEF">
        <w:rPr>
          <w:rFonts w:ascii="Calibri" w:eastAsia="MS Mincho" w:hAnsi="Calibri" w:cs="Times New Roman"/>
        </w:rPr>
        <w:t xml:space="preserve">Figure </w:t>
      </w:r>
      <w:r w:rsidR="006F42A3">
        <w:rPr>
          <w:rFonts w:ascii="Calibri" w:eastAsia="MS Mincho" w:hAnsi="Calibri" w:cs="Times New Roman"/>
        </w:rPr>
        <w:t>6</w:t>
      </w:r>
      <w:r w:rsidRPr="009C0BEF">
        <w:rPr>
          <w:rFonts w:ascii="Calibri" w:eastAsia="MS Mincho" w:hAnsi="Calibri" w:cs="Times New Roman"/>
        </w:rPr>
        <w:t xml:space="preserve"> shows the percentage distribution of prescriptions rather than the number of prescriptions so that the </w:t>
      </w:r>
      <w:r>
        <w:rPr>
          <w:rFonts w:ascii="Calibri" w:eastAsia="MS Mincho" w:hAnsi="Calibri" w:cs="Times New Roman"/>
        </w:rPr>
        <w:t xml:space="preserve">drugs </w:t>
      </w:r>
      <w:r w:rsidRPr="009C0BEF">
        <w:rPr>
          <w:rFonts w:ascii="Calibri" w:eastAsia="MS Mincho" w:hAnsi="Calibri" w:cs="Times New Roman"/>
        </w:rPr>
        <w:t>are easier to compare.</w:t>
      </w:r>
      <w:r>
        <w:rPr>
          <w:rFonts w:ascii="Calibri" w:eastAsia="MS Mincho" w:hAnsi="Calibri" w:cs="Times New Roman"/>
        </w:rPr>
        <w:t xml:space="preserve"> </w:t>
      </w:r>
      <w:r w:rsidR="00A90938">
        <w:rPr>
          <w:rFonts w:ascii="Calibri" w:eastAsia="MS Mincho" w:hAnsi="Calibri" w:cs="Times New Roman"/>
        </w:rPr>
        <w:t xml:space="preserve">The distribution of time to resupply was similar for the two drugs, except that sunitinib has more resupply around 42 days. </w:t>
      </w:r>
      <w:r>
        <w:rPr>
          <w:rFonts w:ascii="Calibri" w:eastAsia="MS Mincho" w:hAnsi="Calibri" w:cs="Times New Roman"/>
        </w:rPr>
        <w:t>Both drugs have a median time to resupply of 29 days.</w:t>
      </w:r>
    </w:p>
    <w:p w:rsidR="005C3590" w:rsidRDefault="005C3590" w:rsidP="005C3590">
      <w:pPr>
        <w:spacing w:line="276" w:lineRule="auto"/>
        <w:rPr>
          <w:rFonts w:ascii="Calibri" w:eastAsia="MS Mincho" w:hAnsi="Calibri" w:cs="Times New Roman"/>
          <w:b/>
        </w:rPr>
      </w:pPr>
    </w:p>
    <w:p w:rsidR="00515CE4" w:rsidRPr="00793E16" w:rsidRDefault="005C3590" w:rsidP="00515CE4">
      <w:pPr>
        <w:spacing w:line="276" w:lineRule="auto"/>
        <w:rPr>
          <w:rFonts w:ascii="Calibri" w:eastAsia="MS Mincho" w:hAnsi="Calibri" w:cs="Times New Roman"/>
          <w:b/>
        </w:rPr>
      </w:pPr>
      <w:r>
        <w:rPr>
          <w:noProof/>
        </w:rPr>
        <w:drawing>
          <wp:inline distT="0" distB="0" distL="0" distR="0" wp14:anchorId="75792D95" wp14:editId="44D6913C">
            <wp:extent cx="5687695" cy="4268439"/>
            <wp:effectExtent l="0" t="0" r="8255" b="0"/>
            <wp:docPr id="38" name="Picture 38" title="Figure 8: Length of treatment for Cohort pNET by dru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7695" cy="4268439"/>
                    </a:xfrm>
                    <a:prstGeom prst="rect">
                      <a:avLst/>
                    </a:prstGeom>
                    <a:noFill/>
                    <a:ln>
                      <a:noFill/>
                    </a:ln>
                  </pic:spPr>
                </pic:pic>
              </a:graphicData>
            </a:graphic>
          </wp:inline>
        </w:drawing>
      </w:r>
      <w:r w:rsidRPr="00B87CD5">
        <w:rPr>
          <w:rFonts w:ascii="Calibri" w:eastAsia="MS Mincho" w:hAnsi="Calibri" w:cs="Times New Roman"/>
          <w:b/>
        </w:rPr>
        <w:t xml:space="preserve">Figure </w:t>
      </w:r>
      <w:r w:rsidR="006F42A3">
        <w:rPr>
          <w:rFonts w:ascii="Calibri" w:eastAsia="MS Mincho" w:hAnsi="Calibri" w:cs="Times New Roman"/>
          <w:b/>
        </w:rPr>
        <w:t>7</w:t>
      </w:r>
      <w:r w:rsidRPr="00B87CD5">
        <w:rPr>
          <w:rFonts w:ascii="Calibri" w:eastAsia="MS Mincho" w:hAnsi="Calibri" w:cs="Times New Roman"/>
          <w:b/>
        </w:rPr>
        <w:t xml:space="preserve">: </w:t>
      </w:r>
      <w:r>
        <w:rPr>
          <w:rFonts w:ascii="Calibri" w:eastAsia="MS Mincho" w:hAnsi="Calibri" w:cs="Times New Roman"/>
          <w:b/>
        </w:rPr>
        <w:t>Length of treatment for Cohort pNET by drug</w:t>
      </w:r>
      <w:r w:rsidR="00515CE4">
        <w:rPr>
          <w:rFonts w:ascii="Calibri" w:eastAsia="MS Mincho" w:hAnsi="Calibri" w:cs="Times New Roman"/>
          <w:b/>
        </w:rPr>
        <w:t xml:space="preserve">. </w:t>
      </w:r>
      <w:r w:rsidR="00515CE4">
        <w:rPr>
          <w:rFonts w:ascii="Calibri" w:eastAsia="MS Mincho" w:hAnsi="Calibri" w:cs="Times New Roman"/>
          <w:b/>
        </w:rPr>
        <w:br/>
      </w:r>
      <w:r w:rsidR="00515CE4">
        <w:rPr>
          <w:rFonts w:ascii="Calibri" w:eastAsia="MS Mincho" w:hAnsi="Calibri" w:cs="Times New Roman"/>
          <w:sz w:val="20"/>
        </w:rPr>
        <w:t>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p>
    <w:p w:rsidR="005C3590" w:rsidRDefault="005C3590" w:rsidP="005C3590">
      <w:pPr>
        <w:rPr>
          <w:rFonts w:ascii="Calibri" w:eastAsia="MS Mincho" w:hAnsi="Calibri" w:cs="Times New Roman"/>
        </w:rPr>
      </w:pPr>
      <w:r w:rsidRPr="0010435B">
        <w:rPr>
          <w:rFonts w:ascii="Calibri" w:eastAsia="MS Mincho" w:hAnsi="Calibri" w:cs="Times New Roman"/>
        </w:rPr>
        <w:t xml:space="preserve">Figure </w:t>
      </w:r>
      <w:r w:rsidR="006F42A3">
        <w:rPr>
          <w:rFonts w:ascii="Calibri" w:eastAsia="MS Mincho" w:hAnsi="Calibri" w:cs="Times New Roman"/>
        </w:rPr>
        <w:t>7</w:t>
      </w:r>
      <w:r>
        <w:rPr>
          <w:rFonts w:ascii="Calibri" w:eastAsia="MS Mincho" w:hAnsi="Calibri" w:cs="Times New Roman"/>
        </w:rPr>
        <w:t xml:space="preserve"> shows the Kaplan Meier estimates of total length of treatment (including breaks) for the two medicines. The median lengths of treatment for sunitinib and everolimus were 104 </w:t>
      </w:r>
      <w:r w:rsidR="00030782">
        <w:rPr>
          <w:rFonts w:ascii="Calibri" w:eastAsia="MS Mincho" w:hAnsi="Calibri" w:cs="Times New Roman"/>
        </w:rPr>
        <w:t xml:space="preserve">days (3.4 months) </w:t>
      </w:r>
      <w:r>
        <w:rPr>
          <w:rFonts w:ascii="Calibri" w:eastAsia="MS Mincho" w:hAnsi="Calibri" w:cs="Times New Roman"/>
        </w:rPr>
        <w:t xml:space="preserve">and 118 days </w:t>
      </w:r>
      <w:r w:rsidR="00030782">
        <w:rPr>
          <w:rFonts w:ascii="Calibri" w:eastAsia="MS Mincho" w:hAnsi="Calibri" w:cs="Times New Roman"/>
        </w:rPr>
        <w:t xml:space="preserve">(3.9 months) </w:t>
      </w:r>
      <w:r>
        <w:rPr>
          <w:rFonts w:ascii="Calibri" w:eastAsia="MS Mincho" w:hAnsi="Calibri" w:cs="Times New Roman"/>
        </w:rPr>
        <w:t>respectively.</w:t>
      </w:r>
    </w:p>
    <w:p w:rsidR="005C3590" w:rsidRDefault="005C3590" w:rsidP="005C3590">
      <w:pPr>
        <w:rPr>
          <w:rFonts w:ascii="Calibri" w:eastAsia="MS Mincho" w:hAnsi="Calibri" w:cs="Times New Roman"/>
        </w:rPr>
      </w:pPr>
      <w:r>
        <w:rPr>
          <w:rFonts w:ascii="Calibri" w:eastAsia="MS Mincho" w:hAnsi="Calibri" w:cs="Times New Roman"/>
        </w:rPr>
        <w:t xml:space="preserve">An alternative measure of length of treatment, which excluded any breaks, was also calculated. The median length of treatment (excluding breaks) for sunitinib and everolimus were 92 </w:t>
      </w:r>
      <w:r w:rsidR="00030782">
        <w:rPr>
          <w:rFonts w:ascii="Calibri" w:eastAsia="MS Mincho" w:hAnsi="Calibri" w:cs="Times New Roman"/>
        </w:rPr>
        <w:t xml:space="preserve">days (3.0 months) </w:t>
      </w:r>
      <w:r>
        <w:rPr>
          <w:rFonts w:ascii="Calibri" w:eastAsia="MS Mincho" w:hAnsi="Calibri" w:cs="Times New Roman"/>
        </w:rPr>
        <w:t xml:space="preserve">and 118 </w:t>
      </w:r>
      <w:r w:rsidR="00030782">
        <w:rPr>
          <w:rFonts w:ascii="Calibri" w:eastAsia="MS Mincho" w:hAnsi="Calibri" w:cs="Times New Roman"/>
        </w:rPr>
        <w:t xml:space="preserve">(3.9 months) </w:t>
      </w:r>
      <w:r>
        <w:rPr>
          <w:rFonts w:ascii="Calibri" w:eastAsia="MS Mincho" w:hAnsi="Calibri" w:cs="Times New Roman"/>
        </w:rPr>
        <w:t>days respectively. This indicates that there was a 104 – 92 = 12 day break on average for patients on sunitinib and the breaks in treatment for patients on everolimus were not sufficient for there to be a difference in the median value of the two measures (i</w:t>
      </w:r>
      <w:r w:rsidR="00692895">
        <w:rPr>
          <w:rFonts w:ascii="Calibri" w:eastAsia="MS Mincho" w:hAnsi="Calibri" w:cs="Times New Roman"/>
        </w:rPr>
        <w:t>.</w:t>
      </w:r>
      <w:r>
        <w:rPr>
          <w:rFonts w:ascii="Calibri" w:eastAsia="MS Mincho" w:hAnsi="Calibri" w:cs="Times New Roman"/>
        </w:rPr>
        <w:t>e. both were 118 days).</w:t>
      </w:r>
    </w:p>
    <w:p w:rsidR="005C3590" w:rsidRDefault="005C3590" w:rsidP="005C3590">
      <w:pPr>
        <w:rPr>
          <w:rFonts w:ascii="Calibri" w:eastAsia="MS Mincho" w:hAnsi="Calibri" w:cs="Times New Roman"/>
        </w:rPr>
      </w:pPr>
      <w:r>
        <w:rPr>
          <w:rFonts w:ascii="Calibri" w:eastAsia="MS Mincho" w:hAnsi="Calibri" w:cs="Times New Roman"/>
        </w:rPr>
        <w:t>Total length of treatment (excluding breaks) is the time that patients received supplies of medicine not counting the time that patients did not have medicine supplied (i</w:t>
      </w:r>
      <w:r w:rsidR="00692895">
        <w:rPr>
          <w:rFonts w:ascii="Calibri" w:eastAsia="MS Mincho" w:hAnsi="Calibri" w:cs="Times New Roman"/>
        </w:rPr>
        <w:t>.</w:t>
      </w:r>
      <w:r>
        <w:rPr>
          <w:rFonts w:ascii="Calibri" w:eastAsia="MS Mincho" w:hAnsi="Calibri" w:cs="Times New Roman"/>
        </w:rPr>
        <w:t>e. were having a break between episodes of treatment).</w:t>
      </w:r>
    </w:p>
    <w:p w:rsidR="005C3590" w:rsidRDefault="005C3590" w:rsidP="005C3590">
      <w:pPr>
        <w:rPr>
          <w:rFonts w:ascii="Calibri" w:eastAsia="MS Mincho" w:hAnsi="Calibri" w:cs="Times New Roman"/>
          <w:szCs w:val="28"/>
          <w:highlight w:val="yellow"/>
        </w:rPr>
      </w:pPr>
      <w:r>
        <w:rPr>
          <w:rFonts w:ascii="Calibri" w:eastAsia="MS Mincho" w:hAnsi="Calibri" w:cs="Times New Roman"/>
        </w:rPr>
        <w:t xml:space="preserve">A break is defined as a gap of more than 3 </w:t>
      </w:r>
      <w:r w:rsidR="00692895">
        <w:rPr>
          <w:rFonts w:ascii="Calibri" w:eastAsia="MS Mincho" w:hAnsi="Calibri" w:cs="Times New Roman"/>
        </w:rPr>
        <w:t>times the</w:t>
      </w:r>
      <w:r>
        <w:rPr>
          <w:rFonts w:ascii="Calibri" w:eastAsia="MS Mincho" w:hAnsi="Calibri" w:cs="Times New Roman"/>
        </w:rPr>
        <w:t xml:space="preserve"> median time to resupply (i</w:t>
      </w:r>
      <w:r w:rsidR="00692895">
        <w:rPr>
          <w:rFonts w:ascii="Calibri" w:eastAsia="MS Mincho" w:hAnsi="Calibri" w:cs="Times New Roman"/>
        </w:rPr>
        <w:t>.</w:t>
      </w:r>
      <w:r>
        <w:rPr>
          <w:rFonts w:ascii="Calibri" w:eastAsia="MS Mincho" w:hAnsi="Calibri" w:cs="Times New Roman"/>
        </w:rPr>
        <w:t xml:space="preserve">e.  3 x 29 = 86 days) between supplies, which is an estimated break in treatment of at least 2 </w:t>
      </w:r>
      <w:r w:rsidR="00692895">
        <w:rPr>
          <w:rFonts w:ascii="Calibri" w:eastAsia="MS Mincho" w:hAnsi="Calibri" w:cs="Times New Roman"/>
        </w:rPr>
        <w:t>times the</w:t>
      </w:r>
      <w:r>
        <w:rPr>
          <w:rFonts w:ascii="Calibri" w:eastAsia="MS Mincho" w:hAnsi="Calibri" w:cs="Times New Roman"/>
        </w:rPr>
        <w:t xml:space="preserve"> median time to resupply (i</w:t>
      </w:r>
      <w:r w:rsidR="00692895">
        <w:rPr>
          <w:rFonts w:ascii="Calibri" w:eastAsia="MS Mincho" w:hAnsi="Calibri" w:cs="Times New Roman"/>
        </w:rPr>
        <w:t>.</w:t>
      </w:r>
      <w:r>
        <w:rPr>
          <w:rFonts w:ascii="Calibri" w:eastAsia="MS Mincho" w:hAnsi="Calibri" w:cs="Times New Roman"/>
        </w:rPr>
        <w:t>e. 2 x 29 days = 58 days).</w:t>
      </w:r>
    </w:p>
    <w:p w:rsidR="005C3590" w:rsidRDefault="005C3590" w:rsidP="005C3590">
      <w:pPr>
        <w:rPr>
          <w:rFonts w:ascii="Calibri" w:eastAsia="MS Mincho" w:hAnsi="Calibri" w:cs="Times New Roman"/>
        </w:rPr>
      </w:pPr>
      <w:r>
        <w:rPr>
          <w:rFonts w:ascii="Calibri" w:eastAsia="MS Mincho" w:hAnsi="Calibri" w:cs="Times New Roman"/>
        </w:rPr>
        <w:t>Total length of treatment (including breaks) is the time that patients received supplies of medicine and counts the additional time that patients were not receiving supply of medicine between episodes of treatment.</w:t>
      </w:r>
    </w:p>
    <w:p w:rsidR="005C3590" w:rsidRDefault="005C3590" w:rsidP="005C3590">
      <w:pPr>
        <w:rPr>
          <w:rFonts w:ascii="Calibri" w:eastAsia="MS Mincho" w:hAnsi="Calibri" w:cs="Times New Roman"/>
        </w:rPr>
      </w:pPr>
      <w:r>
        <w:rPr>
          <w:rFonts w:ascii="Calibri" w:eastAsia="MS Mincho" w:hAnsi="Calibri" w:cs="Times New Roman"/>
        </w:rPr>
        <w:t>These analyses both allow patients to stop treatment (ie. no more supplies of medicine) or be censored (i</w:t>
      </w:r>
      <w:r w:rsidR="00692895">
        <w:rPr>
          <w:rFonts w:ascii="Calibri" w:eastAsia="MS Mincho" w:hAnsi="Calibri" w:cs="Times New Roman"/>
        </w:rPr>
        <w:t>.</w:t>
      </w:r>
      <w:r>
        <w:rPr>
          <w:rFonts w:ascii="Calibri" w:eastAsia="MS Mincho" w:hAnsi="Calibri" w:cs="Times New Roman"/>
        </w:rPr>
        <w:t>e. deemed to be continuing treatment at the end of the data period). See Method section above for more details.</w:t>
      </w:r>
    </w:p>
    <w:p w:rsidR="005C3590" w:rsidRDefault="005C3590" w:rsidP="005C3590">
      <w:pPr>
        <w:rPr>
          <w:rFonts w:ascii="Calibri" w:eastAsia="MS Mincho" w:hAnsi="Calibri" w:cs="Times New Roman"/>
        </w:rPr>
      </w:pPr>
      <w:r>
        <w:rPr>
          <w:rFonts w:ascii="Calibri" w:eastAsia="MS Mincho" w:hAnsi="Calibri" w:cs="Times New Roman"/>
        </w:rPr>
        <w:t xml:space="preserve">Note that 27 of the total 219 patients that were treated with both drugs and their length of treatment </w:t>
      </w:r>
      <w:r w:rsidR="00A90938">
        <w:rPr>
          <w:rFonts w:ascii="Calibri" w:eastAsia="MS Mincho" w:hAnsi="Calibri" w:cs="Times New Roman"/>
        </w:rPr>
        <w:t>were</w:t>
      </w:r>
      <w:r>
        <w:rPr>
          <w:rFonts w:ascii="Calibri" w:eastAsia="MS Mincho" w:hAnsi="Calibri" w:cs="Times New Roman"/>
        </w:rPr>
        <w:t xml:space="preserve"> </w:t>
      </w:r>
      <w:r w:rsidR="00A90938">
        <w:rPr>
          <w:rFonts w:ascii="Calibri" w:eastAsia="MS Mincho" w:hAnsi="Calibri" w:cs="Times New Roman"/>
        </w:rPr>
        <w:t>calculated</w:t>
      </w:r>
      <w:r>
        <w:rPr>
          <w:rFonts w:ascii="Calibri" w:eastAsia="MS Mincho" w:hAnsi="Calibri" w:cs="Times New Roman"/>
        </w:rPr>
        <w:t xml:space="preserve"> separately for each drug.</w:t>
      </w:r>
    </w:p>
    <w:p w:rsidR="005C3590" w:rsidRPr="00DD079D" w:rsidRDefault="005C3590" w:rsidP="005C3590">
      <w:pPr>
        <w:spacing w:line="276" w:lineRule="auto"/>
        <w:rPr>
          <w:rFonts w:ascii="Calibri" w:eastAsia="Times New Roman" w:hAnsi="Calibri" w:cs="Times New Roman"/>
          <w:b/>
          <w:i/>
          <w:iCs/>
          <w:snapToGrid w:val="0"/>
          <w:lang w:eastAsia="en-US"/>
        </w:rPr>
      </w:pPr>
      <w:r w:rsidRPr="00DD079D">
        <w:rPr>
          <w:rFonts w:ascii="Calibri" w:eastAsia="Times New Roman" w:hAnsi="Calibri" w:cs="Times New Roman"/>
          <w:b/>
          <w:i/>
          <w:iCs/>
          <w:snapToGrid w:val="0"/>
          <w:lang w:eastAsia="en-US"/>
        </w:rPr>
        <w:t>3.</w:t>
      </w:r>
      <w:r>
        <w:rPr>
          <w:rFonts w:ascii="Calibri" w:eastAsia="Times New Roman" w:hAnsi="Calibri" w:cs="Times New Roman"/>
          <w:b/>
          <w:i/>
          <w:iCs/>
          <w:snapToGrid w:val="0"/>
          <w:lang w:eastAsia="en-US"/>
        </w:rPr>
        <w:t>2</w:t>
      </w:r>
      <w:r w:rsidRPr="00DD079D">
        <w:rPr>
          <w:rFonts w:ascii="Calibri" w:eastAsia="Times New Roman" w:hAnsi="Calibri" w:cs="Times New Roman"/>
          <w:b/>
          <w:i/>
          <w:iCs/>
          <w:snapToGrid w:val="0"/>
          <w:lang w:eastAsia="en-US"/>
        </w:rPr>
        <w:t xml:space="preserve"> </w:t>
      </w:r>
      <w:r>
        <w:rPr>
          <w:rFonts w:ascii="Calibri" w:eastAsia="Times New Roman" w:hAnsi="Calibri" w:cs="Times New Roman"/>
          <w:b/>
          <w:i/>
          <w:iCs/>
          <w:snapToGrid w:val="0"/>
          <w:lang w:eastAsia="en-US"/>
        </w:rPr>
        <w:t>Age and gender of Cohort pNET patients</w:t>
      </w:r>
    </w:p>
    <w:p w:rsidR="00515CE4" w:rsidRPr="00793E16" w:rsidRDefault="005C3590" w:rsidP="00515CE4">
      <w:pPr>
        <w:rPr>
          <w:rFonts w:ascii="Calibri" w:eastAsia="MS Mincho" w:hAnsi="Calibri" w:cs="Times New Roman"/>
          <w:b/>
        </w:rPr>
      </w:pPr>
      <w:r>
        <w:rPr>
          <w:noProof/>
        </w:rPr>
        <w:drawing>
          <wp:inline distT="0" distB="0" distL="0" distR="0" wp14:anchorId="768E780C" wp14:editId="52A0489D">
            <wp:extent cx="5687695" cy="3716447"/>
            <wp:effectExtent l="0" t="0" r="27305" b="17780"/>
            <wp:docPr id="12" name="Chart 12" title="Figure 9: Age at initiation to therapy with either sunitinb or everolimus for Cohort pNET pati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B87CD5">
        <w:rPr>
          <w:rFonts w:ascii="Calibri" w:eastAsia="MS Mincho" w:hAnsi="Calibri" w:cs="Times New Roman"/>
          <w:b/>
        </w:rPr>
        <w:t xml:space="preserve">Figure </w:t>
      </w:r>
      <w:r w:rsidR="006F42A3">
        <w:rPr>
          <w:rFonts w:ascii="Calibri" w:eastAsia="MS Mincho" w:hAnsi="Calibri" w:cs="Times New Roman"/>
          <w:b/>
        </w:rPr>
        <w:t>8</w:t>
      </w:r>
      <w:r w:rsidRPr="00B87CD5">
        <w:rPr>
          <w:rFonts w:ascii="Calibri" w:eastAsia="MS Mincho" w:hAnsi="Calibri" w:cs="Times New Roman"/>
          <w:b/>
        </w:rPr>
        <w:t xml:space="preserve">: </w:t>
      </w:r>
      <w:r>
        <w:rPr>
          <w:rFonts w:ascii="Calibri" w:eastAsia="MS Mincho" w:hAnsi="Calibri" w:cs="Times New Roman"/>
          <w:b/>
        </w:rPr>
        <w:t>Age at initiation to therapy with either sunitinb or everolimus for Cohort pNET patients.</w:t>
      </w:r>
      <w:r w:rsidR="00515CE4">
        <w:rPr>
          <w:rFonts w:ascii="Calibri" w:eastAsia="MS Mincho" w:hAnsi="Calibri" w:cs="Times New Roman"/>
          <w:b/>
        </w:rPr>
        <w:t xml:space="preserve"> </w:t>
      </w:r>
      <w:r w:rsidR="00515CE4">
        <w:rPr>
          <w:rFonts w:ascii="Calibri" w:eastAsia="MS Mincho" w:hAnsi="Calibri" w:cs="Times New Roman"/>
          <w:sz w:val="20"/>
        </w:rPr>
        <w:t>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p>
    <w:p w:rsidR="009660AA" w:rsidRDefault="005C3590" w:rsidP="005C3590">
      <w:pPr>
        <w:spacing w:line="276" w:lineRule="auto"/>
        <w:rPr>
          <w:rFonts w:ascii="Calibri" w:eastAsia="MS Mincho" w:hAnsi="Calibri" w:cs="Times New Roman"/>
        </w:rPr>
      </w:pPr>
      <w:r>
        <w:rPr>
          <w:rFonts w:ascii="Calibri" w:eastAsia="MS Mincho" w:hAnsi="Calibri" w:cs="Times New Roman"/>
        </w:rPr>
        <w:t xml:space="preserve">Figure </w:t>
      </w:r>
      <w:r w:rsidR="006F42A3">
        <w:rPr>
          <w:rFonts w:ascii="Calibri" w:eastAsia="MS Mincho" w:hAnsi="Calibri" w:cs="Times New Roman"/>
        </w:rPr>
        <w:t>8</w:t>
      </w:r>
      <w:r>
        <w:rPr>
          <w:rFonts w:ascii="Calibri" w:eastAsia="MS Mincho" w:hAnsi="Calibri" w:cs="Times New Roman"/>
        </w:rPr>
        <w:t xml:space="preserve"> shows </w:t>
      </w:r>
      <w:r w:rsidR="009660AA">
        <w:rPr>
          <w:rFonts w:ascii="Calibri" w:eastAsia="MS Mincho" w:hAnsi="Calibri" w:cs="Times New Roman"/>
        </w:rPr>
        <w:t xml:space="preserve">that patient </w:t>
      </w:r>
      <w:r w:rsidRPr="0047413E">
        <w:rPr>
          <w:rFonts w:ascii="Calibri" w:eastAsia="MS Mincho" w:hAnsi="Calibri" w:cs="Times New Roman"/>
        </w:rPr>
        <w:t xml:space="preserve">age </w:t>
      </w:r>
      <w:r>
        <w:rPr>
          <w:rFonts w:ascii="Calibri" w:eastAsia="MS Mincho" w:hAnsi="Calibri" w:cs="Times New Roman"/>
        </w:rPr>
        <w:t>at initiation to pNET therapy peaks in the age range 65</w:t>
      </w:r>
      <w:r w:rsidR="00BE4C52">
        <w:rPr>
          <w:rFonts w:ascii="Calibri" w:eastAsia="MS Mincho" w:hAnsi="Calibri" w:cs="Times New Roman"/>
        </w:rPr>
        <w:noBreakHyphen/>
      </w:r>
      <w:r>
        <w:rPr>
          <w:rFonts w:ascii="Calibri" w:eastAsia="MS Mincho" w:hAnsi="Calibri" w:cs="Times New Roman"/>
        </w:rPr>
        <w:t>69</w:t>
      </w:r>
      <w:r w:rsidR="00BE4C52">
        <w:rPr>
          <w:rFonts w:ascii="Calibri" w:eastAsia="MS Mincho" w:hAnsi="Calibri" w:cs="Times New Roman"/>
        </w:rPr>
        <w:t> </w:t>
      </w:r>
      <w:r>
        <w:rPr>
          <w:rFonts w:ascii="Calibri" w:eastAsia="MS Mincho" w:hAnsi="Calibri" w:cs="Times New Roman"/>
        </w:rPr>
        <w:t>years. The median age is in the range 60-64 years.</w:t>
      </w:r>
      <w:r w:rsidR="009660AA">
        <w:rPr>
          <w:rFonts w:ascii="Calibri" w:eastAsia="MS Mincho" w:hAnsi="Calibri" w:cs="Times New Roman"/>
        </w:rPr>
        <w:t xml:space="preserve"> </w:t>
      </w:r>
    </w:p>
    <w:p w:rsidR="005C3590" w:rsidRDefault="005C3590" w:rsidP="005C3590">
      <w:pPr>
        <w:spacing w:line="276" w:lineRule="auto"/>
        <w:rPr>
          <w:rFonts w:ascii="Calibri" w:eastAsia="MS Mincho" w:hAnsi="Calibri" w:cs="Times New Roman"/>
        </w:rPr>
      </w:pPr>
      <w:r>
        <w:rPr>
          <w:rFonts w:ascii="Calibri" w:eastAsia="MS Mincho" w:hAnsi="Calibri" w:cs="Times New Roman"/>
        </w:rPr>
        <w:t xml:space="preserve">Overall there are 112 males (51.1%) and 107 females (48.9%) in Cohort pNET. Figure </w:t>
      </w:r>
      <w:r w:rsidR="006F42A3">
        <w:rPr>
          <w:rFonts w:ascii="Calibri" w:eastAsia="MS Mincho" w:hAnsi="Calibri" w:cs="Times New Roman"/>
        </w:rPr>
        <w:t>9</w:t>
      </w:r>
      <w:r>
        <w:rPr>
          <w:rFonts w:ascii="Calibri" w:eastAsia="MS Mincho" w:hAnsi="Calibri" w:cs="Times New Roman"/>
        </w:rPr>
        <w:t xml:space="preserve"> shows the gender split by </w:t>
      </w:r>
      <w:r w:rsidR="00A90938">
        <w:rPr>
          <w:rFonts w:ascii="Calibri" w:eastAsia="MS Mincho" w:hAnsi="Calibri" w:cs="Times New Roman"/>
        </w:rPr>
        <w:t>initiation</w:t>
      </w:r>
      <w:r>
        <w:rPr>
          <w:rFonts w:ascii="Calibri" w:eastAsia="MS Mincho" w:hAnsi="Calibri" w:cs="Times New Roman"/>
        </w:rPr>
        <w:t xml:space="preserve"> to drug. </w:t>
      </w:r>
    </w:p>
    <w:p w:rsidR="00515CE4" w:rsidRPr="00793E16" w:rsidRDefault="005C3590" w:rsidP="00515CE4">
      <w:pPr>
        <w:rPr>
          <w:rFonts w:ascii="Calibri" w:eastAsia="MS Mincho" w:hAnsi="Calibri" w:cs="Times New Roman"/>
          <w:b/>
        </w:rPr>
      </w:pPr>
      <w:r>
        <w:rPr>
          <w:noProof/>
        </w:rPr>
        <w:drawing>
          <wp:inline distT="0" distB="0" distL="0" distR="0" wp14:anchorId="6A0E8A38" wp14:editId="4AD988B8">
            <wp:extent cx="5687695" cy="3716447"/>
            <wp:effectExtent l="0" t="0" r="27305" b="17780"/>
            <wp:docPr id="13" name="Chart 13" title="Figure 10: Patient gender by initiation to drug for Cohort pNET pati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B87CD5">
        <w:rPr>
          <w:rFonts w:ascii="Calibri" w:eastAsia="MS Mincho" w:hAnsi="Calibri" w:cs="Times New Roman"/>
          <w:b/>
        </w:rPr>
        <w:t xml:space="preserve">Figure </w:t>
      </w:r>
      <w:r w:rsidR="006F42A3">
        <w:rPr>
          <w:rFonts w:ascii="Calibri" w:eastAsia="MS Mincho" w:hAnsi="Calibri" w:cs="Times New Roman"/>
          <w:b/>
        </w:rPr>
        <w:t>9</w:t>
      </w:r>
      <w:r w:rsidRPr="00B87CD5">
        <w:rPr>
          <w:rFonts w:ascii="Calibri" w:eastAsia="MS Mincho" w:hAnsi="Calibri" w:cs="Times New Roman"/>
          <w:b/>
        </w:rPr>
        <w:t xml:space="preserve">: </w:t>
      </w:r>
      <w:r>
        <w:rPr>
          <w:rFonts w:ascii="Calibri" w:eastAsia="MS Mincho" w:hAnsi="Calibri" w:cs="Times New Roman"/>
          <w:b/>
        </w:rPr>
        <w:t>Patient gender by initiation to drug for Cohort pNET patients.</w:t>
      </w:r>
      <w:r>
        <w:rPr>
          <w:rFonts w:ascii="Calibri" w:eastAsia="MS Mincho" w:hAnsi="Calibri" w:cs="Times New Roman"/>
          <w:b/>
        </w:rPr>
        <w:br/>
      </w:r>
      <w:r w:rsidRPr="00E32928">
        <w:rPr>
          <w:rFonts w:ascii="Calibri" w:eastAsia="MS Mincho" w:hAnsi="Calibri" w:cs="Times New Roman"/>
          <w:sz w:val="20"/>
        </w:rPr>
        <w:t xml:space="preserve">Note: 27 patients initiated to both drugs in the </w:t>
      </w:r>
      <w:r>
        <w:rPr>
          <w:rFonts w:ascii="Calibri" w:eastAsia="MS Mincho" w:hAnsi="Calibri" w:cs="Times New Roman"/>
          <w:sz w:val="20"/>
        </w:rPr>
        <w:t>period December 2013 to the end of March 2017 and so are represented under each drug.</w:t>
      </w:r>
      <w:r w:rsidR="00515CE4">
        <w:rPr>
          <w:rFonts w:ascii="Calibri" w:eastAsia="MS Mincho" w:hAnsi="Calibri" w:cs="Times New Roman"/>
          <w:sz w:val="20"/>
        </w:rPr>
        <w:t xml:space="preserve"> 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p>
    <w:p w:rsidR="005C3590" w:rsidRPr="00E32928" w:rsidRDefault="005C3590" w:rsidP="005C3590">
      <w:pPr>
        <w:spacing w:line="276" w:lineRule="auto"/>
        <w:rPr>
          <w:rFonts w:ascii="Calibri" w:eastAsia="Times New Roman" w:hAnsi="Calibri" w:cs="Times New Roman"/>
          <w:iCs/>
          <w:snapToGrid w:val="0"/>
          <w:lang w:eastAsia="en-US"/>
        </w:rPr>
      </w:pPr>
      <w:r w:rsidRPr="00E32928">
        <w:rPr>
          <w:rFonts w:ascii="Calibri" w:eastAsia="Times New Roman" w:hAnsi="Calibri" w:cs="Times New Roman"/>
          <w:iCs/>
          <w:snapToGrid w:val="0"/>
          <w:lang w:eastAsia="en-US"/>
        </w:rPr>
        <w:t xml:space="preserve">Figure </w:t>
      </w:r>
      <w:r w:rsidR="006F42A3">
        <w:rPr>
          <w:rFonts w:ascii="Calibri" w:eastAsia="Times New Roman" w:hAnsi="Calibri" w:cs="Times New Roman"/>
          <w:iCs/>
          <w:snapToGrid w:val="0"/>
          <w:lang w:eastAsia="en-US"/>
        </w:rPr>
        <w:t>9</w:t>
      </w:r>
      <w:r w:rsidRPr="00E32928">
        <w:rPr>
          <w:rFonts w:ascii="Calibri" w:eastAsia="Times New Roman" w:hAnsi="Calibri" w:cs="Times New Roman"/>
          <w:iCs/>
          <w:snapToGrid w:val="0"/>
          <w:lang w:eastAsia="en-US"/>
        </w:rPr>
        <w:t xml:space="preserve"> shows that </w:t>
      </w:r>
      <w:r>
        <w:rPr>
          <w:rFonts w:ascii="Calibri" w:eastAsia="Times New Roman" w:hAnsi="Calibri" w:cs="Times New Roman"/>
          <w:iCs/>
          <w:snapToGrid w:val="0"/>
          <w:lang w:eastAsia="en-US"/>
        </w:rPr>
        <w:t>sunitinib was initiated by more males than females and vice versa for everolimus.</w:t>
      </w:r>
    </w:p>
    <w:p w:rsidR="005C3590" w:rsidRPr="00E32928" w:rsidRDefault="005C3590" w:rsidP="005C3590">
      <w:pPr>
        <w:spacing w:line="276" w:lineRule="auto"/>
        <w:rPr>
          <w:rFonts w:ascii="Calibri" w:eastAsia="Times New Roman" w:hAnsi="Calibri" w:cs="Times New Roman"/>
          <w:b/>
          <w:i/>
          <w:iCs/>
          <w:snapToGrid w:val="0"/>
          <w:lang w:eastAsia="en-US"/>
        </w:rPr>
      </w:pPr>
      <w:r w:rsidRPr="00E32928">
        <w:rPr>
          <w:rFonts w:ascii="Calibri" w:eastAsia="Times New Roman" w:hAnsi="Calibri" w:cs="Times New Roman"/>
          <w:b/>
          <w:i/>
          <w:iCs/>
          <w:snapToGrid w:val="0"/>
          <w:lang w:eastAsia="en-US"/>
        </w:rPr>
        <w:t xml:space="preserve">3.3 </w:t>
      </w:r>
      <w:r>
        <w:rPr>
          <w:rFonts w:ascii="Calibri" w:eastAsia="Times New Roman" w:hAnsi="Calibri" w:cs="Times New Roman"/>
          <w:b/>
          <w:i/>
          <w:iCs/>
          <w:snapToGrid w:val="0"/>
          <w:lang w:eastAsia="en-US"/>
        </w:rPr>
        <w:t>Estimation of t</w:t>
      </w:r>
      <w:r w:rsidRPr="00E32928">
        <w:rPr>
          <w:rFonts w:ascii="Calibri" w:eastAsia="Times New Roman" w:hAnsi="Calibri" w:cs="Times New Roman"/>
          <w:b/>
          <w:i/>
          <w:iCs/>
          <w:snapToGrid w:val="0"/>
          <w:lang w:eastAsia="en-US"/>
        </w:rPr>
        <w:t>ime from cessation of treatment to death</w:t>
      </w:r>
    </w:p>
    <w:p w:rsidR="005C3590" w:rsidRDefault="005C3590" w:rsidP="005C3590">
      <w:pPr>
        <w:rPr>
          <w:rFonts w:ascii="Calibri" w:eastAsia="MS Mincho" w:hAnsi="Calibri" w:cs="Times New Roman"/>
        </w:rPr>
      </w:pPr>
      <w:r>
        <w:rPr>
          <w:rFonts w:ascii="Calibri" w:eastAsia="MS Mincho" w:hAnsi="Calibri" w:cs="Times New Roman"/>
        </w:rPr>
        <w:t xml:space="preserve">The </w:t>
      </w:r>
      <w:r w:rsidRPr="00873DBA">
        <w:rPr>
          <w:rFonts w:ascii="Calibri" w:eastAsia="MS Mincho" w:hAnsi="Calibri" w:cs="Times New Roman"/>
        </w:rPr>
        <w:t>PBS restriction that states “Patients who have progressive disease with this drug are no longer eligible for PBS-subsidise</w:t>
      </w:r>
      <w:r w:rsidRPr="00A90938">
        <w:rPr>
          <w:rFonts w:ascii="Calibri" w:eastAsia="MS Mincho" w:hAnsi="Calibri" w:cs="Times New Roman"/>
        </w:rPr>
        <w:t xml:space="preserve">d </w:t>
      </w:r>
      <w:r w:rsidRPr="00873DBA">
        <w:rPr>
          <w:rFonts w:ascii="Calibri" w:eastAsia="MS Mincho" w:hAnsi="Calibri" w:cs="Times New Roman"/>
        </w:rPr>
        <w:t>treatment with this drug.</w:t>
      </w:r>
      <w:r w:rsidR="00BE4C52">
        <w:rPr>
          <w:rFonts w:ascii="Calibri" w:eastAsia="MS Mincho" w:hAnsi="Calibri" w:cs="Times New Roman"/>
        </w:rPr>
        <w:t>”</w:t>
      </w:r>
      <w:r w:rsidRPr="00873DBA">
        <w:rPr>
          <w:rFonts w:ascii="Calibri" w:eastAsia="MS Mincho" w:hAnsi="Calibri" w:cs="Times New Roman"/>
        </w:rPr>
        <w:t xml:space="preserve"> That is, it is expected that patients will not use these medicines for the treatment of pNET after disease progression and up to their date of death.</w:t>
      </w:r>
      <w:r w:rsidR="009D4D36">
        <w:rPr>
          <w:rFonts w:ascii="Calibri" w:eastAsia="MS Mincho" w:hAnsi="Calibri" w:cs="Times New Roman"/>
        </w:rPr>
        <w:t xml:space="preserve"> This implies that </w:t>
      </w:r>
      <w:r w:rsidR="00A90938">
        <w:rPr>
          <w:rFonts w:ascii="Calibri" w:eastAsia="MS Mincho" w:hAnsi="Calibri" w:cs="Times New Roman"/>
        </w:rPr>
        <w:t>there</w:t>
      </w:r>
      <w:r w:rsidR="009D4D36">
        <w:rPr>
          <w:rFonts w:ascii="Calibri" w:eastAsia="MS Mincho" w:hAnsi="Calibri" w:cs="Times New Roman"/>
        </w:rPr>
        <w:t xml:space="preserve"> should be a period of time between receiving everolimus or sunitinib and death for a large proportion of patients.</w:t>
      </w:r>
    </w:p>
    <w:p w:rsidR="00165E17" w:rsidRDefault="009660AA" w:rsidP="005C3590">
      <w:pPr>
        <w:rPr>
          <w:rFonts w:ascii="Calibri" w:eastAsia="MS Mincho" w:hAnsi="Calibri" w:cs="Times New Roman"/>
        </w:rPr>
      </w:pPr>
      <w:r>
        <w:rPr>
          <w:rFonts w:ascii="Calibri" w:eastAsia="MS Mincho" w:hAnsi="Calibri" w:cs="Times New Roman"/>
        </w:rPr>
        <w:t xml:space="preserve">A </w:t>
      </w:r>
      <w:r w:rsidR="00165E17">
        <w:rPr>
          <w:rFonts w:ascii="Calibri" w:eastAsia="MS Mincho" w:hAnsi="Calibri" w:cs="Times New Roman"/>
        </w:rPr>
        <w:t xml:space="preserve">proxy </w:t>
      </w:r>
      <w:r>
        <w:rPr>
          <w:rFonts w:ascii="Calibri" w:eastAsia="MS Mincho" w:hAnsi="Calibri" w:cs="Times New Roman"/>
        </w:rPr>
        <w:t xml:space="preserve">for date of death </w:t>
      </w:r>
      <w:r w:rsidR="00165E17">
        <w:rPr>
          <w:rFonts w:ascii="Calibri" w:eastAsia="MS Mincho" w:hAnsi="Calibri" w:cs="Times New Roman"/>
        </w:rPr>
        <w:t>was estimated by first measuring the time to next supply for all prescriptions (i</w:t>
      </w:r>
      <w:r w:rsidR="00692895">
        <w:rPr>
          <w:rFonts w:ascii="Calibri" w:eastAsia="MS Mincho" w:hAnsi="Calibri" w:cs="Times New Roman"/>
        </w:rPr>
        <w:t>.</w:t>
      </w:r>
      <w:r w:rsidR="00165E17">
        <w:rPr>
          <w:rFonts w:ascii="Calibri" w:eastAsia="MS Mincho" w:hAnsi="Calibri" w:cs="Times New Roman"/>
        </w:rPr>
        <w:t>e. all drugs not just sunitinib and everolimus) supplied to Cohort pNET</w:t>
      </w:r>
      <w:r w:rsidR="00165E17" w:rsidRPr="00422329">
        <w:rPr>
          <w:rFonts w:ascii="Calibri" w:eastAsia="MS Mincho" w:hAnsi="Calibri" w:cs="Times New Roman"/>
        </w:rPr>
        <w:t xml:space="preserve"> patients</w:t>
      </w:r>
      <w:r w:rsidR="00165E17">
        <w:rPr>
          <w:rFonts w:ascii="Calibri" w:eastAsia="MS Mincho" w:hAnsi="Calibri" w:cs="Times New Roman"/>
        </w:rPr>
        <w:t xml:space="preserve"> (see Methods for more details).</w:t>
      </w:r>
    </w:p>
    <w:p w:rsidR="00515CE4" w:rsidRPr="00793E16" w:rsidRDefault="005C3590" w:rsidP="00515CE4">
      <w:pPr>
        <w:rPr>
          <w:rFonts w:ascii="Calibri" w:eastAsia="MS Mincho" w:hAnsi="Calibri" w:cs="Times New Roman"/>
          <w:b/>
        </w:rPr>
      </w:pPr>
      <w:r>
        <w:rPr>
          <w:noProof/>
        </w:rPr>
        <w:drawing>
          <wp:inline distT="0" distB="0" distL="0" distR="0" wp14:anchorId="165ED6C9" wp14:editId="4F628BA0">
            <wp:extent cx="5687695" cy="3716447"/>
            <wp:effectExtent l="0" t="0" r="27305" b="17780"/>
            <wp:docPr id="14" name="Chart 14" title="Figure 11: Number of days to next supply for Cohort pNET pati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Calibri" w:eastAsia="MS Mincho" w:hAnsi="Calibri" w:cs="Times New Roman"/>
          <w:b/>
        </w:rPr>
        <w:t xml:space="preserve">Figure </w:t>
      </w:r>
      <w:r w:rsidR="009660AA">
        <w:rPr>
          <w:rFonts w:ascii="Calibri" w:eastAsia="MS Mincho" w:hAnsi="Calibri" w:cs="Times New Roman"/>
          <w:b/>
        </w:rPr>
        <w:t>1</w:t>
      </w:r>
      <w:r w:rsidR="006F42A3">
        <w:rPr>
          <w:rFonts w:ascii="Calibri" w:eastAsia="MS Mincho" w:hAnsi="Calibri" w:cs="Times New Roman"/>
          <w:b/>
        </w:rPr>
        <w:t>0</w:t>
      </w:r>
      <w:r w:rsidRPr="009C0BEF">
        <w:rPr>
          <w:rFonts w:ascii="Calibri" w:eastAsia="MS Mincho" w:hAnsi="Calibri" w:cs="Times New Roman"/>
          <w:b/>
        </w:rPr>
        <w:t xml:space="preserve">: Number of days to </w:t>
      </w:r>
      <w:r>
        <w:rPr>
          <w:rFonts w:ascii="Calibri" w:eastAsia="MS Mincho" w:hAnsi="Calibri" w:cs="Times New Roman"/>
          <w:b/>
        </w:rPr>
        <w:t>next supply</w:t>
      </w:r>
      <w:r w:rsidRPr="009C0BEF">
        <w:rPr>
          <w:rFonts w:ascii="Calibri" w:eastAsia="MS Mincho" w:hAnsi="Calibri" w:cs="Times New Roman"/>
          <w:b/>
        </w:rPr>
        <w:t xml:space="preserve"> for </w:t>
      </w:r>
      <w:r>
        <w:rPr>
          <w:rFonts w:ascii="Calibri" w:eastAsia="MS Mincho" w:hAnsi="Calibri" w:cs="Times New Roman"/>
          <w:b/>
        </w:rPr>
        <w:t>Cohort pNET patients</w:t>
      </w:r>
      <w:r>
        <w:rPr>
          <w:rFonts w:ascii="Calibri" w:eastAsia="MS Mincho" w:hAnsi="Calibri" w:cs="Times New Roman"/>
          <w:b/>
        </w:rPr>
        <w:br/>
      </w:r>
      <w:r w:rsidRPr="009C0BEF">
        <w:rPr>
          <w:rFonts w:ascii="Calibri" w:eastAsia="MS Mincho" w:hAnsi="Calibri" w:cs="Times New Roman"/>
          <w:sz w:val="20"/>
        </w:rPr>
        <w:t xml:space="preserve">Note: does not include prescriptions with no </w:t>
      </w:r>
      <w:r>
        <w:rPr>
          <w:rFonts w:ascii="Calibri" w:eastAsia="MS Mincho" w:hAnsi="Calibri" w:cs="Times New Roman"/>
          <w:sz w:val="20"/>
        </w:rPr>
        <w:t>next supply (ie. patients with only one prescription).</w:t>
      </w:r>
      <w:r w:rsidR="00515CE4">
        <w:rPr>
          <w:rFonts w:ascii="Calibri" w:eastAsia="MS Mincho" w:hAnsi="Calibri" w:cs="Times New Roman"/>
          <w:sz w:val="20"/>
        </w:rPr>
        <w:br/>
        <w:t>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p>
    <w:p w:rsidR="005C3590" w:rsidRDefault="005C3590" w:rsidP="005C3590">
      <w:pPr>
        <w:rPr>
          <w:rFonts w:ascii="Calibri" w:eastAsia="MS Mincho" w:hAnsi="Calibri" w:cs="Times New Roman"/>
        </w:rPr>
      </w:pPr>
      <w:r>
        <w:rPr>
          <w:rFonts w:ascii="Calibri" w:eastAsia="MS Mincho" w:hAnsi="Calibri" w:cs="Times New Roman"/>
        </w:rPr>
        <w:t>The median time to next supply of any prescription (i</w:t>
      </w:r>
      <w:r w:rsidR="00692895">
        <w:rPr>
          <w:rFonts w:ascii="Calibri" w:eastAsia="MS Mincho" w:hAnsi="Calibri" w:cs="Times New Roman"/>
        </w:rPr>
        <w:t>.</w:t>
      </w:r>
      <w:r>
        <w:rPr>
          <w:rFonts w:ascii="Calibri" w:eastAsia="MS Mincho" w:hAnsi="Calibri" w:cs="Times New Roman"/>
        </w:rPr>
        <w:t>e. any drug or strength) in Figure 1</w:t>
      </w:r>
      <w:r w:rsidR="006F42A3">
        <w:rPr>
          <w:rFonts w:ascii="Calibri" w:eastAsia="MS Mincho" w:hAnsi="Calibri" w:cs="Times New Roman"/>
        </w:rPr>
        <w:t>0</w:t>
      </w:r>
      <w:r>
        <w:rPr>
          <w:rFonts w:ascii="Calibri" w:eastAsia="MS Mincho" w:hAnsi="Calibri" w:cs="Times New Roman"/>
        </w:rPr>
        <w:t xml:space="preserve"> was 8 days. Surprisingly the most common number of days to next supply was 1 day. 98.3% of scripts had the next supply within 90 days. </w:t>
      </w:r>
    </w:p>
    <w:p w:rsidR="005C3590" w:rsidRDefault="005C3590" w:rsidP="005C3590">
      <w:pPr>
        <w:rPr>
          <w:rFonts w:ascii="Calibri" w:eastAsia="MS Mincho" w:hAnsi="Calibri" w:cs="Times New Roman"/>
        </w:rPr>
      </w:pPr>
      <w:r>
        <w:rPr>
          <w:rFonts w:ascii="Calibri" w:eastAsia="MS Mincho" w:hAnsi="Calibri" w:cs="Times New Roman"/>
        </w:rPr>
        <w:t>Using this information, a patient was estimated to have died if they ha</w:t>
      </w:r>
      <w:r w:rsidR="009660AA">
        <w:rPr>
          <w:rFonts w:ascii="Calibri" w:eastAsia="MS Mincho" w:hAnsi="Calibri" w:cs="Times New Roman"/>
        </w:rPr>
        <w:t>d</w:t>
      </w:r>
      <w:r>
        <w:rPr>
          <w:rFonts w:ascii="Calibri" w:eastAsia="MS Mincho" w:hAnsi="Calibri" w:cs="Times New Roman"/>
        </w:rPr>
        <w:t xml:space="preserve"> no supply of a prescription in the 90 days after their last prescription in the PBS data. </w:t>
      </w:r>
      <w:r w:rsidR="009660AA">
        <w:rPr>
          <w:rFonts w:ascii="Calibri" w:eastAsia="MS Mincho" w:hAnsi="Calibri" w:cs="Times New Roman"/>
        </w:rPr>
        <w:t>If this was the case, t</w:t>
      </w:r>
      <w:r>
        <w:rPr>
          <w:rFonts w:ascii="Calibri" w:eastAsia="MS Mincho" w:hAnsi="Calibri" w:cs="Times New Roman"/>
        </w:rPr>
        <w:t xml:space="preserve">he date of death was </w:t>
      </w:r>
      <w:r w:rsidR="00A90938">
        <w:rPr>
          <w:rFonts w:ascii="Calibri" w:eastAsia="MS Mincho" w:hAnsi="Calibri" w:cs="Times New Roman"/>
        </w:rPr>
        <w:t>estimated</w:t>
      </w:r>
      <w:r>
        <w:rPr>
          <w:rFonts w:ascii="Calibri" w:eastAsia="MS Mincho" w:hAnsi="Calibri" w:cs="Times New Roman"/>
        </w:rPr>
        <w:t xml:space="preserve"> to be the date of last supply plus 8 days (i</w:t>
      </w:r>
      <w:r w:rsidR="00692895">
        <w:rPr>
          <w:rFonts w:ascii="Calibri" w:eastAsia="MS Mincho" w:hAnsi="Calibri" w:cs="Times New Roman"/>
        </w:rPr>
        <w:t>.</w:t>
      </w:r>
      <w:r>
        <w:rPr>
          <w:rFonts w:ascii="Calibri" w:eastAsia="MS Mincho" w:hAnsi="Calibri" w:cs="Times New Roman"/>
        </w:rPr>
        <w:t xml:space="preserve">e. the expected number of days to next supply). </w:t>
      </w:r>
    </w:p>
    <w:p w:rsidR="005C3590" w:rsidRDefault="005C3590" w:rsidP="005C3590">
      <w:pPr>
        <w:rPr>
          <w:rFonts w:ascii="Calibri" w:eastAsia="MS Mincho" w:hAnsi="Calibri" w:cs="Times New Roman"/>
        </w:rPr>
      </w:pPr>
      <w:r>
        <w:rPr>
          <w:rFonts w:ascii="Calibri" w:eastAsia="MS Mincho" w:hAnsi="Calibri" w:cs="Times New Roman"/>
        </w:rPr>
        <w:t>Using this method, of the 219 pNET patients, 93 were estimated to have died and 126 estimated to still be alive at the end of the data period (31 March 2017).</w:t>
      </w:r>
    </w:p>
    <w:p w:rsidR="005C3590" w:rsidRDefault="005C3590" w:rsidP="005C3590">
      <w:pPr>
        <w:rPr>
          <w:rFonts w:ascii="Calibri" w:eastAsia="MS Mincho" w:hAnsi="Calibri" w:cs="Times New Roman"/>
        </w:rPr>
      </w:pPr>
      <w:r>
        <w:rPr>
          <w:rFonts w:ascii="Calibri" w:eastAsia="MS Mincho" w:hAnsi="Calibri" w:cs="Times New Roman"/>
        </w:rPr>
        <w:t xml:space="preserve">The estimated date of death was used to estimate the time between </w:t>
      </w:r>
      <w:r w:rsidR="00A90938">
        <w:rPr>
          <w:rFonts w:ascii="Calibri" w:eastAsia="MS Mincho" w:hAnsi="Calibri" w:cs="Times New Roman"/>
        </w:rPr>
        <w:t>cessation</w:t>
      </w:r>
      <w:r>
        <w:rPr>
          <w:rFonts w:ascii="Calibri" w:eastAsia="MS Mincho" w:hAnsi="Calibri" w:cs="Times New Roman"/>
        </w:rPr>
        <w:t xml:space="preserve"> of treatment with sunitinib or everolimus </w:t>
      </w:r>
      <w:r w:rsidR="00F97378">
        <w:rPr>
          <w:rFonts w:ascii="Calibri" w:eastAsia="MS Mincho" w:hAnsi="Calibri" w:cs="Times New Roman"/>
        </w:rPr>
        <w:t xml:space="preserve">and death </w:t>
      </w:r>
      <w:r>
        <w:rPr>
          <w:rFonts w:ascii="Calibri" w:eastAsia="MS Mincho" w:hAnsi="Calibri" w:cs="Times New Roman"/>
        </w:rPr>
        <w:t>for the Cohort pNET patients. T</w:t>
      </w:r>
      <w:r w:rsidR="006F42A3">
        <w:rPr>
          <w:rFonts w:ascii="Calibri" w:eastAsia="MS Mincho" w:hAnsi="Calibri" w:cs="Times New Roman"/>
        </w:rPr>
        <w:t>he results are shown in Figure 11</w:t>
      </w:r>
      <w:r>
        <w:rPr>
          <w:rFonts w:ascii="Calibri" w:eastAsia="MS Mincho" w:hAnsi="Calibri" w:cs="Times New Roman"/>
        </w:rPr>
        <w:t>.</w:t>
      </w:r>
    </w:p>
    <w:p w:rsidR="00515CE4" w:rsidRPr="00793E16" w:rsidRDefault="005C3590" w:rsidP="00515CE4">
      <w:pPr>
        <w:rPr>
          <w:rFonts w:ascii="Calibri" w:eastAsia="MS Mincho" w:hAnsi="Calibri" w:cs="Times New Roman"/>
          <w:b/>
        </w:rPr>
      </w:pPr>
      <w:r>
        <w:rPr>
          <w:noProof/>
        </w:rPr>
        <w:drawing>
          <wp:inline distT="0" distB="0" distL="0" distR="0" wp14:anchorId="12935238" wp14:editId="38C5E0B2">
            <wp:extent cx="5687695" cy="3716447"/>
            <wp:effectExtent l="0" t="0" r="27305" b="17780"/>
            <wp:docPr id="15" name="Chart 15" title="Figure 12: Days from last pNET prescription to estimated date of death for cohort pNET patients who were estimated to have died (n=93).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Calibri" w:eastAsia="MS Mincho" w:hAnsi="Calibri" w:cs="Times New Roman"/>
          <w:b/>
        </w:rPr>
        <w:t xml:space="preserve">Figure </w:t>
      </w:r>
      <w:r w:rsidR="006F42A3">
        <w:rPr>
          <w:rFonts w:ascii="Calibri" w:eastAsia="MS Mincho" w:hAnsi="Calibri" w:cs="Times New Roman"/>
          <w:b/>
        </w:rPr>
        <w:t>11</w:t>
      </w:r>
      <w:r w:rsidRPr="009C0BEF">
        <w:rPr>
          <w:rFonts w:ascii="Calibri" w:eastAsia="MS Mincho" w:hAnsi="Calibri" w:cs="Times New Roman"/>
          <w:b/>
        </w:rPr>
        <w:t xml:space="preserve">: </w:t>
      </w:r>
      <w:r w:rsidRPr="00E16C6F">
        <w:rPr>
          <w:rFonts w:ascii="Calibri" w:eastAsia="MS Mincho" w:hAnsi="Calibri"/>
          <w:b/>
          <w:lang w:val="en-US"/>
        </w:rPr>
        <w:t>Days from last pNET prescription to estimated date of death</w:t>
      </w:r>
      <w:r>
        <w:rPr>
          <w:rFonts w:ascii="Calibri" w:eastAsia="MS Mincho" w:hAnsi="Calibri"/>
          <w:b/>
          <w:lang w:val="en-US"/>
        </w:rPr>
        <w:t xml:space="preserve"> </w:t>
      </w:r>
      <w:r w:rsidRPr="009C0BEF">
        <w:rPr>
          <w:rFonts w:ascii="Calibri" w:eastAsia="MS Mincho" w:hAnsi="Calibri" w:cs="Times New Roman"/>
          <w:b/>
        </w:rPr>
        <w:t xml:space="preserve">for </w:t>
      </w:r>
      <w:r>
        <w:rPr>
          <w:rFonts w:ascii="Calibri" w:eastAsia="MS Mincho" w:hAnsi="Calibri" w:cs="Times New Roman"/>
          <w:b/>
        </w:rPr>
        <w:t>cohort pNET patients</w:t>
      </w:r>
      <w:r w:rsidR="00F97378">
        <w:rPr>
          <w:rFonts w:ascii="Calibri" w:eastAsia="MS Mincho" w:hAnsi="Calibri" w:cs="Times New Roman"/>
          <w:b/>
        </w:rPr>
        <w:t xml:space="preserve"> who were estimated to have died (n=93)</w:t>
      </w:r>
      <w:r>
        <w:rPr>
          <w:rFonts w:ascii="Calibri" w:eastAsia="MS Mincho" w:hAnsi="Calibri" w:cs="Times New Roman"/>
          <w:b/>
        </w:rPr>
        <w:t>.</w:t>
      </w:r>
      <w:r w:rsidR="00515CE4">
        <w:rPr>
          <w:rFonts w:ascii="Calibri" w:eastAsia="MS Mincho" w:hAnsi="Calibri" w:cs="Times New Roman"/>
          <w:b/>
        </w:rPr>
        <w:t xml:space="preserve"> </w:t>
      </w:r>
      <w:r w:rsidR="00515CE4">
        <w:rPr>
          <w:rFonts w:ascii="Calibri" w:eastAsia="MS Mincho" w:hAnsi="Calibri" w:cs="Times New Roman"/>
          <w:b/>
        </w:rPr>
        <w:br/>
      </w:r>
      <w:r w:rsidR="00515CE4">
        <w:rPr>
          <w:rFonts w:ascii="Calibri" w:eastAsia="MS Mincho" w:hAnsi="Calibri" w:cs="Times New Roman"/>
          <w:sz w:val="20"/>
        </w:rPr>
        <w:t>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p>
    <w:p w:rsidR="00CA0AB0" w:rsidRDefault="005C3590" w:rsidP="007B6AD1">
      <w:pPr>
        <w:rPr>
          <w:rFonts w:ascii="Calibri" w:eastAsia="MS Mincho" w:hAnsi="Calibri" w:cs="Times New Roman"/>
        </w:rPr>
      </w:pPr>
      <w:r>
        <w:rPr>
          <w:rFonts w:ascii="Calibri" w:eastAsia="MS Mincho" w:hAnsi="Calibri" w:cs="Times New Roman"/>
        </w:rPr>
        <w:t xml:space="preserve">The median value from the last </w:t>
      </w:r>
      <w:r w:rsidRPr="00E16C6F">
        <w:rPr>
          <w:rFonts w:ascii="Calibri" w:eastAsia="MS Mincho" w:hAnsi="Calibri" w:cs="Times New Roman"/>
        </w:rPr>
        <w:t xml:space="preserve">pNET prescription to </w:t>
      </w:r>
      <w:r>
        <w:rPr>
          <w:rFonts w:ascii="Calibri" w:eastAsia="MS Mincho" w:hAnsi="Calibri" w:cs="Times New Roman"/>
        </w:rPr>
        <w:t xml:space="preserve">the </w:t>
      </w:r>
      <w:r w:rsidRPr="00E16C6F">
        <w:rPr>
          <w:rFonts w:ascii="Calibri" w:eastAsia="MS Mincho" w:hAnsi="Calibri" w:cs="Times New Roman"/>
        </w:rPr>
        <w:t xml:space="preserve">estimated date of death </w:t>
      </w:r>
      <w:r w:rsidR="00F97378">
        <w:rPr>
          <w:rFonts w:ascii="Calibri" w:eastAsia="MS Mincho" w:hAnsi="Calibri" w:cs="Times New Roman"/>
        </w:rPr>
        <w:t>was 85 days</w:t>
      </w:r>
      <w:r w:rsidR="009D4D36">
        <w:rPr>
          <w:rFonts w:ascii="Calibri" w:eastAsia="MS Mincho" w:hAnsi="Calibri" w:cs="Times New Roman"/>
        </w:rPr>
        <w:t xml:space="preserve"> (</w:t>
      </w:r>
      <w:r w:rsidR="00F97378">
        <w:rPr>
          <w:rFonts w:ascii="Calibri" w:eastAsia="MS Mincho" w:hAnsi="Calibri" w:cs="Times New Roman"/>
        </w:rPr>
        <w:t>almost 3 months</w:t>
      </w:r>
      <w:r w:rsidR="009D4D36">
        <w:rPr>
          <w:rFonts w:ascii="Calibri" w:eastAsia="MS Mincho" w:hAnsi="Calibri" w:cs="Times New Roman"/>
        </w:rPr>
        <w:t>). This analysis shows that</w:t>
      </w:r>
      <w:r w:rsidR="00F97378">
        <w:rPr>
          <w:rFonts w:ascii="Calibri" w:eastAsia="MS Mincho" w:hAnsi="Calibri" w:cs="Times New Roman"/>
        </w:rPr>
        <w:t xml:space="preserve"> </w:t>
      </w:r>
      <w:r w:rsidR="002B5C8D">
        <w:rPr>
          <w:rFonts w:ascii="Calibri" w:eastAsia="MS Mincho" w:hAnsi="Calibri" w:cs="Times New Roman"/>
        </w:rPr>
        <w:t xml:space="preserve">time from cessation of medicine for pNET and the date </w:t>
      </w:r>
      <w:r w:rsidR="00F97378">
        <w:rPr>
          <w:rFonts w:ascii="Calibri" w:eastAsia="MS Mincho" w:hAnsi="Calibri" w:cs="Times New Roman"/>
        </w:rPr>
        <w:t>of</w:t>
      </w:r>
      <w:r w:rsidR="009D4D36">
        <w:rPr>
          <w:rFonts w:ascii="Calibri" w:eastAsia="MS Mincho" w:hAnsi="Calibri" w:cs="Times New Roman"/>
        </w:rPr>
        <w:t xml:space="preserve">  </w:t>
      </w:r>
      <w:r w:rsidR="002B5C8D">
        <w:rPr>
          <w:rFonts w:ascii="Calibri" w:eastAsia="MS Mincho" w:hAnsi="Calibri" w:cs="Times New Roman"/>
        </w:rPr>
        <w:t>death (</w:t>
      </w:r>
      <w:r w:rsidR="009D4D36">
        <w:rPr>
          <w:rFonts w:ascii="Calibri" w:eastAsia="MS Mincho" w:hAnsi="Calibri" w:cs="Times New Roman"/>
        </w:rPr>
        <w:t>assumed</w:t>
      </w:r>
      <w:r w:rsidR="002B5C8D">
        <w:rPr>
          <w:rFonts w:ascii="Calibri" w:eastAsia="MS Mincho" w:hAnsi="Calibri" w:cs="Times New Roman"/>
        </w:rPr>
        <w:t>)</w:t>
      </w:r>
      <w:r w:rsidR="009D4D36">
        <w:rPr>
          <w:rFonts w:ascii="Calibri" w:eastAsia="MS Mincho" w:hAnsi="Calibri" w:cs="Times New Roman"/>
        </w:rPr>
        <w:t xml:space="preserve"> </w:t>
      </w:r>
      <w:r w:rsidR="002B5C8D">
        <w:rPr>
          <w:rFonts w:ascii="Calibri" w:eastAsia="MS Mincho" w:hAnsi="Calibri" w:cs="Times New Roman"/>
        </w:rPr>
        <w:t xml:space="preserve">is highly variable. This analysis cannot determine if the reason for discontinuation of therapy was disease progression. </w:t>
      </w:r>
    </w:p>
    <w:p w:rsidR="005C3590" w:rsidRPr="009660AA" w:rsidRDefault="009660AA" w:rsidP="005C3590">
      <w:pPr>
        <w:spacing w:line="276" w:lineRule="auto"/>
        <w:rPr>
          <w:rFonts w:ascii="Calibri" w:eastAsia="Times New Roman" w:hAnsi="Calibri" w:cs="Times New Roman"/>
          <w:b/>
          <w:i/>
          <w:iCs/>
          <w:snapToGrid w:val="0"/>
          <w:lang w:eastAsia="en-US"/>
        </w:rPr>
      </w:pPr>
      <w:r>
        <w:rPr>
          <w:rFonts w:ascii="Calibri" w:eastAsia="Times New Roman" w:hAnsi="Calibri" w:cs="Times New Roman"/>
          <w:b/>
          <w:i/>
          <w:iCs/>
          <w:snapToGrid w:val="0"/>
          <w:lang w:eastAsia="en-US"/>
        </w:rPr>
        <w:t xml:space="preserve">3.4 </w:t>
      </w:r>
      <w:r w:rsidR="005C3590" w:rsidRPr="009660AA">
        <w:rPr>
          <w:rFonts w:ascii="Calibri" w:eastAsia="Times New Roman" w:hAnsi="Calibri" w:cs="Times New Roman"/>
          <w:b/>
          <w:i/>
          <w:iCs/>
          <w:snapToGrid w:val="0"/>
          <w:lang w:eastAsia="en-US"/>
        </w:rPr>
        <w:t>Somatostatin analogue use prior to initiation of everolimus or sunitinib</w:t>
      </w:r>
    </w:p>
    <w:p w:rsidR="005C3590" w:rsidRDefault="005C3590" w:rsidP="005C3590">
      <w:pPr>
        <w:rPr>
          <w:rFonts w:ascii="Calibri" w:eastAsia="MS Mincho" w:hAnsi="Calibri" w:cs="Times New Roman"/>
        </w:rPr>
      </w:pPr>
      <w:r>
        <w:rPr>
          <w:rFonts w:ascii="Calibri" w:eastAsia="MS Mincho" w:hAnsi="Calibri" w:cs="Times New Roman"/>
        </w:rPr>
        <w:t xml:space="preserve">The </w:t>
      </w:r>
      <w:r w:rsidRPr="00873DBA">
        <w:rPr>
          <w:rFonts w:ascii="Calibri" w:eastAsia="MS Mincho" w:hAnsi="Calibri" w:cs="Times New Roman"/>
        </w:rPr>
        <w:t xml:space="preserve">PBS restriction that states </w:t>
      </w:r>
      <w:r>
        <w:rPr>
          <w:rFonts w:ascii="Calibri" w:eastAsia="MS Mincho" w:hAnsi="Calibri" w:cs="Times New Roman"/>
        </w:rPr>
        <w:t xml:space="preserve">that the </w:t>
      </w:r>
      <w:r w:rsidRPr="00873DBA">
        <w:rPr>
          <w:rFonts w:ascii="Calibri" w:eastAsia="MS Mincho" w:hAnsi="Calibri" w:cs="Times New Roman"/>
        </w:rPr>
        <w:t>“</w:t>
      </w:r>
      <w:r w:rsidRPr="005B5D82">
        <w:rPr>
          <w:rFonts w:ascii="Calibri" w:eastAsia="MS Mincho" w:hAnsi="Calibri" w:cs="Times New Roman"/>
        </w:rPr>
        <w:t>Patient must be symptomatic (despite somatostatin analogues); OR * Patient must have disease progression</w:t>
      </w:r>
      <w:r w:rsidR="00BE4C52">
        <w:rPr>
          <w:rFonts w:ascii="Calibri" w:eastAsia="MS Mincho" w:hAnsi="Calibri" w:cs="Times New Roman"/>
        </w:rPr>
        <w:t>.</w:t>
      </w:r>
      <w:r>
        <w:rPr>
          <w:rFonts w:ascii="Calibri" w:eastAsia="MS Mincho" w:hAnsi="Calibri" w:cs="Times New Roman"/>
        </w:rPr>
        <w:t xml:space="preserve">” That is, if a patient does not have disease progression, then they are expected to be treated </w:t>
      </w:r>
      <w:r w:rsidR="00A90938">
        <w:rPr>
          <w:rFonts w:ascii="Calibri" w:eastAsia="MS Mincho" w:hAnsi="Calibri" w:cs="Times New Roman"/>
        </w:rPr>
        <w:t xml:space="preserve">with a </w:t>
      </w:r>
      <w:r w:rsidR="00A90938" w:rsidRPr="005B5D82">
        <w:rPr>
          <w:rFonts w:ascii="Calibri" w:eastAsia="MS Mincho" w:hAnsi="Calibri" w:cs="Times New Roman"/>
        </w:rPr>
        <w:t>somatostatin analogue</w:t>
      </w:r>
      <w:r>
        <w:rPr>
          <w:rFonts w:ascii="Calibri" w:eastAsia="MS Mincho" w:hAnsi="Calibri" w:cs="Times New Roman"/>
        </w:rPr>
        <w:t xml:space="preserve">. There are three of these </w:t>
      </w:r>
      <w:r w:rsidR="004B0837">
        <w:rPr>
          <w:rFonts w:ascii="Calibri" w:eastAsia="MS Mincho" w:hAnsi="Calibri" w:cs="Times New Roman"/>
        </w:rPr>
        <w:t xml:space="preserve">drugs </w:t>
      </w:r>
      <w:r>
        <w:rPr>
          <w:rFonts w:ascii="Calibri" w:eastAsia="MS Mincho" w:hAnsi="Calibri" w:cs="Times New Roman"/>
        </w:rPr>
        <w:t>listed on the PBS</w:t>
      </w:r>
      <w:r w:rsidR="00BE4C52">
        <w:rPr>
          <w:rFonts w:ascii="Calibri" w:eastAsia="MS Mincho" w:hAnsi="Calibri" w:cs="Times New Roman"/>
        </w:rPr>
        <w:t>:</w:t>
      </w:r>
      <w:r>
        <w:rPr>
          <w:rFonts w:ascii="Calibri" w:eastAsia="MS Mincho" w:hAnsi="Calibri" w:cs="Times New Roman"/>
        </w:rPr>
        <w:t xml:space="preserve"> </w:t>
      </w:r>
      <w:r w:rsidRPr="005B5D82">
        <w:rPr>
          <w:rFonts w:ascii="Calibri" w:eastAsia="MS Mincho" w:hAnsi="Calibri" w:cs="Times New Roman"/>
        </w:rPr>
        <w:t>octreotide,</w:t>
      </w:r>
      <w:r>
        <w:rPr>
          <w:rFonts w:ascii="Calibri" w:eastAsia="MS Mincho" w:hAnsi="Calibri" w:cs="Times New Roman"/>
        </w:rPr>
        <w:t xml:space="preserve"> </w:t>
      </w:r>
      <w:r w:rsidRPr="005B5D82">
        <w:rPr>
          <w:rFonts w:ascii="Calibri" w:eastAsia="MS Mincho" w:hAnsi="Calibri" w:cs="Times New Roman"/>
        </w:rPr>
        <w:t>lanreotide</w:t>
      </w:r>
      <w:r>
        <w:rPr>
          <w:rFonts w:ascii="Calibri" w:eastAsia="MS Mincho" w:hAnsi="Calibri" w:cs="Times New Roman"/>
        </w:rPr>
        <w:t xml:space="preserve"> and </w:t>
      </w:r>
      <w:r w:rsidRPr="005B5D82">
        <w:rPr>
          <w:rFonts w:ascii="Calibri" w:eastAsia="MS Mincho" w:hAnsi="Calibri" w:cs="Times New Roman"/>
        </w:rPr>
        <w:t>pasireotide</w:t>
      </w:r>
      <w:r>
        <w:rPr>
          <w:rFonts w:ascii="Calibri" w:eastAsia="MS Mincho" w:hAnsi="Calibri" w:cs="Times New Roman"/>
        </w:rPr>
        <w:t xml:space="preserve">. Table 7 shows the drug </w:t>
      </w:r>
      <w:r w:rsidR="00A90938">
        <w:rPr>
          <w:rFonts w:ascii="Calibri" w:eastAsia="MS Mincho" w:hAnsi="Calibri" w:cs="Times New Roman"/>
        </w:rPr>
        <w:t>initiation</w:t>
      </w:r>
      <w:r>
        <w:rPr>
          <w:rFonts w:ascii="Calibri" w:eastAsia="MS Mincho" w:hAnsi="Calibri" w:cs="Times New Roman"/>
        </w:rPr>
        <w:t xml:space="preserve"> sequence for patients in the Cohort </w:t>
      </w:r>
      <w:r w:rsidRPr="00454DF6">
        <w:rPr>
          <w:rFonts w:ascii="Calibri" w:eastAsia="MS Mincho" w:hAnsi="Calibri" w:cs="Times New Roman"/>
        </w:rPr>
        <w:t xml:space="preserve">pNET </w:t>
      </w:r>
      <w:r>
        <w:rPr>
          <w:rFonts w:ascii="Calibri" w:eastAsia="MS Mincho" w:hAnsi="Calibri" w:cs="Times New Roman"/>
        </w:rPr>
        <w:t>patients.</w:t>
      </w:r>
    </w:p>
    <w:p w:rsidR="005C3590" w:rsidRDefault="005C3590" w:rsidP="005C3590">
      <w:pPr>
        <w:spacing w:line="276" w:lineRule="auto"/>
        <w:rPr>
          <w:rFonts w:ascii="Calibri" w:eastAsia="Times New Roman" w:hAnsi="Calibri" w:cs="Times New Roman"/>
          <w:b/>
          <w:iCs/>
          <w:snapToGrid w:val="0"/>
          <w:lang w:eastAsia="en-US"/>
        </w:rPr>
      </w:pPr>
      <w:r>
        <w:rPr>
          <w:rFonts w:ascii="Calibri" w:eastAsia="Times New Roman" w:hAnsi="Calibri" w:cs="Times New Roman"/>
          <w:b/>
          <w:iCs/>
          <w:snapToGrid w:val="0"/>
          <w:lang w:eastAsia="en-US"/>
        </w:rPr>
        <w:br w:type="page"/>
      </w:r>
    </w:p>
    <w:p w:rsidR="005C3590" w:rsidRDefault="005C3590" w:rsidP="005C3590">
      <w:pPr>
        <w:widowControl w:val="0"/>
        <w:spacing w:after="0"/>
        <w:rPr>
          <w:rFonts w:ascii="Calibri" w:eastAsia="Times New Roman" w:hAnsi="Calibri" w:cs="Times New Roman"/>
          <w:b/>
          <w:iCs/>
          <w:snapToGrid w:val="0"/>
          <w:lang w:eastAsia="en-US"/>
        </w:rPr>
      </w:pPr>
      <w:r w:rsidRPr="00B87CD5">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7</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Drug initiation sequence for</w:t>
      </w:r>
      <w:r w:rsidRPr="00454DF6">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 xml:space="preserve">Cohort </w:t>
      </w:r>
      <w:r w:rsidRPr="00454DF6">
        <w:rPr>
          <w:rFonts w:ascii="Calibri" w:eastAsia="Times New Roman" w:hAnsi="Calibri" w:cs="Times New Roman"/>
          <w:b/>
          <w:iCs/>
          <w:snapToGrid w:val="0"/>
          <w:lang w:eastAsia="en-US"/>
        </w:rPr>
        <w:t>pNET patients.</w:t>
      </w:r>
    </w:p>
    <w:tbl>
      <w:tblPr>
        <w:tblW w:w="76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920"/>
        <w:gridCol w:w="1920"/>
      </w:tblGrid>
      <w:tr w:rsidR="005C3590" w:rsidRPr="00454DF6" w:rsidTr="005C3590">
        <w:trPr>
          <w:trHeight w:val="300"/>
        </w:trPr>
        <w:tc>
          <w:tcPr>
            <w:tcW w:w="3840" w:type="dxa"/>
            <w:shd w:val="clear" w:color="auto" w:fill="BFBFBF" w:themeFill="background1" w:themeFillShade="BF"/>
            <w:noWrap/>
            <w:vAlign w:val="center"/>
            <w:hideMark/>
          </w:tcPr>
          <w:p w:rsidR="005C3590" w:rsidRPr="00454DF6" w:rsidRDefault="005C3590" w:rsidP="005C3590">
            <w:pPr>
              <w:spacing w:after="0"/>
              <w:rPr>
                <w:rFonts w:ascii="Calibri" w:eastAsia="Times New Roman" w:hAnsi="Calibri" w:cs="Times New Roman"/>
                <w:b/>
                <w:bCs/>
                <w:color w:val="000000"/>
                <w:sz w:val="20"/>
                <w:szCs w:val="22"/>
              </w:rPr>
            </w:pPr>
            <w:r w:rsidRPr="00454DF6">
              <w:rPr>
                <w:rFonts w:ascii="Calibri" w:eastAsia="Times New Roman" w:hAnsi="Calibri" w:cs="Times New Roman"/>
                <w:b/>
                <w:bCs/>
                <w:color w:val="000000"/>
                <w:sz w:val="20"/>
                <w:szCs w:val="22"/>
              </w:rPr>
              <w:t>Drug initiation sequence</w:t>
            </w:r>
          </w:p>
        </w:tc>
        <w:tc>
          <w:tcPr>
            <w:tcW w:w="1920" w:type="dxa"/>
            <w:shd w:val="clear" w:color="auto" w:fill="BFBFBF" w:themeFill="background1" w:themeFillShade="BF"/>
            <w:noWrap/>
            <w:vAlign w:val="bottom"/>
            <w:hideMark/>
          </w:tcPr>
          <w:p w:rsidR="005C3590" w:rsidRPr="00454DF6" w:rsidRDefault="005C3590" w:rsidP="005C3590">
            <w:pPr>
              <w:spacing w:after="0"/>
              <w:jc w:val="center"/>
              <w:rPr>
                <w:rFonts w:ascii="Calibri" w:eastAsia="Times New Roman" w:hAnsi="Calibri" w:cs="Times New Roman"/>
                <w:b/>
                <w:bCs/>
                <w:color w:val="000000"/>
                <w:sz w:val="20"/>
                <w:szCs w:val="22"/>
              </w:rPr>
            </w:pPr>
            <w:r w:rsidRPr="00454DF6">
              <w:rPr>
                <w:rFonts w:ascii="Calibri" w:eastAsia="Times New Roman" w:hAnsi="Calibri" w:cs="Times New Roman"/>
                <w:b/>
                <w:bCs/>
                <w:color w:val="000000"/>
                <w:sz w:val="20"/>
                <w:szCs w:val="22"/>
              </w:rPr>
              <w:t>Patients</w:t>
            </w:r>
          </w:p>
        </w:tc>
        <w:tc>
          <w:tcPr>
            <w:tcW w:w="1920" w:type="dxa"/>
            <w:shd w:val="clear" w:color="auto" w:fill="BFBFBF" w:themeFill="background1" w:themeFillShade="BF"/>
            <w:vAlign w:val="bottom"/>
          </w:tcPr>
          <w:p w:rsidR="005C3590" w:rsidRDefault="005C3590" w:rsidP="005C3590">
            <w:pPr>
              <w:spacing w:after="0"/>
              <w:rPr>
                <w:rFonts w:ascii="Calibri" w:hAnsi="Calibri"/>
                <w:b/>
                <w:bCs/>
                <w:color w:val="000000"/>
                <w:sz w:val="22"/>
                <w:szCs w:val="22"/>
              </w:rPr>
            </w:pPr>
            <w:r>
              <w:rPr>
                <w:rFonts w:ascii="Calibri" w:hAnsi="Calibri"/>
                <w:b/>
                <w:bCs/>
                <w:color w:val="000000"/>
                <w:sz w:val="22"/>
                <w:szCs w:val="22"/>
              </w:rPr>
              <w:t>% Patients</w:t>
            </w:r>
          </w:p>
        </w:tc>
      </w:tr>
      <w:tr w:rsidR="005C3590" w:rsidRPr="00454DF6" w:rsidTr="005C3590">
        <w:trPr>
          <w:trHeight w:val="300"/>
        </w:trPr>
        <w:tc>
          <w:tcPr>
            <w:tcW w:w="3840" w:type="dxa"/>
            <w:shd w:val="clear" w:color="auto" w:fill="auto"/>
            <w:noWrap/>
            <w:vAlign w:val="center"/>
            <w:hideMark/>
          </w:tcPr>
          <w:p w:rsidR="005C3590" w:rsidRDefault="005C3590" w:rsidP="005C3590">
            <w:pPr>
              <w:spacing w:after="0"/>
              <w:rPr>
                <w:rFonts w:ascii="Calibri" w:hAnsi="Calibri"/>
                <w:sz w:val="22"/>
                <w:szCs w:val="22"/>
              </w:rPr>
            </w:pPr>
            <w:r>
              <w:rPr>
                <w:rFonts w:ascii="Calibri" w:hAnsi="Calibri"/>
                <w:sz w:val="22"/>
                <w:szCs w:val="22"/>
              </w:rPr>
              <w:t>SUNITINIB</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57</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26.0%</w:t>
            </w:r>
          </w:p>
        </w:tc>
      </w:tr>
      <w:tr w:rsidR="005C3590" w:rsidRPr="00454DF6" w:rsidTr="005C3590">
        <w:trPr>
          <w:trHeight w:val="300"/>
        </w:trPr>
        <w:tc>
          <w:tcPr>
            <w:tcW w:w="3840" w:type="dxa"/>
            <w:shd w:val="clear" w:color="auto" w:fill="auto"/>
            <w:noWrap/>
            <w:vAlign w:val="center"/>
            <w:hideMark/>
          </w:tcPr>
          <w:p w:rsidR="005C3590" w:rsidRDefault="005C3590" w:rsidP="005C3590">
            <w:pPr>
              <w:spacing w:after="0"/>
              <w:rPr>
                <w:rFonts w:ascii="Calibri" w:hAnsi="Calibri"/>
                <w:sz w:val="22"/>
                <w:szCs w:val="22"/>
              </w:rPr>
            </w:pPr>
            <w:r>
              <w:rPr>
                <w:rFonts w:ascii="Calibri" w:hAnsi="Calibri"/>
                <w:sz w:val="22"/>
                <w:szCs w:val="22"/>
              </w:rPr>
              <w:t>OCTREOTIDE-&gt;SUNITINIB</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32</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14.6%</w:t>
            </w:r>
          </w:p>
        </w:tc>
      </w:tr>
      <w:tr w:rsidR="005C3590" w:rsidRPr="00454DF6" w:rsidTr="005C3590">
        <w:trPr>
          <w:trHeight w:val="300"/>
        </w:trPr>
        <w:tc>
          <w:tcPr>
            <w:tcW w:w="3840" w:type="dxa"/>
            <w:shd w:val="clear" w:color="auto" w:fill="auto"/>
            <w:noWrap/>
            <w:vAlign w:val="center"/>
            <w:hideMark/>
          </w:tcPr>
          <w:p w:rsidR="005C3590" w:rsidRDefault="005C3590" w:rsidP="005C3590">
            <w:pPr>
              <w:spacing w:after="0"/>
              <w:rPr>
                <w:rFonts w:ascii="Calibri" w:hAnsi="Calibri"/>
                <w:sz w:val="22"/>
                <w:szCs w:val="22"/>
              </w:rPr>
            </w:pPr>
            <w:r>
              <w:rPr>
                <w:rFonts w:ascii="Calibri" w:hAnsi="Calibri"/>
                <w:sz w:val="22"/>
                <w:szCs w:val="22"/>
              </w:rPr>
              <w:t>EVEROLIMUS</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29</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13.2%</w:t>
            </w:r>
          </w:p>
        </w:tc>
      </w:tr>
      <w:tr w:rsidR="005C3590" w:rsidRPr="00454DF6" w:rsidTr="005C3590">
        <w:trPr>
          <w:trHeight w:val="300"/>
        </w:trPr>
        <w:tc>
          <w:tcPr>
            <w:tcW w:w="3840" w:type="dxa"/>
            <w:shd w:val="clear" w:color="auto" w:fill="auto"/>
            <w:noWrap/>
            <w:vAlign w:val="center"/>
            <w:hideMark/>
          </w:tcPr>
          <w:p w:rsidR="005C3590" w:rsidRDefault="005C3590" w:rsidP="005C3590">
            <w:pPr>
              <w:spacing w:after="0"/>
              <w:rPr>
                <w:rFonts w:ascii="Calibri" w:hAnsi="Calibri"/>
                <w:sz w:val="22"/>
                <w:szCs w:val="22"/>
              </w:rPr>
            </w:pPr>
            <w:r>
              <w:rPr>
                <w:rFonts w:ascii="Calibri" w:hAnsi="Calibri"/>
                <w:sz w:val="22"/>
                <w:szCs w:val="22"/>
              </w:rPr>
              <w:t>LANREOTIDE-&gt;SUNITINIB</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22</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10.0%</w:t>
            </w:r>
          </w:p>
        </w:tc>
      </w:tr>
      <w:tr w:rsidR="005C3590" w:rsidRPr="00454DF6" w:rsidTr="005C3590">
        <w:trPr>
          <w:trHeight w:val="300"/>
        </w:trPr>
        <w:tc>
          <w:tcPr>
            <w:tcW w:w="3840" w:type="dxa"/>
            <w:shd w:val="clear" w:color="auto" w:fill="auto"/>
            <w:noWrap/>
            <w:vAlign w:val="center"/>
            <w:hideMark/>
          </w:tcPr>
          <w:p w:rsidR="005C3590" w:rsidRDefault="005C3590" w:rsidP="005C3590">
            <w:pPr>
              <w:spacing w:after="0"/>
              <w:rPr>
                <w:rFonts w:ascii="Calibri" w:hAnsi="Calibri"/>
                <w:sz w:val="22"/>
                <w:szCs w:val="22"/>
              </w:rPr>
            </w:pPr>
            <w:r>
              <w:rPr>
                <w:rFonts w:ascii="Calibri" w:hAnsi="Calibri"/>
                <w:sz w:val="22"/>
                <w:szCs w:val="22"/>
              </w:rPr>
              <w:t>OCTREOTIDE-&gt;EVEROLIMUS</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18</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8.2%</w:t>
            </w:r>
          </w:p>
        </w:tc>
      </w:tr>
      <w:tr w:rsidR="005C3590" w:rsidRPr="00454DF6" w:rsidTr="005C3590">
        <w:trPr>
          <w:trHeight w:val="300"/>
        </w:trPr>
        <w:tc>
          <w:tcPr>
            <w:tcW w:w="3840" w:type="dxa"/>
            <w:shd w:val="clear" w:color="auto" w:fill="auto"/>
            <w:noWrap/>
            <w:vAlign w:val="center"/>
            <w:hideMark/>
          </w:tcPr>
          <w:p w:rsidR="005C3590" w:rsidRDefault="005C3590" w:rsidP="005C3590">
            <w:pPr>
              <w:spacing w:after="0"/>
              <w:rPr>
                <w:rFonts w:ascii="Calibri" w:hAnsi="Calibri"/>
                <w:sz w:val="22"/>
                <w:szCs w:val="22"/>
              </w:rPr>
            </w:pPr>
            <w:r>
              <w:rPr>
                <w:rFonts w:ascii="Calibri" w:hAnsi="Calibri"/>
                <w:sz w:val="22"/>
                <w:szCs w:val="22"/>
              </w:rPr>
              <w:t>OCTREOTIDE-&gt;SUNITINIB-&gt;EVEROLIMUS</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8</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3.7%</w:t>
            </w:r>
          </w:p>
        </w:tc>
      </w:tr>
      <w:tr w:rsidR="005C3590" w:rsidRPr="00454DF6" w:rsidTr="005C3590">
        <w:trPr>
          <w:trHeight w:val="300"/>
        </w:trPr>
        <w:tc>
          <w:tcPr>
            <w:tcW w:w="3840" w:type="dxa"/>
            <w:shd w:val="clear" w:color="auto" w:fill="auto"/>
            <w:noWrap/>
            <w:vAlign w:val="center"/>
            <w:hideMark/>
          </w:tcPr>
          <w:p w:rsidR="005C3590" w:rsidRDefault="005C3590" w:rsidP="005C3590">
            <w:pPr>
              <w:spacing w:after="0"/>
              <w:rPr>
                <w:rFonts w:ascii="Calibri" w:hAnsi="Calibri"/>
                <w:sz w:val="22"/>
                <w:szCs w:val="22"/>
              </w:rPr>
            </w:pPr>
            <w:r>
              <w:rPr>
                <w:rFonts w:ascii="Calibri" w:hAnsi="Calibri"/>
                <w:sz w:val="22"/>
                <w:szCs w:val="22"/>
              </w:rPr>
              <w:t>LANREOTIDE-&gt;EVEROLIMUS</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7</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3.2%</w:t>
            </w:r>
          </w:p>
        </w:tc>
      </w:tr>
      <w:tr w:rsidR="005C3590" w:rsidRPr="00454DF6" w:rsidTr="005C3590">
        <w:trPr>
          <w:trHeight w:val="300"/>
        </w:trPr>
        <w:tc>
          <w:tcPr>
            <w:tcW w:w="3840" w:type="dxa"/>
            <w:shd w:val="clear" w:color="auto" w:fill="auto"/>
            <w:noWrap/>
            <w:vAlign w:val="center"/>
            <w:hideMark/>
          </w:tcPr>
          <w:p w:rsidR="005C3590" w:rsidRDefault="005C3590" w:rsidP="005C3590">
            <w:pPr>
              <w:spacing w:after="0"/>
              <w:rPr>
                <w:rFonts w:ascii="Calibri" w:hAnsi="Calibri"/>
                <w:sz w:val="22"/>
                <w:szCs w:val="22"/>
              </w:rPr>
            </w:pPr>
            <w:r>
              <w:rPr>
                <w:rFonts w:ascii="Calibri" w:hAnsi="Calibri"/>
                <w:sz w:val="22"/>
                <w:szCs w:val="22"/>
              </w:rPr>
              <w:t>SUNITINIB-&gt;EVEROLIMUS</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6</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2.7%</w:t>
            </w:r>
          </w:p>
        </w:tc>
      </w:tr>
      <w:tr w:rsidR="005C3590" w:rsidRPr="00454DF6" w:rsidTr="005C3590">
        <w:trPr>
          <w:trHeight w:val="300"/>
        </w:trPr>
        <w:tc>
          <w:tcPr>
            <w:tcW w:w="3840" w:type="dxa"/>
            <w:shd w:val="clear" w:color="auto" w:fill="auto"/>
            <w:noWrap/>
            <w:vAlign w:val="center"/>
          </w:tcPr>
          <w:p w:rsidR="005C3590" w:rsidRDefault="005C3590" w:rsidP="005C3590">
            <w:pPr>
              <w:spacing w:after="0"/>
              <w:rPr>
                <w:rFonts w:ascii="Calibri" w:hAnsi="Calibri"/>
                <w:sz w:val="22"/>
                <w:szCs w:val="22"/>
              </w:rPr>
            </w:pPr>
            <w:r>
              <w:rPr>
                <w:rFonts w:ascii="Calibri" w:hAnsi="Calibri"/>
                <w:sz w:val="22"/>
                <w:szCs w:val="22"/>
              </w:rPr>
              <w:t>SUNITINIB-&gt;OCTREOTIDE</w:t>
            </w:r>
          </w:p>
        </w:tc>
        <w:tc>
          <w:tcPr>
            <w:tcW w:w="1920" w:type="dxa"/>
            <w:shd w:val="clear" w:color="auto" w:fill="auto"/>
            <w:noWrap/>
            <w:vAlign w:val="center"/>
          </w:tcPr>
          <w:p w:rsidR="005C3590" w:rsidRDefault="005C3590" w:rsidP="005C3590">
            <w:pPr>
              <w:spacing w:after="0"/>
              <w:jc w:val="center"/>
              <w:rPr>
                <w:rFonts w:ascii="Calibri" w:hAnsi="Calibri"/>
                <w:sz w:val="22"/>
                <w:szCs w:val="22"/>
              </w:rPr>
            </w:pPr>
            <w:r>
              <w:rPr>
                <w:rFonts w:ascii="Calibri" w:hAnsi="Calibri"/>
                <w:sz w:val="22"/>
                <w:szCs w:val="22"/>
              </w:rPr>
              <w:t>6</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2.7%</w:t>
            </w:r>
          </w:p>
        </w:tc>
      </w:tr>
      <w:tr w:rsidR="005C3590" w:rsidRPr="00454DF6" w:rsidTr="005C3590">
        <w:trPr>
          <w:trHeight w:val="300"/>
        </w:trPr>
        <w:tc>
          <w:tcPr>
            <w:tcW w:w="3840" w:type="dxa"/>
            <w:shd w:val="clear" w:color="auto" w:fill="auto"/>
            <w:noWrap/>
            <w:vAlign w:val="center"/>
            <w:hideMark/>
          </w:tcPr>
          <w:p w:rsidR="005C3590" w:rsidRPr="00454DF6" w:rsidRDefault="005C3590" w:rsidP="005C3590">
            <w:pPr>
              <w:spacing w:after="0"/>
              <w:rPr>
                <w:rFonts w:ascii="Calibri" w:eastAsia="Times New Roman" w:hAnsi="Calibri" w:cs="Times New Roman"/>
                <w:sz w:val="20"/>
                <w:szCs w:val="22"/>
              </w:rPr>
            </w:pPr>
            <w:r w:rsidRPr="00454DF6">
              <w:rPr>
                <w:rFonts w:ascii="Calibri" w:eastAsia="Times New Roman" w:hAnsi="Calibri" w:cs="Times New Roman"/>
                <w:sz w:val="20"/>
                <w:szCs w:val="22"/>
              </w:rPr>
              <w:t>Other drug initiation sequences</w:t>
            </w:r>
          </w:p>
        </w:tc>
        <w:tc>
          <w:tcPr>
            <w:tcW w:w="1920" w:type="dxa"/>
            <w:shd w:val="clear" w:color="auto" w:fill="auto"/>
            <w:noWrap/>
            <w:vAlign w:val="center"/>
            <w:hideMark/>
          </w:tcPr>
          <w:p w:rsidR="005C3590" w:rsidRPr="00454DF6" w:rsidRDefault="005C3590" w:rsidP="005C3590">
            <w:pPr>
              <w:spacing w:after="0"/>
              <w:jc w:val="center"/>
              <w:rPr>
                <w:rFonts w:ascii="Calibri" w:eastAsia="Times New Roman" w:hAnsi="Calibri" w:cs="Times New Roman"/>
                <w:sz w:val="20"/>
                <w:szCs w:val="22"/>
              </w:rPr>
            </w:pPr>
            <w:r>
              <w:rPr>
                <w:rFonts w:ascii="Calibri" w:eastAsia="Times New Roman" w:hAnsi="Calibri" w:cs="Times New Roman"/>
                <w:sz w:val="20"/>
                <w:szCs w:val="22"/>
              </w:rPr>
              <w:t>24*</w:t>
            </w:r>
          </w:p>
        </w:tc>
        <w:tc>
          <w:tcPr>
            <w:tcW w:w="1920" w:type="dxa"/>
            <w:vAlign w:val="center"/>
          </w:tcPr>
          <w:p w:rsidR="005C3590" w:rsidRPr="00454DF6" w:rsidRDefault="005C3590" w:rsidP="005C3590">
            <w:pPr>
              <w:spacing w:after="0"/>
              <w:jc w:val="center"/>
              <w:rPr>
                <w:rFonts w:ascii="Calibri" w:eastAsia="Times New Roman" w:hAnsi="Calibri" w:cs="Times New Roman"/>
                <w:sz w:val="20"/>
                <w:szCs w:val="22"/>
              </w:rPr>
            </w:pPr>
            <w:r>
              <w:rPr>
                <w:rFonts w:ascii="Calibri" w:eastAsia="Times New Roman" w:hAnsi="Calibri" w:cs="Times New Roman"/>
                <w:sz w:val="20"/>
                <w:szCs w:val="22"/>
              </w:rPr>
              <w:t>15.5%</w:t>
            </w:r>
          </w:p>
        </w:tc>
      </w:tr>
      <w:tr w:rsidR="005C3590" w:rsidRPr="00454DF6" w:rsidTr="005C3590">
        <w:trPr>
          <w:trHeight w:val="300"/>
        </w:trPr>
        <w:tc>
          <w:tcPr>
            <w:tcW w:w="3840" w:type="dxa"/>
            <w:shd w:val="clear" w:color="auto" w:fill="auto"/>
            <w:noWrap/>
            <w:vAlign w:val="center"/>
            <w:hideMark/>
          </w:tcPr>
          <w:p w:rsidR="005C3590" w:rsidRPr="00454DF6" w:rsidRDefault="005C3590" w:rsidP="005C3590">
            <w:pPr>
              <w:spacing w:after="0"/>
              <w:rPr>
                <w:rFonts w:ascii="Calibri" w:eastAsia="Times New Roman" w:hAnsi="Calibri" w:cs="Times New Roman"/>
                <w:b/>
                <w:bCs/>
                <w:color w:val="000000"/>
                <w:sz w:val="20"/>
                <w:szCs w:val="22"/>
              </w:rPr>
            </w:pPr>
            <w:r w:rsidRPr="00454DF6">
              <w:rPr>
                <w:rFonts w:ascii="Calibri" w:eastAsia="Times New Roman" w:hAnsi="Calibri" w:cs="Times New Roman"/>
                <w:b/>
                <w:bCs/>
                <w:color w:val="000000"/>
                <w:sz w:val="20"/>
                <w:szCs w:val="22"/>
              </w:rPr>
              <w:t>Total</w:t>
            </w:r>
          </w:p>
        </w:tc>
        <w:tc>
          <w:tcPr>
            <w:tcW w:w="1920" w:type="dxa"/>
            <w:shd w:val="clear" w:color="auto" w:fill="auto"/>
            <w:noWrap/>
            <w:vAlign w:val="center"/>
            <w:hideMark/>
          </w:tcPr>
          <w:p w:rsidR="005C3590" w:rsidRPr="00454DF6" w:rsidRDefault="005C3590" w:rsidP="005C3590">
            <w:pPr>
              <w:spacing w:after="0"/>
              <w:jc w:val="center"/>
              <w:rPr>
                <w:rFonts w:ascii="Calibri" w:eastAsia="Times New Roman" w:hAnsi="Calibri" w:cs="Times New Roman"/>
                <w:b/>
                <w:bCs/>
                <w:color w:val="000000"/>
                <w:sz w:val="20"/>
                <w:szCs w:val="22"/>
              </w:rPr>
            </w:pPr>
            <w:r>
              <w:rPr>
                <w:rFonts w:ascii="Calibri" w:eastAsia="Times New Roman" w:hAnsi="Calibri" w:cs="Times New Roman"/>
                <w:b/>
                <w:bCs/>
                <w:color w:val="000000"/>
                <w:sz w:val="20"/>
                <w:szCs w:val="22"/>
              </w:rPr>
              <w:t>2</w:t>
            </w:r>
            <w:r w:rsidRPr="00454DF6">
              <w:rPr>
                <w:rFonts w:ascii="Calibri" w:eastAsia="Times New Roman" w:hAnsi="Calibri" w:cs="Times New Roman"/>
                <w:b/>
                <w:bCs/>
                <w:color w:val="000000"/>
                <w:sz w:val="20"/>
                <w:szCs w:val="22"/>
              </w:rPr>
              <w:t>19</w:t>
            </w:r>
          </w:p>
        </w:tc>
        <w:tc>
          <w:tcPr>
            <w:tcW w:w="1920" w:type="dxa"/>
            <w:vAlign w:val="center"/>
          </w:tcPr>
          <w:p w:rsidR="005C3590" w:rsidRPr="00454DF6" w:rsidRDefault="005C3590" w:rsidP="005C3590">
            <w:pPr>
              <w:spacing w:after="0"/>
              <w:jc w:val="center"/>
              <w:rPr>
                <w:rFonts w:ascii="Calibri" w:eastAsia="Times New Roman" w:hAnsi="Calibri" w:cs="Times New Roman"/>
                <w:b/>
                <w:bCs/>
                <w:color w:val="000000"/>
                <w:sz w:val="20"/>
                <w:szCs w:val="22"/>
              </w:rPr>
            </w:pPr>
            <w:r>
              <w:rPr>
                <w:rFonts w:ascii="Calibri" w:eastAsia="Times New Roman" w:hAnsi="Calibri" w:cs="Times New Roman"/>
                <w:b/>
                <w:bCs/>
                <w:color w:val="000000"/>
                <w:sz w:val="20"/>
                <w:szCs w:val="22"/>
              </w:rPr>
              <w:t>100%</w:t>
            </w:r>
          </w:p>
        </w:tc>
      </w:tr>
    </w:tbl>
    <w:p w:rsidR="00515CE4" w:rsidRPr="00793E16" w:rsidRDefault="005C3590" w:rsidP="00515CE4">
      <w:pPr>
        <w:rPr>
          <w:rFonts w:ascii="Calibri" w:eastAsia="MS Mincho" w:hAnsi="Calibri" w:cs="Times New Roman"/>
          <w:b/>
        </w:rPr>
      </w:pPr>
      <w:r>
        <w:rPr>
          <w:rFonts w:ascii="Calibri" w:eastAsia="MS Mincho" w:hAnsi="Calibri" w:cs="Times New Roman"/>
          <w:sz w:val="20"/>
        </w:rPr>
        <w:t>* 14</w:t>
      </w:r>
      <w:r w:rsidRPr="00C2181D">
        <w:rPr>
          <w:rFonts w:ascii="Calibri" w:eastAsia="MS Mincho" w:hAnsi="Calibri" w:cs="Times New Roman"/>
          <w:sz w:val="20"/>
        </w:rPr>
        <w:t xml:space="preserve"> of the </w:t>
      </w:r>
      <w:r>
        <w:rPr>
          <w:rFonts w:ascii="Calibri" w:eastAsia="MS Mincho" w:hAnsi="Calibri" w:cs="Times New Roman"/>
          <w:sz w:val="20"/>
        </w:rPr>
        <w:t>24</w:t>
      </w:r>
      <w:r w:rsidRPr="00C2181D">
        <w:rPr>
          <w:rFonts w:ascii="Calibri" w:eastAsia="MS Mincho" w:hAnsi="Calibri" w:cs="Times New Roman"/>
          <w:sz w:val="20"/>
        </w:rPr>
        <w:t xml:space="preserve"> patients in this group initiated a somatostatin analogue prior to everolimus or sunitinib.</w:t>
      </w:r>
      <w:r w:rsidR="00515CE4">
        <w:rPr>
          <w:rFonts w:ascii="Calibri" w:eastAsia="MS Mincho" w:hAnsi="Calibri" w:cs="Times New Roman"/>
          <w:sz w:val="20"/>
        </w:rPr>
        <w:br/>
        <w:t>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p>
    <w:p w:rsidR="005C3590" w:rsidRDefault="005C3590" w:rsidP="005C3590">
      <w:pPr>
        <w:rPr>
          <w:rFonts w:ascii="Calibri" w:eastAsia="MS Mincho" w:hAnsi="Calibri" w:cs="Times New Roman"/>
        </w:rPr>
      </w:pPr>
      <w:r>
        <w:rPr>
          <w:rFonts w:ascii="Calibri" w:eastAsia="MS Mincho" w:hAnsi="Calibri" w:cs="Times New Roman"/>
        </w:rPr>
        <w:t>Approximately half of patients (112 of 219, 51.1%) had a somatostatin analogue prior to everolimus or sunitinib. This could be explained by;</w:t>
      </w:r>
    </w:p>
    <w:p w:rsidR="005C3590" w:rsidRDefault="004B0837" w:rsidP="00420931">
      <w:pPr>
        <w:pStyle w:val="ListParagraph"/>
        <w:numPr>
          <w:ilvl w:val="0"/>
          <w:numId w:val="3"/>
        </w:numPr>
        <w:rPr>
          <w:rFonts w:ascii="Calibri" w:eastAsia="MS Mincho" w:hAnsi="Calibri" w:cs="Times New Roman"/>
        </w:rPr>
      </w:pPr>
      <w:r>
        <w:rPr>
          <w:rFonts w:ascii="Calibri" w:eastAsia="MS Mincho" w:hAnsi="Calibri" w:cs="Times New Roman"/>
        </w:rPr>
        <w:t>t</w:t>
      </w:r>
      <w:r w:rsidR="005C3590">
        <w:rPr>
          <w:rFonts w:ascii="Calibri" w:eastAsia="MS Mincho" w:hAnsi="Calibri" w:cs="Times New Roman"/>
        </w:rPr>
        <w:t xml:space="preserve">he remaining patients </w:t>
      </w:r>
      <w:r>
        <w:rPr>
          <w:rFonts w:ascii="Calibri" w:eastAsia="MS Mincho" w:hAnsi="Calibri" w:cs="Times New Roman"/>
        </w:rPr>
        <w:t xml:space="preserve">had </w:t>
      </w:r>
      <w:r w:rsidR="005C3590">
        <w:rPr>
          <w:rFonts w:ascii="Calibri" w:eastAsia="MS Mincho" w:hAnsi="Calibri" w:cs="Times New Roman"/>
        </w:rPr>
        <w:t xml:space="preserve">fulfilled the restriction criterion by having disease progression, not by being “symptomatic despite </w:t>
      </w:r>
      <w:r w:rsidR="005C3590" w:rsidRPr="005B5D82">
        <w:rPr>
          <w:rFonts w:ascii="Calibri" w:eastAsia="MS Mincho" w:hAnsi="Calibri" w:cs="Times New Roman"/>
        </w:rPr>
        <w:t>somatostatin analogues</w:t>
      </w:r>
      <w:r>
        <w:rPr>
          <w:rFonts w:ascii="Calibri" w:eastAsia="MS Mincho" w:hAnsi="Calibri" w:cs="Times New Roman"/>
        </w:rPr>
        <w:t>”</w:t>
      </w:r>
      <w:r w:rsidR="005C3590">
        <w:rPr>
          <w:rFonts w:ascii="Calibri" w:eastAsia="MS Mincho" w:hAnsi="Calibri" w:cs="Times New Roman"/>
        </w:rPr>
        <w:t>; or</w:t>
      </w:r>
    </w:p>
    <w:p w:rsidR="005C3590" w:rsidRDefault="004B0837" w:rsidP="00420931">
      <w:pPr>
        <w:pStyle w:val="ListParagraph"/>
        <w:numPr>
          <w:ilvl w:val="0"/>
          <w:numId w:val="3"/>
        </w:numPr>
        <w:rPr>
          <w:rFonts w:ascii="Calibri" w:eastAsia="MS Mincho" w:hAnsi="Calibri" w:cs="Times New Roman"/>
        </w:rPr>
      </w:pPr>
      <w:r>
        <w:rPr>
          <w:rFonts w:ascii="Calibri" w:eastAsia="MS Mincho" w:hAnsi="Calibri" w:cs="Times New Roman"/>
        </w:rPr>
        <w:t>t</w:t>
      </w:r>
      <w:r w:rsidR="005C3590">
        <w:rPr>
          <w:rFonts w:ascii="Calibri" w:eastAsia="MS Mincho" w:hAnsi="Calibri" w:cs="Times New Roman"/>
        </w:rPr>
        <w:t>he results are unreliable due to incomplete data</w:t>
      </w:r>
      <w:r w:rsidR="00515CE4">
        <w:rPr>
          <w:rFonts w:ascii="Calibri" w:eastAsia="MS Mincho" w:hAnsi="Calibri" w:cs="Times New Roman"/>
        </w:rPr>
        <w:t xml:space="preserve"> (see below)</w:t>
      </w:r>
      <w:r w:rsidR="005C3590">
        <w:rPr>
          <w:rFonts w:ascii="Calibri" w:eastAsia="MS Mincho" w:hAnsi="Calibri" w:cs="Times New Roman"/>
        </w:rPr>
        <w:t>.</w:t>
      </w:r>
    </w:p>
    <w:p w:rsidR="005C3590" w:rsidRDefault="005C3590" w:rsidP="005C3590">
      <w:pPr>
        <w:rPr>
          <w:rFonts w:ascii="Calibri" w:eastAsia="MS Mincho" w:hAnsi="Calibri" w:cs="Times New Roman"/>
        </w:rPr>
      </w:pPr>
      <w:r>
        <w:rPr>
          <w:rFonts w:ascii="Calibri" w:eastAsia="MS Mincho" w:hAnsi="Calibri" w:cs="Times New Roman"/>
        </w:rPr>
        <w:t xml:space="preserve">The </w:t>
      </w:r>
      <w:r w:rsidRPr="005B5D82">
        <w:rPr>
          <w:rFonts w:ascii="Calibri" w:eastAsia="MS Mincho" w:hAnsi="Calibri" w:cs="Times New Roman"/>
        </w:rPr>
        <w:t>somatostatin analogue</w:t>
      </w:r>
      <w:r>
        <w:rPr>
          <w:rFonts w:ascii="Calibri" w:eastAsia="MS Mincho" w:hAnsi="Calibri" w:cs="Times New Roman"/>
        </w:rPr>
        <w:t xml:space="preserve"> medicines are listed in the S100 HSD part of the PBS Schedule. The P</w:t>
      </w:r>
      <w:r w:rsidR="004B0837">
        <w:rPr>
          <w:rFonts w:ascii="Calibri" w:eastAsia="MS Mincho" w:hAnsi="Calibri" w:cs="Times New Roman"/>
        </w:rPr>
        <w:t>BS</w:t>
      </w:r>
      <w:r>
        <w:rPr>
          <w:rFonts w:ascii="Calibri" w:eastAsia="MS Mincho" w:hAnsi="Calibri" w:cs="Times New Roman"/>
        </w:rPr>
        <w:t xml:space="preserve"> items are divided into those that are used in private hospital or clinic setting and those that are used in the public hospital setting. The private items are Authority Required and the public hospital items </w:t>
      </w:r>
      <w:r w:rsidR="00A90938">
        <w:rPr>
          <w:rFonts w:ascii="Calibri" w:eastAsia="MS Mincho" w:hAnsi="Calibri" w:cs="Times New Roman"/>
        </w:rPr>
        <w:t>are Authority</w:t>
      </w:r>
      <w:r>
        <w:rPr>
          <w:rFonts w:ascii="Calibri" w:eastAsia="MS Mincho" w:hAnsi="Calibri" w:cs="Times New Roman"/>
        </w:rPr>
        <w:t xml:space="preserve"> Required (Streamlined). Patient level prescription data is complete for the private hospital items, but only complete for the public hospital items from July 2013. Prior to July 2010, all public hospital HSD items were processed through a bulk payments system where the patient ID was not recorded. Between July 2010 and the end of June 2013 this system was phased out and supply was processed through the normal PBS processing system which does record the patient ID. </w:t>
      </w:r>
    </w:p>
    <w:p w:rsidR="005C3590" w:rsidRDefault="005C3590" w:rsidP="005C3590">
      <w:pPr>
        <w:rPr>
          <w:rFonts w:ascii="Calibri" w:eastAsia="MS Mincho" w:hAnsi="Calibri" w:cs="Times New Roman"/>
        </w:rPr>
      </w:pPr>
      <w:r>
        <w:rPr>
          <w:rFonts w:ascii="Calibri" w:eastAsia="MS Mincho" w:hAnsi="Calibri" w:cs="Times New Roman"/>
        </w:rPr>
        <w:t xml:space="preserve">It was attempted to supplement the prescription data with data from the DHS Authority Approval database, which has a record of all non-Streamlined authority approvals and includes a patient ID. However this approach did not work as the public hospital items for these medicines were all Authority Required (Streamlined) and so not recorded in the DHS Authority Approval database. </w:t>
      </w:r>
    </w:p>
    <w:p w:rsidR="005C3590" w:rsidRDefault="005C3590" w:rsidP="005C3590">
      <w:pPr>
        <w:rPr>
          <w:rFonts w:ascii="Calibri" w:eastAsia="MS Mincho" w:hAnsi="Calibri" w:cs="Times New Roman"/>
        </w:rPr>
      </w:pPr>
      <w:r>
        <w:rPr>
          <w:rFonts w:ascii="Calibri" w:eastAsia="MS Mincho" w:hAnsi="Calibri" w:cs="Times New Roman"/>
        </w:rPr>
        <w:t xml:space="preserve">Thus patients who </w:t>
      </w:r>
      <w:r w:rsidR="00A90938">
        <w:rPr>
          <w:rFonts w:ascii="Calibri" w:eastAsia="MS Mincho" w:hAnsi="Calibri" w:cs="Times New Roman"/>
        </w:rPr>
        <w:t>initiated</w:t>
      </w:r>
      <w:r>
        <w:rPr>
          <w:rFonts w:ascii="Calibri" w:eastAsia="MS Mincho" w:hAnsi="Calibri" w:cs="Times New Roman"/>
        </w:rPr>
        <w:t xml:space="preserve"> sunitinb soon after it was listed in December 2013 would have had a limited lookback period (as short as 5 months) to detect prior </w:t>
      </w:r>
      <w:r w:rsidRPr="005B5D82">
        <w:rPr>
          <w:rFonts w:ascii="Calibri" w:eastAsia="MS Mincho" w:hAnsi="Calibri" w:cs="Times New Roman"/>
        </w:rPr>
        <w:t>somatostatin analogue</w:t>
      </w:r>
      <w:r>
        <w:rPr>
          <w:rFonts w:ascii="Calibri" w:eastAsia="MS Mincho" w:hAnsi="Calibri" w:cs="Times New Roman"/>
        </w:rPr>
        <w:t xml:space="preserve">s. Patients who initiated everolimus soon after it was listed in </w:t>
      </w:r>
      <w:r w:rsidR="004B0837">
        <w:rPr>
          <w:rFonts w:ascii="Calibri" w:eastAsia="MS Mincho" w:hAnsi="Calibri" w:cs="Times New Roman"/>
        </w:rPr>
        <w:t xml:space="preserve">April </w:t>
      </w:r>
      <w:r>
        <w:rPr>
          <w:rFonts w:ascii="Calibri" w:eastAsia="MS Mincho" w:hAnsi="Calibri" w:cs="Times New Roman"/>
        </w:rPr>
        <w:t>201</w:t>
      </w:r>
      <w:r w:rsidR="004B0837">
        <w:rPr>
          <w:rFonts w:ascii="Calibri" w:eastAsia="MS Mincho" w:hAnsi="Calibri" w:cs="Times New Roman"/>
        </w:rPr>
        <w:t>5</w:t>
      </w:r>
      <w:r>
        <w:rPr>
          <w:rFonts w:ascii="Calibri" w:eastAsia="MS Mincho" w:hAnsi="Calibri" w:cs="Times New Roman"/>
        </w:rPr>
        <w:t xml:space="preserve"> would have lookback period of at least </w:t>
      </w:r>
      <w:r w:rsidR="004B0837">
        <w:rPr>
          <w:rFonts w:ascii="Calibri" w:eastAsia="MS Mincho" w:hAnsi="Calibri" w:cs="Times New Roman"/>
        </w:rPr>
        <w:t>21</w:t>
      </w:r>
      <w:r>
        <w:rPr>
          <w:rFonts w:ascii="Calibri" w:eastAsia="MS Mincho" w:hAnsi="Calibri" w:cs="Times New Roman"/>
        </w:rPr>
        <w:t xml:space="preserve"> months. The lookback periods would have been greater than these periods because;</w:t>
      </w:r>
    </w:p>
    <w:p w:rsidR="005C3590" w:rsidRDefault="005C3590" w:rsidP="00420931">
      <w:pPr>
        <w:pStyle w:val="ListParagraph"/>
        <w:numPr>
          <w:ilvl w:val="0"/>
          <w:numId w:val="4"/>
        </w:numPr>
        <w:rPr>
          <w:rFonts w:ascii="Calibri" w:eastAsia="MS Mincho" w:hAnsi="Calibri" w:cs="Times New Roman"/>
        </w:rPr>
      </w:pPr>
      <w:r>
        <w:rPr>
          <w:rFonts w:ascii="Calibri" w:eastAsia="MS Mincho" w:hAnsi="Calibri" w:cs="Times New Roman"/>
        </w:rPr>
        <w:t>most patients initiated after the after the month of listing; and</w:t>
      </w:r>
    </w:p>
    <w:p w:rsidR="005C3590" w:rsidRDefault="005C3590" w:rsidP="00420931">
      <w:pPr>
        <w:pStyle w:val="ListParagraph"/>
        <w:numPr>
          <w:ilvl w:val="0"/>
          <w:numId w:val="4"/>
        </w:numPr>
        <w:rPr>
          <w:rFonts w:ascii="Calibri" w:eastAsia="MS Mincho" w:hAnsi="Calibri" w:cs="Times New Roman"/>
        </w:rPr>
      </w:pPr>
      <w:r>
        <w:rPr>
          <w:rFonts w:ascii="Calibri" w:eastAsia="MS Mincho" w:hAnsi="Calibri" w:cs="Times New Roman"/>
        </w:rPr>
        <w:t>the public hospital HSD patient level data was not totally absent prior to July 2013, just incomplete.</w:t>
      </w:r>
    </w:p>
    <w:p w:rsidR="005C3590" w:rsidRDefault="005C3590" w:rsidP="005C3590">
      <w:pPr>
        <w:rPr>
          <w:rFonts w:ascii="Calibri" w:eastAsia="MS Mincho" w:hAnsi="Calibri" w:cs="Times New Roman"/>
        </w:rPr>
      </w:pPr>
      <w:r>
        <w:rPr>
          <w:rFonts w:ascii="Calibri" w:eastAsia="MS Mincho" w:hAnsi="Calibri" w:cs="Times New Roman"/>
        </w:rPr>
        <w:t xml:space="preserve">To improve the reliability of the results in Table </w:t>
      </w:r>
      <w:r w:rsidR="004B0837">
        <w:rPr>
          <w:rFonts w:ascii="Calibri" w:eastAsia="MS Mincho" w:hAnsi="Calibri" w:cs="Times New Roman"/>
        </w:rPr>
        <w:t>7</w:t>
      </w:r>
      <w:r>
        <w:rPr>
          <w:rFonts w:ascii="Calibri" w:eastAsia="MS Mincho" w:hAnsi="Calibri" w:cs="Times New Roman"/>
        </w:rPr>
        <w:t xml:space="preserve">, only patients that </w:t>
      </w:r>
      <w:r w:rsidR="00A90938">
        <w:rPr>
          <w:rFonts w:ascii="Calibri" w:eastAsia="MS Mincho" w:hAnsi="Calibri" w:cs="Times New Roman"/>
        </w:rPr>
        <w:t>initiated</w:t>
      </w:r>
      <w:r>
        <w:rPr>
          <w:rFonts w:ascii="Calibri" w:eastAsia="MS Mincho" w:hAnsi="Calibri" w:cs="Times New Roman"/>
        </w:rPr>
        <w:t xml:space="preserve"> pNET therapy after 1 September 2014 were included. This means that each patient had at least a 14 month lookback period (i</w:t>
      </w:r>
      <w:r w:rsidR="00692895">
        <w:rPr>
          <w:rFonts w:ascii="Calibri" w:eastAsia="MS Mincho" w:hAnsi="Calibri" w:cs="Times New Roman"/>
        </w:rPr>
        <w:t>.</w:t>
      </w:r>
      <w:r>
        <w:rPr>
          <w:rFonts w:ascii="Calibri" w:eastAsia="MS Mincho" w:hAnsi="Calibri" w:cs="Times New Roman"/>
        </w:rPr>
        <w:t xml:space="preserve">e. to July 2013) to detect the supply of a prior </w:t>
      </w:r>
      <w:r w:rsidRPr="005B5D82">
        <w:rPr>
          <w:rFonts w:ascii="Calibri" w:eastAsia="MS Mincho" w:hAnsi="Calibri" w:cs="Times New Roman"/>
        </w:rPr>
        <w:t>somatostatin analogue</w:t>
      </w:r>
      <w:r>
        <w:rPr>
          <w:rFonts w:ascii="Calibri" w:eastAsia="MS Mincho" w:hAnsi="Calibri" w:cs="Times New Roman"/>
        </w:rPr>
        <w:t xml:space="preserve">. The results are shown in Table </w:t>
      </w:r>
      <w:r w:rsidR="004B0837">
        <w:rPr>
          <w:rFonts w:ascii="Calibri" w:eastAsia="MS Mincho" w:hAnsi="Calibri" w:cs="Times New Roman"/>
        </w:rPr>
        <w:t>8</w:t>
      </w:r>
      <w:r>
        <w:rPr>
          <w:rFonts w:ascii="Calibri" w:eastAsia="MS Mincho" w:hAnsi="Calibri" w:cs="Times New Roman"/>
        </w:rPr>
        <w:t>.</w:t>
      </w:r>
    </w:p>
    <w:p w:rsidR="005C3590" w:rsidRDefault="005C3590" w:rsidP="005C3590">
      <w:pPr>
        <w:widowControl w:val="0"/>
        <w:spacing w:after="0"/>
        <w:rPr>
          <w:rFonts w:ascii="Calibri" w:eastAsia="Times New Roman" w:hAnsi="Calibri" w:cs="Times New Roman"/>
          <w:b/>
          <w:iCs/>
          <w:snapToGrid w:val="0"/>
          <w:lang w:eastAsia="en-US"/>
        </w:rPr>
      </w:pPr>
      <w:r w:rsidRPr="00B87CD5">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8</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 xml:space="preserve">Drug initiation sequence for </w:t>
      </w:r>
      <w:r w:rsidR="004B0837">
        <w:rPr>
          <w:rFonts w:ascii="Calibri" w:eastAsia="Times New Roman" w:hAnsi="Calibri" w:cs="Times New Roman"/>
          <w:b/>
          <w:iCs/>
          <w:snapToGrid w:val="0"/>
          <w:lang w:eastAsia="en-US"/>
        </w:rPr>
        <w:t xml:space="preserve">Cohort </w:t>
      </w:r>
      <w:r w:rsidRPr="00454DF6">
        <w:rPr>
          <w:rFonts w:ascii="Calibri" w:eastAsia="Times New Roman" w:hAnsi="Calibri" w:cs="Times New Roman"/>
          <w:b/>
          <w:iCs/>
          <w:snapToGrid w:val="0"/>
          <w:lang w:eastAsia="en-US"/>
        </w:rPr>
        <w:t>pNET patients</w:t>
      </w:r>
      <w:r>
        <w:rPr>
          <w:rFonts w:ascii="Calibri" w:eastAsia="Times New Roman" w:hAnsi="Calibri" w:cs="Times New Roman"/>
          <w:b/>
          <w:iCs/>
          <w:snapToGrid w:val="0"/>
          <w:lang w:eastAsia="en-US"/>
        </w:rPr>
        <w:t xml:space="preserve"> who initiated everolimus or sunitinib after 1 September 2014</w:t>
      </w:r>
      <w:r w:rsidRPr="00454DF6">
        <w:rPr>
          <w:rFonts w:ascii="Calibri" w:eastAsia="Times New Roman" w:hAnsi="Calibri" w:cs="Times New Roman"/>
          <w:b/>
          <w:iCs/>
          <w:snapToGrid w:val="0"/>
          <w:lang w:eastAsia="en-US"/>
        </w:rPr>
        <w:t>.</w:t>
      </w:r>
    </w:p>
    <w:tbl>
      <w:tblPr>
        <w:tblW w:w="76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920"/>
        <w:gridCol w:w="1920"/>
      </w:tblGrid>
      <w:tr w:rsidR="005C3590" w:rsidRPr="00454DF6" w:rsidTr="005C3590">
        <w:trPr>
          <w:trHeight w:val="300"/>
        </w:trPr>
        <w:tc>
          <w:tcPr>
            <w:tcW w:w="3840" w:type="dxa"/>
            <w:shd w:val="clear" w:color="auto" w:fill="BFBFBF" w:themeFill="background1" w:themeFillShade="BF"/>
            <w:noWrap/>
            <w:vAlign w:val="bottom"/>
            <w:hideMark/>
          </w:tcPr>
          <w:p w:rsidR="005C3590" w:rsidRPr="00454DF6" w:rsidRDefault="005C3590" w:rsidP="005C3590">
            <w:pPr>
              <w:spacing w:after="0"/>
              <w:rPr>
                <w:rFonts w:ascii="Calibri" w:eastAsia="Times New Roman" w:hAnsi="Calibri" w:cs="Times New Roman"/>
                <w:b/>
                <w:bCs/>
                <w:color w:val="000000"/>
                <w:sz w:val="20"/>
                <w:szCs w:val="22"/>
              </w:rPr>
            </w:pPr>
            <w:r w:rsidRPr="00454DF6">
              <w:rPr>
                <w:rFonts w:ascii="Calibri" w:eastAsia="Times New Roman" w:hAnsi="Calibri" w:cs="Times New Roman"/>
                <w:b/>
                <w:bCs/>
                <w:color w:val="000000"/>
                <w:sz w:val="20"/>
                <w:szCs w:val="22"/>
              </w:rPr>
              <w:t>Drug initiation sequence</w:t>
            </w:r>
          </w:p>
        </w:tc>
        <w:tc>
          <w:tcPr>
            <w:tcW w:w="1920" w:type="dxa"/>
            <w:shd w:val="clear" w:color="auto" w:fill="BFBFBF" w:themeFill="background1" w:themeFillShade="BF"/>
            <w:noWrap/>
            <w:vAlign w:val="bottom"/>
            <w:hideMark/>
          </w:tcPr>
          <w:p w:rsidR="005C3590" w:rsidRDefault="005C3590" w:rsidP="005C3590">
            <w:pPr>
              <w:spacing w:after="0"/>
              <w:rPr>
                <w:rFonts w:ascii="Calibri" w:hAnsi="Calibri"/>
                <w:b/>
                <w:bCs/>
                <w:color w:val="000000"/>
                <w:sz w:val="22"/>
                <w:szCs w:val="22"/>
              </w:rPr>
            </w:pPr>
            <w:r>
              <w:rPr>
                <w:rFonts w:ascii="Calibri" w:hAnsi="Calibri"/>
                <w:b/>
                <w:bCs/>
                <w:color w:val="000000"/>
                <w:sz w:val="22"/>
                <w:szCs w:val="22"/>
              </w:rPr>
              <w:t>Patients</w:t>
            </w:r>
          </w:p>
        </w:tc>
        <w:tc>
          <w:tcPr>
            <w:tcW w:w="1920" w:type="dxa"/>
            <w:shd w:val="clear" w:color="auto" w:fill="BFBFBF" w:themeFill="background1" w:themeFillShade="BF"/>
            <w:vAlign w:val="bottom"/>
          </w:tcPr>
          <w:p w:rsidR="005C3590" w:rsidRDefault="005C3590" w:rsidP="005C3590">
            <w:pPr>
              <w:spacing w:after="0"/>
              <w:rPr>
                <w:rFonts w:ascii="Calibri" w:hAnsi="Calibri"/>
                <w:b/>
                <w:bCs/>
                <w:color w:val="000000"/>
                <w:sz w:val="22"/>
                <w:szCs w:val="22"/>
              </w:rPr>
            </w:pPr>
            <w:r>
              <w:rPr>
                <w:rFonts w:ascii="Calibri" w:hAnsi="Calibri"/>
                <w:b/>
                <w:bCs/>
                <w:color w:val="000000"/>
                <w:sz w:val="22"/>
                <w:szCs w:val="22"/>
              </w:rPr>
              <w:t>% Patients</w:t>
            </w:r>
          </w:p>
        </w:tc>
      </w:tr>
      <w:tr w:rsidR="005C3590" w:rsidRPr="00454DF6" w:rsidTr="005C3590">
        <w:trPr>
          <w:trHeight w:val="300"/>
        </w:trPr>
        <w:tc>
          <w:tcPr>
            <w:tcW w:w="3840" w:type="dxa"/>
            <w:shd w:val="clear" w:color="auto" w:fill="auto"/>
            <w:noWrap/>
            <w:vAlign w:val="bottom"/>
            <w:hideMark/>
          </w:tcPr>
          <w:p w:rsidR="005C3590" w:rsidRDefault="005C3590" w:rsidP="005C3590">
            <w:pPr>
              <w:spacing w:after="0"/>
              <w:rPr>
                <w:rFonts w:ascii="Calibri" w:hAnsi="Calibri"/>
                <w:sz w:val="22"/>
                <w:szCs w:val="22"/>
              </w:rPr>
            </w:pPr>
            <w:r>
              <w:rPr>
                <w:rFonts w:ascii="Calibri" w:hAnsi="Calibri"/>
                <w:sz w:val="22"/>
                <w:szCs w:val="22"/>
              </w:rPr>
              <w:t>SUNITINIB</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35</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30.4%</w:t>
            </w:r>
          </w:p>
        </w:tc>
      </w:tr>
      <w:tr w:rsidR="005C3590" w:rsidRPr="00454DF6" w:rsidTr="005C3590">
        <w:trPr>
          <w:trHeight w:val="300"/>
        </w:trPr>
        <w:tc>
          <w:tcPr>
            <w:tcW w:w="3840" w:type="dxa"/>
            <w:shd w:val="clear" w:color="auto" w:fill="auto"/>
            <w:noWrap/>
            <w:vAlign w:val="bottom"/>
            <w:hideMark/>
          </w:tcPr>
          <w:p w:rsidR="005C3590" w:rsidRDefault="005C3590" w:rsidP="005C3590">
            <w:pPr>
              <w:spacing w:after="0"/>
              <w:rPr>
                <w:rFonts w:ascii="Calibri" w:hAnsi="Calibri"/>
                <w:sz w:val="22"/>
                <w:szCs w:val="22"/>
              </w:rPr>
            </w:pPr>
            <w:r>
              <w:rPr>
                <w:rFonts w:ascii="Calibri" w:hAnsi="Calibri"/>
                <w:sz w:val="22"/>
                <w:szCs w:val="22"/>
              </w:rPr>
              <w:t>EVEROLIMUS</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29</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25.2%</w:t>
            </w:r>
          </w:p>
        </w:tc>
      </w:tr>
      <w:tr w:rsidR="005C3590" w:rsidRPr="00454DF6" w:rsidTr="005C3590">
        <w:trPr>
          <w:trHeight w:val="300"/>
        </w:trPr>
        <w:tc>
          <w:tcPr>
            <w:tcW w:w="3840" w:type="dxa"/>
            <w:shd w:val="clear" w:color="auto" w:fill="auto"/>
            <w:noWrap/>
            <w:vAlign w:val="bottom"/>
            <w:hideMark/>
          </w:tcPr>
          <w:p w:rsidR="005C3590" w:rsidRDefault="005C3590" w:rsidP="005C3590">
            <w:pPr>
              <w:spacing w:after="0"/>
              <w:rPr>
                <w:rFonts w:ascii="Calibri" w:hAnsi="Calibri"/>
                <w:sz w:val="22"/>
                <w:szCs w:val="22"/>
              </w:rPr>
            </w:pPr>
            <w:r>
              <w:rPr>
                <w:rFonts w:ascii="Calibri" w:hAnsi="Calibri"/>
                <w:sz w:val="22"/>
                <w:szCs w:val="22"/>
              </w:rPr>
              <w:t>LANREOTIDE-&gt;SUNITINIB</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8</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7.0%</w:t>
            </w:r>
          </w:p>
        </w:tc>
      </w:tr>
      <w:tr w:rsidR="005C3590" w:rsidRPr="00454DF6" w:rsidTr="005C3590">
        <w:trPr>
          <w:trHeight w:val="300"/>
        </w:trPr>
        <w:tc>
          <w:tcPr>
            <w:tcW w:w="3840" w:type="dxa"/>
            <w:shd w:val="clear" w:color="auto" w:fill="auto"/>
            <w:noWrap/>
            <w:vAlign w:val="bottom"/>
            <w:hideMark/>
          </w:tcPr>
          <w:p w:rsidR="005C3590" w:rsidRDefault="005C3590" w:rsidP="005C3590">
            <w:pPr>
              <w:spacing w:after="0"/>
              <w:rPr>
                <w:rFonts w:ascii="Calibri" w:hAnsi="Calibri"/>
                <w:sz w:val="22"/>
                <w:szCs w:val="22"/>
              </w:rPr>
            </w:pPr>
            <w:r>
              <w:rPr>
                <w:rFonts w:ascii="Calibri" w:hAnsi="Calibri"/>
                <w:sz w:val="22"/>
                <w:szCs w:val="22"/>
              </w:rPr>
              <w:t>OCTREOTIDE-&gt;SUNITINIB</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7</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6.1%</w:t>
            </w:r>
          </w:p>
        </w:tc>
      </w:tr>
      <w:tr w:rsidR="005C3590" w:rsidRPr="00454DF6" w:rsidTr="005C3590">
        <w:trPr>
          <w:trHeight w:val="300"/>
        </w:trPr>
        <w:tc>
          <w:tcPr>
            <w:tcW w:w="3840" w:type="dxa"/>
            <w:shd w:val="clear" w:color="auto" w:fill="auto"/>
            <w:noWrap/>
            <w:vAlign w:val="bottom"/>
            <w:hideMark/>
          </w:tcPr>
          <w:p w:rsidR="005C3590" w:rsidRDefault="005C3590" w:rsidP="005C3590">
            <w:pPr>
              <w:spacing w:after="0"/>
              <w:rPr>
                <w:rFonts w:ascii="Calibri" w:hAnsi="Calibri"/>
                <w:sz w:val="22"/>
                <w:szCs w:val="22"/>
              </w:rPr>
            </w:pPr>
            <w:r>
              <w:rPr>
                <w:rFonts w:ascii="Calibri" w:hAnsi="Calibri"/>
                <w:sz w:val="22"/>
                <w:szCs w:val="22"/>
              </w:rPr>
              <w:t>SUNITINIB-&gt;EVEROLIMUS</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6</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5.2%</w:t>
            </w:r>
          </w:p>
        </w:tc>
      </w:tr>
      <w:tr w:rsidR="005C3590" w:rsidRPr="00454DF6" w:rsidTr="005C3590">
        <w:trPr>
          <w:trHeight w:val="300"/>
        </w:trPr>
        <w:tc>
          <w:tcPr>
            <w:tcW w:w="3840" w:type="dxa"/>
            <w:shd w:val="clear" w:color="auto" w:fill="auto"/>
            <w:noWrap/>
            <w:vAlign w:val="bottom"/>
            <w:hideMark/>
          </w:tcPr>
          <w:p w:rsidR="005C3590" w:rsidRDefault="005C3590" w:rsidP="005C3590">
            <w:pPr>
              <w:spacing w:after="0"/>
              <w:rPr>
                <w:rFonts w:ascii="Calibri" w:hAnsi="Calibri"/>
                <w:sz w:val="22"/>
                <w:szCs w:val="22"/>
              </w:rPr>
            </w:pPr>
            <w:r>
              <w:rPr>
                <w:rFonts w:ascii="Calibri" w:hAnsi="Calibri"/>
                <w:sz w:val="22"/>
                <w:szCs w:val="22"/>
              </w:rPr>
              <w:t>OCTREOTIDE-&gt;EVEROLIMUS</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5</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4.3%</w:t>
            </w:r>
          </w:p>
        </w:tc>
      </w:tr>
      <w:tr w:rsidR="005C3590" w:rsidRPr="00454DF6" w:rsidTr="005C3590">
        <w:trPr>
          <w:trHeight w:val="300"/>
        </w:trPr>
        <w:tc>
          <w:tcPr>
            <w:tcW w:w="3840" w:type="dxa"/>
            <w:shd w:val="clear" w:color="auto" w:fill="auto"/>
            <w:noWrap/>
            <w:vAlign w:val="bottom"/>
            <w:hideMark/>
          </w:tcPr>
          <w:p w:rsidR="005C3590" w:rsidRDefault="005C3590" w:rsidP="005C3590">
            <w:pPr>
              <w:spacing w:after="0"/>
              <w:rPr>
                <w:rFonts w:ascii="Calibri" w:hAnsi="Calibri"/>
                <w:sz w:val="22"/>
                <w:szCs w:val="22"/>
              </w:rPr>
            </w:pPr>
            <w:r>
              <w:rPr>
                <w:rFonts w:ascii="Calibri" w:hAnsi="Calibri"/>
                <w:sz w:val="22"/>
                <w:szCs w:val="22"/>
              </w:rPr>
              <w:t xml:space="preserve">Other </w:t>
            </w:r>
          </w:p>
        </w:tc>
        <w:tc>
          <w:tcPr>
            <w:tcW w:w="1920" w:type="dxa"/>
            <w:shd w:val="clear" w:color="auto" w:fill="auto"/>
            <w:noWrap/>
            <w:vAlign w:val="center"/>
            <w:hideMark/>
          </w:tcPr>
          <w:p w:rsidR="005C3590" w:rsidRDefault="005C3590" w:rsidP="005C3590">
            <w:pPr>
              <w:spacing w:after="0"/>
              <w:jc w:val="center"/>
              <w:rPr>
                <w:rFonts w:ascii="Calibri" w:hAnsi="Calibri"/>
                <w:sz w:val="22"/>
                <w:szCs w:val="22"/>
              </w:rPr>
            </w:pPr>
            <w:r>
              <w:rPr>
                <w:rFonts w:ascii="Calibri" w:hAnsi="Calibri"/>
                <w:sz w:val="22"/>
                <w:szCs w:val="22"/>
              </w:rPr>
              <w:t>25*</w:t>
            </w:r>
          </w:p>
        </w:tc>
        <w:tc>
          <w:tcPr>
            <w:tcW w:w="1920" w:type="dxa"/>
            <w:vAlign w:val="center"/>
          </w:tcPr>
          <w:p w:rsidR="005C3590" w:rsidRDefault="005C3590" w:rsidP="005C3590">
            <w:pPr>
              <w:spacing w:after="0"/>
              <w:jc w:val="center"/>
              <w:rPr>
                <w:rFonts w:ascii="Calibri" w:hAnsi="Calibri"/>
                <w:sz w:val="22"/>
                <w:szCs w:val="22"/>
              </w:rPr>
            </w:pPr>
            <w:r>
              <w:rPr>
                <w:rFonts w:ascii="Calibri" w:hAnsi="Calibri"/>
                <w:sz w:val="22"/>
                <w:szCs w:val="22"/>
              </w:rPr>
              <w:t>21.7%</w:t>
            </w:r>
          </w:p>
        </w:tc>
      </w:tr>
      <w:tr w:rsidR="005C3590" w:rsidRPr="00454DF6" w:rsidTr="005C3590">
        <w:trPr>
          <w:trHeight w:val="300"/>
        </w:trPr>
        <w:tc>
          <w:tcPr>
            <w:tcW w:w="3840" w:type="dxa"/>
            <w:shd w:val="clear" w:color="auto" w:fill="auto"/>
            <w:noWrap/>
            <w:vAlign w:val="bottom"/>
            <w:hideMark/>
          </w:tcPr>
          <w:p w:rsidR="005C3590" w:rsidRDefault="005C3590" w:rsidP="005C3590">
            <w:pPr>
              <w:spacing w:after="0"/>
              <w:rPr>
                <w:rFonts w:ascii="Calibri" w:hAnsi="Calibri"/>
                <w:b/>
                <w:bCs/>
                <w:color w:val="000000"/>
                <w:sz w:val="22"/>
                <w:szCs w:val="22"/>
              </w:rPr>
            </w:pPr>
            <w:r>
              <w:rPr>
                <w:rFonts w:ascii="Calibri" w:hAnsi="Calibri"/>
                <w:b/>
                <w:bCs/>
                <w:color w:val="000000"/>
                <w:sz w:val="22"/>
                <w:szCs w:val="22"/>
              </w:rPr>
              <w:t>Grand Total</w:t>
            </w:r>
          </w:p>
        </w:tc>
        <w:tc>
          <w:tcPr>
            <w:tcW w:w="1920" w:type="dxa"/>
            <w:shd w:val="clear" w:color="auto" w:fill="auto"/>
            <w:noWrap/>
            <w:vAlign w:val="center"/>
            <w:hideMark/>
          </w:tcPr>
          <w:p w:rsidR="005C3590" w:rsidRDefault="005C3590" w:rsidP="005C3590">
            <w:pPr>
              <w:spacing w:after="0"/>
              <w:jc w:val="center"/>
              <w:rPr>
                <w:rFonts w:ascii="Calibri" w:hAnsi="Calibri"/>
                <w:b/>
                <w:bCs/>
                <w:color w:val="000000"/>
                <w:sz w:val="22"/>
                <w:szCs w:val="22"/>
              </w:rPr>
            </w:pPr>
            <w:r>
              <w:rPr>
                <w:rFonts w:ascii="Calibri" w:hAnsi="Calibri"/>
                <w:b/>
                <w:bCs/>
                <w:color w:val="000000"/>
                <w:sz w:val="22"/>
                <w:szCs w:val="22"/>
              </w:rPr>
              <w:t>115</w:t>
            </w:r>
          </w:p>
        </w:tc>
        <w:tc>
          <w:tcPr>
            <w:tcW w:w="1920" w:type="dxa"/>
            <w:vAlign w:val="center"/>
          </w:tcPr>
          <w:p w:rsidR="005C3590" w:rsidRDefault="005C3590" w:rsidP="005C3590">
            <w:pPr>
              <w:spacing w:after="0"/>
              <w:jc w:val="center"/>
              <w:rPr>
                <w:rFonts w:ascii="Calibri" w:hAnsi="Calibri"/>
                <w:b/>
                <w:bCs/>
                <w:color w:val="000000"/>
                <w:sz w:val="22"/>
                <w:szCs w:val="22"/>
              </w:rPr>
            </w:pPr>
            <w:r>
              <w:rPr>
                <w:rFonts w:ascii="Calibri" w:hAnsi="Calibri"/>
                <w:b/>
                <w:bCs/>
                <w:color w:val="000000"/>
                <w:sz w:val="22"/>
                <w:szCs w:val="22"/>
              </w:rPr>
              <w:t>100%</w:t>
            </w:r>
          </w:p>
        </w:tc>
      </w:tr>
    </w:tbl>
    <w:p w:rsidR="00515CE4" w:rsidRPr="00515CE4" w:rsidRDefault="005C3590" w:rsidP="00515CE4">
      <w:pPr>
        <w:rPr>
          <w:rFonts w:ascii="Calibri" w:eastAsia="MS Mincho" w:hAnsi="Calibri" w:cs="Times New Roman"/>
          <w:sz w:val="20"/>
        </w:rPr>
      </w:pPr>
      <w:r w:rsidRPr="00C2181D">
        <w:rPr>
          <w:rFonts w:ascii="Calibri" w:eastAsia="MS Mincho" w:hAnsi="Calibri" w:cs="Times New Roman"/>
          <w:sz w:val="20"/>
        </w:rPr>
        <w:t xml:space="preserve">*  </w:t>
      </w:r>
      <w:r>
        <w:rPr>
          <w:rFonts w:ascii="Calibri" w:eastAsia="MS Mincho" w:hAnsi="Calibri" w:cs="Times New Roman"/>
          <w:sz w:val="20"/>
        </w:rPr>
        <w:t>13 of the 25</w:t>
      </w:r>
      <w:r w:rsidRPr="00C2181D">
        <w:rPr>
          <w:rFonts w:ascii="Calibri" w:eastAsia="MS Mincho" w:hAnsi="Calibri" w:cs="Times New Roman"/>
          <w:sz w:val="20"/>
        </w:rPr>
        <w:t xml:space="preserve"> patients in this group initiated a somatostatin analogue prior to everolimus or sunitinib.</w:t>
      </w:r>
      <w:r w:rsidR="00515CE4">
        <w:rPr>
          <w:rFonts w:ascii="Calibri" w:eastAsia="MS Mincho" w:hAnsi="Calibri" w:cs="Times New Roman"/>
          <w:sz w:val="20"/>
        </w:rPr>
        <w:br/>
        <w:t>Source:</w:t>
      </w:r>
      <w:r w:rsidR="00515CE4" w:rsidRPr="00AB4293">
        <w:rPr>
          <w:rFonts w:ascii="Calibri" w:eastAsia="MS Mincho" w:hAnsi="Calibri" w:cs="Times New Roman"/>
          <w:sz w:val="20"/>
        </w:rPr>
        <w:t xml:space="preserve"> </w:t>
      </w:r>
      <w:r w:rsidR="00515CE4" w:rsidRPr="00B87CD5">
        <w:rPr>
          <w:rFonts w:ascii="Calibri" w:eastAsia="MS Mincho" w:hAnsi="Calibri" w:cs="Times New Roman"/>
          <w:sz w:val="20"/>
        </w:rPr>
        <w:t>DHS prescription claims database</w:t>
      </w:r>
      <w:r w:rsidR="00515CE4">
        <w:rPr>
          <w:rFonts w:ascii="Calibri" w:eastAsia="MS Mincho" w:hAnsi="Calibri" w:cs="Times New Roman"/>
          <w:sz w:val="20"/>
        </w:rPr>
        <w:t xml:space="preserve"> (</w:t>
      </w:r>
      <w:r w:rsidR="00515CE4" w:rsidRPr="00B87CD5">
        <w:rPr>
          <w:rFonts w:ascii="Calibri" w:eastAsia="MS Mincho" w:hAnsi="Calibri" w:cs="Times New Roman"/>
          <w:sz w:val="20"/>
        </w:rPr>
        <w:t xml:space="preserve">accessed </w:t>
      </w:r>
      <w:r w:rsidR="00515CE4">
        <w:rPr>
          <w:rFonts w:ascii="Calibri" w:eastAsia="MS Mincho" w:hAnsi="Calibri" w:cs="Times New Roman"/>
          <w:sz w:val="20"/>
        </w:rPr>
        <w:t xml:space="preserve">24 August </w:t>
      </w:r>
      <w:r w:rsidR="00515CE4" w:rsidRPr="00B87CD5">
        <w:rPr>
          <w:rFonts w:ascii="Calibri" w:eastAsia="MS Mincho" w:hAnsi="Calibri" w:cs="Times New Roman"/>
          <w:sz w:val="20"/>
        </w:rPr>
        <w:t>201</w:t>
      </w:r>
      <w:r w:rsidR="00515CE4">
        <w:rPr>
          <w:rFonts w:ascii="Calibri" w:eastAsia="MS Mincho" w:hAnsi="Calibri" w:cs="Times New Roman"/>
          <w:sz w:val="20"/>
        </w:rPr>
        <w:t>7)</w:t>
      </w:r>
      <w:r w:rsidR="00515CE4" w:rsidRPr="00B87CD5">
        <w:rPr>
          <w:rFonts w:ascii="Calibri" w:eastAsia="MS Mincho" w:hAnsi="Calibri" w:cs="Times New Roman"/>
          <w:sz w:val="20"/>
        </w:rPr>
        <w:t>.</w:t>
      </w:r>
      <w:r w:rsidR="00515CE4">
        <w:rPr>
          <w:rFonts w:ascii="Calibri" w:eastAsia="MS Mincho" w:hAnsi="Calibri" w:cs="Times New Roman"/>
          <w:sz w:val="20"/>
        </w:rPr>
        <w:t xml:space="preserve"> </w:t>
      </w:r>
    </w:p>
    <w:p w:rsidR="005C3590" w:rsidRDefault="004B0837" w:rsidP="005C3590">
      <w:pPr>
        <w:rPr>
          <w:rFonts w:ascii="Calibri" w:eastAsia="MS Mincho" w:hAnsi="Calibri" w:cs="Times New Roman"/>
        </w:rPr>
      </w:pPr>
      <w:r>
        <w:rPr>
          <w:rFonts w:ascii="Calibri" w:eastAsia="MS Mincho" w:hAnsi="Calibri" w:cs="Times New Roman"/>
        </w:rPr>
        <w:t>I</w:t>
      </w:r>
      <w:r w:rsidR="005C3590">
        <w:rPr>
          <w:rFonts w:ascii="Calibri" w:eastAsia="MS Mincho" w:hAnsi="Calibri" w:cs="Times New Roman"/>
        </w:rPr>
        <w:t xml:space="preserve">n the data behind Table 8, 34 of 115 patients (29.6%) had a somatostatin analogue prior to everolimus or sunitinib. Also, 30.5% (18 of 59) of patients who initiated everolimus had a prior </w:t>
      </w:r>
      <w:r w:rsidR="005C3590" w:rsidRPr="005B5D82">
        <w:rPr>
          <w:rFonts w:ascii="Calibri" w:eastAsia="MS Mincho" w:hAnsi="Calibri" w:cs="Times New Roman"/>
        </w:rPr>
        <w:t>somatostatin analogue</w:t>
      </w:r>
      <w:r w:rsidR="005C3590">
        <w:rPr>
          <w:rFonts w:ascii="Calibri" w:eastAsia="MS Mincho" w:hAnsi="Calibri" w:cs="Times New Roman"/>
        </w:rPr>
        <w:t xml:space="preserve"> and 31.4% (22 of 70) of patients that initiated sunitinib had a prior </w:t>
      </w:r>
      <w:r w:rsidR="005C3590" w:rsidRPr="005B5D82">
        <w:rPr>
          <w:rFonts w:ascii="Calibri" w:eastAsia="MS Mincho" w:hAnsi="Calibri" w:cs="Times New Roman"/>
        </w:rPr>
        <w:t>somatostatin analogue</w:t>
      </w:r>
      <w:r w:rsidR="005C3590">
        <w:rPr>
          <w:rFonts w:ascii="Calibri" w:eastAsia="MS Mincho" w:hAnsi="Calibri" w:cs="Times New Roman"/>
        </w:rPr>
        <w:t>.</w:t>
      </w:r>
    </w:p>
    <w:p w:rsidR="005C3590" w:rsidRDefault="00AE0CE0" w:rsidP="005C3590">
      <w:pPr>
        <w:rPr>
          <w:rFonts w:ascii="Calibri" w:eastAsia="MS Mincho" w:hAnsi="Calibri" w:cs="Times New Roman"/>
        </w:rPr>
      </w:pPr>
      <w:r>
        <w:rPr>
          <w:rFonts w:ascii="Calibri" w:eastAsia="MS Mincho" w:hAnsi="Calibri" w:cs="Times New Roman"/>
        </w:rPr>
        <w:t>T</w:t>
      </w:r>
      <w:r w:rsidR="005C3590">
        <w:rPr>
          <w:rFonts w:ascii="Calibri" w:eastAsia="MS Mincho" w:hAnsi="Calibri" w:cs="Times New Roman"/>
        </w:rPr>
        <w:t xml:space="preserve">he initial concern was that missing HSD data would have led to an underestimate of the number of patients having a prior somatostatin. </w:t>
      </w:r>
      <w:r>
        <w:rPr>
          <w:rFonts w:ascii="Calibri" w:eastAsia="MS Mincho" w:hAnsi="Calibri" w:cs="Times New Roman"/>
        </w:rPr>
        <w:t>However, t</w:t>
      </w:r>
      <w:r w:rsidR="005C3590">
        <w:rPr>
          <w:rFonts w:ascii="Calibri" w:eastAsia="MS Mincho" w:hAnsi="Calibri" w:cs="Times New Roman"/>
        </w:rPr>
        <w:t>he result was that by excluding the early initiators (i</w:t>
      </w:r>
      <w:r w:rsidR="00692895">
        <w:rPr>
          <w:rFonts w:ascii="Calibri" w:eastAsia="MS Mincho" w:hAnsi="Calibri" w:cs="Times New Roman"/>
        </w:rPr>
        <w:t>.</w:t>
      </w:r>
      <w:r w:rsidR="005C3590">
        <w:rPr>
          <w:rFonts w:ascii="Calibri" w:eastAsia="MS Mincho" w:hAnsi="Calibri" w:cs="Times New Roman"/>
        </w:rPr>
        <w:t>e. from December 2013 the end of August 2014) the rate of patients having a prior somatostatin went down from 51.1% to 29.6%. This means that the early initiators had a higher rate of prior somatostatin (despite the fact that some instances of prior somatostatin may not have been detected in the early initiators).</w:t>
      </w:r>
    </w:p>
    <w:p w:rsidR="005C3590" w:rsidRDefault="005C3590" w:rsidP="005C3590">
      <w:pPr>
        <w:keepNext/>
        <w:keepLines/>
        <w:spacing w:before="480" w:after="240"/>
        <w:outlineLvl w:val="0"/>
        <w:rPr>
          <w:rFonts w:ascii="Calibri" w:eastAsia="MS Gothic" w:hAnsi="Calibri" w:cs="Times New Roman"/>
          <w:b/>
          <w:bCs/>
          <w:sz w:val="32"/>
          <w:szCs w:val="32"/>
        </w:rPr>
      </w:pPr>
      <w:r w:rsidRPr="003F0749">
        <w:rPr>
          <w:rFonts w:ascii="Calibri" w:eastAsia="MS Gothic" w:hAnsi="Calibri" w:cs="Times New Roman"/>
          <w:b/>
          <w:bCs/>
          <w:sz w:val="32"/>
          <w:szCs w:val="32"/>
        </w:rPr>
        <w:t>Risk Sharing Arrangement</w:t>
      </w:r>
      <w:r>
        <w:rPr>
          <w:rFonts w:ascii="Calibri" w:eastAsia="MS Gothic" w:hAnsi="Calibri" w:cs="Times New Roman"/>
          <w:b/>
          <w:bCs/>
          <w:sz w:val="32"/>
          <w:szCs w:val="32"/>
        </w:rPr>
        <w:t>s</w:t>
      </w:r>
    </w:p>
    <w:p w:rsidR="00A67B4B" w:rsidRPr="00A67B4B" w:rsidRDefault="00A67B4B" w:rsidP="00A67B4B">
      <w:pPr>
        <w:rPr>
          <w:rFonts w:ascii="Calibri" w:eastAsia="MS Mincho" w:hAnsi="Calibri" w:cs="Times New Roman"/>
          <w:b/>
          <w:u w:val="single"/>
        </w:rPr>
      </w:pPr>
      <w:r>
        <w:rPr>
          <w:rFonts w:ascii="Calibri" w:eastAsia="MS Mincho" w:hAnsi="Calibri" w:cs="Times New Roman"/>
          <w:b/>
          <w:u w:val="single"/>
        </w:rPr>
        <w:t>Commercial-in-confidence</w:t>
      </w:r>
    </w:p>
    <w:p w:rsidR="005C3590" w:rsidRPr="00FF391C" w:rsidRDefault="00FF391C" w:rsidP="00183E23">
      <w:pPr>
        <w:rPr>
          <w:rFonts w:ascii="Calibri" w:eastAsia="MS Mincho" w:hAnsi="Calibri" w:cs="Times New Roman"/>
          <w:highlight w:val="black"/>
        </w:rPr>
      </w:pPr>
      <w:r>
        <w:rPr>
          <w:rFonts w:ascii="Calibri" w:eastAsia="MS Mincho" w:hAnsi="Calibri" w:cs="Times New Roman"/>
          <w:noProof/>
          <w:color w:val="000000"/>
          <w:highlight w:val="black"/>
        </w:rPr>
        <w:t>'''''''''' ''''' '''''''''''' '''' '''''''''''''''' '''''' '''''' '''''''''''''''''' '''' ''''''''''' ''''''''''' '''''''' ''' ''''''' ''''''''''''''' '''''''''''''''''''' '''' ''''''''''' '''''' ''''''''''''''' ''''' '''''' '''''''''''''''''''' '''' '''''''' '''''''' ''''''''''' ''''''''''' ''''''' '''''''''''' ''''' '''''''''' ''' ''''''''''''''''''''' ''''''''' '''''' ''''''''''''''''''' '''''''' '''''''''''''''''' '''' ''''''''''''''' '''''''''''''''''' '''''' '''''''''' ''' '''''' '''''''''' '''''' ''''''''''  '''''''''''' '''''''' '''''''' '''''' ''''''''''' ''''''''''''''''''' '''' ''''''''''' ''''''' '''''''''''''''''''' ''''''' '''''''''''' '''' '''''' ''''''' '''' '''''''' '''''''''' ''''''' ''''' '''''''''''''''''''' ''''' '''''''''''''' ''''' ''''''''''''''''''''''''' ''''' ''''''' ''''''''''''''''''''''' '''' '''''''''''''''</w:t>
      </w:r>
    </w:p>
    <w:p w:rsidR="005C3590" w:rsidRPr="00FF391C" w:rsidRDefault="00FF391C" w:rsidP="00183E23">
      <w:pPr>
        <w:rPr>
          <w:rFonts w:ascii="Calibri" w:eastAsia="MS Mincho" w:hAnsi="Calibri" w:cs="Times New Roman"/>
          <w:highlight w:val="black"/>
        </w:rPr>
      </w:pPr>
      <w:r>
        <w:rPr>
          <w:rFonts w:ascii="Calibri" w:eastAsia="MS Mincho" w:hAnsi="Calibri" w:cs="Times New Roman"/>
          <w:noProof/>
          <w:color w:val="000000"/>
          <w:highlight w:val="black"/>
        </w:rPr>
        <w:t>''''''''' '''''''' '''' '''''''''''' '''' '''''''''''''''' ''''' ''''''' ''''''''''''''''''' '''' ''''''''''' ''' ''''''''''''''' '''''''''''''' '''''''''''''''''''''''''' ''''''''' ''''' '''''''''''''''''''''''''' '''''''''''''''''' '''''''''' '''''''' ''' ''''''''''' ''''''''''''''''' ''''''''' ''' ''''''' '''''''' '''''''''''''''''' ''''''' '''' ''''''''' '''''' '''''' '''''''''''''''''' ''''' ''''''' '''''''' ''''''''' '''''''' '''' ''''''' '''''''''''' '''''''''''''''' ''''''''''' '''''' ''''''''''''''''' ''''' ''''''''''' '''''' ''''''''''' '''''''''''''''''''''''' ''''''''' ''''''''''' ''''' ''''''' ''''''''''' '''''''''''''' ''''''' '''''''''''''''''' '''''''''''' ''''''' ''''''''''' '''''''''''''''' ''''''''' ''' '''''''''''''''' '''''''''''''' '''''''' '''''''''''' ''''''''''' ''''''''''''''''''''' '''''''''''''' ''''' '''''' ''''''''''''''''''''' ''''''' ''''''''''''''''''''''''' ''''''' '''''''''''''''' ''''''''''''''' '''''''' '''''''''' ''''' '' ''''''''''''''''''' '''''''''' '''''''' '''''' ''' '''''''''''''' ''''''''''''''</w:t>
      </w:r>
    </w:p>
    <w:p w:rsidR="005C3590" w:rsidRPr="00FF391C" w:rsidRDefault="00FF391C" w:rsidP="00183E23">
      <w:pPr>
        <w:rPr>
          <w:rFonts w:ascii="Calibri" w:eastAsia="MS Mincho" w:hAnsi="Calibri" w:cs="Times New Roman"/>
          <w:highlight w:val="black"/>
        </w:rPr>
      </w:pPr>
      <w:r>
        <w:rPr>
          <w:rFonts w:ascii="Calibri" w:eastAsia="MS Mincho" w:hAnsi="Calibri" w:cs="Times New Roman"/>
          <w:noProof/>
          <w:color w:val="000000"/>
          <w:highlight w:val="black"/>
        </w:rPr>
        <w:t>'''''''''' ''' '''''''' ''' '''''' ''''''''''''' '''''''''''''''''''' '''' ''''''''''' '''''' '''''''''''''''''''''' ''''' '''''' ''''''''''''''''''' ''''' ''''''''''' ''''''' ''''''' ''''''''' '''''''''' ''''''' ''''''''' '''''''''''''''''' ''''' '''''''''' ''''''' '''''''''''''''''''''' '''''' ''''''''''''' '''' '''''' ''''''' '''' ''''''''''' '''''''''' '''''''' '''''' ''''''''''''''''''''' ''''' ''''''''''''' ''''' ''''''''''''''''''''''''''' ''''' ''''''' ''''''''''''''''''''''''' ''''' ''''''''''''' '''''''''''''''''''''' ''''''' '''''' ''' '''''''' '''''' '''''' ''''''''''''''''''' '''' ''''''''''' '''''''' ''' '''''''' ''''' '''''' ''''''''''''''' ''''''''' ''''''''' ''' ''''''''''''''' '''''''''''''' '''''''''''''''''''''''' ''''''''''''''' '''' ''''''' ''''''''''''''''''''''''' '''''''' '''''''''''''''''''''''''</w:t>
      </w:r>
    </w:p>
    <w:p w:rsidR="00A67B4B" w:rsidRPr="00A67B4B" w:rsidRDefault="00A67B4B" w:rsidP="00A67B4B">
      <w:pPr>
        <w:rPr>
          <w:rFonts w:ascii="Calibri" w:eastAsia="MS Mincho" w:hAnsi="Calibri" w:cs="Times New Roman"/>
          <w:b/>
          <w:u w:val="single"/>
        </w:rPr>
      </w:pPr>
      <w:r>
        <w:rPr>
          <w:rFonts w:ascii="Calibri" w:eastAsia="MS Mincho" w:hAnsi="Calibri" w:cs="Times New Roman"/>
          <w:b/>
          <w:u w:val="single"/>
        </w:rPr>
        <w:t>End commercial-in-confidence</w:t>
      </w:r>
    </w:p>
    <w:p w:rsidR="00DA5FEF" w:rsidRPr="003F0749" w:rsidRDefault="00DA5FEF" w:rsidP="004B0837">
      <w:pPr>
        <w:spacing w:before="240"/>
        <w:outlineLvl w:val="2"/>
        <w:rPr>
          <w:rFonts w:ascii="Calibri" w:eastAsia="MS Gothic" w:hAnsi="Calibri" w:cs="Times New Roman"/>
          <w:b/>
          <w:bCs/>
          <w:sz w:val="32"/>
          <w:szCs w:val="32"/>
        </w:rPr>
      </w:pPr>
      <w:r w:rsidRPr="003F0749">
        <w:rPr>
          <w:rFonts w:ascii="Calibri" w:eastAsia="MS Gothic" w:hAnsi="Calibri" w:cs="Times New Roman"/>
          <w:b/>
          <w:bCs/>
          <w:sz w:val="32"/>
          <w:szCs w:val="32"/>
        </w:rPr>
        <w:t>Discussion</w:t>
      </w:r>
    </w:p>
    <w:p w:rsidR="00DA751C" w:rsidRDefault="00DA751C" w:rsidP="00DA751C">
      <w:pPr>
        <w:rPr>
          <w:rFonts w:ascii="Calibri" w:eastAsia="MS Mincho" w:hAnsi="Calibri" w:cs="Times New Roman"/>
        </w:rPr>
      </w:pPr>
      <w:r w:rsidRPr="00DA751C">
        <w:rPr>
          <w:rFonts w:ascii="Calibri" w:eastAsia="MS Mincho" w:hAnsi="Calibri" w:cs="Times New Roman"/>
        </w:rPr>
        <w:t xml:space="preserve">The actual prescription utilisation and R/PBS expenditure was less than predicted for both sunitinib and everolimus. However the number of patients treated was more than expected </w:t>
      </w:r>
      <w:r w:rsidRPr="00CC257D">
        <w:rPr>
          <w:rFonts w:ascii="Calibri" w:eastAsia="MS Mincho" w:hAnsi="Calibri" w:cs="Times New Roman"/>
        </w:rPr>
        <w:t>for both drugs (</w:t>
      </w:r>
      <w:r w:rsidR="00FF391C">
        <w:rPr>
          <w:rFonts w:ascii="Calibri" w:eastAsia="MS Mincho" w:hAnsi="Calibri" w:cs="Times New Roman"/>
          <w:noProof/>
          <w:color w:val="000000"/>
          <w:highlight w:val="black"/>
        </w:rPr>
        <w:t>'''''</w:t>
      </w:r>
      <w:r w:rsidRPr="00CC257D">
        <w:rPr>
          <w:rFonts w:ascii="Calibri" w:eastAsia="MS Mincho" w:hAnsi="Calibri" w:cs="Times New Roman"/>
        </w:rPr>
        <w:t xml:space="preserve">% more than expected for sunitinib in Year 3 after listing and </w:t>
      </w:r>
      <w:r w:rsidR="00FF391C">
        <w:rPr>
          <w:rFonts w:ascii="Calibri" w:eastAsia="MS Mincho" w:hAnsi="Calibri" w:cs="Times New Roman"/>
          <w:noProof/>
          <w:color w:val="000000"/>
          <w:highlight w:val="black"/>
        </w:rPr>
        <w:t>'''''</w:t>
      </w:r>
      <w:r w:rsidRPr="00CC257D">
        <w:rPr>
          <w:rFonts w:ascii="Calibri" w:eastAsia="MS Mincho" w:hAnsi="Calibri" w:cs="Times New Roman"/>
        </w:rPr>
        <w:t>% more</w:t>
      </w:r>
      <w:r w:rsidRPr="00DA751C">
        <w:rPr>
          <w:rFonts w:ascii="Calibri" w:eastAsia="MS Mincho" w:hAnsi="Calibri" w:cs="Times New Roman"/>
        </w:rPr>
        <w:t xml:space="preserve"> than expected for everolimus in Year 2 after listing). This means that the number of prescriptions per patient per year for both drugs was much less than predicted.</w:t>
      </w:r>
    </w:p>
    <w:p w:rsidR="00DA751C" w:rsidRDefault="00DA751C" w:rsidP="00DA751C">
      <w:pPr>
        <w:rPr>
          <w:rFonts w:ascii="Calibri" w:eastAsia="MS Mincho" w:hAnsi="Calibri" w:cs="Times New Roman"/>
          <w:b/>
          <w:i/>
        </w:rPr>
      </w:pPr>
      <w:r>
        <w:rPr>
          <w:rFonts w:ascii="Calibri" w:eastAsia="MS Mincho" w:hAnsi="Calibri" w:cs="Times New Roman"/>
          <w:b/>
          <w:i/>
        </w:rPr>
        <w:t xml:space="preserve">Prescriptions per </w:t>
      </w:r>
      <w:r w:rsidRPr="00B1404B">
        <w:rPr>
          <w:rFonts w:ascii="Calibri" w:eastAsia="MS Mincho" w:hAnsi="Calibri" w:cs="Times New Roman"/>
          <w:b/>
          <w:i/>
        </w:rPr>
        <w:t>patients</w:t>
      </w:r>
    </w:p>
    <w:p w:rsidR="000309F5" w:rsidRDefault="00DA751C" w:rsidP="00DA751C">
      <w:pPr>
        <w:rPr>
          <w:rFonts w:ascii="Calibri" w:eastAsia="MS Mincho" w:hAnsi="Calibri" w:cs="Times New Roman"/>
        </w:rPr>
      </w:pPr>
      <w:r w:rsidRPr="00DA751C">
        <w:rPr>
          <w:rFonts w:ascii="Calibri" w:eastAsia="MS Mincho" w:hAnsi="Calibri" w:cs="Times New Roman"/>
        </w:rPr>
        <w:t xml:space="preserve">The predicted </w:t>
      </w:r>
      <w:r w:rsidR="00A90938" w:rsidRPr="00DA751C">
        <w:rPr>
          <w:rFonts w:ascii="Calibri" w:eastAsia="MS Mincho" w:hAnsi="Calibri" w:cs="Times New Roman"/>
        </w:rPr>
        <w:t>prescriptions per patient per year for sunitinib were</w:t>
      </w:r>
      <w:r w:rsidRPr="00DA751C">
        <w:rPr>
          <w:rFonts w:ascii="Calibri" w:eastAsia="MS Mincho" w:hAnsi="Calibri" w:cs="Times New Roman"/>
        </w:rPr>
        <w:t xml:space="preserve"> an overestimate because</w:t>
      </w:r>
      <w:r>
        <w:rPr>
          <w:rFonts w:ascii="Calibri" w:eastAsia="MS Mincho" w:hAnsi="Calibri" w:cs="Times New Roman"/>
        </w:rPr>
        <w:t xml:space="preserve"> </w:t>
      </w:r>
      <w:r w:rsidRPr="00DA751C">
        <w:rPr>
          <w:rFonts w:ascii="Calibri" w:eastAsia="MS Mincho" w:hAnsi="Calibri" w:cs="Times New Roman"/>
        </w:rPr>
        <w:t xml:space="preserve">predicted duration of treatment was overestimated. In each post listing year, each prevalent patient was predicted to receive on average </w:t>
      </w:r>
      <w:r w:rsidR="00FF391C">
        <w:rPr>
          <w:rFonts w:ascii="Calibri" w:eastAsia="MS Mincho" w:hAnsi="Calibri" w:cs="Times New Roman"/>
          <w:noProof/>
          <w:color w:val="000000"/>
          <w:highlight w:val="black"/>
        </w:rPr>
        <w:t>''''''''</w:t>
      </w:r>
      <w:r w:rsidR="000309F5">
        <w:rPr>
          <w:rFonts w:ascii="Calibri" w:eastAsia="MS Mincho" w:hAnsi="Calibri" w:cs="Times New Roman"/>
        </w:rPr>
        <w:t xml:space="preserve"> months of treatment</w:t>
      </w:r>
      <w:r w:rsidR="00A90938">
        <w:rPr>
          <w:rFonts w:ascii="Calibri" w:eastAsia="MS Mincho" w:hAnsi="Calibri" w:cs="Times New Roman"/>
        </w:rPr>
        <w:t>.</w:t>
      </w:r>
      <w:r w:rsidR="000309F5">
        <w:rPr>
          <w:rFonts w:ascii="Calibri" w:eastAsia="MS Mincho" w:hAnsi="Calibri" w:cs="Times New Roman"/>
        </w:rPr>
        <w:t xml:space="preserve"> </w:t>
      </w:r>
      <w:r w:rsidR="000309F5" w:rsidRPr="00814B56">
        <w:rPr>
          <w:rFonts w:ascii="Calibri" w:eastAsia="MS Mincho" w:hAnsi="Calibri" w:cs="Times New Roman"/>
        </w:rPr>
        <w:t xml:space="preserve">This was based on </w:t>
      </w:r>
      <w:r w:rsidR="00FF391C">
        <w:rPr>
          <w:rFonts w:ascii="Calibri" w:eastAsia="MS Mincho" w:hAnsi="Calibri" w:cs="Times New Roman"/>
          <w:noProof/>
          <w:color w:val="000000"/>
          <w:highlight w:val="black"/>
        </w:rPr>
        <w:t>''''' '''''''''''''' '''''' ''''''' '''''''''</w:t>
      </w:r>
      <w:r w:rsidRPr="00814B56">
        <w:rPr>
          <w:rFonts w:ascii="Calibri" w:eastAsia="MS Mincho" w:hAnsi="Calibri" w:cs="Times New Roman"/>
        </w:rPr>
        <w:t xml:space="preserve"> of patients without tumour progression and </w:t>
      </w:r>
      <w:r w:rsidR="00FF391C">
        <w:rPr>
          <w:rFonts w:ascii="Calibri" w:eastAsia="MS Mincho" w:hAnsi="Calibri" w:cs="Times New Roman"/>
          <w:noProof/>
          <w:color w:val="000000"/>
          <w:highlight w:val="black"/>
        </w:rPr>
        <w:t>''' '''''''''''''' ''''' ''''''''</w:t>
      </w:r>
      <w:r w:rsidRPr="00814B56">
        <w:rPr>
          <w:rFonts w:ascii="Calibri" w:eastAsia="MS Mincho" w:hAnsi="Calibri" w:cs="Times New Roman"/>
        </w:rPr>
        <w:t xml:space="preserve"> of patients with </w:t>
      </w:r>
      <w:r w:rsidR="00A90938" w:rsidRPr="00814B56">
        <w:rPr>
          <w:rFonts w:ascii="Calibri" w:eastAsia="MS Mincho" w:hAnsi="Calibri" w:cs="Times New Roman"/>
        </w:rPr>
        <w:t>tumour</w:t>
      </w:r>
      <w:r w:rsidRPr="00814B56">
        <w:rPr>
          <w:rFonts w:ascii="Calibri" w:eastAsia="MS Mincho" w:hAnsi="Calibri" w:cs="Times New Roman"/>
        </w:rPr>
        <w:t xml:space="preserve"> progression</w:t>
      </w:r>
      <w:r w:rsidR="000158A4" w:rsidRPr="00814B56">
        <w:rPr>
          <w:rFonts w:ascii="Calibri" w:eastAsia="MS Mincho" w:hAnsi="Calibri" w:cs="Times New Roman"/>
        </w:rPr>
        <w:t xml:space="preserve"> and </w:t>
      </w:r>
      <w:r w:rsidR="00FF391C">
        <w:rPr>
          <w:rFonts w:ascii="Calibri" w:eastAsia="MS Mincho" w:hAnsi="Calibri" w:cs="Times New Roman"/>
          <w:noProof/>
          <w:color w:val="000000"/>
          <w:highlight w:val="black"/>
        </w:rPr>
        <w:t>''''' '''''''''' ''''''' ''''''''''''''' '''' ''''''''''''''''''''' ''''' '''''' ''''''''''''</w:t>
      </w:r>
      <w:r w:rsidR="000158A4" w:rsidRPr="00814B56">
        <w:rPr>
          <w:rFonts w:ascii="Calibri" w:eastAsia="MS Mincho" w:hAnsi="Calibri" w:cs="Times New Roman"/>
        </w:rPr>
        <w:t xml:space="preserve"> of progressed </w:t>
      </w:r>
      <w:r w:rsidR="00A90938" w:rsidRPr="00814B56">
        <w:rPr>
          <w:rFonts w:ascii="Calibri" w:eastAsia="MS Mincho" w:hAnsi="Calibri" w:cs="Times New Roman"/>
        </w:rPr>
        <w:t>tumour</w:t>
      </w:r>
      <w:r w:rsidR="000158A4" w:rsidRPr="00814B56">
        <w:rPr>
          <w:rFonts w:ascii="Calibri" w:eastAsia="MS Mincho" w:hAnsi="Calibri" w:cs="Times New Roman"/>
        </w:rPr>
        <w:t xml:space="preserve"> patients who continue treatment</w:t>
      </w:r>
      <w:r w:rsidRPr="00814B56">
        <w:rPr>
          <w:rFonts w:ascii="Calibri" w:eastAsia="MS Mincho" w:hAnsi="Calibri" w:cs="Times New Roman"/>
        </w:rPr>
        <w:t>.</w:t>
      </w:r>
      <w:r w:rsidRPr="00DA751C">
        <w:rPr>
          <w:rFonts w:ascii="Calibri" w:eastAsia="MS Mincho" w:hAnsi="Calibri" w:cs="Times New Roman"/>
        </w:rPr>
        <w:t xml:space="preserve"> </w:t>
      </w:r>
    </w:p>
    <w:p w:rsidR="000309F5" w:rsidRDefault="000309F5" w:rsidP="00DA751C">
      <w:pPr>
        <w:rPr>
          <w:rFonts w:ascii="Calibri" w:eastAsia="MS Mincho" w:hAnsi="Calibri" w:cs="Times New Roman"/>
        </w:rPr>
      </w:pPr>
      <w:r>
        <w:rPr>
          <w:rFonts w:ascii="Calibri" w:eastAsia="MS Mincho" w:hAnsi="Calibri" w:cs="Times New Roman"/>
        </w:rPr>
        <w:t xml:space="preserve">In addition the predicted </w:t>
      </w:r>
      <w:r w:rsidRPr="00DA751C">
        <w:rPr>
          <w:rFonts w:ascii="Calibri" w:eastAsia="MS Mincho" w:hAnsi="Calibri" w:cs="Times New Roman"/>
        </w:rPr>
        <w:t xml:space="preserve">prescriptions per patient per year </w:t>
      </w:r>
      <w:r>
        <w:rPr>
          <w:rFonts w:ascii="Calibri" w:eastAsia="MS Mincho" w:hAnsi="Calibri" w:cs="Times New Roman"/>
        </w:rPr>
        <w:t xml:space="preserve">assumed that </w:t>
      </w:r>
      <w:r w:rsidR="00FF391C">
        <w:rPr>
          <w:rFonts w:ascii="Calibri" w:eastAsia="MS Mincho" w:hAnsi="Calibri" w:cs="Times New Roman"/>
          <w:noProof/>
          <w:color w:val="000000"/>
          <w:highlight w:val="black"/>
        </w:rPr>
        <w:t>'''''</w:t>
      </w:r>
      <w:r>
        <w:rPr>
          <w:rFonts w:ascii="Calibri" w:eastAsia="MS Mincho" w:hAnsi="Calibri" w:cs="Times New Roman"/>
        </w:rPr>
        <w:t xml:space="preserve">% of prevalent patients in a year would not progress and receive on average </w:t>
      </w:r>
      <w:r w:rsidR="00FF391C">
        <w:rPr>
          <w:rFonts w:ascii="Calibri" w:eastAsia="MS Mincho" w:hAnsi="Calibri" w:cs="Times New Roman"/>
          <w:noProof/>
          <w:color w:val="000000"/>
          <w:highlight w:val="black"/>
        </w:rPr>
        <w:t>''''''''</w:t>
      </w:r>
      <w:r>
        <w:rPr>
          <w:rFonts w:ascii="Calibri" w:eastAsia="MS Mincho" w:hAnsi="Calibri" w:cs="Times New Roman"/>
        </w:rPr>
        <w:t xml:space="preserve"> months of treatment in the following year also.</w:t>
      </w:r>
    </w:p>
    <w:p w:rsidR="00DA751C" w:rsidRDefault="00DA751C" w:rsidP="00DA751C">
      <w:pPr>
        <w:rPr>
          <w:rFonts w:ascii="Calibri" w:eastAsia="MS Mincho" w:hAnsi="Calibri" w:cs="Times New Roman"/>
        </w:rPr>
      </w:pPr>
      <w:r w:rsidRPr="00DA751C">
        <w:rPr>
          <w:rFonts w:ascii="Calibri" w:eastAsia="MS Mincho" w:hAnsi="Calibri" w:cs="Times New Roman"/>
        </w:rPr>
        <w:t xml:space="preserve">This analysis estimated actual length of treatment with sunitinib was a median of 3.4 months including breaks and 3.0 months excluding breaks. </w:t>
      </w:r>
      <w:r w:rsidR="000309F5">
        <w:rPr>
          <w:rFonts w:ascii="Calibri" w:eastAsia="MS Mincho" w:hAnsi="Calibri" w:cs="Times New Roman"/>
        </w:rPr>
        <w:t xml:space="preserve">This was a patient’s overall length of treatment and not confined to a particular year. </w:t>
      </w:r>
      <w:r w:rsidRPr="00DA751C">
        <w:rPr>
          <w:rFonts w:ascii="Calibri" w:eastAsia="MS Mincho" w:hAnsi="Calibri" w:cs="Times New Roman"/>
        </w:rPr>
        <w:t xml:space="preserve">Thus the actual length of treatment with sunitinib was considerably less than </w:t>
      </w:r>
      <w:r>
        <w:rPr>
          <w:rFonts w:ascii="Calibri" w:eastAsia="MS Mincho" w:hAnsi="Calibri" w:cs="Times New Roman"/>
        </w:rPr>
        <w:t>predicted</w:t>
      </w:r>
      <w:r w:rsidR="000309F5">
        <w:rPr>
          <w:rFonts w:ascii="Calibri" w:eastAsia="MS Mincho" w:hAnsi="Calibri" w:cs="Times New Roman"/>
        </w:rPr>
        <w:t xml:space="preserve"> in a single year (i</w:t>
      </w:r>
      <w:r w:rsidR="00692895">
        <w:rPr>
          <w:rFonts w:ascii="Calibri" w:eastAsia="MS Mincho" w:hAnsi="Calibri" w:cs="Times New Roman"/>
        </w:rPr>
        <w:t>.</w:t>
      </w:r>
      <w:r w:rsidR="000309F5">
        <w:rPr>
          <w:rFonts w:ascii="Calibri" w:eastAsia="MS Mincho" w:hAnsi="Calibri" w:cs="Times New Roman"/>
        </w:rPr>
        <w:t xml:space="preserve">e. </w:t>
      </w:r>
      <w:r w:rsidR="00FF391C">
        <w:rPr>
          <w:rFonts w:ascii="Calibri" w:eastAsia="MS Mincho" w:hAnsi="Calibri" w:cs="Times New Roman"/>
          <w:noProof/>
          <w:color w:val="000000"/>
          <w:highlight w:val="black"/>
        </w:rPr>
        <w:t>'''''''' ''''''''''''''</w:t>
      </w:r>
      <w:r w:rsidR="000309F5">
        <w:rPr>
          <w:rFonts w:ascii="Calibri" w:eastAsia="MS Mincho" w:hAnsi="Calibri" w:cs="Times New Roman"/>
        </w:rPr>
        <w:t>) let alone a patient’s total treatment across multiple predicted years.</w:t>
      </w:r>
    </w:p>
    <w:p w:rsidR="00E638CB" w:rsidRDefault="000309F5" w:rsidP="00EB1928">
      <w:pPr>
        <w:rPr>
          <w:rFonts w:ascii="Calibri" w:eastAsia="MS Mincho" w:hAnsi="Calibri" w:cs="Times New Roman"/>
        </w:rPr>
      </w:pPr>
      <w:r>
        <w:rPr>
          <w:rFonts w:ascii="Calibri" w:eastAsia="MS Mincho" w:hAnsi="Calibri" w:cs="Times New Roman"/>
        </w:rPr>
        <w:t>In addition the</w:t>
      </w:r>
      <w:r w:rsidR="00EB1928">
        <w:rPr>
          <w:rFonts w:ascii="Calibri" w:eastAsia="MS Mincho" w:hAnsi="Calibri" w:cs="Times New Roman"/>
        </w:rPr>
        <w:t xml:space="preserve"> predicted </w:t>
      </w:r>
      <w:r w:rsidR="00EB1928" w:rsidRPr="00DA751C">
        <w:rPr>
          <w:rFonts w:ascii="Calibri" w:eastAsia="MS Mincho" w:hAnsi="Calibri" w:cs="Times New Roman"/>
        </w:rPr>
        <w:t xml:space="preserve">prescriptions per patient per year </w:t>
      </w:r>
      <w:r w:rsidR="00EB1928">
        <w:rPr>
          <w:rFonts w:ascii="Calibri" w:eastAsia="MS Mincho" w:hAnsi="Calibri" w:cs="Times New Roman"/>
        </w:rPr>
        <w:t>was inflated as it did not</w:t>
      </w:r>
      <w:r w:rsidR="00EB1928" w:rsidRPr="00C96762">
        <w:rPr>
          <w:rFonts w:ascii="Calibri" w:eastAsia="MS Mincho" w:hAnsi="Calibri" w:cs="Times New Roman"/>
        </w:rPr>
        <w:t xml:space="preserve"> allow patients to commence </w:t>
      </w:r>
      <w:r w:rsidR="00EB1928">
        <w:rPr>
          <w:rFonts w:ascii="Calibri" w:eastAsia="MS Mincho" w:hAnsi="Calibri" w:cs="Times New Roman"/>
        </w:rPr>
        <w:t xml:space="preserve">or cease </w:t>
      </w:r>
      <w:r w:rsidR="00EB1928" w:rsidRPr="00C96762">
        <w:rPr>
          <w:rFonts w:ascii="Calibri" w:eastAsia="MS Mincho" w:hAnsi="Calibri" w:cs="Times New Roman"/>
        </w:rPr>
        <w:t>treatment part way through the year (often referred to as a part cycle correction) and is likely to have the greatest effect in the first few years of listing i.e. until the market reaches stable equilibrium.</w:t>
      </w:r>
    </w:p>
    <w:p w:rsidR="00FB11F1" w:rsidRDefault="00FB11F1" w:rsidP="00EB1928">
      <w:pPr>
        <w:rPr>
          <w:rFonts w:ascii="Calibri" w:eastAsia="MS Mincho" w:hAnsi="Calibri" w:cs="Times New Roman"/>
        </w:rPr>
      </w:pPr>
      <w:r>
        <w:rPr>
          <w:rFonts w:ascii="Calibri" w:eastAsia="MS Mincho" w:hAnsi="Calibri" w:cs="Times New Roman"/>
        </w:rPr>
        <w:t xml:space="preserve">It was a similar scenario  for  the </w:t>
      </w:r>
      <w:r w:rsidRPr="00DA751C">
        <w:rPr>
          <w:rFonts w:ascii="Calibri" w:eastAsia="MS Mincho" w:hAnsi="Calibri" w:cs="Times New Roman"/>
        </w:rPr>
        <w:t xml:space="preserve">predicted prescriptions per patient per year for </w:t>
      </w:r>
      <w:r>
        <w:rPr>
          <w:rFonts w:ascii="Calibri" w:eastAsia="MS Mincho" w:hAnsi="Calibri" w:cs="Times New Roman"/>
        </w:rPr>
        <w:t xml:space="preserve">everolimus. The submission predicted an average of </w:t>
      </w:r>
      <w:r w:rsidR="00FF391C">
        <w:rPr>
          <w:rFonts w:ascii="Calibri" w:eastAsia="MS Mincho" w:hAnsi="Calibri" w:cs="Times New Roman"/>
          <w:noProof/>
          <w:color w:val="000000"/>
          <w:highlight w:val="black"/>
        </w:rPr>
        <w:t>'''''''''</w:t>
      </w:r>
      <w:r>
        <w:rPr>
          <w:rFonts w:ascii="Calibri" w:eastAsia="MS Mincho" w:hAnsi="Calibri" w:cs="Times New Roman"/>
        </w:rPr>
        <w:t xml:space="preserve"> months of treatment per prevalent patient per year. This analysis </w:t>
      </w:r>
      <w:r w:rsidRPr="00DA751C">
        <w:rPr>
          <w:rFonts w:ascii="Calibri" w:eastAsia="MS Mincho" w:hAnsi="Calibri" w:cs="Times New Roman"/>
        </w:rPr>
        <w:t xml:space="preserve">estimated actual length of treatment with </w:t>
      </w:r>
      <w:r>
        <w:rPr>
          <w:rFonts w:ascii="Calibri" w:eastAsia="MS Mincho" w:hAnsi="Calibri" w:cs="Times New Roman"/>
        </w:rPr>
        <w:t>everolimus was a median of 3.9</w:t>
      </w:r>
      <w:r w:rsidRPr="00DA751C">
        <w:rPr>
          <w:rFonts w:ascii="Calibri" w:eastAsia="MS Mincho" w:hAnsi="Calibri" w:cs="Times New Roman"/>
        </w:rPr>
        <w:t xml:space="preserve"> months </w:t>
      </w:r>
      <w:r>
        <w:rPr>
          <w:rFonts w:ascii="Calibri" w:eastAsia="MS Mincho" w:hAnsi="Calibri" w:cs="Times New Roman"/>
        </w:rPr>
        <w:t>(</w:t>
      </w:r>
      <w:r w:rsidRPr="00DA751C">
        <w:rPr>
          <w:rFonts w:ascii="Calibri" w:eastAsia="MS Mincho" w:hAnsi="Calibri" w:cs="Times New Roman"/>
        </w:rPr>
        <w:t xml:space="preserve">including </w:t>
      </w:r>
      <w:r>
        <w:rPr>
          <w:rFonts w:ascii="Calibri" w:eastAsia="MS Mincho" w:hAnsi="Calibri" w:cs="Times New Roman"/>
        </w:rPr>
        <w:t xml:space="preserve">or excluding </w:t>
      </w:r>
      <w:r w:rsidRPr="00DA751C">
        <w:rPr>
          <w:rFonts w:ascii="Calibri" w:eastAsia="MS Mincho" w:hAnsi="Calibri" w:cs="Times New Roman"/>
        </w:rPr>
        <w:t>breaks</w:t>
      </w:r>
      <w:r>
        <w:rPr>
          <w:rFonts w:ascii="Calibri" w:eastAsia="MS Mincho" w:hAnsi="Calibri" w:cs="Times New Roman"/>
        </w:rPr>
        <w:t xml:space="preserve">). </w:t>
      </w:r>
    </w:p>
    <w:p w:rsidR="00EB1928" w:rsidRDefault="00EB1928" w:rsidP="00EB1928">
      <w:pPr>
        <w:rPr>
          <w:rFonts w:ascii="Calibri" w:eastAsia="MS Mincho" w:hAnsi="Calibri" w:cs="Times New Roman"/>
          <w:b/>
          <w:i/>
        </w:rPr>
      </w:pPr>
      <w:r w:rsidRPr="00B1404B">
        <w:rPr>
          <w:rFonts w:ascii="Calibri" w:eastAsia="MS Mincho" w:hAnsi="Calibri" w:cs="Times New Roman"/>
          <w:b/>
          <w:i/>
        </w:rPr>
        <w:t>Number of treated patients</w:t>
      </w:r>
    </w:p>
    <w:p w:rsidR="00E638CB" w:rsidRDefault="00FB11F1" w:rsidP="00F97378">
      <w:pPr>
        <w:rPr>
          <w:rFonts w:ascii="Calibri" w:eastAsia="MS Mincho" w:hAnsi="Calibri" w:cs="Times New Roman"/>
        </w:rPr>
      </w:pPr>
      <w:r>
        <w:rPr>
          <w:rFonts w:ascii="Calibri" w:eastAsia="MS Mincho" w:hAnsi="Calibri" w:cs="Times New Roman"/>
        </w:rPr>
        <w:t>T</w:t>
      </w:r>
      <w:r w:rsidRPr="00DA751C">
        <w:rPr>
          <w:rFonts w:ascii="Calibri" w:eastAsia="MS Mincho" w:hAnsi="Calibri" w:cs="Times New Roman"/>
        </w:rPr>
        <w:t xml:space="preserve">he number of patients treated was more than expected for both sunitinib </w:t>
      </w:r>
      <w:r>
        <w:rPr>
          <w:rFonts w:ascii="Calibri" w:eastAsia="MS Mincho" w:hAnsi="Calibri" w:cs="Times New Roman"/>
        </w:rPr>
        <w:t>and</w:t>
      </w:r>
      <w:r w:rsidRPr="00DA751C">
        <w:rPr>
          <w:rFonts w:ascii="Calibri" w:eastAsia="MS Mincho" w:hAnsi="Calibri" w:cs="Times New Roman"/>
        </w:rPr>
        <w:t xml:space="preserve"> eve</w:t>
      </w:r>
      <w:r>
        <w:rPr>
          <w:rFonts w:ascii="Calibri" w:eastAsia="MS Mincho" w:hAnsi="Calibri" w:cs="Times New Roman"/>
        </w:rPr>
        <w:t>rolimus</w:t>
      </w:r>
      <w:r w:rsidRPr="00DA751C">
        <w:rPr>
          <w:rFonts w:ascii="Calibri" w:eastAsia="MS Mincho" w:hAnsi="Calibri" w:cs="Times New Roman"/>
        </w:rPr>
        <w:t>.</w:t>
      </w:r>
      <w:r w:rsidR="007A5121">
        <w:rPr>
          <w:rFonts w:ascii="Calibri" w:eastAsia="MS Mincho" w:hAnsi="Calibri" w:cs="Times New Roman"/>
        </w:rPr>
        <w:t xml:space="preserve"> The number of sunitinib patients was based on </w:t>
      </w:r>
      <w:r w:rsidR="00FF391C">
        <w:rPr>
          <w:rFonts w:ascii="Calibri" w:eastAsia="MS Mincho" w:hAnsi="Calibri" w:cs="Times New Roman"/>
          <w:noProof/>
          <w:color w:val="000000"/>
          <w:highlight w:val="black"/>
        </w:rPr>
        <w:t>''''''' ''''''''''''' ''''''''''''''''''' '''' '''''''' ''''''' '''''''''''''''''''' ''''''''''''''''''' '''''''''' '''''''''''''''''''''' '''''''''''''''''''''' '''''''' '''''''''''''''''' '''''''''''''' ''''''''' '''''''''' '''''''''' ''''''''' '''''''''''''''''''''</w:t>
      </w:r>
      <w:r w:rsidR="007A5121">
        <w:rPr>
          <w:rFonts w:ascii="Calibri" w:eastAsia="MS Mincho" w:hAnsi="Calibri" w:cs="Times New Roman"/>
        </w:rPr>
        <w:t>. This definition may have been too narrow for the source of patients who end up with pNET.</w:t>
      </w:r>
    </w:p>
    <w:p w:rsidR="007A5121" w:rsidRDefault="007A5121" w:rsidP="00F97378">
      <w:pPr>
        <w:rPr>
          <w:rFonts w:ascii="Calibri" w:eastAsia="MS Mincho" w:hAnsi="Calibri" w:cs="Times New Roman"/>
        </w:rPr>
      </w:pPr>
      <w:r>
        <w:rPr>
          <w:rFonts w:ascii="Calibri" w:eastAsia="MS Mincho" w:hAnsi="Calibri" w:cs="Times New Roman"/>
        </w:rPr>
        <w:t xml:space="preserve">The number of everolimus patients was based </w:t>
      </w:r>
      <w:r w:rsidR="00834E45">
        <w:rPr>
          <w:rFonts w:ascii="Calibri" w:eastAsia="MS Mincho" w:hAnsi="Calibri" w:cs="Times New Roman"/>
        </w:rPr>
        <w:t xml:space="preserve">on </w:t>
      </w:r>
      <w:r w:rsidR="00FF391C">
        <w:rPr>
          <w:rFonts w:ascii="Calibri" w:eastAsia="MS Mincho" w:hAnsi="Calibri" w:cs="Times New Roman"/>
          <w:noProof/>
          <w:color w:val="000000"/>
          <w:highlight w:val="black"/>
        </w:rPr>
        <w:t>'''''' ''''''''''''''' ''''''''' ''''''''''''''''' ''''''''''''' ''''''''' '''''''''''''''' '''''''' ''' '''''''' '''''''''''''' ''''''''''' '''' '''''''' '''</w:t>
      </w:r>
      <w:r w:rsidR="00354C76">
        <w:rPr>
          <w:rFonts w:ascii="Calibri" w:eastAsia="MS Mincho" w:hAnsi="Calibri" w:cs="Times New Roman"/>
        </w:rPr>
        <w:t>.</w:t>
      </w:r>
      <w:r>
        <w:rPr>
          <w:rFonts w:ascii="Calibri" w:eastAsia="MS Mincho" w:hAnsi="Calibri" w:cs="Times New Roman"/>
        </w:rPr>
        <w:t xml:space="preserve"> </w:t>
      </w:r>
      <w:r w:rsidR="00834E45">
        <w:rPr>
          <w:rFonts w:ascii="Calibri" w:eastAsia="MS Mincho" w:hAnsi="Calibri" w:cs="Times New Roman"/>
        </w:rPr>
        <w:t>T</w:t>
      </w:r>
      <w:r>
        <w:rPr>
          <w:rFonts w:ascii="Calibri" w:eastAsia="MS Mincho" w:hAnsi="Calibri" w:cs="Times New Roman"/>
        </w:rPr>
        <w:t xml:space="preserve">he </w:t>
      </w:r>
      <w:r w:rsidR="00354C76">
        <w:rPr>
          <w:rFonts w:ascii="Calibri" w:eastAsia="MS Mincho" w:hAnsi="Calibri" w:cs="Times New Roman"/>
        </w:rPr>
        <w:t xml:space="preserve">everolimus </w:t>
      </w:r>
      <w:r>
        <w:rPr>
          <w:rFonts w:ascii="Calibri" w:eastAsia="MS Mincho" w:hAnsi="Calibri" w:cs="Times New Roman"/>
        </w:rPr>
        <w:t xml:space="preserve">submission underestimated the number of sunitinib patients at </w:t>
      </w:r>
      <w:r w:rsidR="00FF391C">
        <w:rPr>
          <w:rFonts w:ascii="Calibri" w:eastAsia="MS Mincho" w:hAnsi="Calibri" w:cs="Times New Roman"/>
          <w:noProof/>
          <w:color w:val="000000"/>
          <w:highlight w:val="black"/>
        </w:rPr>
        <w:t>'''''</w:t>
      </w:r>
      <w:r w:rsidR="00354C76">
        <w:rPr>
          <w:rFonts w:ascii="Calibri" w:eastAsia="MS Mincho" w:hAnsi="Calibri" w:cs="Times New Roman"/>
        </w:rPr>
        <w:t xml:space="preserve"> in 2013, however Table 4 shows that there was 106 such patients in the first year of listing of sunitinib for pNET (December 2013 to November</w:t>
      </w:r>
      <w:r w:rsidR="00692895">
        <w:rPr>
          <w:rFonts w:ascii="Calibri" w:eastAsia="MS Mincho" w:hAnsi="Calibri" w:cs="Times New Roman"/>
        </w:rPr>
        <w:t> </w:t>
      </w:r>
      <w:r w:rsidR="00354C76">
        <w:rPr>
          <w:rFonts w:ascii="Calibri" w:eastAsia="MS Mincho" w:hAnsi="Calibri" w:cs="Times New Roman"/>
        </w:rPr>
        <w:t>2014).</w:t>
      </w:r>
    </w:p>
    <w:p w:rsidR="00FB11F1" w:rsidRDefault="00354C76" w:rsidP="00F97378">
      <w:pPr>
        <w:rPr>
          <w:rFonts w:ascii="Calibri" w:eastAsia="MS Mincho" w:hAnsi="Calibri" w:cs="Times New Roman"/>
        </w:rPr>
      </w:pPr>
      <w:r>
        <w:rPr>
          <w:rFonts w:ascii="Calibri" w:eastAsia="Times New Roman" w:hAnsi="Calibri" w:cs="Times New Roman"/>
          <w:b/>
          <w:i/>
          <w:iCs/>
          <w:snapToGrid w:val="0"/>
          <w:lang w:eastAsia="en-US"/>
        </w:rPr>
        <w:t>T</w:t>
      </w:r>
      <w:r w:rsidRPr="00E32928">
        <w:rPr>
          <w:rFonts w:ascii="Calibri" w:eastAsia="Times New Roman" w:hAnsi="Calibri" w:cs="Times New Roman"/>
          <w:b/>
          <w:i/>
          <w:iCs/>
          <w:snapToGrid w:val="0"/>
          <w:lang w:eastAsia="en-US"/>
        </w:rPr>
        <w:t>ime from cessation of treatment to death</w:t>
      </w:r>
    </w:p>
    <w:p w:rsidR="007B6AD1" w:rsidRDefault="007B6AD1" w:rsidP="007B6AD1">
      <w:pPr>
        <w:rPr>
          <w:rFonts w:ascii="Calibri" w:eastAsia="MS Mincho" w:hAnsi="Calibri" w:cs="Times New Roman"/>
        </w:rPr>
      </w:pPr>
      <w:r>
        <w:rPr>
          <w:rFonts w:ascii="Calibri" w:eastAsia="MS Mincho" w:hAnsi="Calibri" w:cs="Times New Roman"/>
        </w:rPr>
        <w:t xml:space="preserve">The ceasing of </w:t>
      </w:r>
      <w:r w:rsidR="00A90938">
        <w:rPr>
          <w:rFonts w:ascii="Calibri" w:eastAsia="MS Mincho" w:hAnsi="Calibri" w:cs="Times New Roman"/>
        </w:rPr>
        <w:t>treatment</w:t>
      </w:r>
      <w:r>
        <w:rPr>
          <w:rFonts w:ascii="Calibri" w:eastAsia="MS Mincho" w:hAnsi="Calibri" w:cs="Times New Roman"/>
        </w:rPr>
        <w:t xml:space="preserve"> before death may be due to progression of the disease (as per the PBS restriction) or treatment may cease at </w:t>
      </w:r>
      <w:r w:rsidR="00196D98">
        <w:rPr>
          <w:rFonts w:ascii="Calibri" w:eastAsia="MS Mincho" w:hAnsi="Calibri" w:cs="Times New Roman"/>
        </w:rPr>
        <w:t xml:space="preserve">a </w:t>
      </w:r>
      <w:r>
        <w:rPr>
          <w:rFonts w:ascii="Calibri" w:eastAsia="MS Mincho" w:hAnsi="Calibri" w:cs="Times New Roman"/>
        </w:rPr>
        <w:t>later stage. Study A6181111 presented in the sunitinib submission to the August 2013 PBAC meeting reported a median pr</w:t>
      </w:r>
      <w:r w:rsidR="00196D98">
        <w:rPr>
          <w:rFonts w:ascii="Calibri" w:eastAsia="MS Mincho" w:hAnsi="Calibri" w:cs="Times New Roman"/>
        </w:rPr>
        <w:t>o</w:t>
      </w:r>
      <w:r>
        <w:rPr>
          <w:rFonts w:ascii="Calibri" w:eastAsia="MS Mincho" w:hAnsi="Calibri" w:cs="Times New Roman"/>
        </w:rPr>
        <w:t xml:space="preserve">gression free survival (PFS) of 11.4 months and a median overall survival (OS) of 30.5 months for patients treated with sunitinib. The difference between these two is 19.1 months (583 days), which is considerably longer than  85 days (2.8 months) calculated in this analysis for the median time from last pNET prescription to estimated death. </w:t>
      </w:r>
    </w:p>
    <w:p w:rsidR="007B6AD1" w:rsidRDefault="007B6AD1" w:rsidP="007B6AD1">
      <w:r>
        <w:rPr>
          <w:rFonts w:ascii="Calibri" w:eastAsia="MS Mincho" w:hAnsi="Calibri" w:cs="Times New Roman"/>
        </w:rPr>
        <w:t xml:space="preserve">For everolimus, a comparison of PFS and OS was not available in the minor re-submission to the March 2014 PBAC. However the results of the everolimus study used in the re-submission, </w:t>
      </w:r>
      <w:r>
        <w:t>RADIANT-3 (Study CRAD001C2324), are published online</w:t>
      </w:r>
      <w:r>
        <w:rPr>
          <w:rStyle w:val="FootnoteReference"/>
        </w:rPr>
        <w:footnoteReference w:id="5"/>
      </w:r>
      <w:r>
        <w:t xml:space="preserve"> and the median PFS was 11.04 months and the median OS was 44.02 months. The difference between these (33.0 months) is larger than for sunitinib.</w:t>
      </w:r>
    </w:p>
    <w:p w:rsidR="007B6AD1" w:rsidRDefault="00D97FB3" w:rsidP="007B6AD1">
      <w:pPr>
        <w:rPr>
          <w:rFonts w:ascii="Calibri" w:eastAsia="MS Mincho" w:hAnsi="Calibri" w:cs="Times New Roman"/>
        </w:rPr>
      </w:pPr>
      <w:r>
        <w:t xml:space="preserve">Even though it appears to be the case </w:t>
      </w:r>
      <w:r w:rsidR="007B6AD1">
        <w:t xml:space="preserve">that most patients are not ceasing PBS treatment upon progression of disease </w:t>
      </w:r>
      <w:r>
        <w:t>(ie. outside of the PBS restriction), it is not possible to be sure</w:t>
      </w:r>
      <w:r w:rsidR="00196D98">
        <w:t>.</w:t>
      </w:r>
      <w:r>
        <w:t xml:space="preserve"> </w:t>
      </w:r>
      <w:r w:rsidR="004C3DCC">
        <w:t xml:space="preserve">This is because the 93 patients that are estimated  to have died in the Cohort pNET (n=219) may be a biased sample. </w:t>
      </w:r>
      <w:r>
        <w:t xml:space="preserve">That is, they may have been the </w:t>
      </w:r>
      <w:r w:rsidR="004C3DCC">
        <w:t>sickest</w:t>
      </w:r>
      <w:r>
        <w:t xml:space="preserve"> patients and have relatively short period</w:t>
      </w:r>
      <w:r w:rsidR="00196D98">
        <w:t>s</w:t>
      </w:r>
      <w:r>
        <w:t xml:space="preserve"> between progression and death. By the time the whole 219 </w:t>
      </w:r>
      <w:r w:rsidR="00196D98">
        <w:t xml:space="preserve">patients </w:t>
      </w:r>
      <w:r>
        <w:t>have died the median time from last pNET script to death may be considerably longer.</w:t>
      </w:r>
    </w:p>
    <w:p w:rsidR="00354C76" w:rsidRDefault="00354C76" w:rsidP="00F97378">
      <w:pPr>
        <w:rPr>
          <w:rFonts w:ascii="Calibri" w:eastAsia="Times New Roman" w:hAnsi="Calibri" w:cs="Times New Roman"/>
          <w:b/>
          <w:i/>
          <w:iCs/>
          <w:snapToGrid w:val="0"/>
          <w:lang w:eastAsia="en-US"/>
        </w:rPr>
      </w:pPr>
      <w:r w:rsidRPr="009660AA">
        <w:rPr>
          <w:rFonts w:ascii="Calibri" w:eastAsia="Times New Roman" w:hAnsi="Calibri" w:cs="Times New Roman"/>
          <w:b/>
          <w:i/>
          <w:iCs/>
          <w:snapToGrid w:val="0"/>
          <w:lang w:eastAsia="en-US"/>
        </w:rPr>
        <w:t>Somatostatin analogue use prior to initiation of everolimus or sunitinib</w:t>
      </w:r>
    </w:p>
    <w:p w:rsidR="00C14DEC" w:rsidRPr="00354C76" w:rsidRDefault="00354C76" w:rsidP="002E51C2">
      <w:pPr>
        <w:rPr>
          <w:rFonts w:ascii="Calibri" w:eastAsia="MS Mincho" w:hAnsi="Calibri" w:cs="Times New Roman"/>
        </w:rPr>
      </w:pPr>
      <w:r>
        <w:rPr>
          <w:rFonts w:ascii="Calibri" w:eastAsia="MS Mincho" w:hAnsi="Calibri" w:cs="Times New Roman"/>
        </w:rPr>
        <w:t xml:space="preserve">The </w:t>
      </w:r>
      <w:r w:rsidRPr="00873DBA">
        <w:rPr>
          <w:rFonts w:ascii="Calibri" w:eastAsia="MS Mincho" w:hAnsi="Calibri" w:cs="Times New Roman"/>
        </w:rPr>
        <w:t xml:space="preserve">PBS restriction that states </w:t>
      </w:r>
      <w:r>
        <w:rPr>
          <w:rFonts w:ascii="Calibri" w:eastAsia="MS Mincho" w:hAnsi="Calibri" w:cs="Times New Roman"/>
        </w:rPr>
        <w:t xml:space="preserve">that the </w:t>
      </w:r>
      <w:r w:rsidRPr="00873DBA">
        <w:rPr>
          <w:rFonts w:ascii="Calibri" w:eastAsia="MS Mincho" w:hAnsi="Calibri" w:cs="Times New Roman"/>
        </w:rPr>
        <w:t>“</w:t>
      </w:r>
      <w:r w:rsidRPr="005B5D82">
        <w:rPr>
          <w:rFonts w:ascii="Calibri" w:eastAsia="MS Mincho" w:hAnsi="Calibri" w:cs="Times New Roman"/>
        </w:rPr>
        <w:t>Patient must be symptomatic (despite somatostatin analogues); OR * Patient must have disease progression</w:t>
      </w:r>
      <w:r w:rsidR="005F589C">
        <w:rPr>
          <w:rFonts w:ascii="Calibri" w:eastAsia="MS Mincho" w:hAnsi="Calibri" w:cs="Times New Roman"/>
        </w:rPr>
        <w:t>.</w:t>
      </w:r>
      <w:r>
        <w:rPr>
          <w:rFonts w:ascii="Calibri" w:eastAsia="MS Mincho" w:hAnsi="Calibri" w:cs="Times New Roman"/>
        </w:rPr>
        <w:t xml:space="preserve">”  </w:t>
      </w:r>
      <w:r>
        <w:rPr>
          <w:rFonts w:ascii="Calibri" w:eastAsia="Times New Roman" w:hAnsi="Calibri" w:cs="Times New Roman"/>
          <w:iCs/>
          <w:snapToGrid w:val="0"/>
          <w:lang w:eastAsia="en-US"/>
        </w:rPr>
        <w:t xml:space="preserve">This analysis indicates that approximately half </w:t>
      </w:r>
      <w:r>
        <w:rPr>
          <w:rFonts w:ascii="Calibri" w:eastAsia="MS Mincho" w:hAnsi="Calibri" w:cs="Times New Roman"/>
        </w:rPr>
        <w:t xml:space="preserve">of patients (51.1%) had a somatostatin analogue prior to initiation of everolimus or sunitinib. This implies that the other half of patients </w:t>
      </w:r>
      <w:r w:rsidR="004C3DCC">
        <w:rPr>
          <w:rFonts w:ascii="Calibri" w:eastAsia="MS Mincho" w:hAnsi="Calibri" w:cs="Times New Roman"/>
        </w:rPr>
        <w:t>qualified</w:t>
      </w:r>
      <w:r>
        <w:rPr>
          <w:rFonts w:ascii="Calibri" w:eastAsia="MS Mincho" w:hAnsi="Calibri" w:cs="Times New Roman"/>
        </w:rPr>
        <w:t xml:space="preserve"> for treatment because they had disease progression.</w:t>
      </w:r>
    </w:p>
    <w:p w:rsidR="00420931" w:rsidRPr="00F51D99" w:rsidRDefault="00420931" w:rsidP="00420931">
      <w:pPr>
        <w:pStyle w:val="Heading4"/>
        <w:rPr>
          <w:i w:val="0"/>
        </w:rPr>
      </w:pPr>
      <w:r w:rsidRPr="00F51D99">
        <w:rPr>
          <w:i w:val="0"/>
        </w:rPr>
        <w:t>DUSC consideration</w:t>
      </w:r>
    </w:p>
    <w:p w:rsidR="00420931" w:rsidRDefault="00420931" w:rsidP="00420931">
      <w:r w:rsidRPr="001E1BAE">
        <w:t>The DUSC considered that:</w:t>
      </w:r>
    </w:p>
    <w:p w:rsidR="00173312" w:rsidRPr="0050293F" w:rsidRDefault="00173312" w:rsidP="00173312">
      <w:pPr>
        <w:pStyle w:val="ListParagraph"/>
        <w:numPr>
          <w:ilvl w:val="0"/>
          <w:numId w:val="24"/>
        </w:numPr>
      </w:pPr>
      <w:r w:rsidRPr="0050293F">
        <w:t>The increase in total number of prescriptions has slowed but is still growing.</w:t>
      </w:r>
    </w:p>
    <w:p w:rsidR="00173312" w:rsidRPr="0050293F" w:rsidRDefault="00173312" w:rsidP="00173312">
      <w:pPr>
        <w:pStyle w:val="ListParagraph"/>
        <w:numPr>
          <w:ilvl w:val="0"/>
          <w:numId w:val="24"/>
        </w:numPr>
      </w:pPr>
      <w:r w:rsidRPr="0050293F">
        <w:t xml:space="preserve">The number of patients was greater than expected. The proportion of incident patients remained steady while the prevalent patients continue to increase slowly. </w:t>
      </w:r>
    </w:p>
    <w:p w:rsidR="00173312" w:rsidRPr="0050293F" w:rsidRDefault="00173312" w:rsidP="00173312">
      <w:pPr>
        <w:pStyle w:val="ListParagraph"/>
        <w:numPr>
          <w:ilvl w:val="0"/>
          <w:numId w:val="24"/>
        </w:numPr>
      </w:pPr>
      <w:r w:rsidRPr="0050293F">
        <w:t xml:space="preserve">The actual number of prescriptions and costs are lower than predicted. DUSC noted that the submission methods overestimated the prescriptions per patient and therefore costs per patient. </w:t>
      </w:r>
    </w:p>
    <w:p w:rsidR="00173312" w:rsidRPr="0050293F" w:rsidRDefault="00173312" w:rsidP="00173312">
      <w:pPr>
        <w:pStyle w:val="ListParagraph"/>
        <w:numPr>
          <w:ilvl w:val="0"/>
          <w:numId w:val="24"/>
        </w:numPr>
      </w:pPr>
      <w:r w:rsidRPr="0050293F">
        <w:t>The actual median duration of treatment per patient is lower than expected in the submission. It is possible that this is a result of a patient selection bias associated with the characteristics of patients taking up treatment soon after listing: the uptake of treatment was in patients with more advanced and potentially more severe disease which leads to shorter duration on therapy than may be seen when less severe patients are treated. There may also be some use in patients with moderately differentiated tumours rather than well differentiated which is outside the eligible population for subsidised treatment. This may explain the lower duration of treatment than time on treatment in the clinical trial. Given the long time that patients have this condition the committee considered that the duration of therapy, and consequently the number of prescriptions and costs per patient will increase in the next few years. Therefore DUSC did not consider that the risk share agreement should be lapsed at the end of 5 years without a further reanalysis of the market for pNET.</w:t>
      </w:r>
    </w:p>
    <w:p w:rsidR="00173312" w:rsidRPr="0050293F" w:rsidRDefault="00173312" w:rsidP="00173312">
      <w:pPr>
        <w:pStyle w:val="ListParagraph"/>
        <w:numPr>
          <w:ilvl w:val="0"/>
          <w:numId w:val="24"/>
        </w:numPr>
      </w:pPr>
      <w:r w:rsidRPr="0050293F">
        <w:t>Considering the use of prior somatostatin analogues in 51% of patients implies that 49% were eligible because of disease progression.</w:t>
      </w:r>
    </w:p>
    <w:p w:rsidR="00173312" w:rsidRPr="0050293F" w:rsidRDefault="00173312" w:rsidP="00173312">
      <w:r w:rsidRPr="0050293F">
        <w:t>DUSC noted the congruence of the two methods measuring the time from ceasing treatment to death. This confirmed the usefulness of using PBS prescription supply in medicines used at the end of life where patients have conditions that require a regular supply of PBS medicine and the medicines of interest are used relatively close to the end of life such as late stage tumour therapy. This method has not been tested for medicines treating chronic disease.</w:t>
      </w:r>
    </w:p>
    <w:p w:rsidR="00173312" w:rsidRPr="0050293F" w:rsidRDefault="00173312" w:rsidP="00173312">
      <w:r w:rsidRPr="0050293F">
        <w:t xml:space="preserve">There is considerable variation in the time from cessation of everolimus or sunitinib to death. It was difficult to interpret the significance of the time from ceasing everolimus or sunitinib and the date of death. While some patients may be continuing treatment beyond disease progression it is also possible that some progress to later stage treatment. DUSC noted that patients who progress could have nuclear medicine therapy which is funded by a limited number of State hospitals or private health insurers so there is limited incentive to continue pharmacotherapy treatment after disease progression for these patients. </w:t>
      </w:r>
    </w:p>
    <w:p w:rsidR="00173312" w:rsidRPr="0050293F" w:rsidRDefault="00173312" w:rsidP="00173312">
      <w:r w:rsidRPr="0050293F">
        <w:t>DUSC clarified that the claim in Appendix B that the method used in the Mealing et al (2012)</w:t>
      </w:r>
      <w:r w:rsidRPr="0050293F">
        <w:rPr>
          <w:rStyle w:val="FootnoteReference"/>
        </w:rPr>
        <w:footnoteReference w:id="6"/>
      </w:r>
      <w:r w:rsidRPr="0050293F">
        <w:t xml:space="preserve"> paper to calculate a date of death proxy used only cancer drugs, was not correct. This paper used all PBS prescriptions, not just those for cancer drugs, to calculate their PBS proxy.</w:t>
      </w:r>
    </w:p>
    <w:p w:rsidR="00420931" w:rsidRPr="00F51D99" w:rsidRDefault="00420931" w:rsidP="00420931">
      <w:pPr>
        <w:pStyle w:val="Heading4"/>
        <w:rPr>
          <w:i w:val="0"/>
        </w:rPr>
      </w:pPr>
      <w:r w:rsidRPr="00F51D99">
        <w:rPr>
          <w:i w:val="0"/>
        </w:rPr>
        <w:t>DUSC actions</w:t>
      </w:r>
    </w:p>
    <w:p w:rsidR="00420931" w:rsidRDefault="00420931" w:rsidP="00173312">
      <w:pPr>
        <w:pStyle w:val="ListParagraph"/>
        <w:numPr>
          <w:ilvl w:val="0"/>
          <w:numId w:val="25"/>
        </w:numPr>
      </w:pPr>
      <w:r>
        <w:t>T</w:t>
      </w:r>
      <w:r w:rsidRPr="00217C75">
        <w:t>he report, Sponsor response</w:t>
      </w:r>
      <w:r w:rsidR="0081007B">
        <w:t>s</w:t>
      </w:r>
      <w:r>
        <w:t>,</w:t>
      </w:r>
      <w:r w:rsidRPr="00217C75">
        <w:t xml:space="preserve"> and DUSC minutes </w:t>
      </w:r>
      <w:r>
        <w:t xml:space="preserve">were referred </w:t>
      </w:r>
      <w:r w:rsidR="00173312">
        <w:t>to the PBAC noting.</w:t>
      </w:r>
    </w:p>
    <w:p w:rsidR="00420931" w:rsidRPr="00F51D99" w:rsidRDefault="00420931" w:rsidP="00420931">
      <w:pPr>
        <w:pStyle w:val="Heading4"/>
        <w:rPr>
          <w:i w:val="0"/>
        </w:rPr>
      </w:pPr>
      <w:r w:rsidRPr="00F51D99">
        <w:rPr>
          <w:i w:val="0"/>
        </w:rPr>
        <w:t>Context for analysis</w:t>
      </w:r>
    </w:p>
    <w:p w:rsidR="00420931" w:rsidRDefault="00420931" w:rsidP="00420931">
      <w:r>
        <w:t>The DUSC is a Sub Committee of the Pharmaceutical Benefits Advisory Committee (PBAC). The DUSC assesses estimates on projected usage and financial cost of medicines.</w:t>
      </w:r>
    </w:p>
    <w:p w:rsidR="00420931" w:rsidRDefault="00420931" w:rsidP="00420931">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420931" w:rsidRDefault="00420931" w:rsidP="00420931">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420931" w:rsidRDefault="00420931" w:rsidP="00420931">
      <w:r>
        <w:t>The utilisation analysis report was provided to the pharmaceutical sponsors of each drug and comments on the report were provided to DUSC prior to its consideration of the analysis.</w:t>
      </w:r>
    </w:p>
    <w:p w:rsidR="00420931" w:rsidRPr="00F51D99" w:rsidRDefault="00420931" w:rsidP="00420931">
      <w:pPr>
        <w:pStyle w:val="Heading4"/>
        <w:rPr>
          <w:i w:val="0"/>
        </w:rPr>
      </w:pPr>
      <w:r w:rsidRPr="00F51D99">
        <w:rPr>
          <w:i w:val="0"/>
        </w:rPr>
        <w:t>Sponsors’ comments</w:t>
      </w:r>
    </w:p>
    <w:p w:rsidR="00420931" w:rsidRPr="00F51D99" w:rsidRDefault="001404DB" w:rsidP="00420931">
      <w:r w:rsidRPr="001404DB">
        <w:t>Pfizer Australia Pty Ltd</w:t>
      </w:r>
      <w:r>
        <w:t xml:space="preserve"> (sunitinib)</w:t>
      </w:r>
      <w:r w:rsidR="00420931" w:rsidRPr="00F51D99">
        <w:t>:</w:t>
      </w:r>
      <w:r w:rsidR="00814B56" w:rsidRPr="00814B56">
        <w:t xml:space="preserve"> </w:t>
      </w:r>
      <w:r w:rsidR="00814B56">
        <w:t>The sponsor has no comment.</w:t>
      </w:r>
    </w:p>
    <w:p w:rsidR="00EF68E3" w:rsidRDefault="001404DB" w:rsidP="001404DB">
      <w:r w:rsidRPr="001404DB">
        <w:t>Novartis Pharmaceuticals Australia Pty Limited</w:t>
      </w:r>
      <w:r>
        <w:t xml:space="preserve"> (everolimus):</w:t>
      </w:r>
      <w:r w:rsidR="00EF68E3">
        <w:t xml:space="preserve"> The sponsor has no comment.</w:t>
      </w:r>
    </w:p>
    <w:p w:rsidR="00420931" w:rsidRPr="00F51D99" w:rsidRDefault="00420931" w:rsidP="00420931">
      <w:pPr>
        <w:pStyle w:val="Heading4"/>
        <w:rPr>
          <w:i w:val="0"/>
        </w:rPr>
      </w:pPr>
      <w:r w:rsidRPr="00F51D99">
        <w:rPr>
          <w:i w:val="0"/>
        </w:rPr>
        <w:t>Disclaimer</w:t>
      </w:r>
    </w:p>
    <w:p w:rsidR="00420931" w:rsidRDefault="00420931" w:rsidP="00420931">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420931" w:rsidRDefault="00420931" w:rsidP="00420931">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420931" w:rsidRDefault="00420931" w:rsidP="00420931">
      <w:r>
        <w:t xml:space="preserve">To the extent provided by law, DoH makes no warranties or representations as to accuracy or completeness of information contained in this report. </w:t>
      </w:r>
    </w:p>
    <w:p w:rsidR="00420931" w:rsidRDefault="00420931" w:rsidP="00420931">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DB6703" w:rsidRPr="00AC52C7" w:rsidRDefault="00DB6703">
      <w:pPr>
        <w:spacing w:line="276" w:lineRule="auto"/>
        <w:rPr>
          <w:rFonts w:ascii="Calibri" w:eastAsia="MS Gothic" w:hAnsi="Calibri" w:cs="Times New Roman"/>
          <w:bCs/>
        </w:rPr>
      </w:pPr>
      <w:r w:rsidRPr="00AC52C7">
        <w:rPr>
          <w:rFonts w:ascii="Calibri" w:eastAsia="MS Gothic" w:hAnsi="Calibri" w:cs="Times New Roman"/>
          <w:bCs/>
        </w:rPr>
        <w:br w:type="page"/>
      </w:r>
    </w:p>
    <w:p w:rsidR="00624AF1" w:rsidRDefault="00DB6703" w:rsidP="003F0749">
      <w:pPr>
        <w:spacing w:line="276" w:lineRule="auto"/>
        <w:rPr>
          <w:rFonts w:ascii="Calibri" w:eastAsia="MS Gothic" w:hAnsi="Calibri" w:cs="Times New Roman"/>
          <w:b/>
          <w:bCs/>
          <w:sz w:val="32"/>
          <w:szCs w:val="32"/>
        </w:rPr>
      </w:pPr>
      <w:r>
        <w:rPr>
          <w:rFonts w:ascii="Calibri" w:eastAsia="MS Gothic" w:hAnsi="Calibri" w:cs="Times New Roman"/>
          <w:b/>
          <w:bCs/>
          <w:sz w:val="32"/>
          <w:szCs w:val="32"/>
        </w:rPr>
        <w:t>A</w:t>
      </w:r>
      <w:r w:rsidR="00624AF1" w:rsidRPr="003F0749">
        <w:rPr>
          <w:rFonts w:ascii="Calibri" w:eastAsia="MS Gothic" w:hAnsi="Calibri" w:cs="Times New Roman"/>
          <w:b/>
          <w:bCs/>
          <w:sz w:val="32"/>
          <w:szCs w:val="32"/>
        </w:rPr>
        <w:t xml:space="preserve">ppendix A: </w:t>
      </w:r>
      <w:r w:rsidR="0087756C">
        <w:rPr>
          <w:rFonts w:ascii="Calibri" w:eastAsia="MS Gothic" w:hAnsi="Calibri" w:cs="Times New Roman"/>
          <w:b/>
          <w:bCs/>
          <w:sz w:val="32"/>
          <w:szCs w:val="32"/>
        </w:rPr>
        <w:t xml:space="preserve">PBS </w:t>
      </w:r>
      <w:r>
        <w:rPr>
          <w:rFonts w:ascii="Calibri" w:eastAsia="MS Gothic" w:hAnsi="Calibri" w:cs="Times New Roman"/>
          <w:b/>
          <w:bCs/>
          <w:sz w:val="32"/>
          <w:szCs w:val="32"/>
        </w:rPr>
        <w:t>Restriction</w:t>
      </w:r>
      <w:r w:rsidR="0087756C">
        <w:rPr>
          <w:rFonts w:ascii="Calibri" w:eastAsia="MS Gothic" w:hAnsi="Calibri" w:cs="Times New Roman"/>
          <w:b/>
          <w:bCs/>
          <w:sz w:val="32"/>
          <w:szCs w:val="32"/>
        </w:rPr>
        <w:t>s</w:t>
      </w:r>
    </w:p>
    <w:p w:rsidR="0087756C" w:rsidRPr="0087756C" w:rsidRDefault="0087756C" w:rsidP="00DB6703">
      <w:pPr>
        <w:spacing w:after="0" w:line="300" w:lineRule="atLeast"/>
        <w:rPr>
          <w:b/>
          <w:sz w:val="28"/>
          <w:szCs w:val="28"/>
        </w:rPr>
      </w:pPr>
      <w:r w:rsidRPr="0087756C">
        <w:rPr>
          <w:b/>
          <w:sz w:val="28"/>
          <w:szCs w:val="28"/>
        </w:rPr>
        <w:t>Sunitinib</w:t>
      </w:r>
    </w:p>
    <w:p w:rsidR="0087756C" w:rsidRPr="000B4328" w:rsidRDefault="0087756C" w:rsidP="0087756C">
      <w:pPr>
        <w:spacing w:after="150" w:line="300" w:lineRule="atLeast"/>
        <w:rPr>
          <w:rFonts w:eastAsia="Times New Roman" w:cs="Arial"/>
          <w:b/>
          <w:i/>
          <w:color w:val="222222"/>
          <w:sz w:val="22"/>
          <w:szCs w:val="22"/>
        </w:rPr>
      </w:pPr>
      <w:r w:rsidRPr="000B4328">
        <w:rPr>
          <w:rFonts w:eastAsia="Times New Roman" w:cs="Arial"/>
          <w:b/>
          <w:i/>
          <w:color w:val="222222"/>
          <w:sz w:val="22"/>
          <w:szCs w:val="22"/>
        </w:rPr>
        <w:t>Treatment Phase: Initial treatment</w:t>
      </w:r>
    </w:p>
    <w:p w:rsidR="00DB6703" w:rsidRPr="00DB121E" w:rsidRDefault="00DB6703" w:rsidP="00DB6703">
      <w:pPr>
        <w:spacing w:after="0" w:line="300" w:lineRule="atLeast"/>
        <w:rPr>
          <w:rFonts w:eastAsia="Times New Roman" w:cs="Arial"/>
          <w:color w:val="000000" w:themeColor="text1"/>
          <w:u w:val="single"/>
        </w:rPr>
      </w:pPr>
      <w:r w:rsidRPr="00DB121E">
        <w:rPr>
          <w:rFonts w:eastAsia="Times New Roman" w:cs="Arial"/>
          <w:color w:val="000000" w:themeColor="text1"/>
          <w:u w:val="single"/>
        </w:rPr>
        <w:t>Authority Required</w:t>
      </w:r>
    </w:p>
    <w:p w:rsidR="0087756C" w:rsidRPr="000B4328" w:rsidRDefault="0087756C" w:rsidP="00DB6703">
      <w:pPr>
        <w:spacing w:after="0" w:line="300" w:lineRule="atLeast"/>
        <w:rPr>
          <w:rFonts w:eastAsia="Times New Roman" w:cs="Arial"/>
          <w:color w:val="333333"/>
        </w:rPr>
      </w:pPr>
    </w:p>
    <w:p w:rsidR="00DB6703" w:rsidRPr="000B4328" w:rsidRDefault="00DB6703" w:rsidP="00DB6703">
      <w:pPr>
        <w:spacing w:after="150" w:line="300" w:lineRule="atLeast"/>
        <w:rPr>
          <w:rFonts w:eastAsia="Times New Roman" w:cs="Arial"/>
          <w:color w:val="222222"/>
        </w:rPr>
      </w:pPr>
      <w:r w:rsidRPr="000B4328">
        <w:rPr>
          <w:rFonts w:eastAsia="Times New Roman" w:cs="Arial"/>
          <w:color w:val="222222"/>
        </w:rPr>
        <w:t xml:space="preserve">Metastatic or unresectable, well-differentiated malignant pancreatic neuroendocrine tumour (pNET) </w:t>
      </w:r>
    </w:p>
    <w:p w:rsidR="00DB6703" w:rsidRPr="000B4328" w:rsidRDefault="00DB6703" w:rsidP="00DB6703">
      <w:pPr>
        <w:spacing w:after="150" w:line="300" w:lineRule="atLeast"/>
        <w:rPr>
          <w:rFonts w:eastAsia="Times New Roman" w:cs="Arial"/>
          <w:color w:val="222222"/>
        </w:rPr>
      </w:pPr>
      <w:r w:rsidRPr="000B4328">
        <w:rPr>
          <w:rFonts w:eastAsia="Times New Roman" w:cs="Arial"/>
          <w:b/>
          <w:bCs/>
          <w:color w:val="222222"/>
        </w:rPr>
        <w:t>Clinical criteria:</w:t>
      </w:r>
    </w:p>
    <w:p w:rsidR="00DB6703" w:rsidRPr="000B4328" w:rsidRDefault="00DB6703" w:rsidP="00420931">
      <w:pPr>
        <w:numPr>
          <w:ilvl w:val="0"/>
          <w:numId w:val="5"/>
        </w:numPr>
        <w:spacing w:after="150" w:line="300" w:lineRule="atLeast"/>
        <w:ind w:left="375"/>
        <w:rPr>
          <w:rFonts w:eastAsia="Times New Roman" w:cs="Arial"/>
          <w:color w:val="222222"/>
        </w:rPr>
      </w:pPr>
      <w:r w:rsidRPr="000B4328">
        <w:rPr>
          <w:rFonts w:eastAsia="Times New Roman" w:cs="Arial"/>
          <w:color w:val="222222"/>
        </w:rPr>
        <w:t>Patient must be symptomatic (despite somatostatin analogues); OR</w:t>
      </w:r>
    </w:p>
    <w:p w:rsidR="00DB6703" w:rsidRPr="000B4328" w:rsidRDefault="00DB6703" w:rsidP="00420931">
      <w:pPr>
        <w:numPr>
          <w:ilvl w:val="0"/>
          <w:numId w:val="5"/>
        </w:numPr>
        <w:spacing w:after="150" w:line="300" w:lineRule="atLeast"/>
        <w:ind w:left="375"/>
        <w:rPr>
          <w:rFonts w:eastAsia="Times New Roman" w:cs="Arial"/>
          <w:color w:val="222222"/>
        </w:rPr>
      </w:pPr>
      <w:r w:rsidRPr="000B4328">
        <w:rPr>
          <w:rFonts w:eastAsia="Times New Roman" w:cs="Arial"/>
          <w:color w:val="222222"/>
        </w:rPr>
        <w:t>Patient must have disease progression,</w:t>
      </w:r>
    </w:p>
    <w:p w:rsidR="00DB6703" w:rsidRPr="000B4328" w:rsidRDefault="00DB6703" w:rsidP="00DB6703">
      <w:pPr>
        <w:spacing w:after="150" w:line="300" w:lineRule="atLeast"/>
        <w:rPr>
          <w:rFonts w:eastAsia="Times New Roman" w:cs="Arial"/>
          <w:color w:val="222222"/>
        </w:rPr>
      </w:pPr>
      <w:r w:rsidRPr="000B4328">
        <w:rPr>
          <w:rFonts w:eastAsia="Times New Roman" w:cs="Arial"/>
          <w:b/>
          <w:bCs/>
          <w:color w:val="222222"/>
        </w:rPr>
        <w:t>AND</w:t>
      </w:r>
    </w:p>
    <w:p w:rsidR="00DB6703" w:rsidRPr="000B4328" w:rsidRDefault="00DB6703" w:rsidP="00420931">
      <w:pPr>
        <w:numPr>
          <w:ilvl w:val="0"/>
          <w:numId w:val="6"/>
        </w:numPr>
        <w:spacing w:after="150" w:line="300" w:lineRule="atLeast"/>
        <w:ind w:left="375"/>
        <w:rPr>
          <w:rFonts w:eastAsia="Times New Roman" w:cs="Arial"/>
          <w:color w:val="222222"/>
        </w:rPr>
      </w:pPr>
      <w:r w:rsidRPr="000B4328">
        <w:rPr>
          <w:rFonts w:eastAsia="Times New Roman" w:cs="Arial"/>
          <w:color w:val="222222"/>
        </w:rPr>
        <w:t>The treatment must be as monotherapy.</w:t>
      </w:r>
    </w:p>
    <w:p w:rsidR="00DB6703" w:rsidRPr="000B4328" w:rsidRDefault="00DB6703" w:rsidP="00DB6703">
      <w:pPr>
        <w:spacing w:after="150" w:line="300" w:lineRule="atLeast"/>
        <w:rPr>
          <w:rFonts w:eastAsia="Times New Roman" w:cs="Arial"/>
          <w:color w:val="222222"/>
        </w:rPr>
      </w:pPr>
      <w:r w:rsidRPr="000B4328">
        <w:rPr>
          <w:rFonts w:eastAsia="Times New Roman" w:cs="Arial"/>
          <w:color w:val="222222"/>
        </w:rPr>
        <w:t>Disease progression must be documented in the patient's medical records.</w:t>
      </w:r>
    </w:p>
    <w:p w:rsidR="00DB6703" w:rsidRPr="000B4328" w:rsidRDefault="00DB6703" w:rsidP="00DB6703">
      <w:pPr>
        <w:spacing w:after="150" w:line="300" w:lineRule="atLeast"/>
        <w:rPr>
          <w:rFonts w:eastAsia="Times New Roman" w:cs="Arial"/>
          <w:color w:val="222222"/>
        </w:rPr>
      </w:pPr>
      <w:r w:rsidRPr="000B4328">
        <w:rPr>
          <w:rFonts w:eastAsia="Times New Roman" w:cs="Arial"/>
          <w:color w:val="222222"/>
        </w:rPr>
        <w:t xml:space="preserve">Patients who have developed progressive disease on everolimus are not eligible to receive PBS-subsidised sunitinib for this condition. </w:t>
      </w:r>
    </w:p>
    <w:p w:rsidR="00DB6703" w:rsidRPr="000B4328" w:rsidRDefault="00DB6703" w:rsidP="00DB6703">
      <w:pPr>
        <w:spacing w:after="150" w:line="300" w:lineRule="atLeast"/>
        <w:rPr>
          <w:rFonts w:eastAsia="Times New Roman" w:cs="Arial"/>
          <w:color w:val="222222"/>
        </w:rPr>
      </w:pPr>
      <w:r w:rsidRPr="000B4328">
        <w:rPr>
          <w:rFonts w:eastAsia="Times New Roman" w:cs="Arial"/>
          <w:color w:val="222222"/>
        </w:rPr>
        <w:t xml:space="preserve">Patients who have developed intolerance to everolimus of a severity necessitating permanent treatment withdrawal are eligible to receive PBS-subsidised sunitinib. </w:t>
      </w:r>
    </w:p>
    <w:p w:rsidR="00DB6703" w:rsidRPr="000B4328" w:rsidRDefault="00DB6703" w:rsidP="00DB6703">
      <w:pPr>
        <w:spacing w:after="150" w:line="300" w:lineRule="atLeast"/>
        <w:rPr>
          <w:rFonts w:eastAsia="Times New Roman" w:cs="Arial"/>
          <w:b/>
          <w:color w:val="222222"/>
        </w:rPr>
      </w:pPr>
      <w:r w:rsidRPr="000B4328">
        <w:rPr>
          <w:rFonts w:eastAsia="Times New Roman" w:cs="Arial"/>
          <w:b/>
          <w:color w:val="222222"/>
        </w:rPr>
        <w:t>Treatment Phase: Continuing treatment</w:t>
      </w:r>
    </w:p>
    <w:p w:rsidR="00DB6703" w:rsidRPr="000B4328" w:rsidRDefault="00DB6703" w:rsidP="00DB6703">
      <w:pPr>
        <w:spacing w:after="150" w:line="300" w:lineRule="atLeast"/>
        <w:rPr>
          <w:rFonts w:eastAsia="Times New Roman" w:cs="Arial"/>
          <w:color w:val="222222"/>
        </w:rPr>
      </w:pPr>
      <w:r w:rsidRPr="000B4328">
        <w:rPr>
          <w:rFonts w:eastAsia="Times New Roman" w:cs="Arial"/>
          <w:b/>
          <w:bCs/>
          <w:color w:val="222222"/>
        </w:rPr>
        <w:t>Clinical criteria:</w:t>
      </w:r>
    </w:p>
    <w:p w:rsidR="00DB6703" w:rsidRPr="000B4328" w:rsidRDefault="00DB6703" w:rsidP="00420931">
      <w:pPr>
        <w:numPr>
          <w:ilvl w:val="0"/>
          <w:numId w:val="7"/>
        </w:numPr>
        <w:spacing w:after="150" w:line="300" w:lineRule="atLeast"/>
        <w:ind w:left="375"/>
        <w:rPr>
          <w:rFonts w:eastAsia="Times New Roman" w:cs="Arial"/>
          <w:color w:val="222222"/>
        </w:rPr>
      </w:pPr>
      <w:r w:rsidRPr="000B4328">
        <w:rPr>
          <w:rFonts w:eastAsia="Times New Roman" w:cs="Arial"/>
          <w:color w:val="222222"/>
        </w:rPr>
        <w:t>Patient must have previously been issued with an authority prescription for this drug,</w:t>
      </w:r>
    </w:p>
    <w:p w:rsidR="00DB6703" w:rsidRPr="000B4328" w:rsidRDefault="00DB6703" w:rsidP="00DB6703">
      <w:pPr>
        <w:spacing w:after="150" w:line="300" w:lineRule="atLeast"/>
        <w:rPr>
          <w:rFonts w:eastAsia="Times New Roman" w:cs="Arial"/>
          <w:color w:val="222222"/>
        </w:rPr>
      </w:pPr>
      <w:r w:rsidRPr="000B4328">
        <w:rPr>
          <w:rFonts w:eastAsia="Times New Roman" w:cs="Arial"/>
          <w:b/>
          <w:bCs/>
          <w:color w:val="222222"/>
        </w:rPr>
        <w:t>AND</w:t>
      </w:r>
    </w:p>
    <w:p w:rsidR="00DB6703" w:rsidRPr="000B4328" w:rsidRDefault="00DB6703" w:rsidP="00420931">
      <w:pPr>
        <w:numPr>
          <w:ilvl w:val="0"/>
          <w:numId w:val="8"/>
        </w:numPr>
        <w:spacing w:after="150" w:line="300" w:lineRule="atLeast"/>
        <w:ind w:left="375"/>
        <w:rPr>
          <w:rFonts w:eastAsia="Times New Roman" w:cs="Arial"/>
          <w:color w:val="222222"/>
        </w:rPr>
      </w:pPr>
      <w:r w:rsidRPr="000B4328">
        <w:rPr>
          <w:rFonts w:eastAsia="Times New Roman" w:cs="Arial"/>
          <w:color w:val="222222"/>
        </w:rPr>
        <w:t>Patient must not have disease progression,</w:t>
      </w:r>
    </w:p>
    <w:p w:rsidR="00DB6703" w:rsidRPr="000B4328" w:rsidRDefault="00DB6703" w:rsidP="00DB6703">
      <w:pPr>
        <w:spacing w:after="150" w:line="300" w:lineRule="atLeast"/>
        <w:rPr>
          <w:rFonts w:eastAsia="Times New Roman" w:cs="Arial"/>
          <w:color w:val="222222"/>
        </w:rPr>
      </w:pPr>
      <w:r w:rsidRPr="000B4328">
        <w:rPr>
          <w:rFonts w:eastAsia="Times New Roman" w:cs="Arial"/>
          <w:b/>
          <w:bCs/>
          <w:color w:val="222222"/>
        </w:rPr>
        <w:t>AND</w:t>
      </w:r>
    </w:p>
    <w:p w:rsidR="00DB6703" w:rsidRPr="000B4328" w:rsidRDefault="00DB6703" w:rsidP="00420931">
      <w:pPr>
        <w:numPr>
          <w:ilvl w:val="0"/>
          <w:numId w:val="9"/>
        </w:numPr>
        <w:spacing w:after="150" w:line="300" w:lineRule="atLeast"/>
        <w:ind w:left="375"/>
        <w:rPr>
          <w:rFonts w:eastAsia="Times New Roman" w:cs="Arial"/>
          <w:color w:val="222222"/>
        </w:rPr>
      </w:pPr>
      <w:r w:rsidRPr="000B4328">
        <w:rPr>
          <w:rFonts w:eastAsia="Times New Roman" w:cs="Arial"/>
          <w:color w:val="222222"/>
        </w:rPr>
        <w:t>The treatment must be as monotherapy.</w:t>
      </w:r>
    </w:p>
    <w:p w:rsidR="000B4328" w:rsidRPr="000B4328" w:rsidRDefault="000B4328" w:rsidP="000B4328">
      <w:pPr>
        <w:shd w:val="clear" w:color="auto" w:fill="FFFFFF"/>
        <w:spacing w:before="240" w:after="240" w:line="300" w:lineRule="atLeast"/>
        <w:rPr>
          <w:rFonts w:eastAsia="Times New Roman" w:cs="Arial"/>
          <w:color w:val="222222"/>
        </w:rPr>
      </w:pPr>
      <w:r w:rsidRPr="000B4328">
        <w:rPr>
          <w:rFonts w:eastAsia="Times New Roman" w:cs="Arial"/>
          <w:color w:val="222222"/>
        </w:rPr>
        <w:t>Disease progression must be documented in the patient's medical records.</w:t>
      </w:r>
    </w:p>
    <w:p w:rsidR="000B4328" w:rsidRPr="000B4328" w:rsidRDefault="000B4328" w:rsidP="000B4328">
      <w:pPr>
        <w:shd w:val="clear" w:color="auto" w:fill="FFFFFF"/>
        <w:spacing w:after="240" w:line="300" w:lineRule="atLeast"/>
        <w:rPr>
          <w:rFonts w:eastAsia="Times New Roman" w:cs="Arial"/>
          <w:color w:val="222222"/>
        </w:rPr>
      </w:pPr>
      <w:r w:rsidRPr="000B4328">
        <w:rPr>
          <w:rFonts w:eastAsia="Times New Roman" w:cs="Arial"/>
          <w:color w:val="222222"/>
        </w:rPr>
        <w:t>Patients who have developed progressive disease on sunitinib are not eligible to receive PBS-subsidised everolimus.</w:t>
      </w:r>
    </w:p>
    <w:p w:rsidR="000B4328" w:rsidRPr="000B4328" w:rsidRDefault="000B4328" w:rsidP="000B4328">
      <w:pPr>
        <w:shd w:val="clear" w:color="auto" w:fill="FFFFFF"/>
        <w:spacing w:after="240" w:line="300" w:lineRule="atLeast"/>
        <w:rPr>
          <w:rFonts w:eastAsia="Times New Roman" w:cs="Arial"/>
          <w:color w:val="222222"/>
        </w:rPr>
      </w:pPr>
      <w:r w:rsidRPr="000B4328">
        <w:rPr>
          <w:rFonts w:eastAsia="Times New Roman" w:cs="Arial"/>
          <w:color w:val="222222"/>
        </w:rPr>
        <w:t>Patients who have developed intolerance to sunitinib (</w:t>
      </w:r>
      <w:r w:rsidRPr="000B4328">
        <w:rPr>
          <w:rFonts w:eastAsia="Times New Roman" w:cs="Arial"/>
          <w:i/>
          <w:color w:val="222222"/>
        </w:rPr>
        <w:t>everolimus in the case of the everolimus restriction</w:t>
      </w:r>
      <w:r w:rsidRPr="000B4328">
        <w:rPr>
          <w:rFonts w:eastAsia="Times New Roman" w:cs="Arial"/>
          <w:color w:val="222222"/>
        </w:rPr>
        <w:t>)  of a severity necessitating permanent treatment withdrawal are eligible to receive PBS-subsidised everolimus (</w:t>
      </w:r>
      <w:r w:rsidRPr="000B4328">
        <w:rPr>
          <w:rFonts w:eastAsia="Times New Roman" w:cs="Arial"/>
          <w:i/>
          <w:color w:val="222222"/>
        </w:rPr>
        <w:t>sunitinib in the case of the everolimus restriction</w:t>
      </w:r>
      <w:r w:rsidRPr="000B4328">
        <w:rPr>
          <w:rFonts w:eastAsia="Times New Roman" w:cs="Arial"/>
          <w:color w:val="222222"/>
        </w:rPr>
        <w:t>).</w:t>
      </w:r>
    </w:p>
    <w:p w:rsidR="0087756C" w:rsidRPr="000B4328" w:rsidRDefault="0087756C" w:rsidP="0087756C">
      <w:pPr>
        <w:pStyle w:val="NormalWeb"/>
        <w:spacing w:before="0" w:beforeAutospacing="0" w:after="240" w:afterAutospacing="0" w:line="300" w:lineRule="atLeast"/>
        <w:rPr>
          <w:rFonts w:asciiTheme="minorHAnsi" w:hAnsiTheme="minorHAnsi" w:cs="Arial"/>
          <w:b/>
          <w:i/>
          <w:color w:val="222222"/>
        </w:rPr>
      </w:pPr>
      <w:r w:rsidRPr="000B4328">
        <w:rPr>
          <w:rFonts w:asciiTheme="minorHAnsi" w:hAnsiTheme="minorHAnsi" w:cs="Arial"/>
          <w:b/>
          <w:i/>
          <w:color w:val="222222"/>
        </w:rPr>
        <w:t>T</w:t>
      </w:r>
      <w:r w:rsidRPr="000B4328">
        <w:rPr>
          <w:rFonts w:asciiTheme="minorHAnsi" w:eastAsia="Times New Roman" w:hAnsiTheme="minorHAnsi" w:cs="Arial"/>
          <w:b/>
          <w:i/>
          <w:color w:val="222222"/>
        </w:rPr>
        <w:t>reatment Phase: Continuing treatment</w:t>
      </w:r>
    </w:p>
    <w:p w:rsidR="0087756C" w:rsidRPr="00DB121E" w:rsidRDefault="0087756C" w:rsidP="0087756C">
      <w:pPr>
        <w:spacing w:line="333" w:lineRule="atLeast"/>
        <w:rPr>
          <w:rFonts w:cs="Arial"/>
          <w:color w:val="000000" w:themeColor="text1"/>
        </w:rPr>
      </w:pPr>
      <w:r w:rsidRPr="00FF391C">
        <w:rPr>
          <w:rFonts w:cs="Arial"/>
          <w:bdr w:val="none" w:sz="0" w:space="0" w:color="auto" w:frame="1"/>
        </w:rPr>
        <w:t>Authority Required</w:t>
      </w:r>
    </w:p>
    <w:p w:rsidR="0087756C" w:rsidRPr="000B4328" w:rsidRDefault="0087756C" w:rsidP="0087756C">
      <w:pPr>
        <w:spacing w:line="333" w:lineRule="atLeast"/>
        <w:rPr>
          <w:rFonts w:cs="Arial"/>
          <w:color w:val="222222"/>
        </w:rPr>
      </w:pPr>
      <w:r w:rsidRPr="000B4328">
        <w:rPr>
          <w:rFonts w:cs="Arial"/>
          <w:color w:val="222222"/>
        </w:rPr>
        <w:t>Metastatic or unresectable, well-differentiated malignant pancreatic neuroendocrine tumour (pNET)</w:t>
      </w:r>
    </w:p>
    <w:p w:rsidR="0087756C" w:rsidRPr="000B4328" w:rsidRDefault="0087756C" w:rsidP="0087756C">
      <w:pPr>
        <w:pStyle w:val="NormalWeb"/>
        <w:spacing w:before="0" w:beforeAutospacing="0" w:after="240" w:afterAutospacing="0" w:line="300" w:lineRule="atLeast"/>
        <w:rPr>
          <w:rFonts w:asciiTheme="minorHAnsi" w:hAnsiTheme="minorHAnsi" w:cs="Arial"/>
          <w:color w:val="222222"/>
        </w:rPr>
      </w:pPr>
      <w:r w:rsidRPr="000B4328">
        <w:rPr>
          <w:rFonts w:asciiTheme="minorHAnsi" w:hAnsiTheme="minorHAnsi" w:cs="Arial"/>
          <w:b/>
          <w:bCs/>
          <w:color w:val="222222"/>
          <w:bdr w:val="none" w:sz="0" w:space="0" w:color="auto" w:frame="1"/>
        </w:rPr>
        <w:t>Clinical criteria:</w:t>
      </w:r>
    </w:p>
    <w:p w:rsidR="0087756C" w:rsidRPr="000B4328" w:rsidRDefault="0087756C" w:rsidP="00420931">
      <w:pPr>
        <w:pStyle w:val="NormalWeb"/>
        <w:numPr>
          <w:ilvl w:val="0"/>
          <w:numId w:val="15"/>
        </w:numPr>
        <w:spacing w:before="240" w:beforeAutospacing="0" w:after="240" w:afterAutospacing="0" w:line="300" w:lineRule="atLeast"/>
        <w:ind w:left="0"/>
        <w:rPr>
          <w:rFonts w:asciiTheme="minorHAnsi" w:hAnsiTheme="minorHAnsi" w:cs="Arial"/>
          <w:color w:val="222222"/>
        </w:rPr>
      </w:pPr>
      <w:r w:rsidRPr="000B4328">
        <w:rPr>
          <w:rFonts w:asciiTheme="minorHAnsi" w:hAnsiTheme="minorHAnsi" w:cs="Arial"/>
          <w:color w:val="222222"/>
        </w:rPr>
        <w:t>Patient must have previously been issued with an authority prescription for this drug,</w:t>
      </w:r>
    </w:p>
    <w:p w:rsidR="0087756C" w:rsidRPr="000B4328" w:rsidRDefault="0087756C" w:rsidP="0087756C">
      <w:pPr>
        <w:pStyle w:val="NormalWeb"/>
        <w:spacing w:before="240" w:beforeAutospacing="0" w:after="240" w:afterAutospacing="0" w:line="300" w:lineRule="atLeast"/>
        <w:rPr>
          <w:rFonts w:asciiTheme="minorHAnsi" w:hAnsiTheme="minorHAnsi" w:cs="Arial"/>
          <w:color w:val="222222"/>
        </w:rPr>
      </w:pPr>
      <w:r w:rsidRPr="000B4328">
        <w:rPr>
          <w:rFonts w:asciiTheme="minorHAnsi" w:hAnsiTheme="minorHAnsi" w:cs="Arial"/>
          <w:b/>
          <w:bCs/>
          <w:color w:val="222222"/>
          <w:bdr w:val="none" w:sz="0" w:space="0" w:color="auto" w:frame="1"/>
        </w:rPr>
        <w:t>AND</w:t>
      </w:r>
    </w:p>
    <w:p w:rsidR="0087756C" w:rsidRPr="000B4328" w:rsidRDefault="0087756C" w:rsidP="00420931">
      <w:pPr>
        <w:pStyle w:val="NormalWeb"/>
        <w:numPr>
          <w:ilvl w:val="0"/>
          <w:numId w:val="16"/>
        </w:numPr>
        <w:spacing w:before="240" w:beforeAutospacing="0" w:after="240" w:afterAutospacing="0" w:line="300" w:lineRule="atLeast"/>
        <w:ind w:left="0"/>
        <w:rPr>
          <w:rFonts w:asciiTheme="minorHAnsi" w:hAnsiTheme="minorHAnsi" w:cs="Arial"/>
          <w:color w:val="222222"/>
        </w:rPr>
      </w:pPr>
      <w:r w:rsidRPr="000B4328">
        <w:rPr>
          <w:rFonts w:asciiTheme="minorHAnsi" w:hAnsiTheme="minorHAnsi" w:cs="Arial"/>
          <w:color w:val="222222"/>
        </w:rPr>
        <w:t>Patient must not have disease progression,</w:t>
      </w:r>
    </w:p>
    <w:p w:rsidR="0087756C" w:rsidRPr="000B4328" w:rsidRDefault="0087756C" w:rsidP="0087756C">
      <w:pPr>
        <w:pStyle w:val="NormalWeb"/>
        <w:spacing w:before="240" w:beforeAutospacing="0" w:after="240" w:afterAutospacing="0" w:line="300" w:lineRule="atLeast"/>
        <w:rPr>
          <w:rFonts w:asciiTheme="minorHAnsi" w:hAnsiTheme="minorHAnsi" w:cs="Arial"/>
          <w:color w:val="222222"/>
        </w:rPr>
      </w:pPr>
      <w:r w:rsidRPr="000B4328">
        <w:rPr>
          <w:rFonts w:asciiTheme="minorHAnsi" w:hAnsiTheme="minorHAnsi" w:cs="Arial"/>
          <w:b/>
          <w:bCs/>
          <w:color w:val="222222"/>
          <w:bdr w:val="none" w:sz="0" w:space="0" w:color="auto" w:frame="1"/>
        </w:rPr>
        <w:t>AND</w:t>
      </w:r>
    </w:p>
    <w:p w:rsidR="0087756C" w:rsidRPr="000B4328" w:rsidRDefault="0087756C" w:rsidP="00420931">
      <w:pPr>
        <w:pStyle w:val="NormalWeb"/>
        <w:numPr>
          <w:ilvl w:val="0"/>
          <w:numId w:val="17"/>
        </w:numPr>
        <w:spacing w:before="240" w:beforeAutospacing="0" w:after="240" w:afterAutospacing="0" w:line="300" w:lineRule="atLeast"/>
        <w:ind w:left="0"/>
        <w:rPr>
          <w:rFonts w:asciiTheme="minorHAnsi" w:hAnsiTheme="minorHAnsi" w:cs="Arial"/>
          <w:color w:val="222222"/>
        </w:rPr>
      </w:pPr>
      <w:r w:rsidRPr="000B4328">
        <w:rPr>
          <w:rFonts w:asciiTheme="minorHAnsi" w:hAnsiTheme="minorHAnsi" w:cs="Arial"/>
          <w:color w:val="222222"/>
        </w:rPr>
        <w:t>The treatment must be as monotherapy.</w:t>
      </w:r>
    </w:p>
    <w:p w:rsidR="0087756C" w:rsidRPr="000B4328" w:rsidRDefault="0087756C" w:rsidP="0087756C">
      <w:pPr>
        <w:pStyle w:val="NormalWeb"/>
        <w:spacing w:before="240" w:beforeAutospacing="0" w:after="240" w:afterAutospacing="0" w:line="300" w:lineRule="atLeast"/>
        <w:rPr>
          <w:rFonts w:asciiTheme="minorHAnsi" w:hAnsiTheme="minorHAnsi" w:cs="Arial"/>
          <w:color w:val="222222"/>
        </w:rPr>
      </w:pPr>
      <w:r w:rsidRPr="000B4328">
        <w:rPr>
          <w:rFonts w:asciiTheme="minorHAnsi" w:hAnsiTheme="minorHAnsi" w:cs="Arial"/>
          <w:color w:val="222222"/>
        </w:rPr>
        <w:t>Patients who have progressive disease with this drug are no longer eligible for PBS-subsidised treatment with this drug.</w:t>
      </w:r>
    </w:p>
    <w:p w:rsidR="001B0587" w:rsidRDefault="001B0587">
      <w:pPr>
        <w:spacing w:line="276" w:lineRule="auto"/>
        <w:rPr>
          <w:b/>
          <w:sz w:val="28"/>
          <w:szCs w:val="28"/>
        </w:rPr>
      </w:pPr>
      <w:r>
        <w:rPr>
          <w:b/>
          <w:sz w:val="28"/>
          <w:szCs w:val="28"/>
        </w:rPr>
        <w:br w:type="page"/>
      </w:r>
    </w:p>
    <w:p w:rsidR="000B4328" w:rsidRPr="002C7ED1" w:rsidRDefault="001B0587" w:rsidP="001864DD">
      <w:pPr>
        <w:spacing w:line="300" w:lineRule="atLeast"/>
        <w:rPr>
          <w:b/>
          <w:sz w:val="32"/>
          <w:szCs w:val="32"/>
        </w:rPr>
      </w:pPr>
      <w:r w:rsidRPr="002C7ED1">
        <w:rPr>
          <w:b/>
          <w:sz w:val="32"/>
          <w:szCs w:val="32"/>
        </w:rPr>
        <w:t>Appendix B:  Method use for estimating time of death from PBS prescription supply.</w:t>
      </w:r>
    </w:p>
    <w:p w:rsidR="001B0587" w:rsidRDefault="001B0587" w:rsidP="001B0587">
      <w:pPr>
        <w:rPr>
          <w:rFonts w:ascii="Calibri" w:eastAsia="MS Mincho" w:hAnsi="Calibri" w:cs="Times New Roman"/>
        </w:rPr>
      </w:pPr>
      <w:r>
        <w:rPr>
          <w:rFonts w:ascii="Calibri" w:eastAsia="MS Mincho" w:hAnsi="Calibri" w:cs="Times New Roman"/>
        </w:rPr>
        <w:t>The proxy was estimated by first measuring the time to next supply for all prescriptions (ie. all drugs not just sunitinib and everolimus) supplied to Cohort pNET</w:t>
      </w:r>
      <w:r w:rsidRPr="00422329">
        <w:rPr>
          <w:rFonts w:ascii="Calibri" w:eastAsia="MS Mincho" w:hAnsi="Calibri" w:cs="Times New Roman"/>
        </w:rPr>
        <w:t xml:space="preserve"> patients</w:t>
      </w:r>
      <w:r>
        <w:rPr>
          <w:rFonts w:ascii="Calibri" w:eastAsia="MS Mincho" w:hAnsi="Calibri" w:cs="Times New Roman"/>
        </w:rPr>
        <w:t xml:space="preserve">. The phase “next supply” is used rather than “resupply” to clarify that the supply it not necessarily for the same drug or strength. Scripts supplied prior to the collection of under copayment prescriptions (April 2012) where excluded. This is because prior to this time, patient histories may be incomplete and so time to next supply of any prescription may be overestimated. It was established that the median time to next supply was 8 days and that 98.3% of scripts had a next supply within 90 days. Thus a patient was estimated to a patient was estimated to have died if they have no supply of any prescription in the 90 days after their last prescription in the PBS data. The date of death was </w:t>
      </w:r>
      <w:r w:rsidR="00A90938">
        <w:rPr>
          <w:rFonts w:ascii="Calibri" w:eastAsia="MS Mincho" w:hAnsi="Calibri" w:cs="Times New Roman"/>
        </w:rPr>
        <w:t>estimated</w:t>
      </w:r>
      <w:r>
        <w:rPr>
          <w:rFonts w:ascii="Calibri" w:eastAsia="MS Mincho" w:hAnsi="Calibri" w:cs="Times New Roman"/>
        </w:rPr>
        <w:t xml:space="preserve"> to be the date of last supply plus 8 days (ie. the expected number of days to next supply). This </w:t>
      </w:r>
      <w:r w:rsidR="00A90938">
        <w:rPr>
          <w:rFonts w:ascii="Calibri" w:eastAsia="MS Mincho" w:hAnsi="Calibri" w:cs="Times New Roman"/>
        </w:rPr>
        <w:t>was</w:t>
      </w:r>
      <w:r>
        <w:rPr>
          <w:rFonts w:ascii="Calibri" w:eastAsia="MS Mincho" w:hAnsi="Calibri" w:cs="Times New Roman"/>
        </w:rPr>
        <w:t xml:space="preserve"> </w:t>
      </w:r>
      <w:r w:rsidR="00A90938">
        <w:rPr>
          <w:rFonts w:ascii="Calibri" w:eastAsia="MS Mincho" w:hAnsi="Calibri" w:cs="Times New Roman"/>
        </w:rPr>
        <w:t xml:space="preserve">then </w:t>
      </w:r>
      <w:r>
        <w:rPr>
          <w:rFonts w:ascii="Calibri" w:eastAsia="MS Mincho" w:hAnsi="Calibri" w:cs="Times New Roman"/>
        </w:rPr>
        <w:t>used to calculate the time from the last sunitinib or everolimus supply to the estimated date of death for each patient.</w:t>
      </w:r>
    </w:p>
    <w:p w:rsidR="001B0587" w:rsidRDefault="001B0587" w:rsidP="001B0587">
      <w:pPr>
        <w:rPr>
          <w:rFonts w:ascii="Calibri" w:eastAsia="MS Mincho" w:hAnsi="Calibri" w:cs="Times New Roman"/>
        </w:rPr>
      </w:pPr>
      <w:r>
        <w:rPr>
          <w:rFonts w:ascii="Calibri" w:eastAsia="MS Mincho" w:hAnsi="Calibri" w:cs="Times New Roman"/>
        </w:rPr>
        <w:t xml:space="preserve">Date of death proxies based on PBS data have been calculated by other researchers. </w:t>
      </w:r>
      <w:r w:rsidR="001033DC">
        <w:rPr>
          <w:rFonts w:ascii="Calibri" w:eastAsia="MS Mincho" w:hAnsi="Calibri" w:cs="Times New Roman"/>
        </w:rPr>
        <w:t>Mealing</w:t>
      </w:r>
      <w:r w:rsidR="001033DC" w:rsidRPr="0074523F">
        <w:rPr>
          <w:rFonts w:ascii="Calibri" w:eastAsia="MS Mincho" w:hAnsi="Calibri" w:cs="Times New Roman"/>
        </w:rPr>
        <w:t xml:space="preserve"> </w:t>
      </w:r>
      <w:r>
        <w:rPr>
          <w:rFonts w:ascii="Calibri" w:eastAsia="MS Mincho" w:hAnsi="Calibri" w:cs="Times New Roman"/>
        </w:rPr>
        <w:t>et al.</w:t>
      </w:r>
      <w:r>
        <w:rPr>
          <w:rStyle w:val="FootnoteReference"/>
          <w:rFonts w:ascii="Calibri" w:eastAsia="MS Mincho" w:hAnsi="Calibri" w:cs="Times New Roman"/>
        </w:rPr>
        <w:t xml:space="preserve"> </w:t>
      </w:r>
      <w:r>
        <w:rPr>
          <w:rFonts w:ascii="Calibri" w:eastAsia="MS Mincho" w:hAnsi="Calibri" w:cs="Times New Roman"/>
        </w:rPr>
        <w:t>(2012)</w:t>
      </w:r>
      <w:r w:rsidRPr="0074523F">
        <w:rPr>
          <w:rStyle w:val="FootnoteReference"/>
          <w:rFonts w:ascii="Calibri" w:eastAsia="MS Mincho" w:hAnsi="Calibri" w:cs="Times New Roman"/>
        </w:rPr>
        <w:t xml:space="preserve"> </w:t>
      </w:r>
      <w:r>
        <w:rPr>
          <w:rStyle w:val="FootnoteReference"/>
          <w:rFonts w:ascii="Calibri" w:eastAsia="MS Mincho" w:hAnsi="Calibri" w:cs="Times New Roman"/>
        </w:rPr>
        <w:footnoteReference w:id="7"/>
      </w:r>
      <w:r>
        <w:rPr>
          <w:rFonts w:ascii="Calibri" w:eastAsia="MS Mincho" w:hAnsi="Calibri" w:cs="Times New Roman"/>
        </w:rPr>
        <w:t xml:space="preserve"> </w:t>
      </w:r>
      <w:r>
        <w:rPr>
          <w:rStyle w:val="FootnoteReference"/>
          <w:rFonts w:ascii="Calibri" w:eastAsia="MS Mincho" w:hAnsi="Calibri" w:cs="Times New Roman"/>
        </w:rPr>
        <w:t xml:space="preserve"> </w:t>
      </w:r>
      <w:r>
        <w:rPr>
          <w:rFonts w:ascii="Calibri" w:eastAsia="MS Mincho" w:hAnsi="Calibri" w:cs="Times New Roman"/>
        </w:rPr>
        <w:t>used a similar method to this analysis. In addition</w:t>
      </w:r>
      <w:r w:rsidR="001033DC">
        <w:rPr>
          <w:rFonts w:ascii="Calibri" w:eastAsia="MS Mincho" w:hAnsi="Calibri" w:cs="Times New Roman"/>
        </w:rPr>
        <w:t>,</w:t>
      </w:r>
      <w:r>
        <w:rPr>
          <w:rFonts w:ascii="Calibri" w:eastAsia="MS Mincho" w:hAnsi="Calibri" w:cs="Times New Roman"/>
        </w:rPr>
        <w:t xml:space="preserve"> they validated the proxy against </w:t>
      </w:r>
      <w:r w:rsidR="00A90938">
        <w:rPr>
          <w:rFonts w:ascii="Calibri" w:eastAsia="MS Mincho" w:hAnsi="Calibri" w:cs="Times New Roman"/>
        </w:rPr>
        <w:t>actual</w:t>
      </w:r>
      <w:r>
        <w:rPr>
          <w:rFonts w:ascii="Calibri" w:eastAsia="MS Mincho" w:hAnsi="Calibri" w:cs="Times New Roman"/>
        </w:rPr>
        <w:t xml:space="preserve"> date of death data. A sensitivity analysis indicated that a 90 day o</w:t>
      </w:r>
      <w:r w:rsidR="00A90938">
        <w:rPr>
          <w:rFonts w:ascii="Calibri" w:eastAsia="MS Mincho" w:hAnsi="Calibri" w:cs="Times New Roman"/>
        </w:rPr>
        <w:t>r</w:t>
      </w:r>
      <w:r>
        <w:rPr>
          <w:rFonts w:ascii="Calibri" w:eastAsia="MS Mincho" w:hAnsi="Calibri" w:cs="Times New Roman"/>
        </w:rPr>
        <w:t xml:space="preserve"> greater delay between a patient’s last prescription and the end of the data period was the best indicator of death compared to shorter and longer delays (i</w:t>
      </w:r>
      <w:r w:rsidR="001033DC">
        <w:rPr>
          <w:rFonts w:ascii="Calibri" w:eastAsia="MS Mincho" w:hAnsi="Calibri" w:cs="Times New Roman"/>
        </w:rPr>
        <w:t>.</w:t>
      </w:r>
      <w:r>
        <w:rPr>
          <w:rFonts w:ascii="Calibri" w:eastAsia="MS Mincho" w:hAnsi="Calibri" w:cs="Times New Roman"/>
        </w:rPr>
        <w:t xml:space="preserve">e. 30, 60 and 180 days). </w:t>
      </w:r>
    </w:p>
    <w:p w:rsidR="002C7ED1" w:rsidRDefault="002C7ED1">
      <w:pPr>
        <w:spacing w:line="276" w:lineRule="auto"/>
        <w:rPr>
          <w:b/>
          <w:sz w:val="28"/>
          <w:szCs w:val="28"/>
        </w:rPr>
      </w:pPr>
      <w:r>
        <w:rPr>
          <w:b/>
          <w:sz w:val="28"/>
          <w:szCs w:val="28"/>
        </w:rPr>
        <w:br w:type="page"/>
      </w:r>
    </w:p>
    <w:p w:rsidR="002C7ED1" w:rsidRPr="002C7ED1" w:rsidRDefault="002C7ED1" w:rsidP="002C7ED1">
      <w:pPr>
        <w:spacing w:line="300" w:lineRule="atLeast"/>
        <w:rPr>
          <w:b/>
          <w:sz w:val="32"/>
          <w:szCs w:val="32"/>
        </w:rPr>
      </w:pPr>
      <w:r w:rsidRPr="002C7ED1">
        <w:rPr>
          <w:b/>
          <w:sz w:val="32"/>
          <w:szCs w:val="32"/>
        </w:rPr>
        <w:t>Appendix C:</w:t>
      </w:r>
      <w:r w:rsidRPr="002C7ED1">
        <w:rPr>
          <w:sz w:val="32"/>
          <w:szCs w:val="32"/>
        </w:rPr>
        <w:t xml:space="preserve"> </w:t>
      </w:r>
      <w:r w:rsidRPr="002C7ED1">
        <w:rPr>
          <w:b/>
          <w:sz w:val="32"/>
          <w:szCs w:val="32"/>
        </w:rPr>
        <w:t xml:space="preserve">validation of </w:t>
      </w:r>
      <w:r w:rsidR="00847ED4">
        <w:rPr>
          <w:b/>
          <w:sz w:val="32"/>
          <w:szCs w:val="32"/>
        </w:rPr>
        <w:t>d</w:t>
      </w:r>
      <w:r w:rsidRPr="002C7ED1">
        <w:rPr>
          <w:b/>
          <w:sz w:val="32"/>
          <w:szCs w:val="32"/>
        </w:rPr>
        <w:t xml:space="preserve">ate of </w:t>
      </w:r>
      <w:r w:rsidR="00847ED4">
        <w:rPr>
          <w:b/>
          <w:sz w:val="32"/>
          <w:szCs w:val="32"/>
        </w:rPr>
        <w:t>d</w:t>
      </w:r>
      <w:r w:rsidRPr="002C7ED1">
        <w:rPr>
          <w:b/>
          <w:sz w:val="32"/>
          <w:szCs w:val="32"/>
        </w:rPr>
        <w:t>eath proxy</w:t>
      </w:r>
    </w:p>
    <w:p w:rsidR="002C7ED1" w:rsidRPr="00AF05F9" w:rsidRDefault="002C7ED1" w:rsidP="00AF05F9">
      <w:pPr>
        <w:pStyle w:val="Heading4"/>
        <w:rPr>
          <w:i w:val="0"/>
          <w:sz w:val="28"/>
        </w:rPr>
      </w:pPr>
      <w:r w:rsidRPr="00AF05F9">
        <w:rPr>
          <w:i w:val="0"/>
          <w:sz w:val="28"/>
        </w:rPr>
        <w:t>Methods</w:t>
      </w:r>
    </w:p>
    <w:p w:rsidR="002C7ED1" w:rsidRDefault="002C7ED1" w:rsidP="0009671F">
      <w:pPr>
        <w:rPr>
          <w:rFonts w:ascii="Calibri" w:eastAsia="MS Mincho" w:hAnsi="Calibri" w:cs="Times New Roman"/>
        </w:rPr>
      </w:pPr>
      <w:r>
        <w:rPr>
          <w:rFonts w:ascii="Calibri" w:eastAsia="MS Mincho" w:hAnsi="Calibri" w:cs="Times New Roman"/>
        </w:rPr>
        <w:t xml:space="preserve">The </w:t>
      </w:r>
      <w:r w:rsidR="00871EC4">
        <w:rPr>
          <w:rFonts w:ascii="Calibri" w:eastAsia="MS Mincho" w:hAnsi="Calibri" w:cs="Times New Roman"/>
        </w:rPr>
        <w:t>date of death (</w:t>
      </w:r>
      <w:r>
        <w:rPr>
          <w:rFonts w:ascii="Calibri" w:eastAsia="MS Mincho" w:hAnsi="Calibri" w:cs="Times New Roman"/>
        </w:rPr>
        <w:t>DoD</w:t>
      </w:r>
      <w:r w:rsidR="00871EC4">
        <w:rPr>
          <w:rFonts w:ascii="Calibri" w:eastAsia="MS Mincho" w:hAnsi="Calibri" w:cs="Times New Roman"/>
        </w:rPr>
        <w:t>)</w:t>
      </w:r>
      <w:r>
        <w:rPr>
          <w:rFonts w:ascii="Calibri" w:eastAsia="MS Mincho" w:hAnsi="Calibri" w:cs="Times New Roman"/>
        </w:rPr>
        <w:t xml:space="preserve"> proxy was estimated </w:t>
      </w:r>
      <w:r w:rsidR="0009671F">
        <w:rPr>
          <w:rFonts w:ascii="Calibri" w:eastAsia="MS Mincho" w:hAnsi="Calibri" w:cs="Times New Roman"/>
        </w:rPr>
        <w:t>as per Appendix B</w:t>
      </w:r>
      <w:r w:rsidR="002A665F">
        <w:rPr>
          <w:rFonts w:ascii="Calibri" w:eastAsia="MS Mincho" w:hAnsi="Calibri" w:cs="Times New Roman"/>
        </w:rPr>
        <w:t>.</w:t>
      </w:r>
    </w:p>
    <w:p w:rsidR="002C7ED1" w:rsidRDefault="002C7ED1" w:rsidP="002C7ED1">
      <w:pPr>
        <w:rPr>
          <w:rFonts w:ascii="Calibri" w:eastAsia="MS Mincho" w:hAnsi="Calibri" w:cs="Times New Roman"/>
        </w:rPr>
      </w:pPr>
      <w:r>
        <w:rPr>
          <w:rFonts w:ascii="Calibri" w:eastAsia="MS Mincho" w:hAnsi="Calibri" w:cs="Times New Roman"/>
        </w:rPr>
        <w:t xml:space="preserve">Date of Death data were requested from DHS for the </w:t>
      </w:r>
      <w:r w:rsidRPr="00CD6DD4">
        <w:rPr>
          <w:rFonts w:ascii="Calibri" w:eastAsia="MS Mincho" w:hAnsi="Calibri" w:cs="Times New Roman"/>
        </w:rPr>
        <w:t>7,760 patients that had received a prescription for sunitinib or  everolimus from 1 May 2009 (first listing for sunitinib) to 31</w:t>
      </w:r>
      <w:r>
        <w:rPr>
          <w:rFonts w:ascii="Calibri" w:eastAsia="MS Mincho" w:hAnsi="Calibri" w:cs="Times New Roman"/>
        </w:rPr>
        <w:t> </w:t>
      </w:r>
      <w:r w:rsidRPr="00CD6DD4">
        <w:rPr>
          <w:rFonts w:ascii="Calibri" w:eastAsia="MS Mincho" w:hAnsi="Calibri" w:cs="Times New Roman"/>
        </w:rPr>
        <w:t>March</w:t>
      </w:r>
      <w:r>
        <w:rPr>
          <w:rFonts w:ascii="Calibri" w:eastAsia="MS Mincho" w:hAnsi="Calibri" w:cs="Times New Roman"/>
        </w:rPr>
        <w:t> </w:t>
      </w:r>
      <w:r w:rsidRPr="00CD6DD4">
        <w:rPr>
          <w:rFonts w:ascii="Calibri" w:eastAsia="MS Mincho" w:hAnsi="Calibri" w:cs="Times New Roman"/>
        </w:rPr>
        <w:t>2017.</w:t>
      </w:r>
      <w:r>
        <w:rPr>
          <w:rFonts w:ascii="Calibri" w:eastAsia="MS Mincho" w:hAnsi="Calibri" w:cs="Times New Roman"/>
        </w:rPr>
        <w:t xml:space="preserve"> Only the Medicare PINs for the 7,760 patients were supplied to DHS. These were matched with the Medicare enrolment file and dates of death (DHS DoD) were found for 3,756 patients. </w:t>
      </w:r>
      <w:r w:rsidR="006F0537">
        <w:rPr>
          <w:rFonts w:ascii="Calibri" w:eastAsia="MS Mincho" w:hAnsi="Calibri" w:cs="Times New Roman"/>
        </w:rPr>
        <w:t>T</w:t>
      </w:r>
      <w:r>
        <w:rPr>
          <w:rFonts w:ascii="Calibri" w:eastAsia="MS Mincho" w:hAnsi="Calibri" w:cs="Times New Roman"/>
        </w:rPr>
        <w:t>he dates of death were available up to 31 December 2016</w:t>
      </w:r>
      <w:r w:rsidR="006F0537">
        <w:rPr>
          <w:rFonts w:ascii="Calibri" w:eastAsia="MS Mincho" w:hAnsi="Calibri" w:cs="Times New Roman"/>
        </w:rPr>
        <w:t xml:space="preserve"> (data extracted 4</w:t>
      </w:r>
      <w:r w:rsidR="00D62163">
        <w:rPr>
          <w:rFonts w:ascii="Calibri" w:eastAsia="MS Mincho" w:hAnsi="Calibri" w:cs="Times New Roman"/>
        </w:rPr>
        <w:t> </w:t>
      </w:r>
      <w:r w:rsidR="006F0537">
        <w:rPr>
          <w:rFonts w:ascii="Calibri" w:eastAsia="MS Mincho" w:hAnsi="Calibri" w:cs="Times New Roman"/>
        </w:rPr>
        <w:t>Sepetmber</w:t>
      </w:r>
      <w:r w:rsidR="00D62163">
        <w:rPr>
          <w:rFonts w:ascii="Calibri" w:eastAsia="MS Mincho" w:hAnsi="Calibri" w:cs="Times New Roman"/>
        </w:rPr>
        <w:t> </w:t>
      </w:r>
      <w:r w:rsidR="006F0537">
        <w:rPr>
          <w:rFonts w:ascii="Calibri" w:eastAsia="MS Mincho" w:hAnsi="Calibri" w:cs="Times New Roman"/>
        </w:rPr>
        <w:t>2017</w:t>
      </w:r>
      <w:r w:rsidR="00CD3716">
        <w:rPr>
          <w:rFonts w:ascii="Calibri" w:eastAsia="MS Mincho" w:hAnsi="Calibri" w:cs="Times New Roman"/>
        </w:rPr>
        <w:t>)</w:t>
      </w:r>
      <w:r>
        <w:rPr>
          <w:rFonts w:ascii="Calibri" w:eastAsia="MS Mincho" w:hAnsi="Calibri" w:cs="Times New Roman"/>
        </w:rPr>
        <w:t>.</w:t>
      </w:r>
    </w:p>
    <w:p w:rsidR="002C7ED1" w:rsidRDefault="002C7ED1" w:rsidP="002C7ED1">
      <w:pPr>
        <w:rPr>
          <w:rFonts w:ascii="Calibri" w:eastAsia="MS Mincho" w:hAnsi="Calibri" w:cs="Times New Roman"/>
        </w:rPr>
      </w:pPr>
      <w:r>
        <w:rPr>
          <w:rFonts w:ascii="Calibri" w:eastAsia="MS Mincho" w:hAnsi="Calibri" w:cs="Times New Roman"/>
        </w:rPr>
        <w:t xml:space="preserve">The method for estimating a proxy DoD </w:t>
      </w:r>
      <w:r w:rsidR="002A665F">
        <w:rPr>
          <w:rFonts w:ascii="Calibri" w:eastAsia="MS Mincho" w:hAnsi="Calibri" w:cs="Times New Roman"/>
        </w:rPr>
        <w:t xml:space="preserve">(Appendix B) </w:t>
      </w:r>
      <w:r>
        <w:rPr>
          <w:rFonts w:ascii="Calibri" w:eastAsia="MS Mincho" w:hAnsi="Calibri" w:cs="Times New Roman"/>
        </w:rPr>
        <w:t>could only detect estimated dates of death up to 7 January 2017. That is, the latest possible DoD would be for a patient whose last script was on 30 December 2016 and so had 91 days without a prescription before the end of the data period on 31 March 2017. The estimated DoD for this patient would be 30 December 2017 + 8 days = 7 January 2017. There were 18 patients in total that had a proxy DoD between 1 and 7 January 2017, only one of which was in Cohort pNET. These 18 patients were removed from the comparison of proxy DoD and DHS DoD, as the DHS DoD data was not available for this period (i</w:t>
      </w:r>
      <w:r w:rsidR="003D40FB">
        <w:rPr>
          <w:rFonts w:ascii="Calibri" w:eastAsia="MS Mincho" w:hAnsi="Calibri" w:cs="Times New Roman"/>
        </w:rPr>
        <w:t>.</w:t>
      </w:r>
      <w:r>
        <w:rPr>
          <w:rFonts w:ascii="Calibri" w:eastAsia="MS Mincho" w:hAnsi="Calibri" w:cs="Times New Roman"/>
        </w:rPr>
        <w:t>e. they were up to 31 December 2016).</w:t>
      </w:r>
    </w:p>
    <w:p w:rsidR="002C7ED1" w:rsidRPr="00AF05F9" w:rsidRDefault="002C7ED1" w:rsidP="00AF05F9">
      <w:pPr>
        <w:pStyle w:val="Heading4"/>
        <w:rPr>
          <w:i w:val="0"/>
          <w:sz w:val="28"/>
        </w:rPr>
      </w:pPr>
      <w:r w:rsidRPr="00AF05F9">
        <w:rPr>
          <w:i w:val="0"/>
          <w:sz w:val="28"/>
        </w:rPr>
        <w:t>Results</w:t>
      </w:r>
    </w:p>
    <w:p w:rsidR="002C7ED1" w:rsidRPr="00AF05F9" w:rsidRDefault="00AF05F9" w:rsidP="00AF05F9">
      <w:pPr>
        <w:spacing w:before="240"/>
        <w:outlineLvl w:val="1"/>
        <w:rPr>
          <w:rFonts w:ascii="Calibri" w:eastAsia="MS Mincho" w:hAnsi="Calibri" w:cs="Times New Roman"/>
          <w:b/>
        </w:rPr>
      </w:pPr>
      <w:r>
        <w:rPr>
          <w:rFonts w:ascii="Calibri" w:eastAsia="MS Mincho" w:hAnsi="Calibri" w:cs="Times New Roman"/>
          <w:b/>
        </w:rPr>
        <w:t>1.  Co</w:t>
      </w:r>
      <w:r w:rsidR="002C7ED1" w:rsidRPr="00AF05F9">
        <w:rPr>
          <w:rFonts w:ascii="Calibri" w:eastAsia="MS Mincho" w:hAnsi="Calibri" w:cs="Times New Roman"/>
          <w:b/>
        </w:rPr>
        <w:t xml:space="preserve">mparison of patient alive / dead status </w:t>
      </w:r>
    </w:p>
    <w:p w:rsidR="002C7ED1" w:rsidRDefault="002C7ED1" w:rsidP="002C7ED1">
      <w:pPr>
        <w:rPr>
          <w:rFonts w:ascii="Calibri" w:eastAsia="MS Mincho" w:hAnsi="Calibri" w:cs="Times New Roman"/>
          <w:szCs w:val="28"/>
        </w:rPr>
      </w:pPr>
      <w:r>
        <w:rPr>
          <w:rFonts w:ascii="Calibri" w:eastAsia="MS Mincho" w:hAnsi="Calibri" w:cs="Times New Roman"/>
        </w:rPr>
        <w:t xml:space="preserve">There were 7,760 patients that had received a prescription for </w:t>
      </w:r>
      <w:r>
        <w:rPr>
          <w:rFonts w:ascii="Calibri" w:eastAsia="MS Mincho" w:hAnsi="Calibri" w:cs="Times New Roman"/>
          <w:szCs w:val="28"/>
        </w:rPr>
        <w:t xml:space="preserve">sunitinib or  everolimus from </w:t>
      </w:r>
      <w:r w:rsidRPr="00F82E3D">
        <w:rPr>
          <w:rFonts w:ascii="Calibri" w:eastAsia="MS Mincho" w:hAnsi="Calibri" w:cs="Times New Roman"/>
          <w:szCs w:val="28"/>
        </w:rPr>
        <w:t>1 May 2009</w:t>
      </w:r>
      <w:r>
        <w:rPr>
          <w:rFonts w:ascii="Calibri" w:eastAsia="MS Mincho" w:hAnsi="Calibri" w:cs="Times New Roman"/>
          <w:szCs w:val="28"/>
        </w:rPr>
        <w:t xml:space="preserve"> (</w:t>
      </w:r>
      <w:r w:rsidRPr="00F82E3D">
        <w:rPr>
          <w:rFonts w:ascii="Calibri" w:eastAsia="MS Mincho" w:hAnsi="Calibri" w:cs="Times New Roman"/>
          <w:szCs w:val="28"/>
        </w:rPr>
        <w:t>first listing for sunitinib</w:t>
      </w:r>
      <w:r>
        <w:rPr>
          <w:rFonts w:ascii="Calibri" w:eastAsia="MS Mincho" w:hAnsi="Calibri" w:cs="Times New Roman"/>
          <w:szCs w:val="28"/>
        </w:rPr>
        <w:t xml:space="preserve">) to 31 March 2017. </w:t>
      </w:r>
    </w:p>
    <w:p w:rsidR="002C7ED1" w:rsidRDefault="002C7ED1" w:rsidP="002C7ED1">
      <w:pPr>
        <w:widowControl w:val="0"/>
        <w:rPr>
          <w:rFonts w:ascii="Calibri" w:eastAsia="Times New Roman" w:hAnsi="Calibri" w:cs="Times New Roman"/>
          <w:iCs/>
          <w:snapToGrid w:val="0"/>
          <w:lang w:eastAsia="en-US"/>
        </w:rPr>
      </w:pPr>
      <w:r w:rsidRPr="0010077B">
        <w:rPr>
          <w:rFonts w:ascii="Calibri" w:eastAsia="Times New Roman" w:hAnsi="Calibri" w:cs="Times New Roman"/>
          <w:iCs/>
          <w:snapToGrid w:val="0"/>
          <w:lang w:eastAsia="en-US"/>
        </w:rPr>
        <w:t xml:space="preserve">Patients were classified as being likely to have </w:t>
      </w:r>
      <w:r>
        <w:rPr>
          <w:rFonts w:ascii="Calibri" w:eastAsia="Times New Roman" w:hAnsi="Calibri" w:cs="Times New Roman"/>
          <w:iCs/>
          <w:snapToGrid w:val="0"/>
          <w:lang w:eastAsia="en-US"/>
        </w:rPr>
        <w:t xml:space="preserve">pNET </w:t>
      </w:r>
      <w:r w:rsidRPr="0010077B">
        <w:rPr>
          <w:rFonts w:ascii="Calibri" w:eastAsia="Times New Roman" w:hAnsi="Calibri" w:cs="Times New Roman"/>
          <w:iCs/>
          <w:snapToGrid w:val="0"/>
          <w:lang w:eastAsia="en-US"/>
        </w:rPr>
        <w:t xml:space="preserve">or </w:t>
      </w:r>
      <w:r>
        <w:rPr>
          <w:rFonts w:ascii="Calibri" w:eastAsia="Times New Roman" w:hAnsi="Calibri" w:cs="Times New Roman"/>
          <w:iCs/>
          <w:snapToGrid w:val="0"/>
          <w:lang w:eastAsia="en-US"/>
        </w:rPr>
        <w:t xml:space="preserve">non-pNET </w:t>
      </w:r>
      <w:r w:rsidRPr="0010077B">
        <w:rPr>
          <w:rFonts w:ascii="Calibri" w:eastAsia="Times New Roman" w:hAnsi="Calibri" w:cs="Times New Roman"/>
          <w:iCs/>
          <w:snapToGrid w:val="0"/>
          <w:lang w:eastAsia="en-US"/>
        </w:rPr>
        <w:t xml:space="preserve">based on the indication sequence of original prescriptions in relation to the </w:t>
      </w:r>
      <w:r>
        <w:rPr>
          <w:rFonts w:ascii="Calibri" w:eastAsia="Times New Roman" w:hAnsi="Calibri" w:cs="Times New Roman"/>
          <w:iCs/>
          <w:snapToGrid w:val="0"/>
          <w:lang w:eastAsia="en-US"/>
        </w:rPr>
        <w:t xml:space="preserve">pNET </w:t>
      </w:r>
      <w:r w:rsidRPr="0010077B">
        <w:rPr>
          <w:rFonts w:ascii="Calibri" w:eastAsia="Times New Roman" w:hAnsi="Calibri" w:cs="Times New Roman"/>
          <w:iCs/>
          <w:snapToGrid w:val="0"/>
          <w:lang w:eastAsia="en-US"/>
        </w:rPr>
        <w:t>indication listing date of 1</w:t>
      </w:r>
      <w:r>
        <w:rPr>
          <w:rFonts w:ascii="Calibri" w:eastAsia="Times New Roman" w:hAnsi="Calibri" w:cs="Times New Roman"/>
          <w:iCs/>
          <w:snapToGrid w:val="0"/>
          <w:lang w:eastAsia="en-US"/>
        </w:rPr>
        <w:t xml:space="preserve"> December </w:t>
      </w:r>
      <w:r w:rsidRPr="0010077B">
        <w:rPr>
          <w:rFonts w:ascii="Calibri" w:eastAsia="Times New Roman" w:hAnsi="Calibri" w:cs="Times New Roman"/>
          <w:iCs/>
          <w:snapToGrid w:val="0"/>
          <w:lang w:eastAsia="en-US"/>
        </w:rPr>
        <w:t>2013.</w:t>
      </w:r>
      <w:r>
        <w:rPr>
          <w:rFonts w:ascii="Calibri" w:eastAsia="Times New Roman" w:hAnsi="Calibri" w:cs="Times New Roman"/>
          <w:iCs/>
          <w:snapToGrid w:val="0"/>
          <w:lang w:eastAsia="en-US"/>
        </w:rPr>
        <w:t xml:space="preserve"> That is, if a patient’s first original prescription after 1 December 2013 was indicated for pNET and they did not receive a non-pNET indicated original prescription prior to 1 December 2013 then it was considered that the patient was being treated for pNET (Cohort pNET - 219 patients). Otherwise the patient was considered to be treated for a non-pNET condition (Cohort non-pNET – 7,541 patients).</w:t>
      </w:r>
    </w:p>
    <w:p w:rsidR="002C7ED1" w:rsidRDefault="002C7ED1" w:rsidP="002C7ED1">
      <w:pPr>
        <w:widowControl w:val="0"/>
        <w:rPr>
          <w:rFonts w:ascii="Calibri" w:eastAsia="MS Mincho" w:hAnsi="Calibri" w:cs="Times New Roman"/>
        </w:rPr>
      </w:pPr>
      <w:r>
        <w:rPr>
          <w:rFonts w:ascii="Calibri" w:eastAsia="MS Mincho" w:hAnsi="Calibri" w:cs="Times New Roman"/>
        </w:rPr>
        <w:t>All PBS prescriptions for all 7,760 patients were extracted from January 2003 to the end of March 2017. Subsequently, prescriptions supplied prior to the collection of under copayment prescriptions (April 2012) were excluded. This was because prior to this time, patient histories may be incomplete and so time to next supply of any prescription may be overestimated. This exclusion resulted in the Cohort non-pNET reducing to 6,565 and the Cohort pNET remaining at 219 patients.</w:t>
      </w:r>
    </w:p>
    <w:p w:rsidR="00AF05F9" w:rsidRDefault="00AF05F9">
      <w:pPr>
        <w:spacing w:line="276" w:lineRule="auto"/>
        <w:rPr>
          <w:rFonts w:ascii="Calibri" w:eastAsia="MS Mincho" w:hAnsi="Calibri" w:cs="Times New Roman"/>
        </w:rPr>
      </w:pPr>
      <w:r>
        <w:rPr>
          <w:rFonts w:ascii="Calibri" w:eastAsia="MS Mincho" w:hAnsi="Calibri" w:cs="Times New Roman"/>
        </w:rPr>
        <w:br w:type="page"/>
      </w:r>
    </w:p>
    <w:p w:rsidR="002C7ED1" w:rsidRPr="00174EA4" w:rsidRDefault="002C7ED1" w:rsidP="002C7ED1">
      <w:pPr>
        <w:spacing w:after="0"/>
        <w:rPr>
          <w:rFonts w:ascii="Calibri" w:eastAsia="MS Mincho" w:hAnsi="Calibri" w:cs="Times New Roman"/>
          <w:b/>
        </w:rPr>
      </w:pPr>
      <w:r w:rsidRPr="00174EA4">
        <w:rPr>
          <w:rFonts w:ascii="Calibri" w:eastAsia="MS Mincho" w:hAnsi="Calibri" w:cs="Times New Roman"/>
          <w:b/>
        </w:rPr>
        <w:t xml:space="preserve">Table </w:t>
      </w:r>
      <w:r w:rsidR="00FE0A18">
        <w:rPr>
          <w:rFonts w:ascii="Calibri" w:eastAsia="MS Mincho" w:hAnsi="Calibri" w:cs="Times New Roman"/>
          <w:b/>
        </w:rPr>
        <w:t>C</w:t>
      </w:r>
      <w:r w:rsidRPr="00174EA4">
        <w:rPr>
          <w:rFonts w:ascii="Calibri" w:eastAsia="MS Mincho" w:hAnsi="Calibri" w:cs="Times New Roman"/>
          <w:b/>
        </w:rPr>
        <w:t>1: Proxy vs DHS patient status</w:t>
      </w:r>
      <w:r>
        <w:rPr>
          <w:rFonts w:ascii="Calibri" w:eastAsia="MS Mincho" w:hAnsi="Calibri" w:cs="Times New Roman"/>
          <w:b/>
        </w:rPr>
        <w:t xml:space="preserve"> for Cohort pNET</w:t>
      </w:r>
    </w:p>
    <w:tbl>
      <w:tblPr>
        <w:tblW w:w="7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984"/>
        <w:gridCol w:w="1876"/>
        <w:gridCol w:w="1180"/>
      </w:tblGrid>
      <w:tr w:rsidR="002C7ED1" w:rsidRPr="00174EA4" w:rsidTr="002C7ED1">
        <w:trPr>
          <w:trHeight w:val="300"/>
        </w:trPr>
        <w:tc>
          <w:tcPr>
            <w:tcW w:w="200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p>
        </w:tc>
        <w:tc>
          <w:tcPr>
            <w:tcW w:w="3860" w:type="dxa"/>
            <w:gridSpan w:val="2"/>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Proxy patient status</w:t>
            </w:r>
          </w:p>
        </w:tc>
        <w:tc>
          <w:tcPr>
            <w:tcW w:w="118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p>
        </w:tc>
      </w:tr>
      <w:tr w:rsidR="002C7ED1" w:rsidRPr="00174EA4" w:rsidTr="002C7ED1">
        <w:trPr>
          <w:trHeight w:val="300"/>
        </w:trPr>
        <w:tc>
          <w:tcPr>
            <w:tcW w:w="200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sz w:val="22"/>
                <w:szCs w:val="22"/>
              </w:rPr>
              <w:t>DHS patient status</w:t>
            </w:r>
          </w:p>
        </w:tc>
        <w:tc>
          <w:tcPr>
            <w:tcW w:w="1984"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Alive</w:t>
            </w:r>
          </w:p>
        </w:tc>
        <w:tc>
          <w:tcPr>
            <w:tcW w:w="1876"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Dead</w:t>
            </w:r>
          </w:p>
        </w:tc>
        <w:tc>
          <w:tcPr>
            <w:tcW w:w="118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Total</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Alive</w:t>
            </w:r>
          </w:p>
        </w:tc>
        <w:tc>
          <w:tcPr>
            <w:tcW w:w="1984"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125</w:t>
            </w:r>
          </w:p>
        </w:tc>
        <w:tc>
          <w:tcPr>
            <w:tcW w:w="1876"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Pr>
                <w:rFonts w:ascii="Calibri" w:eastAsia="Times New Roman" w:hAnsi="Calibri" w:cs="Times New Roman"/>
                <w:sz w:val="22"/>
                <w:szCs w:val="22"/>
              </w:rPr>
              <w:t>7</w:t>
            </w:r>
          </w:p>
        </w:tc>
        <w:tc>
          <w:tcPr>
            <w:tcW w:w="118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Pr>
                <w:rFonts w:ascii="Calibri" w:eastAsia="Times New Roman" w:hAnsi="Calibri" w:cs="Times New Roman"/>
                <w:sz w:val="22"/>
                <w:szCs w:val="22"/>
              </w:rPr>
              <w:t>132</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Dead</w:t>
            </w:r>
          </w:p>
        </w:tc>
        <w:tc>
          <w:tcPr>
            <w:tcW w:w="1984"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1</w:t>
            </w:r>
          </w:p>
        </w:tc>
        <w:tc>
          <w:tcPr>
            <w:tcW w:w="1876"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85</w:t>
            </w:r>
          </w:p>
        </w:tc>
        <w:tc>
          <w:tcPr>
            <w:tcW w:w="118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86</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174EA4">
              <w:rPr>
                <w:rFonts w:ascii="Calibri" w:eastAsia="Times New Roman" w:hAnsi="Calibri" w:cs="Times New Roman"/>
                <w:b/>
                <w:bCs/>
                <w:color w:val="000000"/>
                <w:sz w:val="22"/>
                <w:szCs w:val="22"/>
              </w:rPr>
              <w:t>Total</w:t>
            </w:r>
          </w:p>
        </w:tc>
        <w:tc>
          <w:tcPr>
            <w:tcW w:w="1984"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174EA4">
              <w:rPr>
                <w:rFonts w:ascii="Calibri" w:eastAsia="Times New Roman" w:hAnsi="Calibri" w:cs="Times New Roman"/>
                <w:b/>
                <w:bCs/>
                <w:color w:val="000000"/>
                <w:sz w:val="22"/>
                <w:szCs w:val="22"/>
              </w:rPr>
              <w:t>126</w:t>
            </w:r>
          </w:p>
        </w:tc>
        <w:tc>
          <w:tcPr>
            <w:tcW w:w="1876"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174EA4">
              <w:rPr>
                <w:rFonts w:ascii="Calibri" w:eastAsia="Times New Roman" w:hAnsi="Calibri" w:cs="Times New Roman"/>
                <w:b/>
                <w:bCs/>
                <w:color w:val="000000"/>
                <w:sz w:val="22"/>
                <w:szCs w:val="22"/>
              </w:rPr>
              <w:t>9</w:t>
            </w:r>
            <w:r>
              <w:rPr>
                <w:rFonts w:ascii="Calibri" w:eastAsia="Times New Roman" w:hAnsi="Calibri" w:cs="Times New Roman"/>
                <w:b/>
                <w:bCs/>
                <w:color w:val="000000"/>
                <w:sz w:val="22"/>
                <w:szCs w:val="22"/>
              </w:rPr>
              <w:t>2</w:t>
            </w:r>
          </w:p>
        </w:tc>
        <w:tc>
          <w:tcPr>
            <w:tcW w:w="118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218</w:t>
            </w:r>
          </w:p>
        </w:tc>
      </w:tr>
    </w:tbl>
    <w:p w:rsidR="002C7ED1" w:rsidRPr="00630C8E" w:rsidRDefault="002C7ED1" w:rsidP="002C7ED1">
      <w:pPr>
        <w:rPr>
          <w:rFonts w:ascii="Calibri" w:eastAsia="MS Mincho" w:hAnsi="Calibri" w:cs="Times New Roman"/>
          <w:sz w:val="20"/>
          <w:szCs w:val="20"/>
        </w:rPr>
      </w:pPr>
      <w:r w:rsidRPr="00630C8E">
        <w:rPr>
          <w:rFonts w:ascii="Calibri" w:eastAsia="MS Mincho" w:hAnsi="Calibri" w:cs="Times New Roman"/>
          <w:sz w:val="20"/>
          <w:szCs w:val="20"/>
        </w:rPr>
        <w:t>Note: One</w:t>
      </w:r>
      <w:r>
        <w:rPr>
          <w:rFonts w:ascii="Calibri" w:eastAsia="MS Mincho" w:hAnsi="Calibri" w:cs="Times New Roman"/>
          <w:sz w:val="20"/>
          <w:szCs w:val="20"/>
        </w:rPr>
        <w:t xml:space="preserve"> patient was excluded from C</w:t>
      </w:r>
      <w:r w:rsidRPr="00630C8E">
        <w:rPr>
          <w:rFonts w:ascii="Calibri" w:eastAsia="MS Mincho" w:hAnsi="Calibri" w:cs="Times New Roman"/>
          <w:sz w:val="20"/>
          <w:szCs w:val="20"/>
        </w:rPr>
        <w:t xml:space="preserve">ohort </w:t>
      </w:r>
      <w:r>
        <w:rPr>
          <w:rFonts w:ascii="Calibri" w:eastAsia="MS Mincho" w:hAnsi="Calibri" w:cs="Times New Roman"/>
          <w:sz w:val="20"/>
          <w:szCs w:val="20"/>
        </w:rPr>
        <w:t xml:space="preserve">pNET </w:t>
      </w:r>
      <w:r w:rsidRPr="00630C8E">
        <w:rPr>
          <w:rFonts w:ascii="Calibri" w:eastAsia="MS Mincho" w:hAnsi="Calibri" w:cs="Times New Roman"/>
          <w:sz w:val="20"/>
          <w:szCs w:val="20"/>
        </w:rPr>
        <w:t xml:space="preserve">as their proxy DoD was on or after 1 January 2017 and there </w:t>
      </w:r>
      <w:r>
        <w:rPr>
          <w:rFonts w:ascii="Calibri" w:eastAsia="MS Mincho" w:hAnsi="Calibri" w:cs="Times New Roman"/>
          <w:sz w:val="20"/>
          <w:szCs w:val="20"/>
        </w:rPr>
        <w:t>were</w:t>
      </w:r>
      <w:r w:rsidRPr="00630C8E">
        <w:rPr>
          <w:rFonts w:ascii="Calibri" w:eastAsia="MS Mincho" w:hAnsi="Calibri" w:cs="Times New Roman"/>
          <w:sz w:val="20"/>
          <w:szCs w:val="20"/>
        </w:rPr>
        <w:t xml:space="preserve"> no DHS DoD data</w:t>
      </w:r>
      <w:r w:rsidR="00550B25">
        <w:rPr>
          <w:rFonts w:ascii="Calibri" w:eastAsia="MS Mincho" w:hAnsi="Calibri" w:cs="Times New Roman"/>
          <w:sz w:val="20"/>
          <w:szCs w:val="20"/>
        </w:rPr>
        <w:t xml:space="preserve"> available</w:t>
      </w:r>
      <w:r w:rsidRPr="00630C8E">
        <w:rPr>
          <w:rFonts w:ascii="Calibri" w:eastAsia="MS Mincho" w:hAnsi="Calibri" w:cs="Times New Roman"/>
          <w:sz w:val="20"/>
          <w:szCs w:val="20"/>
        </w:rPr>
        <w:t xml:space="preserve"> for this period. See Methods for details</w:t>
      </w:r>
      <w:r>
        <w:rPr>
          <w:rFonts w:ascii="Calibri" w:eastAsia="MS Mincho" w:hAnsi="Calibri" w:cs="Times New Roman"/>
          <w:sz w:val="20"/>
          <w:szCs w:val="20"/>
        </w:rPr>
        <w:t>.</w:t>
      </w:r>
    </w:p>
    <w:p w:rsidR="002C7ED1" w:rsidRDefault="002C7ED1" w:rsidP="002C7ED1">
      <w:pPr>
        <w:rPr>
          <w:rFonts w:ascii="Calibri" w:eastAsia="MS Mincho" w:hAnsi="Calibri" w:cs="Times New Roman"/>
        </w:rPr>
      </w:pPr>
      <w:r>
        <w:rPr>
          <w:rFonts w:ascii="Calibri" w:eastAsia="MS Mincho" w:hAnsi="Calibri" w:cs="Times New Roman"/>
        </w:rPr>
        <w:t xml:space="preserve">Table </w:t>
      </w:r>
      <w:r w:rsidR="00FE0A18">
        <w:rPr>
          <w:rFonts w:ascii="Calibri" w:eastAsia="MS Mincho" w:hAnsi="Calibri" w:cs="Times New Roman"/>
        </w:rPr>
        <w:t>C</w:t>
      </w:r>
      <w:r>
        <w:rPr>
          <w:rFonts w:ascii="Calibri" w:eastAsia="MS Mincho" w:hAnsi="Calibri" w:cs="Times New Roman"/>
        </w:rPr>
        <w:t>1 compares the proxy patient status (based whether or not a patient has a proxy DoD) with the DHS patient status (based whether or not a patient has a DHS DoD). The agreement rate between the two measures was 96.3% (i</w:t>
      </w:r>
      <w:r w:rsidR="00FE0A18">
        <w:rPr>
          <w:rFonts w:ascii="Calibri" w:eastAsia="MS Mincho" w:hAnsi="Calibri" w:cs="Times New Roman"/>
        </w:rPr>
        <w:t>.</w:t>
      </w:r>
      <w:r>
        <w:rPr>
          <w:rFonts w:ascii="Calibri" w:eastAsia="MS Mincho" w:hAnsi="Calibri" w:cs="Times New Roman"/>
        </w:rPr>
        <w:t>e. (125 + 85) / 218 ). Most of the disagreement was where the proxy status = Dead and the DHS status = Alive (i</w:t>
      </w:r>
      <w:r w:rsidR="00FE0A18">
        <w:rPr>
          <w:rFonts w:ascii="Calibri" w:eastAsia="MS Mincho" w:hAnsi="Calibri" w:cs="Times New Roman"/>
        </w:rPr>
        <w:t>.</w:t>
      </w:r>
      <w:r>
        <w:rPr>
          <w:rFonts w:ascii="Calibri" w:eastAsia="MS Mincho" w:hAnsi="Calibri" w:cs="Times New Roman"/>
        </w:rPr>
        <w:t>e.</w:t>
      </w:r>
      <w:r w:rsidR="00FE0A18">
        <w:rPr>
          <w:rFonts w:ascii="Calibri" w:eastAsia="MS Mincho" w:hAnsi="Calibri" w:cs="Times New Roman"/>
        </w:rPr>
        <w:t> </w:t>
      </w:r>
      <w:r>
        <w:rPr>
          <w:rFonts w:ascii="Calibri" w:eastAsia="MS Mincho" w:hAnsi="Calibri" w:cs="Times New Roman"/>
        </w:rPr>
        <w:t>7</w:t>
      </w:r>
      <w:r w:rsidR="00FE0A18">
        <w:rPr>
          <w:rFonts w:ascii="Calibri" w:eastAsia="MS Mincho" w:hAnsi="Calibri" w:cs="Times New Roman"/>
        </w:rPr>
        <w:t> </w:t>
      </w:r>
      <w:r>
        <w:rPr>
          <w:rFonts w:ascii="Calibri" w:eastAsia="MS Mincho" w:hAnsi="Calibri" w:cs="Times New Roman"/>
        </w:rPr>
        <w:t>patients). This disagreement is likely to be due to an error in the proxy status, but not necessarily so. It is possible that there are late death registrations which will modify the DHS status when the data is received by State governments and then flows through to DHS.</w:t>
      </w:r>
    </w:p>
    <w:p w:rsidR="002C7ED1" w:rsidRPr="00174EA4" w:rsidRDefault="002C7ED1" w:rsidP="002C7ED1">
      <w:pPr>
        <w:spacing w:after="0"/>
        <w:rPr>
          <w:rFonts w:ascii="Calibri" w:eastAsia="MS Mincho" w:hAnsi="Calibri" w:cs="Times New Roman"/>
          <w:b/>
        </w:rPr>
      </w:pPr>
      <w:r w:rsidRPr="00174EA4">
        <w:rPr>
          <w:rFonts w:ascii="Calibri" w:eastAsia="MS Mincho" w:hAnsi="Calibri" w:cs="Times New Roman"/>
          <w:b/>
        </w:rPr>
        <w:t xml:space="preserve">Table </w:t>
      </w:r>
      <w:r w:rsidR="00FE0A18">
        <w:rPr>
          <w:rFonts w:ascii="Calibri" w:eastAsia="MS Mincho" w:hAnsi="Calibri" w:cs="Times New Roman"/>
          <w:b/>
        </w:rPr>
        <w:t>C</w:t>
      </w:r>
      <w:r>
        <w:rPr>
          <w:rFonts w:ascii="Calibri" w:eastAsia="MS Mincho" w:hAnsi="Calibri" w:cs="Times New Roman"/>
          <w:b/>
        </w:rPr>
        <w:t>2</w:t>
      </w:r>
      <w:r w:rsidRPr="00174EA4">
        <w:rPr>
          <w:rFonts w:ascii="Calibri" w:eastAsia="MS Mincho" w:hAnsi="Calibri" w:cs="Times New Roman"/>
          <w:b/>
        </w:rPr>
        <w:t>: Proxy vs DHS patient status</w:t>
      </w:r>
      <w:r>
        <w:rPr>
          <w:rFonts w:ascii="Calibri" w:eastAsia="MS Mincho" w:hAnsi="Calibri" w:cs="Times New Roman"/>
          <w:b/>
        </w:rPr>
        <w:t xml:space="preserve"> for Cohort non-pNET</w:t>
      </w:r>
    </w:p>
    <w:tbl>
      <w:tblPr>
        <w:tblW w:w="7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984"/>
        <w:gridCol w:w="1876"/>
        <w:gridCol w:w="1180"/>
      </w:tblGrid>
      <w:tr w:rsidR="002C7ED1" w:rsidRPr="00174EA4" w:rsidTr="002C7ED1">
        <w:trPr>
          <w:trHeight w:val="300"/>
        </w:trPr>
        <w:tc>
          <w:tcPr>
            <w:tcW w:w="200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p>
        </w:tc>
        <w:tc>
          <w:tcPr>
            <w:tcW w:w="3860" w:type="dxa"/>
            <w:gridSpan w:val="2"/>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Proxy patient status</w:t>
            </w:r>
          </w:p>
        </w:tc>
        <w:tc>
          <w:tcPr>
            <w:tcW w:w="118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p>
        </w:tc>
      </w:tr>
      <w:tr w:rsidR="002C7ED1" w:rsidRPr="00174EA4" w:rsidTr="002C7ED1">
        <w:trPr>
          <w:trHeight w:val="300"/>
        </w:trPr>
        <w:tc>
          <w:tcPr>
            <w:tcW w:w="200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sz w:val="22"/>
                <w:szCs w:val="22"/>
              </w:rPr>
              <w:t>DHS patient status</w:t>
            </w:r>
          </w:p>
        </w:tc>
        <w:tc>
          <w:tcPr>
            <w:tcW w:w="1984"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Alive</w:t>
            </w:r>
          </w:p>
        </w:tc>
        <w:tc>
          <w:tcPr>
            <w:tcW w:w="1876"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Dead</w:t>
            </w:r>
          </w:p>
        </w:tc>
        <w:tc>
          <w:tcPr>
            <w:tcW w:w="118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Total</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Alive</w:t>
            </w:r>
          </w:p>
        </w:tc>
        <w:tc>
          <w:tcPr>
            <w:tcW w:w="1984"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80C70">
              <w:rPr>
                <w:sz w:val="22"/>
                <w:szCs w:val="22"/>
              </w:rPr>
              <w:t xml:space="preserve"> 3,630 </w:t>
            </w:r>
          </w:p>
        </w:tc>
        <w:tc>
          <w:tcPr>
            <w:tcW w:w="1876"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80C70">
              <w:rPr>
                <w:sz w:val="22"/>
                <w:szCs w:val="22"/>
              </w:rPr>
              <w:t xml:space="preserve"> 210 </w:t>
            </w:r>
          </w:p>
        </w:tc>
        <w:tc>
          <w:tcPr>
            <w:tcW w:w="1180"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80C70">
              <w:rPr>
                <w:sz w:val="22"/>
                <w:szCs w:val="22"/>
              </w:rPr>
              <w:t xml:space="preserve"> 3,840 </w:t>
            </w:r>
          </w:p>
        </w:tc>
      </w:tr>
      <w:tr w:rsidR="002C7ED1" w:rsidRPr="00174EA4" w:rsidTr="00BC4A2C">
        <w:trPr>
          <w:trHeight w:val="364"/>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Dead</w:t>
            </w:r>
          </w:p>
        </w:tc>
        <w:tc>
          <w:tcPr>
            <w:tcW w:w="1984"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80C70">
              <w:rPr>
                <w:sz w:val="22"/>
                <w:szCs w:val="22"/>
              </w:rPr>
              <w:t xml:space="preserve"> 15 </w:t>
            </w:r>
          </w:p>
        </w:tc>
        <w:tc>
          <w:tcPr>
            <w:tcW w:w="1876"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80C70">
              <w:rPr>
                <w:sz w:val="22"/>
                <w:szCs w:val="22"/>
              </w:rPr>
              <w:t xml:space="preserve"> 2,693 </w:t>
            </w:r>
          </w:p>
        </w:tc>
        <w:tc>
          <w:tcPr>
            <w:tcW w:w="1180"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80C70">
              <w:rPr>
                <w:sz w:val="22"/>
                <w:szCs w:val="22"/>
              </w:rPr>
              <w:t xml:space="preserve"> 2,708 </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174EA4">
              <w:rPr>
                <w:rFonts w:ascii="Calibri" w:eastAsia="Times New Roman" w:hAnsi="Calibri" w:cs="Times New Roman"/>
                <w:b/>
                <w:bCs/>
                <w:color w:val="000000"/>
                <w:sz w:val="22"/>
                <w:szCs w:val="22"/>
              </w:rPr>
              <w:t>Total</w:t>
            </w:r>
          </w:p>
        </w:tc>
        <w:tc>
          <w:tcPr>
            <w:tcW w:w="1984" w:type="dxa"/>
            <w:shd w:val="clear" w:color="auto" w:fill="auto"/>
            <w:noWrap/>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F80C70">
              <w:rPr>
                <w:b/>
                <w:sz w:val="22"/>
                <w:szCs w:val="22"/>
              </w:rPr>
              <w:t xml:space="preserve"> 3,645 </w:t>
            </w:r>
          </w:p>
        </w:tc>
        <w:tc>
          <w:tcPr>
            <w:tcW w:w="1876" w:type="dxa"/>
            <w:shd w:val="clear" w:color="auto" w:fill="auto"/>
            <w:noWrap/>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F80C70">
              <w:rPr>
                <w:b/>
                <w:sz w:val="22"/>
                <w:szCs w:val="22"/>
              </w:rPr>
              <w:t xml:space="preserve"> 2,903 </w:t>
            </w:r>
          </w:p>
        </w:tc>
        <w:tc>
          <w:tcPr>
            <w:tcW w:w="1180" w:type="dxa"/>
            <w:shd w:val="clear" w:color="auto" w:fill="auto"/>
            <w:noWrap/>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F80C70">
              <w:rPr>
                <w:b/>
                <w:sz w:val="22"/>
                <w:szCs w:val="22"/>
              </w:rPr>
              <w:t xml:space="preserve"> 6,548 </w:t>
            </w:r>
          </w:p>
        </w:tc>
      </w:tr>
    </w:tbl>
    <w:p w:rsidR="002C7ED1" w:rsidRPr="00630C8E" w:rsidRDefault="002C7ED1" w:rsidP="002C7ED1">
      <w:pPr>
        <w:rPr>
          <w:rFonts w:ascii="Calibri" w:eastAsia="MS Mincho" w:hAnsi="Calibri" w:cs="Times New Roman"/>
          <w:sz w:val="20"/>
          <w:szCs w:val="20"/>
        </w:rPr>
      </w:pPr>
      <w:r w:rsidRPr="00630C8E">
        <w:rPr>
          <w:rFonts w:ascii="Calibri" w:eastAsia="MS Mincho" w:hAnsi="Calibri" w:cs="Times New Roman"/>
          <w:sz w:val="20"/>
          <w:szCs w:val="20"/>
        </w:rPr>
        <w:t xml:space="preserve">Note: </w:t>
      </w:r>
      <w:r>
        <w:rPr>
          <w:rFonts w:ascii="Calibri" w:eastAsia="MS Mincho" w:hAnsi="Calibri" w:cs="Times New Roman"/>
          <w:sz w:val="20"/>
          <w:szCs w:val="20"/>
        </w:rPr>
        <w:t>17 patients were excluded from C</w:t>
      </w:r>
      <w:r w:rsidRPr="00630C8E">
        <w:rPr>
          <w:rFonts w:ascii="Calibri" w:eastAsia="MS Mincho" w:hAnsi="Calibri" w:cs="Times New Roman"/>
          <w:sz w:val="20"/>
          <w:szCs w:val="20"/>
        </w:rPr>
        <w:t xml:space="preserve">ohort </w:t>
      </w:r>
      <w:r>
        <w:rPr>
          <w:rFonts w:ascii="Calibri" w:eastAsia="MS Mincho" w:hAnsi="Calibri" w:cs="Times New Roman"/>
          <w:sz w:val="20"/>
          <w:szCs w:val="20"/>
        </w:rPr>
        <w:t xml:space="preserve">non-pNET </w:t>
      </w:r>
      <w:r w:rsidRPr="00630C8E">
        <w:rPr>
          <w:rFonts w:ascii="Calibri" w:eastAsia="MS Mincho" w:hAnsi="Calibri" w:cs="Times New Roman"/>
          <w:sz w:val="20"/>
          <w:szCs w:val="20"/>
        </w:rPr>
        <w:t xml:space="preserve">as their proxy DoD was on or after 1 January 2017 and there </w:t>
      </w:r>
      <w:r>
        <w:rPr>
          <w:rFonts w:ascii="Calibri" w:eastAsia="MS Mincho" w:hAnsi="Calibri" w:cs="Times New Roman"/>
          <w:sz w:val="20"/>
          <w:szCs w:val="20"/>
        </w:rPr>
        <w:t>were</w:t>
      </w:r>
      <w:r w:rsidRPr="00630C8E">
        <w:rPr>
          <w:rFonts w:ascii="Calibri" w:eastAsia="MS Mincho" w:hAnsi="Calibri" w:cs="Times New Roman"/>
          <w:sz w:val="20"/>
          <w:szCs w:val="20"/>
        </w:rPr>
        <w:t xml:space="preserve"> no DHS DoD data for this period. See Methods for details</w:t>
      </w:r>
      <w:r>
        <w:rPr>
          <w:rFonts w:ascii="Calibri" w:eastAsia="MS Mincho" w:hAnsi="Calibri" w:cs="Times New Roman"/>
          <w:sz w:val="20"/>
          <w:szCs w:val="20"/>
        </w:rPr>
        <w:t>.</w:t>
      </w:r>
    </w:p>
    <w:p w:rsidR="002C7ED1" w:rsidRDefault="002C7ED1" w:rsidP="002C7ED1">
      <w:pPr>
        <w:rPr>
          <w:rFonts w:ascii="Calibri" w:eastAsia="MS Mincho" w:hAnsi="Calibri" w:cs="Times New Roman"/>
        </w:rPr>
      </w:pPr>
      <w:r>
        <w:rPr>
          <w:rFonts w:ascii="Calibri" w:eastAsia="MS Mincho" w:hAnsi="Calibri" w:cs="Times New Roman"/>
        </w:rPr>
        <w:t xml:space="preserve">Table </w:t>
      </w:r>
      <w:r w:rsidR="00FE0A18">
        <w:rPr>
          <w:rFonts w:ascii="Calibri" w:eastAsia="MS Mincho" w:hAnsi="Calibri" w:cs="Times New Roman"/>
        </w:rPr>
        <w:t>C</w:t>
      </w:r>
      <w:r>
        <w:rPr>
          <w:rFonts w:ascii="Calibri" w:eastAsia="MS Mincho" w:hAnsi="Calibri" w:cs="Times New Roman"/>
        </w:rPr>
        <w:t xml:space="preserve">2 is the equivalent of Table </w:t>
      </w:r>
      <w:r w:rsidR="00FE0A18">
        <w:rPr>
          <w:rFonts w:ascii="Calibri" w:eastAsia="MS Mincho" w:hAnsi="Calibri" w:cs="Times New Roman"/>
        </w:rPr>
        <w:t>C</w:t>
      </w:r>
      <w:r>
        <w:rPr>
          <w:rFonts w:ascii="Calibri" w:eastAsia="MS Mincho" w:hAnsi="Calibri" w:cs="Times New Roman"/>
        </w:rPr>
        <w:t>1 for Cohort non-pNET</w:t>
      </w:r>
      <w:r w:rsidR="00FE0A18">
        <w:rPr>
          <w:rFonts w:ascii="Calibri" w:eastAsia="MS Mincho" w:hAnsi="Calibri" w:cs="Times New Roman"/>
        </w:rPr>
        <w:t>;</w:t>
      </w:r>
      <w:r w:rsidR="007F5F1E">
        <w:rPr>
          <w:rFonts w:ascii="Calibri" w:eastAsia="MS Mincho" w:hAnsi="Calibri" w:cs="Times New Roman"/>
        </w:rPr>
        <w:t xml:space="preserve"> </w:t>
      </w:r>
      <w:r>
        <w:t>this is a much larger cohort. The same parameters were used to estimate the proxy DoD for this cohort (i</w:t>
      </w:r>
      <w:r w:rsidR="00FE0A18">
        <w:t>.</w:t>
      </w:r>
      <w:r>
        <w:t>e. more than 90 days from last prescriptions indicates death and for such patients, the estimated time from last prescription to death was 8 days). These parameters were used after it was checked that the “days to next supply for any prescription” statistics for this cohort where almost identical to Cohort pNET (i</w:t>
      </w:r>
      <w:r w:rsidR="008142F4">
        <w:t>.</w:t>
      </w:r>
      <w:r>
        <w:t>e. both had median = 8 days and mode = 1 day).</w:t>
      </w:r>
    </w:p>
    <w:p w:rsidR="002C7ED1" w:rsidRDefault="002C7ED1" w:rsidP="002C7ED1">
      <w:pPr>
        <w:rPr>
          <w:rFonts w:ascii="Calibri" w:eastAsia="MS Mincho" w:hAnsi="Calibri" w:cs="Times New Roman"/>
        </w:rPr>
      </w:pPr>
      <w:r>
        <w:rPr>
          <w:rFonts w:ascii="Calibri" w:eastAsia="MS Mincho" w:hAnsi="Calibri" w:cs="Times New Roman"/>
        </w:rPr>
        <w:t>The agreement rate between the two measures in Table 2 was 96.6% (i</w:t>
      </w:r>
      <w:r w:rsidR="008142F4">
        <w:rPr>
          <w:rFonts w:ascii="Calibri" w:eastAsia="MS Mincho" w:hAnsi="Calibri" w:cs="Times New Roman"/>
        </w:rPr>
        <w:t>.</w:t>
      </w:r>
      <w:r>
        <w:rPr>
          <w:rFonts w:ascii="Calibri" w:eastAsia="MS Mincho" w:hAnsi="Calibri" w:cs="Times New Roman"/>
        </w:rPr>
        <w:t>e. (3,630 + 2,693) / 6,548). Most of the disagreement was where the proxy status = Dead and the DHS status = Alive (ie. 210 patients).</w:t>
      </w:r>
    </w:p>
    <w:p w:rsidR="002C7ED1" w:rsidRDefault="002C7ED1" w:rsidP="002C7ED1">
      <w:pPr>
        <w:rPr>
          <w:rFonts w:ascii="Calibri" w:eastAsia="MS Mincho" w:hAnsi="Calibri" w:cs="Times New Roman"/>
        </w:rPr>
      </w:pPr>
      <w:r>
        <w:rPr>
          <w:rFonts w:ascii="Calibri" w:eastAsia="MS Mincho" w:hAnsi="Calibri" w:cs="Times New Roman"/>
        </w:rPr>
        <w:t xml:space="preserve">The distribution of the delay between a patient’s final prescription and DHS DoD is shown for all patients (pNET and non-pNET) in Figure </w:t>
      </w:r>
      <w:r w:rsidR="008142F4">
        <w:rPr>
          <w:rFonts w:ascii="Calibri" w:eastAsia="MS Mincho" w:hAnsi="Calibri" w:cs="Times New Roman"/>
        </w:rPr>
        <w:t>C</w:t>
      </w:r>
      <w:r>
        <w:rPr>
          <w:rFonts w:ascii="Calibri" w:eastAsia="MS Mincho" w:hAnsi="Calibri" w:cs="Times New Roman"/>
        </w:rPr>
        <w:t>1.</w:t>
      </w:r>
    </w:p>
    <w:p w:rsidR="002C7ED1" w:rsidRPr="00F80C70" w:rsidRDefault="002C7ED1" w:rsidP="002C7ED1">
      <w:pPr>
        <w:rPr>
          <w:rFonts w:ascii="Calibri" w:eastAsia="MS Mincho" w:hAnsi="Calibri" w:cs="Times New Roman"/>
        </w:rPr>
      </w:pPr>
      <w:r>
        <w:rPr>
          <w:noProof/>
        </w:rPr>
        <w:drawing>
          <wp:inline distT="0" distB="0" distL="0" distR="0" wp14:anchorId="6DC76538" wp14:editId="2C7D78B8">
            <wp:extent cx="5687695" cy="3716447"/>
            <wp:effectExtent l="0" t="0" r="27305" b="17780"/>
            <wp:docPr id="5" name="Chart 5" title="Figure 1: Days from last prescription to DHS DoD for all patients with a DHS DoD"/>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Calibri" w:eastAsia="MS Mincho" w:hAnsi="Calibri" w:cs="Times New Roman"/>
          <w:b/>
        </w:rPr>
        <w:t xml:space="preserve">Figure </w:t>
      </w:r>
      <w:r w:rsidR="008142F4">
        <w:rPr>
          <w:rFonts w:ascii="Calibri" w:eastAsia="MS Mincho" w:hAnsi="Calibri" w:cs="Times New Roman"/>
          <w:b/>
        </w:rPr>
        <w:t>C</w:t>
      </w:r>
      <w:r w:rsidRPr="00174EA4">
        <w:rPr>
          <w:rFonts w:ascii="Calibri" w:eastAsia="MS Mincho" w:hAnsi="Calibri" w:cs="Times New Roman"/>
          <w:b/>
        </w:rPr>
        <w:t xml:space="preserve">1: </w:t>
      </w:r>
      <w:r w:rsidRPr="00F80C70">
        <w:rPr>
          <w:rFonts w:ascii="Calibri" w:eastAsia="MS Mincho" w:hAnsi="Calibri" w:cs="Times New Roman"/>
          <w:b/>
        </w:rPr>
        <w:t>Days from last prescription</w:t>
      </w:r>
      <w:r>
        <w:rPr>
          <w:rFonts w:ascii="Calibri" w:eastAsia="MS Mincho" w:hAnsi="Calibri" w:cs="Times New Roman"/>
          <w:b/>
        </w:rPr>
        <w:t xml:space="preserve"> to DHS</w:t>
      </w:r>
      <w:r w:rsidRPr="00F80C70">
        <w:rPr>
          <w:rFonts w:ascii="Calibri" w:eastAsia="MS Mincho" w:hAnsi="Calibri" w:cs="Times New Roman"/>
          <w:b/>
        </w:rPr>
        <w:t xml:space="preserve"> DoD</w:t>
      </w:r>
      <w:r>
        <w:rPr>
          <w:rFonts w:ascii="Calibri" w:eastAsia="MS Mincho" w:hAnsi="Calibri" w:cs="Times New Roman"/>
          <w:b/>
        </w:rPr>
        <w:t xml:space="preserve"> for all patients with a DHS DoD</w:t>
      </w:r>
    </w:p>
    <w:p w:rsidR="002C7ED1" w:rsidRDefault="002C7ED1" w:rsidP="002C7ED1">
      <w:pPr>
        <w:rPr>
          <w:rFonts w:ascii="Calibri" w:eastAsia="MS Mincho" w:hAnsi="Calibri" w:cs="Times New Roman"/>
        </w:rPr>
      </w:pPr>
      <w:r>
        <w:rPr>
          <w:rFonts w:ascii="Calibri" w:eastAsia="MS Mincho" w:hAnsi="Calibri" w:cs="Times New Roman"/>
        </w:rPr>
        <w:t xml:space="preserve">Figure </w:t>
      </w:r>
      <w:r w:rsidR="008142F4">
        <w:rPr>
          <w:rFonts w:ascii="Calibri" w:eastAsia="MS Mincho" w:hAnsi="Calibri" w:cs="Times New Roman"/>
        </w:rPr>
        <w:t>C</w:t>
      </w:r>
      <w:r>
        <w:rPr>
          <w:rFonts w:ascii="Calibri" w:eastAsia="MS Mincho" w:hAnsi="Calibri" w:cs="Times New Roman"/>
        </w:rPr>
        <w:t>1 shows that there were some patients that had prescriptions supplied after their DHS DoD (i</w:t>
      </w:r>
      <w:r w:rsidR="008142F4">
        <w:rPr>
          <w:rFonts w:ascii="Calibri" w:eastAsia="MS Mincho" w:hAnsi="Calibri" w:cs="Times New Roman"/>
        </w:rPr>
        <w:t>.</w:t>
      </w:r>
      <w:r>
        <w:rPr>
          <w:rFonts w:ascii="Calibri" w:eastAsia="MS Mincho" w:hAnsi="Calibri" w:cs="Times New Roman"/>
        </w:rPr>
        <w:t>e. negative values on the x</w:t>
      </w:r>
      <w:r w:rsidR="008142F4">
        <w:rPr>
          <w:rFonts w:ascii="Calibri" w:eastAsia="MS Mincho" w:hAnsi="Calibri" w:cs="Times New Roman"/>
        </w:rPr>
        <w:noBreakHyphen/>
      </w:r>
      <w:r>
        <w:rPr>
          <w:rFonts w:ascii="Calibri" w:eastAsia="MS Mincho" w:hAnsi="Calibri" w:cs="Times New Roman"/>
        </w:rPr>
        <w:t>axis). It was considered reasonable that a patient could be supplied a prescription in error up to 28 days after death, but any longer than this was considered to be a data error. That is, the error could be in the DHS DoD or it could be that the dead patient’s Medicare PIN was being attributed to prescriptions supplied to another person.</w:t>
      </w:r>
    </w:p>
    <w:p w:rsidR="002C7ED1" w:rsidRPr="004012ED" w:rsidRDefault="002C7ED1" w:rsidP="007F5F1E">
      <w:pPr>
        <w:rPr>
          <w:rFonts w:ascii="Calibri" w:eastAsia="MS Mincho" w:hAnsi="Calibri" w:cs="Times New Roman"/>
        </w:rPr>
      </w:pPr>
      <w:r w:rsidRPr="00BD2209">
        <w:rPr>
          <w:rFonts w:ascii="Calibri" w:eastAsia="MS Mincho" w:hAnsi="Calibri" w:cs="Times New Roman"/>
        </w:rPr>
        <w:t>Thus it was</w:t>
      </w:r>
      <w:r>
        <w:rPr>
          <w:rFonts w:ascii="Calibri" w:eastAsia="MS Mincho" w:hAnsi="Calibri" w:cs="Times New Roman"/>
        </w:rPr>
        <w:t xml:space="preserve"> considered reasonable to exclude patients from the analysis if they appeared to have a prescriptions supplied more than 28 days after their DHS DoD. </w:t>
      </w:r>
      <w:r w:rsidRPr="004012ED">
        <w:rPr>
          <w:rFonts w:ascii="Calibri" w:eastAsia="MS Mincho" w:hAnsi="Calibri" w:cs="Times New Roman"/>
        </w:rPr>
        <w:t>Table</w:t>
      </w:r>
      <w:r>
        <w:rPr>
          <w:rFonts w:ascii="Calibri" w:eastAsia="MS Mincho" w:hAnsi="Calibri" w:cs="Times New Roman"/>
        </w:rPr>
        <w:t>s</w:t>
      </w:r>
      <w:r w:rsidRPr="004012ED">
        <w:rPr>
          <w:rFonts w:ascii="Calibri" w:eastAsia="MS Mincho" w:hAnsi="Calibri" w:cs="Times New Roman"/>
        </w:rPr>
        <w:t xml:space="preserve"> </w:t>
      </w:r>
      <w:r w:rsidR="008142F4">
        <w:rPr>
          <w:rFonts w:ascii="Calibri" w:eastAsia="MS Mincho" w:hAnsi="Calibri" w:cs="Times New Roman"/>
        </w:rPr>
        <w:t>C</w:t>
      </w:r>
      <w:r w:rsidRPr="004012ED">
        <w:rPr>
          <w:rFonts w:ascii="Calibri" w:eastAsia="MS Mincho" w:hAnsi="Calibri" w:cs="Times New Roman"/>
        </w:rPr>
        <w:t xml:space="preserve">3 and </w:t>
      </w:r>
      <w:r w:rsidR="008142F4">
        <w:rPr>
          <w:rFonts w:ascii="Calibri" w:eastAsia="MS Mincho" w:hAnsi="Calibri" w:cs="Times New Roman"/>
        </w:rPr>
        <w:t>C</w:t>
      </w:r>
      <w:r w:rsidRPr="004012ED">
        <w:rPr>
          <w:rFonts w:ascii="Calibri" w:eastAsia="MS Mincho" w:hAnsi="Calibri" w:cs="Times New Roman"/>
        </w:rPr>
        <w:t>4 show the proxy vs DHS patient status comparisons for pNET and non-pNET patients respectively after the removal of these patients.</w:t>
      </w:r>
    </w:p>
    <w:p w:rsidR="002C7ED1" w:rsidRPr="00174EA4" w:rsidRDefault="002C7ED1" w:rsidP="002C7ED1">
      <w:pPr>
        <w:spacing w:after="0"/>
        <w:rPr>
          <w:rFonts w:ascii="Calibri" w:eastAsia="MS Mincho" w:hAnsi="Calibri" w:cs="Times New Roman"/>
          <w:b/>
        </w:rPr>
      </w:pPr>
      <w:r w:rsidRPr="00174EA4">
        <w:rPr>
          <w:rFonts w:ascii="Calibri" w:eastAsia="MS Mincho" w:hAnsi="Calibri" w:cs="Times New Roman"/>
          <w:b/>
        </w:rPr>
        <w:t xml:space="preserve">Table </w:t>
      </w:r>
      <w:r w:rsidR="008142F4">
        <w:rPr>
          <w:rFonts w:ascii="Calibri" w:eastAsia="MS Mincho" w:hAnsi="Calibri" w:cs="Times New Roman"/>
          <w:b/>
        </w:rPr>
        <w:t>C</w:t>
      </w:r>
      <w:r>
        <w:rPr>
          <w:rFonts w:ascii="Calibri" w:eastAsia="MS Mincho" w:hAnsi="Calibri" w:cs="Times New Roman"/>
          <w:b/>
        </w:rPr>
        <w:t>3</w:t>
      </w:r>
      <w:r w:rsidRPr="00174EA4">
        <w:rPr>
          <w:rFonts w:ascii="Calibri" w:eastAsia="MS Mincho" w:hAnsi="Calibri" w:cs="Times New Roman"/>
          <w:b/>
        </w:rPr>
        <w:t>: Proxy vs DHS patient status</w:t>
      </w:r>
      <w:r>
        <w:rPr>
          <w:rFonts w:ascii="Calibri" w:eastAsia="MS Mincho" w:hAnsi="Calibri" w:cs="Times New Roman"/>
          <w:b/>
        </w:rPr>
        <w:t xml:space="preserve"> for Cohort pNET (excluding 4 patients with a prescription supply more than 28 days after DHS DoD)</w:t>
      </w:r>
    </w:p>
    <w:tbl>
      <w:tblPr>
        <w:tblW w:w="7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984"/>
        <w:gridCol w:w="1876"/>
        <w:gridCol w:w="1180"/>
      </w:tblGrid>
      <w:tr w:rsidR="002C7ED1" w:rsidRPr="00174EA4" w:rsidTr="002C7ED1">
        <w:trPr>
          <w:trHeight w:val="300"/>
        </w:trPr>
        <w:tc>
          <w:tcPr>
            <w:tcW w:w="200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p>
        </w:tc>
        <w:tc>
          <w:tcPr>
            <w:tcW w:w="3860" w:type="dxa"/>
            <w:gridSpan w:val="2"/>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Proxy patient status</w:t>
            </w:r>
          </w:p>
        </w:tc>
        <w:tc>
          <w:tcPr>
            <w:tcW w:w="118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p>
        </w:tc>
      </w:tr>
      <w:tr w:rsidR="002C7ED1" w:rsidRPr="00174EA4" w:rsidTr="002C7ED1">
        <w:trPr>
          <w:trHeight w:val="300"/>
        </w:trPr>
        <w:tc>
          <w:tcPr>
            <w:tcW w:w="200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sz w:val="22"/>
                <w:szCs w:val="22"/>
              </w:rPr>
              <w:t>DHS patient status</w:t>
            </w:r>
          </w:p>
        </w:tc>
        <w:tc>
          <w:tcPr>
            <w:tcW w:w="1984"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Alive</w:t>
            </w:r>
          </w:p>
        </w:tc>
        <w:tc>
          <w:tcPr>
            <w:tcW w:w="1876"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Dead</w:t>
            </w:r>
          </w:p>
        </w:tc>
        <w:tc>
          <w:tcPr>
            <w:tcW w:w="118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Total</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Alive</w:t>
            </w:r>
          </w:p>
        </w:tc>
        <w:tc>
          <w:tcPr>
            <w:tcW w:w="1984"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125</w:t>
            </w:r>
          </w:p>
        </w:tc>
        <w:tc>
          <w:tcPr>
            <w:tcW w:w="1876"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Pr>
                <w:rFonts w:ascii="Calibri" w:eastAsia="Times New Roman" w:hAnsi="Calibri" w:cs="Times New Roman"/>
                <w:sz w:val="22"/>
                <w:szCs w:val="22"/>
              </w:rPr>
              <w:t>7</w:t>
            </w:r>
          </w:p>
        </w:tc>
        <w:tc>
          <w:tcPr>
            <w:tcW w:w="118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13</w:t>
            </w:r>
            <w:r>
              <w:rPr>
                <w:rFonts w:ascii="Calibri" w:eastAsia="Times New Roman" w:hAnsi="Calibri" w:cs="Times New Roman"/>
                <w:sz w:val="22"/>
                <w:szCs w:val="22"/>
              </w:rPr>
              <w:t>2</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Dead</w:t>
            </w:r>
          </w:p>
        </w:tc>
        <w:tc>
          <w:tcPr>
            <w:tcW w:w="1984"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Pr>
                <w:rFonts w:ascii="Calibri" w:eastAsia="Times New Roman" w:hAnsi="Calibri" w:cs="Times New Roman"/>
                <w:sz w:val="22"/>
                <w:szCs w:val="22"/>
              </w:rPr>
              <w:t>0</w:t>
            </w:r>
          </w:p>
        </w:tc>
        <w:tc>
          <w:tcPr>
            <w:tcW w:w="1876"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Pr>
                <w:rFonts w:ascii="Calibri" w:eastAsia="Times New Roman" w:hAnsi="Calibri" w:cs="Times New Roman"/>
                <w:sz w:val="22"/>
                <w:szCs w:val="22"/>
              </w:rPr>
              <w:t>82</w:t>
            </w:r>
          </w:p>
        </w:tc>
        <w:tc>
          <w:tcPr>
            <w:tcW w:w="118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Pr>
                <w:rFonts w:ascii="Calibri" w:eastAsia="Times New Roman" w:hAnsi="Calibri" w:cs="Times New Roman"/>
                <w:sz w:val="22"/>
                <w:szCs w:val="22"/>
              </w:rPr>
              <w:t>82</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174EA4">
              <w:rPr>
                <w:rFonts w:ascii="Calibri" w:eastAsia="Times New Roman" w:hAnsi="Calibri" w:cs="Times New Roman"/>
                <w:b/>
                <w:bCs/>
                <w:color w:val="000000"/>
                <w:sz w:val="22"/>
                <w:szCs w:val="22"/>
              </w:rPr>
              <w:t>Total</w:t>
            </w:r>
          </w:p>
        </w:tc>
        <w:tc>
          <w:tcPr>
            <w:tcW w:w="1984"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174EA4">
              <w:rPr>
                <w:rFonts w:ascii="Calibri" w:eastAsia="Times New Roman" w:hAnsi="Calibri" w:cs="Times New Roman"/>
                <w:b/>
                <w:bCs/>
                <w:color w:val="000000"/>
                <w:sz w:val="22"/>
                <w:szCs w:val="22"/>
              </w:rPr>
              <w:t>12</w:t>
            </w:r>
            <w:r>
              <w:rPr>
                <w:rFonts w:ascii="Calibri" w:eastAsia="Times New Roman" w:hAnsi="Calibri" w:cs="Times New Roman"/>
                <w:b/>
                <w:bCs/>
                <w:color w:val="000000"/>
                <w:sz w:val="22"/>
                <w:szCs w:val="22"/>
              </w:rPr>
              <w:t>5</w:t>
            </w:r>
          </w:p>
        </w:tc>
        <w:tc>
          <w:tcPr>
            <w:tcW w:w="1876"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89</w:t>
            </w:r>
          </w:p>
        </w:tc>
        <w:tc>
          <w:tcPr>
            <w:tcW w:w="118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214</w:t>
            </w:r>
          </w:p>
        </w:tc>
      </w:tr>
    </w:tbl>
    <w:p w:rsidR="002C7ED1" w:rsidRDefault="002C7ED1" w:rsidP="002C7ED1">
      <w:pPr>
        <w:spacing w:after="0"/>
        <w:rPr>
          <w:rFonts w:ascii="Calibri" w:eastAsia="MS Mincho" w:hAnsi="Calibri" w:cs="Times New Roman"/>
        </w:rPr>
      </w:pPr>
    </w:p>
    <w:p w:rsidR="002C7ED1" w:rsidRPr="00FA1069" w:rsidRDefault="002C7ED1" w:rsidP="002C7ED1">
      <w:pPr>
        <w:rPr>
          <w:rFonts w:ascii="Calibri" w:eastAsia="MS Mincho" w:hAnsi="Calibri" w:cs="Times New Roman"/>
        </w:rPr>
      </w:pPr>
      <w:r w:rsidRPr="00FA1069">
        <w:rPr>
          <w:rFonts w:ascii="Calibri" w:eastAsia="MS Mincho" w:hAnsi="Calibri" w:cs="Times New Roman"/>
        </w:rPr>
        <w:t>After the exclusion of patients</w:t>
      </w:r>
      <w:r>
        <w:rPr>
          <w:rFonts w:ascii="Calibri" w:eastAsia="MS Mincho" w:hAnsi="Calibri" w:cs="Times New Roman"/>
        </w:rPr>
        <w:t>,</w:t>
      </w:r>
      <w:r w:rsidRPr="00FA1069">
        <w:rPr>
          <w:rFonts w:ascii="Calibri" w:eastAsia="MS Mincho" w:hAnsi="Calibri" w:cs="Times New Roman"/>
        </w:rPr>
        <w:t xml:space="preserve"> the agreement rate between the two measures increased slightly to 96.7% (i</w:t>
      </w:r>
      <w:r w:rsidR="008142F4">
        <w:rPr>
          <w:rFonts w:ascii="Calibri" w:eastAsia="MS Mincho" w:hAnsi="Calibri" w:cs="Times New Roman"/>
        </w:rPr>
        <w:t>.</w:t>
      </w:r>
      <w:r w:rsidRPr="00FA1069">
        <w:rPr>
          <w:rFonts w:ascii="Calibri" w:eastAsia="MS Mincho" w:hAnsi="Calibri" w:cs="Times New Roman"/>
        </w:rPr>
        <w:t xml:space="preserve">e. (125 + 82) / 214 ). The one instance of proxy </w:t>
      </w:r>
      <w:r>
        <w:rPr>
          <w:rFonts w:ascii="Calibri" w:eastAsia="MS Mincho" w:hAnsi="Calibri" w:cs="Times New Roman"/>
        </w:rPr>
        <w:t xml:space="preserve">status </w:t>
      </w:r>
      <w:r w:rsidRPr="00FA1069">
        <w:rPr>
          <w:rFonts w:ascii="Calibri" w:eastAsia="MS Mincho" w:hAnsi="Calibri" w:cs="Times New Roman"/>
        </w:rPr>
        <w:t xml:space="preserve">= Alive and DHS status = Dead in Table </w:t>
      </w:r>
      <w:r w:rsidR="008142F4">
        <w:rPr>
          <w:rFonts w:ascii="Calibri" w:eastAsia="MS Mincho" w:hAnsi="Calibri" w:cs="Times New Roman"/>
        </w:rPr>
        <w:t>C</w:t>
      </w:r>
      <w:r w:rsidRPr="00FA1069">
        <w:rPr>
          <w:rFonts w:ascii="Calibri" w:eastAsia="MS Mincho" w:hAnsi="Calibri" w:cs="Times New Roman"/>
        </w:rPr>
        <w:t xml:space="preserve">1 has now been removed in Table </w:t>
      </w:r>
      <w:r w:rsidR="008142F4">
        <w:rPr>
          <w:rFonts w:ascii="Calibri" w:eastAsia="MS Mincho" w:hAnsi="Calibri" w:cs="Times New Roman"/>
        </w:rPr>
        <w:t>C</w:t>
      </w:r>
      <w:r w:rsidRPr="00FA1069">
        <w:rPr>
          <w:rFonts w:ascii="Calibri" w:eastAsia="MS Mincho" w:hAnsi="Calibri" w:cs="Times New Roman"/>
        </w:rPr>
        <w:t>3.</w:t>
      </w:r>
    </w:p>
    <w:p w:rsidR="002C7ED1" w:rsidRPr="00174EA4" w:rsidRDefault="002C7ED1" w:rsidP="002C7ED1">
      <w:pPr>
        <w:spacing w:after="0"/>
        <w:rPr>
          <w:rFonts w:ascii="Calibri" w:eastAsia="MS Mincho" w:hAnsi="Calibri" w:cs="Times New Roman"/>
          <w:b/>
        </w:rPr>
      </w:pPr>
      <w:r w:rsidRPr="00174EA4">
        <w:rPr>
          <w:rFonts w:ascii="Calibri" w:eastAsia="MS Mincho" w:hAnsi="Calibri" w:cs="Times New Roman"/>
          <w:b/>
        </w:rPr>
        <w:t xml:space="preserve">Table </w:t>
      </w:r>
      <w:r w:rsidR="008142F4">
        <w:rPr>
          <w:rFonts w:ascii="Calibri" w:eastAsia="MS Mincho" w:hAnsi="Calibri" w:cs="Times New Roman"/>
          <w:b/>
        </w:rPr>
        <w:t>C</w:t>
      </w:r>
      <w:r>
        <w:rPr>
          <w:rFonts w:ascii="Calibri" w:eastAsia="MS Mincho" w:hAnsi="Calibri" w:cs="Times New Roman"/>
          <w:b/>
        </w:rPr>
        <w:t>4</w:t>
      </w:r>
      <w:r w:rsidRPr="00174EA4">
        <w:rPr>
          <w:rFonts w:ascii="Calibri" w:eastAsia="MS Mincho" w:hAnsi="Calibri" w:cs="Times New Roman"/>
          <w:b/>
        </w:rPr>
        <w:t>: Proxy vs DHS patient status</w:t>
      </w:r>
      <w:r>
        <w:rPr>
          <w:rFonts w:ascii="Calibri" w:eastAsia="MS Mincho" w:hAnsi="Calibri" w:cs="Times New Roman"/>
          <w:b/>
        </w:rPr>
        <w:t xml:space="preserve"> for Cohort non-pNET (excluding 130 patients with prescription supply more than 28 days after DHS DoD)</w:t>
      </w:r>
    </w:p>
    <w:tbl>
      <w:tblPr>
        <w:tblW w:w="7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984"/>
        <w:gridCol w:w="1876"/>
        <w:gridCol w:w="1180"/>
      </w:tblGrid>
      <w:tr w:rsidR="002C7ED1" w:rsidRPr="00174EA4" w:rsidTr="002C7ED1">
        <w:trPr>
          <w:trHeight w:val="300"/>
        </w:trPr>
        <w:tc>
          <w:tcPr>
            <w:tcW w:w="200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p>
        </w:tc>
        <w:tc>
          <w:tcPr>
            <w:tcW w:w="3860" w:type="dxa"/>
            <w:gridSpan w:val="2"/>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Proxy patient status</w:t>
            </w:r>
          </w:p>
        </w:tc>
        <w:tc>
          <w:tcPr>
            <w:tcW w:w="118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p>
        </w:tc>
      </w:tr>
      <w:tr w:rsidR="002C7ED1" w:rsidRPr="00174EA4" w:rsidTr="002C7ED1">
        <w:trPr>
          <w:trHeight w:val="300"/>
        </w:trPr>
        <w:tc>
          <w:tcPr>
            <w:tcW w:w="200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sz w:val="22"/>
                <w:szCs w:val="22"/>
              </w:rPr>
              <w:t>DHS patient status</w:t>
            </w:r>
          </w:p>
        </w:tc>
        <w:tc>
          <w:tcPr>
            <w:tcW w:w="1984"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Alive</w:t>
            </w:r>
          </w:p>
        </w:tc>
        <w:tc>
          <w:tcPr>
            <w:tcW w:w="1876"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Dead</w:t>
            </w:r>
          </w:p>
        </w:tc>
        <w:tc>
          <w:tcPr>
            <w:tcW w:w="1180" w:type="dxa"/>
            <w:shd w:val="clear" w:color="auto" w:fill="BFBFBF" w:themeFill="background1" w:themeFillShade="BF"/>
            <w:noWrap/>
            <w:vAlign w:val="center"/>
            <w:hideMark/>
          </w:tcPr>
          <w:p w:rsidR="002C7ED1" w:rsidRPr="00174EA4" w:rsidRDefault="002C7ED1" w:rsidP="002C7ED1">
            <w:pPr>
              <w:spacing w:after="0"/>
              <w:jc w:val="center"/>
              <w:rPr>
                <w:rFonts w:ascii="Calibri" w:eastAsia="Times New Roman" w:hAnsi="Calibri" w:cs="Times New Roman"/>
                <w:b/>
                <w:bCs/>
                <w:sz w:val="22"/>
                <w:szCs w:val="22"/>
              </w:rPr>
            </w:pPr>
            <w:r w:rsidRPr="00174EA4">
              <w:rPr>
                <w:rFonts w:ascii="Calibri" w:eastAsia="Times New Roman" w:hAnsi="Calibri" w:cs="Times New Roman"/>
                <w:b/>
                <w:bCs/>
                <w:sz w:val="22"/>
                <w:szCs w:val="22"/>
              </w:rPr>
              <w:t>Total</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Alive</w:t>
            </w:r>
          </w:p>
        </w:tc>
        <w:tc>
          <w:tcPr>
            <w:tcW w:w="1984"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A1069">
              <w:rPr>
                <w:sz w:val="22"/>
                <w:szCs w:val="22"/>
              </w:rPr>
              <w:t xml:space="preserve"> 3,630 </w:t>
            </w:r>
          </w:p>
        </w:tc>
        <w:tc>
          <w:tcPr>
            <w:tcW w:w="1876"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A1069">
              <w:rPr>
                <w:sz w:val="22"/>
                <w:szCs w:val="22"/>
              </w:rPr>
              <w:t xml:space="preserve"> 210 </w:t>
            </w:r>
          </w:p>
        </w:tc>
        <w:tc>
          <w:tcPr>
            <w:tcW w:w="1180"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A1069">
              <w:rPr>
                <w:sz w:val="22"/>
                <w:szCs w:val="22"/>
              </w:rPr>
              <w:t xml:space="preserve"> 3,840 </w:t>
            </w:r>
          </w:p>
        </w:tc>
      </w:tr>
      <w:tr w:rsidR="002C7ED1" w:rsidRPr="00174EA4"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sz w:val="22"/>
                <w:szCs w:val="22"/>
              </w:rPr>
            </w:pPr>
            <w:r w:rsidRPr="00174EA4">
              <w:rPr>
                <w:rFonts w:ascii="Calibri" w:eastAsia="Times New Roman" w:hAnsi="Calibri" w:cs="Times New Roman"/>
                <w:sz w:val="22"/>
                <w:szCs w:val="22"/>
              </w:rPr>
              <w:t>Dead</w:t>
            </w:r>
          </w:p>
        </w:tc>
        <w:tc>
          <w:tcPr>
            <w:tcW w:w="1984"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A1069">
              <w:rPr>
                <w:sz w:val="22"/>
                <w:szCs w:val="22"/>
              </w:rPr>
              <w:t xml:space="preserve"> 3 </w:t>
            </w:r>
          </w:p>
        </w:tc>
        <w:tc>
          <w:tcPr>
            <w:tcW w:w="1876"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A1069">
              <w:rPr>
                <w:sz w:val="22"/>
                <w:szCs w:val="22"/>
              </w:rPr>
              <w:t xml:space="preserve"> 2,575 </w:t>
            </w:r>
          </w:p>
        </w:tc>
        <w:tc>
          <w:tcPr>
            <w:tcW w:w="1180" w:type="dxa"/>
            <w:shd w:val="clear" w:color="auto" w:fill="auto"/>
            <w:noWrap/>
            <w:hideMark/>
          </w:tcPr>
          <w:p w:rsidR="002C7ED1" w:rsidRPr="00174EA4" w:rsidRDefault="002C7ED1" w:rsidP="002C7ED1">
            <w:pPr>
              <w:spacing w:after="0"/>
              <w:jc w:val="center"/>
              <w:rPr>
                <w:rFonts w:ascii="Calibri" w:eastAsia="Times New Roman" w:hAnsi="Calibri" w:cs="Times New Roman"/>
                <w:sz w:val="22"/>
                <w:szCs w:val="22"/>
              </w:rPr>
            </w:pPr>
            <w:r w:rsidRPr="00FA1069">
              <w:rPr>
                <w:sz w:val="22"/>
                <w:szCs w:val="22"/>
              </w:rPr>
              <w:t xml:space="preserve"> 2,578 </w:t>
            </w:r>
          </w:p>
        </w:tc>
      </w:tr>
      <w:tr w:rsidR="002C7ED1" w:rsidRPr="00FA1069" w:rsidTr="002C7ED1">
        <w:trPr>
          <w:trHeight w:val="300"/>
        </w:trPr>
        <w:tc>
          <w:tcPr>
            <w:tcW w:w="2000" w:type="dxa"/>
            <w:shd w:val="clear" w:color="auto" w:fill="auto"/>
            <w:noWrap/>
            <w:vAlign w:val="center"/>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174EA4">
              <w:rPr>
                <w:rFonts w:ascii="Calibri" w:eastAsia="Times New Roman" w:hAnsi="Calibri" w:cs="Times New Roman"/>
                <w:b/>
                <w:bCs/>
                <w:color w:val="000000"/>
                <w:sz w:val="22"/>
                <w:szCs w:val="22"/>
              </w:rPr>
              <w:t>Total</w:t>
            </w:r>
          </w:p>
        </w:tc>
        <w:tc>
          <w:tcPr>
            <w:tcW w:w="1984" w:type="dxa"/>
            <w:shd w:val="clear" w:color="auto" w:fill="auto"/>
            <w:noWrap/>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FA1069">
              <w:rPr>
                <w:b/>
                <w:sz w:val="22"/>
                <w:szCs w:val="22"/>
              </w:rPr>
              <w:t xml:space="preserve"> 3,633 </w:t>
            </w:r>
          </w:p>
        </w:tc>
        <w:tc>
          <w:tcPr>
            <w:tcW w:w="1876" w:type="dxa"/>
            <w:shd w:val="clear" w:color="auto" w:fill="auto"/>
            <w:noWrap/>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FA1069">
              <w:rPr>
                <w:b/>
                <w:sz w:val="22"/>
                <w:szCs w:val="22"/>
              </w:rPr>
              <w:t xml:space="preserve"> 2,785 </w:t>
            </w:r>
          </w:p>
        </w:tc>
        <w:tc>
          <w:tcPr>
            <w:tcW w:w="1180" w:type="dxa"/>
            <w:shd w:val="clear" w:color="auto" w:fill="auto"/>
            <w:noWrap/>
            <w:hideMark/>
          </w:tcPr>
          <w:p w:rsidR="002C7ED1" w:rsidRPr="00174EA4" w:rsidRDefault="002C7ED1" w:rsidP="002C7ED1">
            <w:pPr>
              <w:spacing w:after="0"/>
              <w:jc w:val="center"/>
              <w:rPr>
                <w:rFonts w:ascii="Calibri" w:eastAsia="Times New Roman" w:hAnsi="Calibri" w:cs="Times New Roman"/>
                <w:b/>
                <w:bCs/>
                <w:color w:val="000000"/>
                <w:sz w:val="22"/>
                <w:szCs w:val="22"/>
              </w:rPr>
            </w:pPr>
            <w:r w:rsidRPr="00FA1069">
              <w:rPr>
                <w:b/>
                <w:sz w:val="22"/>
                <w:szCs w:val="22"/>
              </w:rPr>
              <w:t xml:space="preserve"> 6,418 </w:t>
            </w:r>
          </w:p>
        </w:tc>
      </w:tr>
    </w:tbl>
    <w:p w:rsidR="002C7ED1" w:rsidRDefault="002C7ED1" w:rsidP="002C7ED1">
      <w:pPr>
        <w:spacing w:after="0"/>
        <w:rPr>
          <w:rFonts w:ascii="Calibri" w:eastAsia="MS Mincho" w:hAnsi="Calibri" w:cs="Times New Roman"/>
        </w:rPr>
      </w:pPr>
    </w:p>
    <w:p w:rsidR="002C7ED1" w:rsidRDefault="002C7ED1" w:rsidP="002C7ED1">
      <w:pPr>
        <w:rPr>
          <w:rFonts w:ascii="Calibri" w:eastAsia="MS Mincho" w:hAnsi="Calibri" w:cs="Times New Roman"/>
        </w:rPr>
      </w:pPr>
      <w:r>
        <w:rPr>
          <w:rFonts w:ascii="Calibri" w:eastAsia="MS Mincho" w:hAnsi="Calibri" w:cs="Times New Roman"/>
        </w:rPr>
        <w:t>After the exclusion of patients, the agreement rate between the two measures increased slightly to 96.7% (i</w:t>
      </w:r>
      <w:r w:rsidR="008142F4">
        <w:rPr>
          <w:rFonts w:ascii="Calibri" w:eastAsia="MS Mincho" w:hAnsi="Calibri" w:cs="Times New Roman"/>
        </w:rPr>
        <w:t>.</w:t>
      </w:r>
      <w:r>
        <w:rPr>
          <w:rFonts w:ascii="Calibri" w:eastAsia="MS Mincho" w:hAnsi="Calibri" w:cs="Times New Roman"/>
        </w:rPr>
        <w:t xml:space="preserve">e. (3,630 + 2,2,575) / 6,418). The 15 instances of proxy status = Alive and DHS status = Dead in Table </w:t>
      </w:r>
      <w:r w:rsidR="008142F4">
        <w:rPr>
          <w:rFonts w:ascii="Calibri" w:eastAsia="MS Mincho" w:hAnsi="Calibri" w:cs="Times New Roman"/>
        </w:rPr>
        <w:t>C</w:t>
      </w:r>
      <w:r>
        <w:rPr>
          <w:rFonts w:ascii="Calibri" w:eastAsia="MS Mincho" w:hAnsi="Calibri" w:cs="Times New Roman"/>
        </w:rPr>
        <w:t xml:space="preserve">2 was reduced to 3 in Table </w:t>
      </w:r>
      <w:r w:rsidR="008142F4">
        <w:rPr>
          <w:rFonts w:ascii="Calibri" w:eastAsia="MS Mincho" w:hAnsi="Calibri" w:cs="Times New Roman"/>
        </w:rPr>
        <w:t>C</w:t>
      </w:r>
      <w:r>
        <w:rPr>
          <w:rFonts w:ascii="Calibri" w:eastAsia="MS Mincho" w:hAnsi="Calibri" w:cs="Times New Roman"/>
        </w:rPr>
        <w:t>4.</w:t>
      </w:r>
    </w:p>
    <w:p w:rsidR="002C7ED1" w:rsidRPr="00AF05F9" w:rsidRDefault="002C7ED1" w:rsidP="002C7ED1">
      <w:pPr>
        <w:rPr>
          <w:rFonts w:ascii="Calibri" w:eastAsia="MS Mincho" w:hAnsi="Calibri" w:cs="Times New Roman"/>
          <w:sz w:val="22"/>
        </w:rPr>
      </w:pPr>
      <w:r w:rsidRPr="00AF05F9">
        <w:rPr>
          <w:rFonts w:ascii="Calibri" w:eastAsia="MS Mincho" w:hAnsi="Calibri" w:cs="Times New Roman"/>
          <w:b/>
        </w:rPr>
        <w:t>2. Difference between proxy DoD and DHS DoD.</w:t>
      </w:r>
    </w:p>
    <w:p w:rsidR="002C7ED1" w:rsidRDefault="002C7ED1" w:rsidP="002C7ED1">
      <w:pPr>
        <w:rPr>
          <w:rFonts w:ascii="Calibri" w:eastAsia="MS Mincho" w:hAnsi="Calibri" w:cs="Times New Roman"/>
        </w:rPr>
      </w:pPr>
      <w:r>
        <w:rPr>
          <w:rFonts w:ascii="Calibri" w:eastAsia="MS Mincho" w:hAnsi="Calibri" w:cs="Times New Roman"/>
        </w:rPr>
        <w:t xml:space="preserve">For patients where the proxy and DHS patient status both are “Dead”, the difference between the dates of death in days is summarised in Table </w:t>
      </w:r>
      <w:r w:rsidR="0012403E">
        <w:rPr>
          <w:rFonts w:ascii="Calibri" w:eastAsia="MS Mincho" w:hAnsi="Calibri" w:cs="Times New Roman"/>
        </w:rPr>
        <w:t>C</w:t>
      </w:r>
      <w:r>
        <w:rPr>
          <w:rFonts w:ascii="Calibri" w:eastAsia="MS Mincho" w:hAnsi="Calibri" w:cs="Times New Roman"/>
        </w:rPr>
        <w:t>5.</w:t>
      </w:r>
    </w:p>
    <w:p w:rsidR="002C7ED1" w:rsidRPr="00242317" w:rsidRDefault="002C7ED1" w:rsidP="002C7ED1">
      <w:pPr>
        <w:spacing w:after="0"/>
        <w:rPr>
          <w:rFonts w:ascii="Calibri" w:eastAsia="MS Mincho" w:hAnsi="Calibri" w:cs="Times New Roman"/>
          <w:b/>
        </w:rPr>
      </w:pPr>
      <w:r w:rsidRPr="00242317">
        <w:rPr>
          <w:rFonts w:ascii="Calibri" w:eastAsia="MS Mincho" w:hAnsi="Calibri" w:cs="Times New Roman"/>
          <w:b/>
        </w:rPr>
        <w:t xml:space="preserve">Table </w:t>
      </w:r>
      <w:r w:rsidR="008142F4">
        <w:rPr>
          <w:rFonts w:ascii="Calibri" w:eastAsia="MS Mincho" w:hAnsi="Calibri" w:cs="Times New Roman"/>
          <w:b/>
        </w:rPr>
        <w:t>C</w:t>
      </w:r>
      <w:r w:rsidRPr="00242317">
        <w:rPr>
          <w:rFonts w:ascii="Calibri" w:eastAsia="MS Mincho" w:hAnsi="Calibri" w:cs="Times New Roman"/>
          <w:b/>
        </w:rPr>
        <w:t>5: Days from proxy DoD to DHS DoD</w:t>
      </w:r>
    </w:p>
    <w:tbl>
      <w:tblPr>
        <w:tblW w:w="5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960"/>
        <w:gridCol w:w="1053"/>
        <w:gridCol w:w="960"/>
        <w:gridCol w:w="960"/>
      </w:tblGrid>
      <w:tr w:rsidR="002C7ED1" w:rsidRPr="00242317" w:rsidTr="002C7ED1">
        <w:trPr>
          <w:trHeight w:val="300"/>
        </w:trPr>
        <w:tc>
          <w:tcPr>
            <w:tcW w:w="1871" w:type="dxa"/>
            <w:shd w:val="clear" w:color="auto" w:fill="BFBFBF" w:themeFill="background1" w:themeFillShade="BF"/>
            <w:noWrap/>
            <w:vAlign w:val="bottom"/>
            <w:hideMark/>
          </w:tcPr>
          <w:p w:rsidR="002C7ED1" w:rsidRPr="00242317" w:rsidRDefault="002C7ED1" w:rsidP="002C7ED1">
            <w:pPr>
              <w:spacing w:after="0"/>
              <w:rPr>
                <w:rFonts w:ascii="Calibri" w:eastAsia="Times New Roman" w:hAnsi="Calibri" w:cs="Times New Roman"/>
                <w:b/>
                <w:sz w:val="22"/>
                <w:szCs w:val="22"/>
              </w:rPr>
            </w:pPr>
            <w:r w:rsidRPr="00242317">
              <w:rPr>
                <w:rFonts w:ascii="Calibri" w:eastAsia="Times New Roman" w:hAnsi="Calibri" w:cs="Times New Roman"/>
                <w:b/>
                <w:sz w:val="22"/>
                <w:szCs w:val="22"/>
              </w:rPr>
              <w:t>Cohort</w:t>
            </w:r>
          </w:p>
        </w:tc>
        <w:tc>
          <w:tcPr>
            <w:tcW w:w="960" w:type="dxa"/>
            <w:shd w:val="clear" w:color="auto" w:fill="BFBFBF" w:themeFill="background1" w:themeFillShade="BF"/>
            <w:noWrap/>
            <w:vAlign w:val="center"/>
            <w:hideMark/>
          </w:tcPr>
          <w:p w:rsidR="002C7ED1" w:rsidRPr="00242317" w:rsidRDefault="002C7ED1" w:rsidP="002C7ED1">
            <w:pPr>
              <w:spacing w:after="0"/>
              <w:jc w:val="center"/>
              <w:rPr>
                <w:rFonts w:ascii="Calibri" w:eastAsia="Times New Roman" w:hAnsi="Calibri" w:cs="Times New Roman"/>
                <w:b/>
                <w:sz w:val="22"/>
                <w:szCs w:val="22"/>
              </w:rPr>
            </w:pPr>
            <w:r w:rsidRPr="00242317">
              <w:rPr>
                <w:rFonts w:ascii="Calibri" w:eastAsia="Times New Roman" w:hAnsi="Calibri" w:cs="Times New Roman"/>
                <w:b/>
                <w:sz w:val="22"/>
                <w:szCs w:val="22"/>
              </w:rPr>
              <w:t>n</w:t>
            </w:r>
          </w:p>
        </w:tc>
        <w:tc>
          <w:tcPr>
            <w:tcW w:w="1053" w:type="dxa"/>
            <w:shd w:val="clear" w:color="auto" w:fill="BFBFBF" w:themeFill="background1" w:themeFillShade="BF"/>
            <w:noWrap/>
            <w:vAlign w:val="center"/>
            <w:hideMark/>
          </w:tcPr>
          <w:p w:rsidR="002C7ED1" w:rsidRPr="00242317" w:rsidRDefault="002C7ED1" w:rsidP="002C7ED1">
            <w:pPr>
              <w:spacing w:after="0"/>
              <w:jc w:val="center"/>
              <w:rPr>
                <w:rFonts w:ascii="Calibri" w:eastAsia="Times New Roman" w:hAnsi="Calibri" w:cs="Times New Roman"/>
                <w:b/>
                <w:sz w:val="22"/>
                <w:szCs w:val="22"/>
              </w:rPr>
            </w:pPr>
            <w:r w:rsidRPr="00242317">
              <w:rPr>
                <w:rFonts w:ascii="Calibri" w:eastAsia="Times New Roman" w:hAnsi="Calibri" w:cs="Times New Roman"/>
                <w:b/>
                <w:sz w:val="22"/>
                <w:szCs w:val="22"/>
              </w:rPr>
              <w:t>mean</w:t>
            </w:r>
          </w:p>
        </w:tc>
        <w:tc>
          <w:tcPr>
            <w:tcW w:w="960" w:type="dxa"/>
            <w:shd w:val="clear" w:color="auto" w:fill="BFBFBF" w:themeFill="background1" w:themeFillShade="BF"/>
            <w:noWrap/>
            <w:vAlign w:val="center"/>
            <w:hideMark/>
          </w:tcPr>
          <w:p w:rsidR="002C7ED1" w:rsidRPr="00242317" w:rsidRDefault="002C7ED1" w:rsidP="002C7ED1">
            <w:pPr>
              <w:spacing w:after="0"/>
              <w:jc w:val="center"/>
              <w:rPr>
                <w:rFonts w:ascii="Calibri" w:eastAsia="Times New Roman" w:hAnsi="Calibri" w:cs="Times New Roman"/>
                <w:b/>
                <w:sz w:val="22"/>
                <w:szCs w:val="22"/>
              </w:rPr>
            </w:pPr>
            <w:r w:rsidRPr="00242317">
              <w:rPr>
                <w:rFonts w:ascii="Calibri" w:eastAsia="Times New Roman" w:hAnsi="Calibri" w:cs="Times New Roman"/>
                <w:b/>
                <w:sz w:val="22"/>
                <w:szCs w:val="22"/>
              </w:rPr>
              <w:t>mode</w:t>
            </w:r>
          </w:p>
        </w:tc>
        <w:tc>
          <w:tcPr>
            <w:tcW w:w="960" w:type="dxa"/>
            <w:shd w:val="clear" w:color="auto" w:fill="BFBFBF" w:themeFill="background1" w:themeFillShade="BF"/>
            <w:noWrap/>
            <w:vAlign w:val="center"/>
            <w:hideMark/>
          </w:tcPr>
          <w:p w:rsidR="002C7ED1" w:rsidRPr="00242317" w:rsidRDefault="002C7ED1" w:rsidP="002C7ED1">
            <w:pPr>
              <w:spacing w:after="0"/>
              <w:jc w:val="center"/>
              <w:rPr>
                <w:rFonts w:ascii="Calibri" w:eastAsia="Times New Roman" w:hAnsi="Calibri" w:cs="Times New Roman"/>
                <w:b/>
                <w:sz w:val="22"/>
                <w:szCs w:val="22"/>
              </w:rPr>
            </w:pPr>
            <w:r w:rsidRPr="00242317">
              <w:rPr>
                <w:rFonts w:ascii="Calibri" w:eastAsia="Times New Roman" w:hAnsi="Calibri" w:cs="Times New Roman"/>
                <w:b/>
                <w:sz w:val="22"/>
                <w:szCs w:val="22"/>
              </w:rPr>
              <w:t>median</w:t>
            </w:r>
          </w:p>
        </w:tc>
      </w:tr>
      <w:tr w:rsidR="002C7ED1" w:rsidRPr="00242317" w:rsidTr="002C7ED1">
        <w:trPr>
          <w:trHeight w:val="300"/>
        </w:trPr>
        <w:tc>
          <w:tcPr>
            <w:tcW w:w="1871" w:type="dxa"/>
            <w:shd w:val="clear" w:color="auto" w:fill="auto"/>
            <w:noWrap/>
            <w:vAlign w:val="bottom"/>
            <w:hideMark/>
          </w:tcPr>
          <w:p w:rsidR="002C7ED1" w:rsidRPr="00242317" w:rsidRDefault="002C7ED1" w:rsidP="002C7ED1">
            <w:pPr>
              <w:spacing w:after="0"/>
              <w:rPr>
                <w:rFonts w:ascii="Calibri" w:eastAsia="Times New Roman" w:hAnsi="Calibri" w:cs="Times New Roman"/>
                <w:sz w:val="22"/>
                <w:szCs w:val="22"/>
              </w:rPr>
            </w:pPr>
            <w:r>
              <w:rPr>
                <w:rFonts w:ascii="Calibri" w:eastAsia="Times New Roman" w:hAnsi="Calibri" w:cs="Times New Roman"/>
                <w:sz w:val="22"/>
                <w:szCs w:val="22"/>
              </w:rPr>
              <w:t xml:space="preserve">pNET </w:t>
            </w:r>
          </w:p>
        </w:tc>
        <w:tc>
          <w:tcPr>
            <w:tcW w:w="960" w:type="dxa"/>
            <w:shd w:val="clear" w:color="auto" w:fill="auto"/>
            <w:noWrap/>
            <w:vAlign w:val="center"/>
            <w:hideMark/>
          </w:tcPr>
          <w:p w:rsidR="002C7ED1" w:rsidRPr="00242317" w:rsidRDefault="002C7ED1" w:rsidP="002C7ED1">
            <w:pPr>
              <w:spacing w:after="0"/>
              <w:jc w:val="center"/>
              <w:rPr>
                <w:rFonts w:ascii="Calibri" w:eastAsia="Times New Roman" w:hAnsi="Calibri" w:cs="Times New Roman"/>
                <w:sz w:val="22"/>
                <w:szCs w:val="22"/>
              </w:rPr>
            </w:pPr>
            <w:r w:rsidRPr="00242317">
              <w:rPr>
                <w:rFonts w:ascii="Calibri" w:eastAsia="Times New Roman" w:hAnsi="Calibri" w:cs="Times New Roman"/>
                <w:sz w:val="22"/>
                <w:szCs w:val="22"/>
              </w:rPr>
              <w:t>82</w:t>
            </w:r>
          </w:p>
        </w:tc>
        <w:tc>
          <w:tcPr>
            <w:tcW w:w="1053" w:type="dxa"/>
            <w:shd w:val="clear" w:color="auto" w:fill="auto"/>
            <w:noWrap/>
            <w:vAlign w:val="center"/>
            <w:hideMark/>
          </w:tcPr>
          <w:p w:rsidR="002C7ED1" w:rsidRPr="00242317" w:rsidRDefault="002C7ED1" w:rsidP="002C7ED1">
            <w:pPr>
              <w:spacing w:after="0"/>
              <w:jc w:val="center"/>
              <w:rPr>
                <w:rFonts w:ascii="Calibri" w:eastAsia="Times New Roman" w:hAnsi="Calibri" w:cs="Times New Roman"/>
                <w:sz w:val="22"/>
                <w:szCs w:val="22"/>
              </w:rPr>
            </w:pPr>
            <w:r w:rsidRPr="00242317">
              <w:rPr>
                <w:rFonts w:ascii="Calibri" w:eastAsia="Times New Roman" w:hAnsi="Calibri" w:cs="Times New Roman"/>
                <w:sz w:val="22"/>
                <w:szCs w:val="22"/>
              </w:rPr>
              <w:t>2.4</w:t>
            </w:r>
          </w:p>
        </w:tc>
        <w:tc>
          <w:tcPr>
            <w:tcW w:w="960" w:type="dxa"/>
            <w:shd w:val="clear" w:color="auto" w:fill="auto"/>
            <w:noWrap/>
            <w:vAlign w:val="center"/>
            <w:hideMark/>
          </w:tcPr>
          <w:p w:rsidR="002C7ED1" w:rsidRPr="00242317" w:rsidRDefault="002C7ED1" w:rsidP="002C7ED1">
            <w:pPr>
              <w:spacing w:after="0"/>
              <w:jc w:val="center"/>
              <w:rPr>
                <w:rFonts w:ascii="Calibri" w:eastAsia="Times New Roman" w:hAnsi="Calibri" w:cs="Times New Roman"/>
                <w:sz w:val="22"/>
                <w:szCs w:val="22"/>
              </w:rPr>
            </w:pPr>
            <w:r w:rsidRPr="00242317">
              <w:rPr>
                <w:rFonts w:ascii="Calibri" w:eastAsia="Times New Roman" w:hAnsi="Calibri" w:cs="Times New Roman"/>
                <w:sz w:val="22"/>
                <w:szCs w:val="22"/>
              </w:rPr>
              <w:t>-6</w:t>
            </w:r>
          </w:p>
        </w:tc>
        <w:tc>
          <w:tcPr>
            <w:tcW w:w="960" w:type="dxa"/>
            <w:shd w:val="clear" w:color="auto" w:fill="auto"/>
            <w:noWrap/>
            <w:vAlign w:val="center"/>
            <w:hideMark/>
          </w:tcPr>
          <w:p w:rsidR="002C7ED1" w:rsidRPr="00242317" w:rsidRDefault="002C7ED1" w:rsidP="002C7ED1">
            <w:pPr>
              <w:spacing w:after="0"/>
              <w:jc w:val="center"/>
              <w:rPr>
                <w:rFonts w:ascii="Calibri" w:eastAsia="Times New Roman" w:hAnsi="Calibri" w:cs="Times New Roman"/>
                <w:sz w:val="22"/>
                <w:szCs w:val="22"/>
              </w:rPr>
            </w:pPr>
            <w:r w:rsidRPr="00242317">
              <w:rPr>
                <w:rFonts w:ascii="Calibri" w:eastAsia="Times New Roman" w:hAnsi="Calibri" w:cs="Times New Roman"/>
                <w:sz w:val="22"/>
                <w:szCs w:val="22"/>
              </w:rPr>
              <w:t>-2</w:t>
            </w:r>
          </w:p>
        </w:tc>
      </w:tr>
      <w:tr w:rsidR="002C7ED1" w:rsidRPr="00242317" w:rsidTr="002C7ED1">
        <w:trPr>
          <w:trHeight w:val="300"/>
        </w:trPr>
        <w:tc>
          <w:tcPr>
            <w:tcW w:w="1871" w:type="dxa"/>
            <w:shd w:val="clear" w:color="auto" w:fill="auto"/>
            <w:noWrap/>
            <w:vAlign w:val="bottom"/>
          </w:tcPr>
          <w:p w:rsidR="002C7ED1" w:rsidRPr="00242317" w:rsidRDefault="002C7ED1" w:rsidP="002C7ED1">
            <w:pPr>
              <w:spacing w:after="0"/>
              <w:rPr>
                <w:rFonts w:ascii="Calibri" w:eastAsia="Times New Roman" w:hAnsi="Calibri" w:cs="Times New Roman"/>
                <w:sz w:val="22"/>
                <w:szCs w:val="22"/>
              </w:rPr>
            </w:pPr>
            <w:r>
              <w:rPr>
                <w:rFonts w:ascii="Calibri" w:eastAsia="Times New Roman" w:hAnsi="Calibri" w:cs="Times New Roman"/>
                <w:sz w:val="22"/>
                <w:szCs w:val="22"/>
              </w:rPr>
              <w:t xml:space="preserve">non-pNET </w:t>
            </w:r>
          </w:p>
        </w:tc>
        <w:tc>
          <w:tcPr>
            <w:tcW w:w="960" w:type="dxa"/>
            <w:shd w:val="clear" w:color="auto" w:fill="auto"/>
            <w:noWrap/>
            <w:vAlign w:val="center"/>
          </w:tcPr>
          <w:p w:rsidR="002C7ED1" w:rsidRPr="00242317" w:rsidRDefault="002C7ED1" w:rsidP="002C7ED1">
            <w:pPr>
              <w:spacing w:after="0"/>
              <w:jc w:val="center"/>
              <w:rPr>
                <w:rFonts w:ascii="Calibri" w:eastAsia="Times New Roman" w:hAnsi="Calibri" w:cs="Times New Roman"/>
                <w:sz w:val="22"/>
                <w:szCs w:val="22"/>
              </w:rPr>
            </w:pPr>
            <w:r w:rsidRPr="00242317">
              <w:rPr>
                <w:rFonts w:ascii="Calibri" w:eastAsia="Times New Roman" w:hAnsi="Calibri" w:cs="Times New Roman"/>
                <w:sz w:val="22"/>
                <w:szCs w:val="22"/>
              </w:rPr>
              <w:t>2</w:t>
            </w:r>
            <w:r>
              <w:rPr>
                <w:rFonts w:ascii="Calibri" w:eastAsia="Times New Roman" w:hAnsi="Calibri" w:cs="Times New Roman"/>
                <w:sz w:val="22"/>
                <w:szCs w:val="22"/>
              </w:rPr>
              <w:t>,</w:t>
            </w:r>
            <w:r w:rsidRPr="00242317">
              <w:rPr>
                <w:rFonts w:ascii="Calibri" w:eastAsia="Times New Roman" w:hAnsi="Calibri" w:cs="Times New Roman"/>
                <w:sz w:val="22"/>
                <w:szCs w:val="22"/>
              </w:rPr>
              <w:t>575</w:t>
            </w:r>
          </w:p>
        </w:tc>
        <w:tc>
          <w:tcPr>
            <w:tcW w:w="1053" w:type="dxa"/>
            <w:shd w:val="clear" w:color="auto" w:fill="auto"/>
            <w:noWrap/>
            <w:vAlign w:val="center"/>
          </w:tcPr>
          <w:p w:rsidR="002C7ED1" w:rsidRPr="00242317" w:rsidRDefault="002C7ED1" w:rsidP="002C7ED1">
            <w:pPr>
              <w:spacing w:after="0"/>
              <w:jc w:val="center"/>
              <w:rPr>
                <w:rFonts w:ascii="Calibri" w:eastAsia="Times New Roman" w:hAnsi="Calibri" w:cs="Times New Roman"/>
                <w:sz w:val="22"/>
                <w:szCs w:val="22"/>
              </w:rPr>
            </w:pPr>
            <w:r w:rsidRPr="00242317">
              <w:rPr>
                <w:rFonts w:ascii="Calibri" w:eastAsia="Times New Roman" w:hAnsi="Calibri" w:cs="Times New Roman"/>
                <w:sz w:val="22"/>
                <w:szCs w:val="22"/>
              </w:rPr>
              <w:t>3.9</w:t>
            </w:r>
          </w:p>
        </w:tc>
        <w:tc>
          <w:tcPr>
            <w:tcW w:w="960" w:type="dxa"/>
            <w:shd w:val="clear" w:color="auto" w:fill="auto"/>
            <w:noWrap/>
            <w:vAlign w:val="center"/>
          </w:tcPr>
          <w:p w:rsidR="002C7ED1" w:rsidRPr="00242317" w:rsidRDefault="002C7ED1" w:rsidP="002C7ED1">
            <w:pPr>
              <w:spacing w:after="0"/>
              <w:jc w:val="center"/>
              <w:rPr>
                <w:rFonts w:ascii="Calibri" w:eastAsia="Times New Roman" w:hAnsi="Calibri" w:cs="Times New Roman"/>
                <w:sz w:val="22"/>
                <w:szCs w:val="22"/>
              </w:rPr>
            </w:pPr>
            <w:r w:rsidRPr="00242317">
              <w:rPr>
                <w:rFonts w:ascii="Calibri" w:eastAsia="Times New Roman" w:hAnsi="Calibri" w:cs="Times New Roman"/>
                <w:sz w:val="22"/>
                <w:szCs w:val="22"/>
              </w:rPr>
              <w:t>-7</w:t>
            </w:r>
          </w:p>
        </w:tc>
        <w:tc>
          <w:tcPr>
            <w:tcW w:w="960" w:type="dxa"/>
            <w:shd w:val="clear" w:color="auto" w:fill="auto"/>
            <w:noWrap/>
            <w:vAlign w:val="center"/>
          </w:tcPr>
          <w:p w:rsidR="002C7ED1" w:rsidRPr="00242317" w:rsidRDefault="002C7ED1" w:rsidP="002C7ED1">
            <w:pPr>
              <w:spacing w:after="0"/>
              <w:jc w:val="center"/>
              <w:rPr>
                <w:rFonts w:ascii="Calibri" w:eastAsia="Times New Roman" w:hAnsi="Calibri" w:cs="Times New Roman"/>
                <w:sz w:val="22"/>
                <w:szCs w:val="22"/>
              </w:rPr>
            </w:pPr>
            <w:r w:rsidRPr="00242317">
              <w:rPr>
                <w:rFonts w:ascii="Calibri" w:eastAsia="Times New Roman" w:hAnsi="Calibri" w:cs="Times New Roman"/>
                <w:sz w:val="22"/>
                <w:szCs w:val="22"/>
              </w:rPr>
              <w:t>-2</w:t>
            </w:r>
          </w:p>
        </w:tc>
      </w:tr>
    </w:tbl>
    <w:p w:rsidR="002C7ED1" w:rsidRDefault="002C7ED1" w:rsidP="002C7ED1">
      <w:pPr>
        <w:rPr>
          <w:rFonts w:ascii="Calibri" w:eastAsia="MS Mincho" w:hAnsi="Calibri" w:cs="Times New Roman"/>
        </w:rPr>
      </w:pPr>
    </w:p>
    <w:p w:rsidR="002C7ED1" w:rsidRDefault="002C7ED1" w:rsidP="002C7ED1">
      <w:pPr>
        <w:rPr>
          <w:rFonts w:ascii="Calibri" w:eastAsia="MS Mincho" w:hAnsi="Calibri" w:cs="Times New Roman"/>
        </w:rPr>
      </w:pPr>
      <w:r>
        <w:rPr>
          <w:rFonts w:ascii="Calibri" w:eastAsia="MS Mincho" w:hAnsi="Calibri" w:cs="Times New Roman"/>
        </w:rPr>
        <w:t>The median number of days from the proxy DoD to the DHS DoD was -2 days (i</w:t>
      </w:r>
      <w:r w:rsidR="008142F4">
        <w:rPr>
          <w:rFonts w:ascii="Calibri" w:eastAsia="MS Mincho" w:hAnsi="Calibri" w:cs="Times New Roman"/>
        </w:rPr>
        <w:t>.</w:t>
      </w:r>
      <w:r>
        <w:rPr>
          <w:rFonts w:ascii="Calibri" w:eastAsia="MS Mincho" w:hAnsi="Calibri" w:cs="Times New Roman"/>
        </w:rPr>
        <w:t xml:space="preserve">e. proxy DoD was 2 days after DHS DoD) for both cohorts. This difference would not have made a large impact on the analysis in Figure 12 of </w:t>
      </w:r>
      <w:r w:rsidR="008142F4">
        <w:rPr>
          <w:rFonts w:ascii="Calibri" w:eastAsia="MS Mincho" w:hAnsi="Calibri" w:cs="Times New Roman"/>
        </w:rPr>
        <w:t>section 3.3</w:t>
      </w:r>
      <w:r>
        <w:rPr>
          <w:rFonts w:ascii="Calibri" w:eastAsia="MS Mincho" w:hAnsi="Calibri" w:cs="Times New Roman"/>
        </w:rPr>
        <w:t xml:space="preserve"> (i</w:t>
      </w:r>
      <w:r w:rsidR="008142F4">
        <w:rPr>
          <w:rFonts w:ascii="Calibri" w:eastAsia="MS Mincho" w:hAnsi="Calibri" w:cs="Times New Roman"/>
        </w:rPr>
        <w:t>.</w:t>
      </w:r>
      <w:r>
        <w:rPr>
          <w:rFonts w:ascii="Calibri" w:eastAsia="MS Mincho" w:hAnsi="Calibri" w:cs="Times New Roman"/>
        </w:rPr>
        <w:t xml:space="preserve">e. </w:t>
      </w:r>
      <w:r w:rsidR="008142F4">
        <w:rPr>
          <w:rFonts w:ascii="Calibri" w:eastAsia="MS Mincho" w:hAnsi="Calibri" w:cs="Times New Roman"/>
        </w:rPr>
        <w:t>d</w:t>
      </w:r>
      <w:r w:rsidRPr="00070740">
        <w:rPr>
          <w:rFonts w:ascii="Calibri" w:eastAsia="MS Mincho" w:hAnsi="Calibri" w:cs="Times New Roman"/>
        </w:rPr>
        <w:t>ays from last pNET prescription to estimated date of death for cohort pNET patients who were estimated to have died</w:t>
      </w:r>
      <w:r>
        <w:rPr>
          <w:rFonts w:ascii="Calibri" w:eastAsia="MS Mincho" w:hAnsi="Calibri" w:cs="Times New Roman"/>
        </w:rPr>
        <w:t xml:space="preserve">) if the DHS DoD had been used instead of the proxy. In </w:t>
      </w:r>
      <w:r w:rsidR="008142F4">
        <w:rPr>
          <w:rFonts w:ascii="Calibri" w:eastAsia="MS Mincho" w:hAnsi="Calibri" w:cs="Times New Roman"/>
        </w:rPr>
        <w:t xml:space="preserve">section 3.3, </w:t>
      </w:r>
      <w:r>
        <w:rPr>
          <w:rFonts w:ascii="Calibri" w:eastAsia="MS Mincho" w:hAnsi="Calibri" w:cs="Times New Roman"/>
        </w:rPr>
        <w:t>the median time from the</w:t>
      </w:r>
      <w:r w:rsidRPr="000D0124">
        <w:rPr>
          <w:rFonts w:ascii="Calibri" w:eastAsia="MS Mincho" w:hAnsi="Calibri" w:cs="Times New Roman"/>
        </w:rPr>
        <w:t xml:space="preserve"> last pNET prescription to the estimated date of death was 85 days</w:t>
      </w:r>
      <w:r>
        <w:rPr>
          <w:rFonts w:ascii="Calibri" w:eastAsia="MS Mincho" w:hAnsi="Calibri" w:cs="Times New Roman"/>
        </w:rPr>
        <w:t>. If the DHS DoD had been used instead of the proxy DoD,  this would have been approximately 83 days.</w:t>
      </w:r>
    </w:p>
    <w:p w:rsidR="002C7ED1" w:rsidRDefault="002C7ED1" w:rsidP="002C7ED1">
      <w:pPr>
        <w:rPr>
          <w:rFonts w:ascii="Calibri" w:eastAsia="MS Mincho" w:hAnsi="Calibri" w:cs="Times New Roman"/>
        </w:rPr>
      </w:pPr>
      <w:r>
        <w:rPr>
          <w:rFonts w:ascii="Calibri" w:eastAsia="MS Mincho" w:hAnsi="Calibri" w:cs="Times New Roman"/>
        </w:rPr>
        <w:t>The mode of -7 days for the non-pNET cohort means that a patient is most likely to die on the day after their last prescription (the proxy DoD is 8 days after the last prescription of those patients that are estimated to have died).</w:t>
      </w:r>
    </w:p>
    <w:p w:rsidR="002C7ED1" w:rsidRPr="009930F4" w:rsidRDefault="002C7ED1" w:rsidP="002C7ED1">
      <w:pPr>
        <w:rPr>
          <w:rFonts w:ascii="Calibri" w:eastAsia="MS Mincho" w:hAnsi="Calibri" w:cs="Times New Roman"/>
          <w:b/>
          <w:sz w:val="28"/>
        </w:rPr>
      </w:pPr>
      <w:r w:rsidRPr="009930F4">
        <w:rPr>
          <w:rFonts w:ascii="Calibri" w:eastAsia="MS Mincho" w:hAnsi="Calibri" w:cs="Times New Roman"/>
          <w:b/>
          <w:sz w:val="28"/>
        </w:rPr>
        <w:t>Conclusion</w:t>
      </w:r>
    </w:p>
    <w:p w:rsidR="002C7ED1" w:rsidRDefault="002C7ED1" w:rsidP="002C7ED1">
      <w:pPr>
        <w:rPr>
          <w:rFonts w:ascii="Calibri" w:eastAsia="MS Mincho" w:hAnsi="Calibri" w:cs="Times New Roman"/>
        </w:rPr>
      </w:pPr>
      <w:r>
        <w:rPr>
          <w:rFonts w:ascii="Calibri" w:eastAsia="MS Mincho" w:hAnsi="Calibri" w:cs="Times New Roman"/>
        </w:rPr>
        <w:t>The proxy DoD performed well, scoring 96.7% agreement with the Alive / Dead status derived from the DHS DoD for both cohorts. When both the proxy and DHS status measures agreed that the patient was dead, there was only a 2 day median difference in the date of death for both cohorts.</w:t>
      </w:r>
    </w:p>
    <w:p w:rsidR="002C7ED1" w:rsidRDefault="002C7ED1" w:rsidP="002C7ED1">
      <w:pPr>
        <w:rPr>
          <w:rFonts w:ascii="Calibri" w:eastAsia="MS Mincho" w:hAnsi="Calibri" w:cs="Times New Roman"/>
        </w:rPr>
      </w:pPr>
      <w:r>
        <w:rPr>
          <w:rFonts w:ascii="Calibri" w:eastAsia="MS Mincho" w:hAnsi="Calibri" w:cs="Times New Roman"/>
        </w:rPr>
        <w:t xml:space="preserve">The generalisability of this method of calculating a proxy for DoD is unknown. It is most likely to be accurate for diseases that are terminal and have a need for some sort of PBS medication (not necessarily the medication used to treat the main disease) up to a patient’s death. It is not likely to be accurate for diseases that require acute treatment after which the patient recovers and is well enough to require no other PBS medication. The generalisability may need to be tested in the future for other conditions. </w:t>
      </w:r>
    </w:p>
    <w:sectPr w:rsidR="002C7ED1" w:rsidSect="0050191E">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1C" w:rsidRDefault="00FF391C" w:rsidP="00821C17">
      <w:pPr>
        <w:spacing w:after="0"/>
      </w:pPr>
      <w:r>
        <w:separator/>
      </w:r>
    </w:p>
  </w:endnote>
  <w:endnote w:type="continuationSeparator" w:id="0">
    <w:p w:rsidR="00FF391C" w:rsidRDefault="00FF391C" w:rsidP="00821C17">
      <w:pPr>
        <w:spacing w:after="0"/>
      </w:pPr>
      <w:r>
        <w:continuationSeparator/>
      </w:r>
    </w:p>
  </w:endnote>
  <w:endnote w:type="continuationNotice" w:id="1">
    <w:p w:rsidR="00FF391C" w:rsidRDefault="00FF39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91C" w:rsidRDefault="00FF3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0444"/>
      <w:docPartObj>
        <w:docPartGallery w:val="Page Numbers (Bottom of Page)"/>
        <w:docPartUnique/>
      </w:docPartObj>
    </w:sdtPr>
    <w:sdtEndPr/>
    <w:sdtContent>
      <w:sdt>
        <w:sdtPr>
          <w:id w:val="-2070178723"/>
          <w:docPartObj>
            <w:docPartGallery w:val="Page Numbers (Top of Page)"/>
            <w:docPartUnique/>
          </w:docPartObj>
        </w:sdtPr>
        <w:sdtEndPr/>
        <w:sdtContent>
          <w:p w:rsidR="00F5044E" w:rsidRPr="000E72C6" w:rsidRDefault="00F5044E" w:rsidP="002C7ED1">
            <w:pPr>
              <w:pStyle w:val="Footer"/>
              <w:jc w:val="center"/>
              <w:rPr>
                <w:i/>
                <w:sz w:val="20"/>
              </w:rPr>
            </w:pPr>
            <w:r>
              <w:rPr>
                <w:i/>
                <w:sz w:val="20"/>
              </w:rPr>
              <w:t>Public Release Document, September 2017 DUSC Meeting</w:t>
            </w:r>
          </w:p>
          <w:p w:rsidR="00F5044E" w:rsidRPr="008F51E2" w:rsidRDefault="00F5044E" w:rsidP="005425A8">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F391C">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F391C">
              <w:rPr>
                <w:bCs/>
                <w:i/>
                <w:noProof/>
                <w:sz w:val="20"/>
              </w:rPr>
              <w:t>41</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91C" w:rsidRDefault="00FF3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1C" w:rsidRDefault="00FF391C" w:rsidP="00821C17">
      <w:pPr>
        <w:spacing w:after="0"/>
      </w:pPr>
      <w:r>
        <w:separator/>
      </w:r>
    </w:p>
  </w:footnote>
  <w:footnote w:type="continuationSeparator" w:id="0">
    <w:p w:rsidR="00FF391C" w:rsidRDefault="00FF391C" w:rsidP="00821C17">
      <w:pPr>
        <w:spacing w:after="0"/>
      </w:pPr>
      <w:r>
        <w:continuationSeparator/>
      </w:r>
    </w:p>
  </w:footnote>
  <w:footnote w:type="continuationNotice" w:id="1">
    <w:p w:rsidR="00FF391C" w:rsidRDefault="00FF391C">
      <w:pPr>
        <w:spacing w:after="0"/>
      </w:pPr>
    </w:p>
  </w:footnote>
  <w:footnote w:id="2">
    <w:p w:rsidR="00F5044E" w:rsidRDefault="00F5044E">
      <w:pPr>
        <w:pStyle w:val="FootnoteText"/>
      </w:pPr>
      <w:r>
        <w:rPr>
          <w:rStyle w:val="FootnoteReference"/>
        </w:rPr>
        <w:footnoteRef/>
      </w:r>
      <w:r>
        <w:t xml:space="preserve"> </w:t>
      </w:r>
      <w:r w:rsidRPr="004315F7">
        <w:t>http://www.pbs.gov.au/info/industry/listing/participants/public-release-docs/pazopanib-sunitinib</w:t>
      </w:r>
    </w:p>
  </w:footnote>
  <w:footnote w:id="3">
    <w:p w:rsidR="00F5044E" w:rsidRDefault="00F5044E">
      <w:pPr>
        <w:pStyle w:val="FootnoteText"/>
      </w:pPr>
      <w:r>
        <w:rPr>
          <w:rStyle w:val="FootnoteReference"/>
        </w:rPr>
        <w:footnoteRef/>
      </w:r>
      <w:r>
        <w:t xml:space="preserve"> </w:t>
      </w:r>
      <w:r w:rsidRPr="004315F7">
        <w:t>http://www.pbs.gov.au/info/industry/listing/participants/public-release-docs/everolimus-tuberous-sclerosis-complex-feb-2017</w:t>
      </w:r>
    </w:p>
  </w:footnote>
  <w:footnote w:id="4">
    <w:p w:rsidR="00F5044E" w:rsidRDefault="00F5044E">
      <w:pPr>
        <w:pStyle w:val="FootnoteText"/>
      </w:pPr>
      <w:r>
        <w:rPr>
          <w:rStyle w:val="FootnoteReference"/>
        </w:rPr>
        <w:footnoteRef/>
      </w:r>
      <w:r>
        <w:t xml:space="preserve"> </w:t>
      </w:r>
      <w:r w:rsidRPr="004315F7">
        <w:t>http://www.pbs.gov.au/info/industry/listing/participants/public-release-docs/everolimus-breast-cancer-february-2017</w:t>
      </w:r>
    </w:p>
  </w:footnote>
  <w:footnote w:id="5">
    <w:p w:rsidR="00F5044E" w:rsidRDefault="00F5044E" w:rsidP="007B6AD1">
      <w:pPr>
        <w:pStyle w:val="FootnoteText"/>
      </w:pPr>
      <w:r>
        <w:rPr>
          <w:rStyle w:val="FootnoteReference"/>
        </w:rPr>
        <w:footnoteRef/>
      </w:r>
      <w:r>
        <w:t xml:space="preserve"> </w:t>
      </w:r>
      <w:r w:rsidRPr="007E6ABA">
        <w:t>https://clinicaltrials.gov/ct2/show/results/NCT00510068?sect=X90156#outcome3</w:t>
      </w:r>
    </w:p>
  </w:footnote>
  <w:footnote w:id="6">
    <w:p w:rsidR="00F5044E" w:rsidRPr="00FF6AB6" w:rsidRDefault="00F5044E" w:rsidP="00173312">
      <w:pPr>
        <w:pStyle w:val="FootnoteText"/>
      </w:pPr>
      <w:r w:rsidRPr="00FF6AB6">
        <w:rPr>
          <w:rStyle w:val="FootnoteReference"/>
        </w:rPr>
        <w:footnoteRef/>
      </w:r>
      <w:r w:rsidRPr="00FF6AB6">
        <w:t xml:space="preserve"> Mealing NM, Dobbins TA, Pearson S-A. Validation and application of a death proxy in adult cancer patients. Pharmacoepidemiol Drug Saf 2012; 21: 742–8.</w:t>
      </w:r>
    </w:p>
  </w:footnote>
  <w:footnote w:id="7">
    <w:p w:rsidR="00F5044E" w:rsidRDefault="00F5044E" w:rsidP="001B0587">
      <w:pPr>
        <w:pStyle w:val="FootnoteText"/>
      </w:pPr>
      <w:r>
        <w:rPr>
          <w:rStyle w:val="FootnoteReference"/>
        </w:rPr>
        <w:footnoteRef/>
      </w:r>
      <w:r>
        <w:t xml:space="preserve"> </w:t>
      </w:r>
      <w:r w:rsidRPr="0074523F">
        <w:t>Mealing NM, Dobbins TA, Pearson SA. Validation and</w:t>
      </w:r>
      <w:r>
        <w:t xml:space="preserve"> </w:t>
      </w:r>
      <w:r w:rsidRPr="0074523F">
        <w:t>application of a death proxy in adult cancer patients.</w:t>
      </w:r>
      <w:r>
        <w:t xml:space="preserve"> </w:t>
      </w:r>
      <w:r w:rsidRPr="0074523F">
        <w:t>Pharmacoepidemiol Drug Saf 2012; 21: 742–8.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91C" w:rsidRDefault="00FF3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4E" w:rsidRPr="006E41D3" w:rsidRDefault="00F5044E" w:rsidP="006E41D3">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91C" w:rsidRDefault="00FF3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962"/>
    <w:multiLevelType w:val="hybridMultilevel"/>
    <w:tmpl w:val="2A4036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3712380"/>
    <w:multiLevelType w:val="hybridMultilevel"/>
    <w:tmpl w:val="263899A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766602"/>
    <w:multiLevelType w:val="hybridMultilevel"/>
    <w:tmpl w:val="E2DE0F10"/>
    <w:lvl w:ilvl="0" w:tplc="0C090001">
      <w:start w:val="1"/>
      <w:numFmt w:val="bullet"/>
      <w:lvlText w:val=""/>
      <w:lvlJc w:val="left"/>
      <w:pPr>
        <w:ind w:left="360" w:hanging="360"/>
      </w:pPr>
      <w:rPr>
        <w:rFonts w:ascii="Symbol" w:hAnsi="Symbol" w:hint="default"/>
      </w:rPr>
    </w:lvl>
    <w:lvl w:ilvl="1" w:tplc="7AE64364">
      <w:start w:val="3"/>
      <w:numFmt w:val="bullet"/>
      <w:lvlText w:val="-"/>
      <w:lvlJc w:val="left"/>
      <w:pPr>
        <w:ind w:left="1080" w:hanging="360"/>
      </w:pPr>
      <w:rPr>
        <w:rFonts w:ascii="Calibri" w:eastAsia="Times New Roman" w:hAnsi="Calibri" w:cs="Calibri" w:hint="default"/>
      </w:rPr>
    </w:lvl>
    <w:lvl w:ilvl="2" w:tplc="7AE64364">
      <w:start w:val="3"/>
      <w:numFmt w:val="bullet"/>
      <w:lvlText w:val="-"/>
      <w:lvlJc w:val="left"/>
      <w:pPr>
        <w:ind w:left="1800" w:hanging="360"/>
      </w:pPr>
      <w:rPr>
        <w:rFonts w:ascii="Calibri" w:eastAsia="Times New Roman" w:hAnsi="Calibri" w:cs="Calibri"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7601341"/>
    <w:multiLevelType w:val="multilevel"/>
    <w:tmpl w:val="C6B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613AA"/>
    <w:multiLevelType w:val="hybridMultilevel"/>
    <w:tmpl w:val="E5908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FEB4C73"/>
    <w:multiLevelType w:val="hybridMultilevel"/>
    <w:tmpl w:val="2A4036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0E50FA"/>
    <w:multiLevelType w:val="hybridMultilevel"/>
    <w:tmpl w:val="BF5A80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FAF3B63"/>
    <w:multiLevelType w:val="hybridMultilevel"/>
    <w:tmpl w:val="F09A0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1E74E81"/>
    <w:multiLevelType w:val="hybridMultilevel"/>
    <w:tmpl w:val="F0EAF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7DA0B50"/>
    <w:multiLevelType w:val="multilevel"/>
    <w:tmpl w:val="469A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DA00B9"/>
    <w:multiLevelType w:val="multilevel"/>
    <w:tmpl w:val="D1B6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A1C8C"/>
    <w:multiLevelType w:val="multilevel"/>
    <w:tmpl w:val="A148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0E62C7"/>
    <w:multiLevelType w:val="multilevel"/>
    <w:tmpl w:val="906E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320AB8"/>
    <w:multiLevelType w:val="multilevel"/>
    <w:tmpl w:val="B958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492DC4"/>
    <w:multiLevelType w:val="hybridMultilevel"/>
    <w:tmpl w:val="02503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4B927A1"/>
    <w:multiLevelType w:val="hybridMultilevel"/>
    <w:tmpl w:val="05C26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92B7E45"/>
    <w:multiLevelType w:val="hybridMultilevel"/>
    <w:tmpl w:val="FF60AF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AC7BCF"/>
    <w:multiLevelType w:val="hybridMultilevel"/>
    <w:tmpl w:val="F9082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66D2457"/>
    <w:multiLevelType w:val="hybridMultilevel"/>
    <w:tmpl w:val="8F509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68A530A"/>
    <w:multiLevelType w:val="hybridMultilevel"/>
    <w:tmpl w:val="BA0275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6AB47A7"/>
    <w:multiLevelType w:val="multilevel"/>
    <w:tmpl w:val="2226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E4760"/>
    <w:multiLevelType w:val="hybridMultilevel"/>
    <w:tmpl w:val="EC18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A0D1041"/>
    <w:multiLevelType w:val="multilevel"/>
    <w:tmpl w:val="3F5E5B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51175D"/>
    <w:multiLevelType w:val="hybridMultilevel"/>
    <w:tmpl w:val="265AA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C0D4696"/>
    <w:multiLevelType w:val="hybridMultilevel"/>
    <w:tmpl w:val="EC981C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5"/>
  </w:num>
  <w:num w:numId="2">
    <w:abstractNumId w:val="17"/>
  </w:num>
  <w:num w:numId="3">
    <w:abstractNumId w:val="6"/>
  </w:num>
  <w:num w:numId="4">
    <w:abstractNumId w:val="7"/>
  </w:num>
  <w:num w:numId="5">
    <w:abstractNumId w:val="12"/>
  </w:num>
  <w:num w:numId="6">
    <w:abstractNumId w:val="11"/>
  </w:num>
  <w:num w:numId="7">
    <w:abstractNumId w:val="21"/>
  </w:num>
  <w:num w:numId="8">
    <w:abstractNumId w:val="13"/>
  </w:num>
  <w:num w:numId="9">
    <w:abstractNumId w:val="3"/>
  </w:num>
  <w:num w:numId="10">
    <w:abstractNumId w:val="1"/>
  </w:num>
  <w:num w:numId="11">
    <w:abstractNumId w:val="16"/>
  </w:num>
  <w:num w:numId="12">
    <w:abstractNumId w:val="15"/>
  </w:num>
  <w:num w:numId="13">
    <w:abstractNumId w:val="22"/>
  </w:num>
  <w:num w:numId="14">
    <w:abstractNumId w:val="8"/>
  </w:num>
  <w:num w:numId="15">
    <w:abstractNumId w:val="14"/>
  </w:num>
  <w:num w:numId="16">
    <w:abstractNumId w:val="23"/>
  </w:num>
  <w:num w:numId="17">
    <w:abstractNumId w:val="10"/>
  </w:num>
  <w:num w:numId="18">
    <w:abstractNumId w:val="5"/>
  </w:num>
  <w:num w:numId="19">
    <w:abstractNumId w:val="20"/>
  </w:num>
  <w:num w:numId="20">
    <w:abstractNumId w:val="2"/>
  </w:num>
  <w:num w:numId="21">
    <w:abstractNumId w:val="24"/>
  </w:num>
  <w:num w:numId="22">
    <w:abstractNumId w:val="19"/>
  </w:num>
  <w:num w:numId="23">
    <w:abstractNumId w:val="18"/>
  </w:num>
  <w:num w:numId="24">
    <w:abstractNumId w:val="4"/>
  </w:num>
  <w:num w:numId="25">
    <w:abstractNumId w:val="9"/>
  </w:num>
  <w:num w:numId="2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17"/>
    <w:rsid w:val="00000AC9"/>
    <w:rsid w:val="00001194"/>
    <w:rsid w:val="00001F68"/>
    <w:rsid w:val="00002365"/>
    <w:rsid w:val="00002F40"/>
    <w:rsid w:val="00003D5E"/>
    <w:rsid w:val="000041C2"/>
    <w:rsid w:val="000059E6"/>
    <w:rsid w:val="00006E62"/>
    <w:rsid w:val="000107C2"/>
    <w:rsid w:val="00011DD5"/>
    <w:rsid w:val="000126E8"/>
    <w:rsid w:val="00013305"/>
    <w:rsid w:val="00013F2F"/>
    <w:rsid w:val="00014A6F"/>
    <w:rsid w:val="000158A4"/>
    <w:rsid w:val="00017258"/>
    <w:rsid w:val="00021055"/>
    <w:rsid w:val="00021AE6"/>
    <w:rsid w:val="0002290F"/>
    <w:rsid w:val="000229C4"/>
    <w:rsid w:val="00022B82"/>
    <w:rsid w:val="00022D1F"/>
    <w:rsid w:val="000236A3"/>
    <w:rsid w:val="00023B5A"/>
    <w:rsid w:val="000240F2"/>
    <w:rsid w:val="000254BD"/>
    <w:rsid w:val="000257D6"/>
    <w:rsid w:val="00025DC2"/>
    <w:rsid w:val="000268C4"/>
    <w:rsid w:val="00030782"/>
    <w:rsid w:val="00030992"/>
    <w:rsid w:val="000309F5"/>
    <w:rsid w:val="0003155F"/>
    <w:rsid w:val="000330E8"/>
    <w:rsid w:val="00033741"/>
    <w:rsid w:val="0003660C"/>
    <w:rsid w:val="000366B0"/>
    <w:rsid w:val="000369ED"/>
    <w:rsid w:val="00040616"/>
    <w:rsid w:val="0004079C"/>
    <w:rsid w:val="00042FDB"/>
    <w:rsid w:val="00043404"/>
    <w:rsid w:val="00044543"/>
    <w:rsid w:val="00044A34"/>
    <w:rsid w:val="0004648B"/>
    <w:rsid w:val="00046C49"/>
    <w:rsid w:val="000528EB"/>
    <w:rsid w:val="00052B80"/>
    <w:rsid w:val="00052F09"/>
    <w:rsid w:val="00053324"/>
    <w:rsid w:val="000542BF"/>
    <w:rsid w:val="00054784"/>
    <w:rsid w:val="00054816"/>
    <w:rsid w:val="00054982"/>
    <w:rsid w:val="000571FF"/>
    <w:rsid w:val="00061910"/>
    <w:rsid w:val="0006344B"/>
    <w:rsid w:val="000644E0"/>
    <w:rsid w:val="000666EB"/>
    <w:rsid w:val="00071BDC"/>
    <w:rsid w:val="00072182"/>
    <w:rsid w:val="00073402"/>
    <w:rsid w:val="0007377C"/>
    <w:rsid w:val="0007429A"/>
    <w:rsid w:val="00075378"/>
    <w:rsid w:val="000753C1"/>
    <w:rsid w:val="00076BF9"/>
    <w:rsid w:val="00076DD1"/>
    <w:rsid w:val="00077060"/>
    <w:rsid w:val="00080CE6"/>
    <w:rsid w:val="00080EC2"/>
    <w:rsid w:val="00082601"/>
    <w:rsid w:val="00083B81"/>
    <w:rsid w:val="000866A2"/>
    <w:rsid w:val="00086A68"/>
    <w:rsid w:val="00090293"/>
    <w:rsid w:val="000915F5"/>
    <w:rsid w:val="000918F1"/>
    <w:rsid w:val="00091AAB"/>
    <w:rsid w:val="00093666"/>
    <w:rsid w:val="00093CCF"/>
    <w:rsid w:val="00093D30"/>
    <w:rsid w:val="00093EAB"/>
    <w:rsid w:val="00094040"/>
    <w:rsid w:val="00094327"/>
    <w:rsid w:val="00094831"/>
    <w:rsid w:val="00096187"/>
    <w:rsid w:val="0009671F"/>
    <w:rsid w:val="0009696B"/>
    <w:rsid w:val="000977B0"/>
    <w:rsid w:val="000A28EC"/>
    <w:rsid w:val="000A2FDC"/>
    <w:rsid w:val="000A46B8"/>
    <w:rsid w:val="000A4771"/>
    <w:rsid w:val="000A58E3"/>
    <w:rsid w:val="000A5BFC"/>
    <w:rsid w:val="000A5EDD"/>
    <w:rsid w:val="000A6233"/>
    <w:rsid w:val="000B092E"/>
    <w:rsid w:val="000B1241"/>
    <w:rsid w:val="000B1924"/>
    <w:rsid w:val="000B1D59"/>
    <w:rsid w:val="000B1DB7"/>
    <w:rsid w:val="000B26A7"/>
    <w:rsid w:val="000B296A"/>
    <w:rsid w:val="000B3EF0"/>
    <w:rsid w:val="000B4328"/>
    <w:rsid w:val="000B50B7"/>
    <w:rsid w:val="000B524D"/>
    <w:rsid w:val="000B5573"/>
    <w:rsid w:val="000B5D26"/>
    <w:rsid w:val="000B6DE1"/>
    <w:rsid w:val="000B6EC8"/>
    <w:rsid w:val="000B6FE0"/>
    <w:rsid w:val="000C228B"/>
    <w:rsid w:val="000C42AE"/>
    <w:rsid w:val="000C47E2"/>
    <w:rsid w:val="000C59E9"/>
    <w:rsid w:val="000C6197"/>
    <w:rsid w:val="000D0C36"/>
    <w:rsid w:val="000D436B"/>
    <w:rsid w:val="000D45F0"/>
    <w:rsid w:val="000D460F"/>
    <w:rsid w:val="000D5F6D"/>
    <w:rsid w:val="000D77CD"/>
    <w:rsid w:val="000E0A13"/>
    <w:rsid w:val="000E29D4"/>
    <w:rsid w:val="000E4136"/>
    <w:rsid w:val="000E4CB3"/>
    <w:rsid w:val="000E5629"/>
    <w:rsid w:val="000E5817"/>
    <w:rsid w:val="000E586E"/>
    <w:rsid w:val="000E6E65"/>
    <w:rsid w:val="000E77FF"/>
    <w:rsid w:val="000E7C76"/>
    <w:rsid w:val="000F055C"/>
    <w:rsid w:val="000F1077"/>
    <w:rsid w:val="000F2BAD"/>
    <w:rsid w:val="000F2C43"/>
    <w:rsid w:val="000F3024"/>
    <w:rsid w:val="000F433A"/>
    <w:rsid w:val="000F531B"/>
    <w:rsid w:val="000F5A5F"/>
    <w:rsid w:val="000F7FEC"/>
    <w:rsid w:val="0010072C"/>
    <w:rsid w:val="00101935"/>
    <w:rsid w:val="0010262E"/>
    <w:rsid w:val="001033DC"/>
    <w:rsid w:val="0010414D"/>
    <w:rsid w:val="0010435B"/>
    <w:rsid w:val="00104605"/>
    <w:rsid w:val="0010596D"/>
    <w:rsid w:val="0010679D"/>
    <w:rsid w:val="00110D88"/>
    <w:rsid w:val="0011175C"/>
    <w:rsid w:val="00113F09"/>
    <w:rsid w:val="001141F1"/>
    <w:rsid w:val="001156DF"/>
    <w:rsid w:val="0011588A"/>
    <w:rsid w:val="00117420"/>
    <w:rsid w:val="00117B97"/>
    <w:rsid w:val="001200F4"/>
    <w:rsid w:val="00120736"/>
    <w:rsid w:val="001224C6"/>
    <w:rsid w:val="001225E0"/>
    <w:rsid w:val="00122980"/>
    <w:rsid w:val="0012302D"/>
    <w:rsid w:val="001232F7"/>
    <w:rsid w:val="0012403E"/>
    <w:rsid w:val="001249C1"/>
    <w:rsid w:val="00124E13"/>
    <w:rsid w:val="0012529D"/>
    <w:rsid w:val="001253F8"/>
    <w:rsid w:val="00125BF6"/>
    <w:rsid w:val="001268EB"/>
    <w:rsid w:val="001269CE"/>
    <w:rsid w:val="00126D93"/>
    <w:rsid w:val="00126F0F"/>
    <w:rsid w:val="00127BCF"/>
    <w:rsid w:val="001301AC"/>
    <w:rsid w:val="00131B8F"/>
    <w:rsid w:val="00132AE8"/>
    <w:rsid w:val="0013377C"/>
    <w:rsid w:val="00134BF3"/>
    <w:rsid w:val="00135483"/>
    <w:rsid w:val="001376F2"/>
    <w:rsid w:val="001404DB"/>
    <w:rsid w:val="0014077C"/>
    <w:rsid w:val="00141CEB"/>
    <w:rsid w:val="0014253B"/>
    <w:rsid w:val="001431CF"/>
    <w:rsid w:val="00143DA3"/>
    <w:rsid w:val="0014500E"/>
    <w:rsid w:val="001456FD"/>
    <w:rsid w:val="00147072"/>
    <w:rsid w:val="001501C8"/>
    <w:rsid w:val="0015051C"/>
    <w:rsid w:val="001517BB"/>
    <w:rsid w:val="00153215"/>
    <w:rsid w:val="001543AF"/>
    <w:rsid w:val="00154F8B"/>
    <w:rsid w:val="0015798B"/>
    <w:rsid w:val="00157B97"/>
    <w:rsid w:val="001634C1"/>
    <w:rsid w:val="00163E09"/>
    <w:rsid w:val="0016456E"/>
    <w:rsid w:val="0016506F"/>
    <w:rsid w:val="00165E17"/>
    <w:rsid w:val="00167211"/>
    <w:rsid w:val="00167D50"/>
    <w:rsid w:val="0017132D"/>
    <w:rsid w:val="0017148E"/>
    <w:rsid w:val="00172654"/>
    <w:rsid w:val="00173312"/>
    <w:rsid w:val="0017354A"/>
    <w:rsid w:val="001749CD"/>
    <w:rsid w:val="001756A9"/>
    <w:rsid w:val="00175F9C"/>
    <w:rsid w:val="00177C34"/>
    <w:rsid w:val="0018064E"/>
    <w:rsid w:val="001812CA"/>
    <w:rsid w:val="00183E23"/>
    <w:rsid w:val="00183FBB"/>
    <w:rsid w:val="001864DD"/>
    <w:rsid w:val="00186758"/>
    <w:rsid w:val="00186AE6"/>
    <w:rsid w:val="001871CE"/>
    <w:rsid w:val="00187492"/>
    <w:rsid w:val="0018772B"/>
    <w:rsid w:val="001900DA"/>
    <w:rsid w:val="001908D3"/>
    <w:rsid w:val="00190BFF"/>
    <w:rsid w:val="00192C0B"/>
    <w:rsid w:val="00193010"/>
    <w:rsid w:val="00193719"/>
    <w:rsid w:val="00193D1A"/>
    <w:rsid w:val="00194844"/>
    <w:rsid w:val="00195354"/>
    <w:rsid w:val="00195A00"/>
    <w:rsid w:val="00196D98"/>
    <w:rsid w:val="001975C4"/>
    <w:rsid w:val="001A0706"/>
    <w:rsid w:val="001A0FB7"/>
    <w:rsid w:val="001A1141"/>
    <w:rsid w:val="001A175C"/>
    <w:rsid w:val="001A2864"/>
    <w:rsid w:val="001A3377"/>
    <w:rsid w:val="001A52EE"/>
    <w:rsid w:val="001A6B2F"/>
    <w:rsid w:val="001B039E"/>
    <w:rsid w:val="001B0587"/>
    <w:rsid w:val="001B06E5"/>
    <w:rsid w:val="001B0858"/>
    <w:rsid w:val="001B08B5"/>
    <w:rsid w:val="001B0BA8"/>
    <w:rsid w:val="001B0CFA"/>
    <w:rsid w:val="001B0E82"/>
    <w:rsid w:val="001B1156"/>
    <w:rsid w:val="001B1D99"/>
    <w:rsid w:val="001B348B"/>
    <w:rsid w:val="001B35DD"/>
    <w:rsid w:val="001B3D42"/>
    <w:rsid w:val="001B42CA"/>
    <w:rsid w:val="001B62E5"/>
    <w:rsid w:val="001C242F"/>
    <w:rsid w:val="001C27B7"/>
    <w:rsid w:val="001C27E0"/>
    <w:rsid w:val="001C428A"/>
    <w:rsid w:val="001C434C"/>
    <w:rsid w:val="001C5C6B"/>
    <w:rsid w:val="001C6725"/>
    <w:rsid w:val="001C7D9C"/>
    <w:rsid w:val="001D0C6F"/>
    <w:rsid w:val="001D0EA9"/>
    <w:rsid w:val="001D10C9"/>
    <w:rsid w:val="001D2F46"/>
    <w:rsid w:val="001D2FC8"/>
    <w:rsid w:val="001D3239"/>
    <w:rsid w:val="001D3DC7"/>
    <w:rsid w:val="001D49D6"/>
    <w:rsid w:val="001D4A77"/>
    <w:rsid w:val="001D5183"/>
    <w:rsid w:val="001D69C7"/>
    <w:rsid w:val="001D6BF7"/>
    <w:rsid w:val="001D7236"/>
    <w:rsid w:val="001D75D4"/>
    <w:rsid w:val="001E0B96"/>
    <w:rsid w:val="001E1100"/>
    <w:rsid w:val="001E1400"/>
    <w:rsid w:val="001E2346"/>
    <w:rsid w:val="001E2C27"/>
    <w:rsid w:val="001E3E09"/>
    <w:rsid w:val="001E4637"/>
    <w:rsid w:val="001E5648"/>
    <w:rsid w:val="001E6406"/>
    <w:rsid w:val="001E6CE1"/>
    <w:rsid w:val="001E74E6"/>
    <w:rsid w:val="001E765F"/>
    <w:rsid w:val="001E77C6"/>
    <w:rsid w:val="001F06F4"/>
    <w:rsid w:val="001F0D94"/>
    <w:rsid w:val="001F13DF"/>
    <w:rsid w:val="001F22F7"/>
    <w:rsid w:val="001F2FFC"/>
    <w:rsid w:val="001F30D5"/>
    <w:rsid w:val="001F3229"/>
    <w:rsid w:val="001F37C8"/>
    <w:rsid w:val="001F458A"/>
    <w:rsid w:val="001F4774"/>
    <w:rsid w:val="001F4EC9"/>
    <w:rsid w:val="001F6584"/>
    <w:rsid w:val="001F7FD5"/>
    <w:rsid w:val="002004E7"/>
    <w:rsid w:val="00201EC2"/>
    <w:rsid w:val="002031BE"/>
    <w:rsid w:val="002031D5"/>
    <w:rsid w:val="0020339F"/>
    <w:rsid w:val="00203EA1"/>
    <w:rsid w:val="00203EB2"/>
    <w:rsid w:val="002047EE"/>
    <w:rsid w:val="00204C1D"/>
    <w:rsid w:val="002059CA"/>
    <w:rsid w:val="002060B5"/>
    <w:rsid w:val="002064E9"/>
    <w:rsid w:val="00207070"/>
    <w:rsid w:val="002116CD"/>
    <w:rsid w:val="00211A06"/>
    <w:rsid w:val="0021294F"/>
    <w:rsid w:val="00213581"/>
    <w:rsid w:val="00214079"/>
    <w:rsid w:val="00214337"/>
    <w:rsid w:val="00216C75"/>
    <w:rsid w:val="00217A63"/>
    <w:rsid w:val="00220921"/>
    <w:rsid w:val="00221449"/>
    <w:rsid w:val="00223085"/>
    <w:rsid w:val="00223640"/>
    <w:rsid w:val="0022512B"/>
    <w:rsid w:val="00225FB8"/>
    <w:rsid w:val="00226A6E"/>
    <w:rsid w:val="002306EA"/>
    <w:rsid w:val="00231530"/>
    <w:rsid w:val="00231AA6"/>
    <w:rsid w:val="00231B4B"/>
    <w:rsid w:val="00231D5F"/>
    <w:rsid w:val="00232CC4"/>
    <w:rsid w:val="0023388D"/>
    <w:rsid w:val="00233C36"/>
    <w:rsid w:val="00234F4B"/>
    <w:rsid w:val="002355CB"/>
    <w:rsid w:val="00235D4B"/>
    <w:rsid w:val="002365DB"/>
    <w:rsid w:val="00236AB2"/>
    <w:rsid w:val="00237B5A"/>
    <w:rsid w:val="002407F2"/>
    <w:rsid w:val="002408C7"/>
    <w:rsid w:val="002414D4"/>
    <w:rsid w:val="002420EF"/>
    <w:rsid w:val="002427F0"/>
    <w:rsid w:val="00242EAC"/>
    <w:rsid w:val="00243290"/>
    <w:rsid w:val="00243852"/>
    <w:rsid w:val="00243F59"/>
    <w:rsid w:val="00246AC5"/>
    <w:rsid w:val="00250631"/>
    <w:rsid w:val="00251D3B"/>
    <w:rsid w:val="00251E77"/>
    <w:rsid w:val="0025261C"/>
    <w:rsid w:val="00253C2C"/>
    <w:rsid w:val="00255C93"/>
    <w:rsid w:val="0025606F"/>
    <w:rsid w:val="00256FE4"/>
    <w:rsid w:val="002621CA"/>
    <w:rsid w:val="00262CEE"/>
    <w:rsid w:val="002641C5"/>
    <w:rsid w:val="00264BF1"/>
    <w:rsid w:val="00264C57"/>
    <w:rsid w:val="00264FB7"/>
    <w:rsid w:val="0026586A"/>
    <w:rsid w:val="00266485"/>
    <w:rsid w:val="002667C2"/>
    <w:rsid w:val="002679C3"/>
    <w:rsid w:val="00267D02"/>
    <w:rsid w:val="0027079D"/>
    <w:rsid w:val="00271D8C"/>
    <w:rsid w:val="002729E4"/>
    <w:rsid w:val="00273BDA"/>
    <w:rsid w:val="00274CCF"/>
    <w:rsid w:val="0027532F"/>
    <w:rsid w:val="002759C1"/>
    <w:rsid w:val="00276B3D"/>
    <w:rsid w:val="00276EB4"/>
    <w:rsid w:val="002810C5"/>
    <w:rsid w:val="0028142C"/>
    <w:rsid w:val="002815BF"/>
    <w:rsid w:val="00281E38"/>
    <w:rsid w:val="0028222E"/>
    <w:rsid w:val="002822F7"/>
    <w:rsid w:val="00283834"/>
    <w:rsid w:val="00284834"/>
    <w:rsid w:val="00285D3C"/>
    <w:rsid w:val="00286878"/>
    <w:rsid w:val="00286E26"/>
    <w:rsid w:val="00287E14"/>
    <w:rsid w:val="00291FB0"/>
    <w:rsid w:val="00292E01"/>
    <w:rsid w:val="00293838"/>
    <w:rsid w:val="002941F6"/>
    <w:rsid w:val="002949FC"/>
    <w:rsid w:val="002954C9"/>
    <w:rsid w:val="0029713D"/>
    <w:rsid w:val="002A065C"/>
    <w:rsid w:val="002A139A"/>
    <w:rsid w:val="002A2343"/>
    <w:rsid w:val="002A3A19"/>
    <w:rsid w:val="002A3A6B"/>
    <w:rsid w:val="002A4100"/>
    <w:rsid w:val="002A4AA7"/>
    <w:rsid w:val="002A57D4"/>
    <w:rsid w:val="002A665F"/>
    <w:rsid w:val="002A7ACE"/>
    <w:rsid w:val="002B0D6E"/>
    <w:rsid w:val="002B1E3B"/>
    <w:rsid w:val="002B25F9"/>
    <w:rsid w:val="002B2C83"/>
    <w:rsid w:val="002B2DFF"/>
    <w:rsid w:val="002B3676"/>
    <w:rsid w:val="002B3838"/>
    <w:rsid w:val="002B4A93"/>
    <w:rsid w:val="002B4CB9"/>
    <w:rsid w:val="002B543E"/>
    <w:rsid w:val="002B5C52"/>
    <w:rsid w:val="002B5C8D"/>
    <w:rsid w:val="002B61C2"/>
    <w:rsid w:val="002B64DE"/>
    <w:rsid w:val="002B65E3"/>
    <w:rsid w:val="002B6B25"/>
    <w:rsid w:val="002B7741"/>
    <w:rsid w:val="002C0C5F"/>
    <w:rsid w:val="002C12F2"/>
    <w:rsid w:val="002C12FC"/>
    <w:rsid w:val="002C1F2E"/>
    <w:rsid w:val="002C3D0F"/>
    <w:rsid w:val="002C470E"/>
    <w:rsid w:val="002C70DC"/>
    <w:rsid w:val="002C7DE1"/>
    <w:rsid w:val="002C7ED1"/>
    <w:rsid w:val="002D1137"/>
    <w:rsid w:val="002D3378"/>
    <w:rsid w:val="002D46DD"/>
    <w:rsid w:val="002D6F33"/>
    <w:rsid w:val="002D76FF"/>
    <w:rsid w:val="002D7FBB"/>
    <w:rsid w:val="002E00F4"/>
    <w:rsid w:val="002E02FE"/>
    <w:rsid w:val="002E0A88"/>
    <w:rsid w:val="002E2039"/>
    <w:rsid w:val="002E2B3B"/>
    <w:rsid w:val="002E3CB1"/>
    <w:rsid w:val="002E51C2"/>
    <w:rsid w:val="002E5A21"/>
    <w:rsid w:val="002E5B02"/>
    <w:rsid w:val="002E663E"/>
    <w:rsid w:val="002E6B9F"/>
    <w:rsid w:val="002E7C7E"/>
    <w:rsid w:val="002E7EEA"/>
    <w:rsid w:val="002F10DF"/>
    <w:rsid w:val="002F2365"/>
    <w:rsid w:val="002F2827"/>
    <w:rsid w:val="002F39D3"/>
    <w:rsid w:val="002F3C10"/>
    <w:rsid w:val="002F5097"/>
    <w:rsid w:val="002F572B"/>
    <w:rsid w:val="002F5F31"/>
    <w:rsid w:val="002F6A96"/>
    <w:rsid w:val="002F6BBC"/>
    <w:rsid w:val="002F7112"/>
    <w:rsid w:val="002F7C57"/>
    <w:rsid w:val="003003F2"/>
    <w:rsid w:val="00300978"/>
    <w:rsid w:val="00300A3C"/>
    <w:rsid w:val="0030131B"/>
    <w:rsid w:val="0030261A"/>
    <w:rsid w:val="003041CA"/>
    <w:rsid w:val="00305433"/>
    <w:rsid w:val="00305F84"/>
    <w:rsid w:val="003063EE"/>
    <w:rsid w:val="00307012"/>
    <w:rsid w:val="00307320"/>
    <w:rsid w:val="00307C16"/>
    <w:rsid w:val="0031000A"/>
    <w:rsid w:val="00310207"/>
    <w:rsid w:val="0031344F"/>
    <w:rsid w:val="0031419C"/>
    <w:rsid w:val="00314ED7"/>
    <w:rsid w:val="00314F6A"/>
    <w:rsid w:val="00315246"/>
    <w:rsid w:val="003157B8"/>
    <w:rsid w:val="003166F2"/>
    <w:rsid w:val="00316882"/>
    <w:rsid w:val="003178D1"/>
    <w:rsid w:val="00320280"/>
    <w:rsid w:val="0032061C"/>
    <w:rsid w:val="003208A4"/>
    <w:rsid w:val="00321767"/>
    <w:rsid w:val="00321A19"/>
    <w:rsid w:val="00321A86"/>
    <w:rsid w:val="00326A6A"/>
    <w:rsid w:val="00327A9D"/>
    <w:rsid w:val="003303F7"/>
    <w:rsid w:val="003306B3"/>
    <w:rsid w:val="00330B08"/>
    <w:rsid w:val="0033255E"/>
    <w:rsid w:val="00332D6B"/>
    <w:rsid w:val="0033368E"/>
    <w:rsid w:val="003338D3"/>
    <w:rsid w:val="00334F91"/>
    <w:rsid w:val="00335018"/>
    <w:rsid w:val="00335FA5"/>
    <w:rsid w:val="00336872"/>
    <w:rsid w:val="003375DA"/>
    <w:rsid w:val="00341478"/>
    <w:rsid w:val="00341CB1"/>
    <w:rsid w:val="00342128"/>
    <w:rsid w:val="00342650"/>
    <w:rsid w:val="00343228"/>
    <w:rsid w:val="003434F0"/>
    <w:rsid w:val="00343AA2"/>
    <w:rsid w:val="00343EDD"/>
    <w:rsid w:val="00344849"/>
    <w:rsid w:val="003449FE"/>
    <w:rsid w:val="00345597"/>
    <w:rsid w:val="00345CBD"/>
    <w:rsid w:val="00347A04"/>
    <w:rsid w:val="00350208"/>
    <w:rsid w:val="003507AA"/>
    <w:rsid w:val="00350DA0"/>
    <w:rsid w:val="0035137F"/>
    <w:rsid w:val="003527B1"/>
    <w:rsid w:val="00352AE9"/>
    <w:rsid w:val="003547A7"/>
    <w:rsid w:val="00354C76"/>
    <w:rsid w:val="00354EC7"/>
    <w:rsid w:val="00355CF3"/>
    <w:rsid w:val="00356A8D"/>
    <w:rsid w:val="00356D4E"/>
    <w:rsid w:val="00357185"/>
    <w:rsid w:val="003572BF"/>
    <w:rsid w:val="00357467"/>
    <w:rsid w:val="00361C95"/>
    <w:rsid w:val="0036211E"/>
    <w:rsid w:val="0036350E"/>
    <w:rsid w:val="00363C68"/>
    <w:rsid w:val="00367808"/>
    <w:rsid w:val="00370894"/>
    <w:rsid w:val="00370898"/>
    <w:rsid w:val="00374A32"/>
    <w:rsid w:val="003766AE"/>
    <w:rsid w:val="00380D7C"/>
    <w:rsid w:val="00383C8F"/>
    <w:rsid w:val="00384494"/>
    <w:rsid w:val="003849E9"/>
    <w:rsid w:val="00384D14"/>
    <w:rsid w:val="00385343"/>
    <w:rsid w:val="00385B31"/>
    <w:rsid w:val="00386A5C"/>
    <w:rsid w:val="00386D98"/>
    <w:rsid w:val="00386E8D"/>
    <w:rsid w:val="003872FC"/>
    <w:rsid w:val="00390F30"/>
    <w:rsid w:val="00392B28"/>
    <w:rsid w:val="00392C3C"/>
    <w:rsid w:val="00393FBD"/>
    <w:rsid w:val="00395367"/>
    <w:rsid w:val="003953B1"/>
    <w:rsid w:val="00396157"/>
    <w:rsid w:val="003965CD"/>
    <w:rsid w:val="00396951"/>
    <w:rsid w:val="00397077"/>
    <w:rsid w:val="00397A11"/>
    <w:rsid w:val="003A1680"/>
    <w:rsid w:val="003A1817"/>
    <w:rsid w:val="003A367D"/>
    <w:rsid w:val="003A3933"/>
    <w:rsid w:val="003A49D9"/>
    <w:rsid w:val="003A60B7"/>
    <w:rsid w:val="003A7309"/>
    <w:rsid w:val="003A78D3"/>
    <w:rsid w:val="003A7FA3"/>
    <w:rsid w:val="003B1826"/>
    <w:rsid w:val="003B198A"/>
    <w:rsid w:val="003B4A0E"/>
    <w:rsid w:val="003B4FD3"/>
    <w:rsid w:val="003B5833"/>
    <w:rsid w:val="003B6EC5"/>
    <w:rsid w:val="003B7838"/>
    <w:rsid w:val="003B7BFC"/>
    <w:rsid w:val="003C089A"/>
    <w:rsid w:val="003C09B1"/>
    <w:rsid w:val="003C1239"/>
    <w:rsid w:val="003C3B1D"/>
    <w:rsid w:val="003C4609"/>
    <w:rsid w:val="003C4A33"/>
    <w:rsid w:val="003C5A04"/>
    <w:rsid w:val="003C6770"/>
    <w:rsid w:val="003C6B95"/>
    <w:rsid w:val="003C6EE6"/>
    <w:rsid w:val="003C7187"/>
    <w:rsid w:val="003C738B"/>
    <w:rsid w:val="003D0E82"/>
    <w:rsid w:val="003D13DE"/>
    <w:rsid w:val="003D1E1F"/>
    <w:rsid w:val="003D3138"/>
    <w:rsid w:val="003D40FB"/>
    <w:rsid w:val="003D4D3F"/>
    <w:rsid w:val="003D6E4D"/>
    <w:rsid w:val="003D755B"/>
    <w:rsid w:val="003D7AE0"/>
    <w:rsid w:val="003E0437"/>
    <w:rsid w:val="003E1739"/>
    <w:rsid w:val="003E2351"/>
    <w:rsid w:val="003E2D98"/>
    <w:rsid w:val="003E3B52"/>
    <w:rsid w:val="003E4757"/>
    <w:rsid w:val="003E63B5"/>
    <w:rsid w:val="003E69ED"/>
    <w:rsid w:val="003E6EF7"/>
    <w:rsid w:val="003E6F55"/>
    <w:rsid w:val="003E79C9"/>
    <w:rsid w:val="003F0749"/>
    <w:rsid w:val="003F0C3F"/>
    <w:rsid w:val="003F153D"/>
    <w:rsid w:val="003F2279"/>
    <w:rsid w:val="003F2A16"/>
    <w:rsid w:val="003F3918"/>
    <w:rsid w:val="003F432B"/>
    <w:rsid w:val="003F4F07"/>
    <w:rsid w:val="003F5323"/>
    <w:rsid w:val="003F608A"/>
    <w:rsid w:val="003F613C"/>
    <w:rsid w:val="003F67F5"/>
    <w:rsid w:val="003F6EA1"/>
    <w:rsid w:val="003F75C5"/>
    <w:rsid w:val="00400095"/>
    <w:rsid w:val="00400931"/>
    <w:rsid w:val="004017AD"/>
    <w:rsid w:val="00401BEE"/>
    <w:rsid w:val="00402BBA"/>
    <w:rsid w:val="004034C1"/>
    <w:rsid w:val="00403C94"/>
    <w:rsid w:val="00404E4F"/>
    <w:rsid w:val="0040702A"/>
    <w:rsid w:val="00410D00"/>
    <w:rsid w:val="004125DC"/>
    <w:rsid w:val="00412A7D"/>
    <w:rsid w:val="00413152"/>
    <w:rsid w:val="0041402C"/>
    <w:rsid w:val="004153D9"/>
    <w:rsid w:val="00415682"/>
    <w:rsid w:val="00417966"/>
    <w:rsid w:val="00417F01"/>
    <w:rsid w:val="0042060F"/>
    <w:rsid w:val="00420931"/>
    <w:rsid w:val="00421155"/>
    <w:rsid w:val="00421AB0"/>
    <w:rsid w:val="00422329"/>
    <w:rsid w:val="00422E25"/>
    <w:rsid w:val="0042432F"/>
    <w:rsid w:val="0042504D"/>
    <w:rsid w:val="0042576E"/>
    <w:rsid w:val="004260A4"/>
    <w:rsid w:val="00426ECF"/>
    <w:rsid w:val="00427375"/>
    <w:rsid w:val="00430738"/>
    <w:rsid w:val="004315F7"/>
    <w:rsid w:val="00431704"/>
    <w:rsid w:val="00431C78"/>
    <w:rsid w:val="004326C2"/>
    <w:rsid w:val="0043278A"/>
    <w:rsid w:val="00433190"/>
    <w:rsid w:val="00434910"/>
    <w:rsid w:val="00435430"/>
    <w:rsid w:val="004367A3"/>
    <w:rsid w:val="00436FDC"/>
    <w:rsid w:val="00440F42"/>
    <w:rsid w:val="00441630"/>
    <w:rsid w:val="00441FB5"/>
    <w:rsid w:val="00442312"/>
    <w:rsid w:val="0044250E"/>
    <w:rsid w:val="004433D9"/>
    <w:rsid w:val="00444722"/>
    <w:rsid w:val="004461D6"/>
    <w:rsid w:val="0044652F"/>
    <w:rsid w:val="00451E8A"/>
    <w:rsid w:val="00453EBE"/>
    <w:rsid w:val="00453EC5"/>
    <w:rsid w:val="00454BAA"/>
    <w:rsid w:val="00454DF6"/>
    <w:rsid w:val="00455CB9"/>
    <w:rsid w:val="00456ABC"/>
    <w:rsid w:val="00456C3B"/>
    <w:rsid w:val="00456D54"/>
    <w:rsid w:val="00457054"/>
    <w:rsid w:val="00457484"/>
    <w:rsid w:val="004601ED"/>
    <w:rsid w:val="00460404"/>
    <w:rsid w:val="00461276"/>
    <w:rsid w:val="0046155A"/>
    <w:rsid w:val="00461994"/>
    <w:rsid w:val="00463681"/>
    <w:rsid w:val="00463762"/>
    <w:rsid w:val="00464313"/>
    <w:rsid w:val="0046456F"/>
    <w:rsid w:val="00464613"/>
    <w:rsid w:val="00464981"/>
    <w:rsid w:val="0046554D"/>
    <w:rsid w:val="00465CC3"/>
    <w:rsid w:val="00466A17"/>
    <w:rsid w:val="00466C70"/>
    <w:rsid w:val="00466DA8"/>
    <w:rsid w:val="004704A2"/>
    <w:rsid w:val="004704F2"/>
    <w:rsid w:val="0047344E"/>
    <w:rsid w:val="00473E2B"/>
    <w:rsid w:val="00474255"/>
    <w:rsid w:val="0047510D"/>
    <w:rsid w:val="004755A9"/>
    <w:rsid w:val="00475BAF"/>
    <w:rsid w:val="00481011"/>
    <w:rsid w:val="0048104D"/>
    <w:rsid w:val="0048108A"/>
    <w:rsid w:val="00481405"/>
    <w:rsid w:val="004818C7"/>
    <w:rsid w:val="00482199"/>
    <w:rsid w:val="00482B92"/>
    <w:rsid w:val="00483BD9"/>
    <w:rsid w:val="00483C8E"/>
    <w:rsid w:val="00485C75"/>
    <w:rsid w:val="004865E7"/>
    <w:rsid w:val="004866BC"/>
    <w:rsid w:val="00486728"/>
    <w:rsid w:val="00487026"/>
    <w:rsid w:val="00490AAE"/>
    <w:rsid w:val="00491A4D"/>
    <w:rsid w:val="00491B33"/>
    <w:rsid w:val="004939F6"/>
    <w:rsid w:val="00493B74"/>
    <w:rsid w:val="0049417C"/>
    <w:rsid w:val="00495079"/>
    <w:rsid w:val="00495ED4"/>
    <w:rsid w:val="004963C2"/>
    <w:rsid w:val="004A195E"/>
    <w:rsid w:val="004A2CD9"/>
    <w:rsid w:val="004A4DD8"/>
    <w:rsid w:val="004A67C7"/>
    <w:rsid w:val="004A7474"/>
    <w:rsid w:val="004A7565"/>
    <w:rsid w:val="004A7DC8"/>
    <w:rsid w:val="004A7F9F"/>
    <w:rsid w:val="004B0631"/>
    <w:rsid w:val="004B0837"/>
    <w:rsid w:val="004B0B7F"/>
    <w:rsid w:val="004B0EAC"/>
    <w:rsid w:val="004B1077"/>
    <w:rsid w:val="004B1210"/>
    <w:rsid w:val="004B1721"/>
    <w:rsid w:val="004B26FA"/>
    <w:rsid w:val="004B30CF"/>
    <w:rsid w:val="004B340E"/>
    <w:rsid w:val="004B49E7"/>
    <w:rsid w:val="004B63B3"/>
    <w:rsid w:val="004B6EF7"/>
    <w:rsid w:val="004B70CD"/>
    <w:rsid w:val="004B7223"/>
    <w:rsid w:val="004B76CC"/>
    <w:rsid w:val="004C0108"/>
    <w:rsid w:val="004C03AC"/>
    <w:rsid w:val="004C2CD5"/>
    <w:rsid w:val="004C32BC"/>
    <w:rsid w:val="004C3B77"/>
    <w:rsid w:val="004C3DCC"/>
    <w:rsid w:val="004C49EB"/>
    <w:rsid w:val="004C5545"/>
    <w:rsid w:val="004C5C70"/>
    <w:rsid w:val="004C6001"/>
    <w:rsid w:val="004C7512"/>
    <w:rsid w:val="004D2154"/>
    <w:rsid w:val="004D282D"/>
    <w:rsid w:val="004D2BBB"/>
    <w:rsid w:val="004D3016"/>
    <w:rsid w:val="004D3637"/>
    <w:rsid w:val="004D4087"/>
    <w:rsid w:val="004D49D8"/>
    <w:rsid w:val="004D5272"/>
    <w:rsid w:val="004D5750"/>
    <w:rsid w:val="004D5952"/>
    <w:rsid w:val="004D6413"/>
    <w:rsid w:val="004D6B7D"/>
    <w:rsid w:val="004D6C8B"/>
    <w:rsid w:val="004D73AB"/>
    <w:rsid w:val="004D7D4C"/>
    <w:rsid w:val="004E00F7"/>
    <w:rsid w:val="004E0486"/>
    <w:rsid w:val="004E0872"/>
    <w:rsid w:val="004E0AEB"/>
    <w:rsid w:val="004E1859"/>
    <w:rsid w:val="004E2857"/>
    <w:rsid w:val="004E384A"/>
    <w:rsid w:val="004E45B5"/>
    <w:rsid w:val="004E6755"/>
    <w:rsid w:val="004E69D8"/>
    <w:rsid w:val="004E70D1"/>
    <w:rsid w:val="004E7435"/>
    <w:rsid w:val="004F0438"/>
    <w:rsid w:val="004F2718"/>
    <w:rsid w:val="004F327F"/>
    <w:rsid w:val="004F4502"/>
    <w:rsid w:val="004F4C42"/>
    <w:rsid w:val="004F5215"/>
    <w:rsid w:val="004F5C27"/>
    <w:rsid w:val="004F5F3C"/>
    <w:rsid w:val="004F7C7D"/>
    <w:rsid w:val="0050191E"/>
    <w:rsid w:val="00504AA2"/>
    <w:rsid w:val="00505304"/>
    <w:rsid w:val="00507641"/>
    <w:rsid w:val="00511089"/>
    <w:rsid w:val="005117EA"/>
    <w:rsid w:val="00511BE5"/>
    <w:rsid w:val="00511E87"/>
    <w:rsid w:val="00514722"/>
    <w:rsid w:val="00515018"/>
    <w:rsid w:val="0051534B"/>
    <w:rsid w:val="00515A84"/>
    <w:rsid w:val="00515CE4"/>
    <w:rsid w:val="00515D7C"/>
    <w:rsid w:val="00515F3C"/>
    <w:rsid w:val="005168C5"/>
    <w:rsid w:val="00517BE1"/>
    <w:rsid w:val="00517FCA"/>
    <w:rsid w:val="005224FC"/>
    <w:rsid w:val="00522E22"/>
    <w:rsid w:val="00522E56"/>
    <w:rsid w:val="00523764"/>
    <w:rsid w:val="00525746"/>
    <w:rsid w:val="005275EA"/>
    <w:rsid w:val="00527CCA"/>
    <w:rsid w:val="005303E3"/>
    <w:rsid w:val="00530457"/>
    <w:rsid w:val="0053282A"/>
    <w:rsid w:val="00532D87"/>
    <w:rsid w:val="0053379C"/>
    <w:rsid w:val="005338C8"/>
    <w:rsid w:val="00533A54"/>
    <w:rsid w:val="00533BDE"/>
    <w:rsid w:val="00533E10"/>
    <w:rsid w:val="00533E70"/>
    <w:rsid w:val="0053430C"/>
    <w:rsid w:val="00534D43"/>
    <w:rsid w:val="0053587C"/>
    <w:rsid w:val="005362AB"/>
    <w:rsid w:val="005362DB"/>
    <w:rsid w:val="005362E7"/>
    <w:rsid w:val="00536973"/>
    <w:rsid w:val="00536EA4"/>
    <w:rsid w:val="00537BDB"/>
    <w:rsid w:val="005402C5"/>
    <w:rsid w:val="0054123A"/>
    <w:rsid w:val="00541E0A"/>
    <w:rsid w:val="005425A8"/>
    <w:rsid w:val="0054277E"/>
    <w:rsid w:val="00545B45"/>
    <w:rsid w:val="00546EE3"/>
    <w:rsid w:val="00550B25"/>
    <w:rsid w:val="00550DB4"/>
    <w:rsid w:val="00551CC5"/>
    <w:rsid w:val="0055354C"/>
    <w:rsid w:val="005545A1"/>
    <w:rsid w:val="00554656"/>
    <w:rsid w:val="00554E45"/>
    <w:rsid w:val="00556653"/>
    <w:rsid w:val="00556A53"/>
    <w:rsid w:val="00560152"/>
    <w:rsid w:val="00560366"/>
    <w:rsid w:val="00560CE5"/>
    <w:rsid w:val="0056164F"/>
    <w:rsid w:val="00561E26"/>
    <w:rsid w:val="00562527"/>
    <w:rsid w:val="005632EF"/>
    <w:rsid w:val="00564096"/>
    <w:rsid w:val="00564685"/>
    <w:rsid w:val="00565C06"/>
    <w:rsid w:val="005710CC"/>
    <w:rsid w:val="00571154"/>
    <w:rsid w:val="00571621"/>
    <w:rsid w:val="0057247B"/>
    <w:rsid w:val="005724BA"/>
    <w:rsid w:val="00574FCA"/>
    <w:rsid w:val="005768E6"/>
    <w:rsid w:val="00576C13"/>
    <w:rsid w:val="005770A5"/>
    <w:rsid w:val="00577E17"/>
    <w:rsid w:val="00577EAA"/>
    <w:rsid w:val="0058027B"/>
    <w:rsid w:val="00580A62"/>
    <w:rsid w:val="00580CFD"/>
    <w:rsid w:val="00580EAB"/>
    <w:rsid w:val="00581225"/>
    <w:rsid w:val="0058150A"/>
    <w:rsid w:val="005817EC"/>
    <w:rsid w:val="00583E02"/>
    <w:rsid w:val="00583F26"/>
    <w:rsid w:val="00584EDD"/>
    <w:rsid w:val="005860BB"/>
    <w:rsid w:val="00586497"/>
    <w:rsid w:val="0058712E"/>
    <w:rsid w:val="005879D4"/>
    <w:rsid w:val="00593014"/>
    <w:rsid w:val="00593241"/>
    <w:rsid w:val="005949E3"/>
    <w:rsid w:val="005950AC"/>
    <w:rsid w:val="00595210"/>
    <w:rsid w:val="00595629"/>
    <w:rsid w:val="00595804"/>
    <w:rsid w:val="005A1C32"/>
    <w:rsid w:val="005A1FCC"/>
    <w:rsid w:val="005A262B"/>
    <w:rsid w:val="005A2880"/>
    <w:rsid w:val="005A328D"/>
    <w:rsid w:val="005A3AC0"/>
    <w:rsid w:val="005A3C05"/>
    <w:rsid w:val="005A4681"/>
    <w:rsid w:val="005A62D5"/>
    <w:rsid w:val="005A6B74"/>
    <w:rsid w:val="005A7073"/>
    <w:rsid w:val="005A7522"/>
    <w:rsid w:val="005B1875"/>
    <w:rsid w:val="005B1D7A"/>
    <w:rsid w:val="005B215B"/>
    <w:rsid w:val="005B297A"/>
    <w:rsid w:val="005B3F0A"/>
    <w:rsid w:val="005B4595"/>
    <w:rsid w:val="005B4648"/>
    <w:rsid w:val="005B5508"/>
    <w:rsid w:val="005B5D82"/>
    <w:rsid w:val="005B5F71"/>
    <w:rsid w:val="005B66F5"/>
    <w:rsid w:val="005B6C1F"/>
    <w:rsid w:val="005B71FB"/>
    <w:rsid w:val="005B784A"/>
    <w:rsid w:val="005C0C0D"/>
    <w:rsid w:val="005C1883"/>
    <w:rsid w:val="005C262E"/>
    <w:rsid w:val="005C3590"/>
    <w:rsid w:val="005C4E4B"/>
    <w:rsid w:val="005C62A1"/>
    <w:rsid w:val="005C650D"/>
    <w:rsid w:val="005D0030"/>
    <w:rsid w:val="005D29E7"/>
    <w:rsid w:val="005D31BE"/>
    <w:rsid w:val="005D35FC"/>
    <w:rsid w:val="005D36AF"/>
    <w:rsid w:val="005D469A"/>
    <w:rsid w:val="005D4F15"/>
    <w:rsid w:val="005D4FF0"/>
    <w:rsid w:val="005D5342"/>
    <w:rsid w:val="005D5E11"/>
    <w:rsid w:val="005D615A"/>
    <w:rsid w:val="005D6745"/>
    <w:rsid w:val="005D6879"/>
    <w:rsid w:val="005D6A03"/>
    <w:rsid w:val="005D6F30"/>
    <w:rsid w:val="005D787D"/>
    <w:rsid w:val="005E0C8F"/>
    <w:rsid w:val="005E1C1E"/>
    <w:rsid w:val="005E1FAB"/>
    <w:rsid w:val="005E3963"/>
    <w:rsid w:val="005E451F"/>
    <w:rsid w:val="005E4AD6"/>
    <w:rsid w:val="005E4D5F"/>
    <w:rsid w:val="005E4D6C"/>
    <w:rsid w:val="005E5383"/>
    <w:rsid w:val="005E5391"/>
    <w:rsid w:val="005E5925"/>
    <w:rsid w:val="005F0290"/>
    <w:rsid w:val="005F121A"/>
    <w:rsid w:val="005F1857"/>
    <w:rsid w:val="005F22CA"/>
    <w:rsid w:val="005F241F"/>
    <w:rsid w:val="005F28F8"/>
    <w:rsid w:val="005F2F68"/>
    <w:rsid w:val="005F3232"/>
    <w:rsid w:val="005F579F"/>
    <w:rsid w:val="005F589C"/>
    <w:rsid w:val="005F5F83"/>
    <w:rsid w:val="005F6223"/>
    <w:rsid w:val="005F6970"/>
    <w:rsid w:val="005F77FC"/>
    <w:rsid w:val="00600AE6"/>
    <w:rsid w:val="006018F6"/>
    <w:rsid w:val="00602B1A"/>
    <w:rsid w:val="00602C63"/>
    <w:rsid w:val="0060328A"/>
    <w:rsid w:val="00603E91"/>
    <w:rsid w:val="0060638A"/>
    <w:rsid w:val="006113C0"/>
    <w:rsid w:val="00611BF5"/>
    <w:rsid w:val="00612392"/>
    <w:rsid w:val="006123E8"/>
    <w:rsid w:val="006128DF"/>
    <w:rsid w:val="00613153"/>
    <w:rsid w:val="006140B3"/>
    <w:rsid w:val="00614BCF"/>
    <w:rsid w:val="0061695E"/>
    <w:rsid w:val="00617AF6"/>
    <w:rsid w:val="0062460D"/>
    <w:rsid w:val="00624AF1"/>
    <w:rsid w:val="00626993"/>
    <w:rsid w:val="00626FD2"/>
    <w:rsid w:val="00627C19"/>
    <w:rsid w:val="006306DF"/>
    <w:rsid w:val="00630D25"/>
    <w:rsid w:val="00630D5B"/>
    <w:rsid w:val="0063110F"/>
    <w:rsid w:val="00631AFC"/>
    <w:rsid w:val="006334FB"/>
    <w:rsid w:val="00634235"/>
    <w:rsid w:val="0063499A"/>
    <w:rsid w:val="006353A0"/>
    <w:rsid w:val="006353B4"/>
    <w:rsid w:val="006365E2"/>
    <w:rsid w:val="00637B15"/>
    <w:rsid w:val="00637D27"/>
    <w:rsid w:val="00640424"/>
    <w:rsid w:val="006418C4"/>
    <w:rsid w:val="00641AA7"/>
    <w:rsid w:val="006422EB"/>
    <w:rsid w:val="0064268E"/>
    <w:rsid w:val="006427AF"/>
    <w:rsid w:val="00642A22"/>
    <w:rsid w:val="00643CE9"/>
    <w:rsid w:val="006444FF"/>
    <w:rsid w:val="00645ED8"/>
    <w:rsid w:val="006463F9"/>
    <w:rsid w:val="00646A4C"/>
    <w:rsid w:val="00647340"/>
    <w:rsid w:val="00651125"/>
    <w:rsid w:val="00651A5F"/>
    <w:rsid w:val="006520F5"/>
    <w:rsid w:val="00652EF2"/>
    <w:rsid w:val="00652FD0"/>
    <w:rsid w:val="0065403B"/>
    <w:rsid w:val="00654F9B"/>
    <w:rsid w:val="00655E6C"/>
    <w:rsid w:val="00656FDE"/>
    <w:rsid w:val="00657DE9"/>
    <w:rsid w:val="00660348"/>
    <w:rsid w:val="006603F0"/>
    <w:rsid w:val="00660798"/>
    <w:rsid w:val="00660BF3"/>
    <w:rsid w:val="00662DE0"/>
    <w:rsid w:val="00663189"/>
    <w:rsid w:val="00664623"/>
    <w:rsid w:val="006663E8"/>
    <w:rsid w:val="00666922"/>
    <w:rsid w:val="00666B21"/>
    <w:rsid w:val="00666D39"/>
    <w:rsid w:val="00670269"/>
    <w:rsid w:val="0067026C"/>
    <w:rsid w:val="0067498B"/>
    <w:rsid w:val="00675ACE"/>
    <w:rsid w:val="00677771"/>
    <w:rsid w:val="00682290"/>
    <w:rsid w:val="0068255A"/>
    <w:rsid w:val="006841C3"/>
    <w:rsid w:val="00684204"/>
    <w:rsid w:val="00684D89"/>
    <w:rsid w:val="0068588A"/>
    <w:rsid w:val="0068653C"/>
    <w:rsid w:val="006865CE"/>
    <w:rsid w:val="00687C09"/>
    <w:rsid w:val="00690116"/>
    <w:rsid w:val="006909B9"/>
    <w:rsid w:val="00691019"/>
    <w:rsid w:val="006912FB"/>
    <w:rsid w:val="00692895"/>
    <w:rsid w:val="00693000"/>
    <w:rsid w:val="006938E5"/>
    <w:rsid w:val="00694102"/>
    <w:rsid w:val="0069443C"/>
    <w:rsid w:val="00694623"/>
    <w:rsid w:val="00695BEA"/>
    <w:rsid w:val="00697401"/>
    <w:rsid w:val="00697ACF"/>
    <w:rsid w:val="006A0C1A"/>
    <w:rsid w:val="006A1379"/>
    <w:rsid w:val="006A24BD"/>
    <w:rsid w:val="006A2EDE"/>
    <w:rsid w:val="006A4649"/>
    <w:rsid w:val="006A7F9B"/>
    <w:rsid w:val="006B04F2"/>
    <w:rsid w:val="006B060E"/>
    <w:rsid w:val="006B0EBB"/>
    <w:rsid w:val="006B13E6"/>
    <w:rsid w:val="006B1C31"/>
    <w:rsid w:val="006B2C99"/>
    <w:rsid w:val="006B6468"/>
    <w:rsid w:val="006B745C"/>
    <w:rsid w:val="006C358F"/>
    <w:rsid w:val="006C4EAC"/>
    <w:rsid w:val="006C58A0"/>
    <w:rsid w:val="006C7433"/>
    <w:rsid w:val="006C7A33"/>
    <w:rsid w:val="006D036B"/>
    <w:rsid w:val="006D099C"/>
    <w:rsid w:val="006D0CC7"/>
    <w:rsid w:val="006D0E60"/>
    <w:rsid w:val="006D25BB"/>
    <w:rsid w:val="006D2A93"/>
    <w:rsid w:val="006D3226"/>
    <w:rsid w:val="006D3597"/>
    <w:rsid w:val="006D39F2"/>
    <w:rsid w:val="006D53F6"/>
    <w:rsid w:val="006D5481"/>
    <w:rsid w:val="006D5720"/>
    <w:rsid w:val="006D5A76"/>
    <w:rsid w:val="006D5ABF"/>
    <w:rsid w:val="006D7510"/>
    <w:rsid w:val="006D7549"/>
    <w:rsid w:val="006E0351"/>
    <w:rsid w:val="006E13C2"/>
    <w:rsid w:val="006E2901"/>
    <w:rsid w:val="006E30A3"/>
    <w:rsid w:val="006E35E3"/>
    <w:rsid w:val="006E3967"/>
    <w:rsid w:val="006E41D3"/>
    <w:rsid w:val="006E68F9"/>
    <w:rsid w:val="006E711D"/>
    <w:rsid w:val="006E777E"/>
    <w:rsid w:val="006E7A2C"/>
    <w:rsid w:val="006F0537"/>
    <w:rsid w:val="006F082B"/>
    <w:rsid w:val="006F0C27"/>
    <w:rsid w:val="006F18B4"/>
    <w:rsid w:val="006F305D"/>
    <w:rsid w:val="006F3A75"/>
    <w:rsid w:val="006F42A3"/>
    <w:rsid w:val="006F4443"/>
    <w:rsid w:val="006F5027"/>
    <w:rsid w:val="006F550B"/>
    <w:rsid w:val="006F7774"/>
    <w:rsid w:val="00700AFD"/>
    <w:rsid w:val="00700F6B"/>
    <w:rsid w:val="00701611"/>
    <w:rsid w:val="007019CA"/>
    <w:rsid w:val="00703015"/>
    <w:rsid w:val="0070314A"/>
    <w:rsid w:val="00703D75"/>
    <w:rsid w:val="00704903"/>
    <w:rsid w:val="00705C75"/>
    <w:rsid w:val="00707353"/>
    <w:rsid w:val="007074B7"/>
    <w:rsid w:val="00710969"/>
    <w:rsid w:val="00710F03"/>
    <w:rsid w:val="00711BDA"/>
    <w:rsid w:val="00712363"/>
    <w:rsid w:val="00712441"/>
    <w:rsid w:val="00713BCD"/>
    <w:rsid w:val="00713C3B"/>
    <w:rsid w:val="00715A77"/>
    <w:rsid w:val="00715BDB"/>
    <w:rsid w:val="007161BE"/>
    <w:rsid w:val="00716916"/>
    <w:rsid w:val="00717CEC"/>
    <w:rsid w:val="00720703"/>
    <w:rsid w:val="007218B2"/>
    <w:rsid w:val="00721B6C"/>
    <w:rsid w:val="00721E22"/>
    <w:rsid w:val="00721FF5"/>
    <w:rsid w:val="00723C80"/>
    <w:rsid w:val="007247A4"/>
    <w:rsid w:val="00724BF6"/>
    <w:rsid w:val="007252A1"/>
    <w:rsid w:val="007252A3"/>
    <w:rsid w:val="00725737"/>
    <w:rsid w:val="007259D6"/>
    <w:rsid w:val="00725CBE"/>
    <w:rsid w:val="007260F5"/>
    <w:rsid w:val="007267DB"/>
    <w:rsid w:val="00730458"/>
    <w:rsid w:val="00731449"/>
    <w:rsid w:val="00731730"/>
    <w:rsid w:val="0073226E"/>
    <w:rsid w:val="0073237C"/>
    <w:rsid w:val="00733EB4"/>
    <w:rsid w:val="007345D0"/>
    <w:rsid w:val="007345EF"/>
    <w:rsid w:val="00734C93"/>
    <w:rsid w:val="00734D84"/>
    <w:rsid w:val="00735151"/>
    <w:rsid w:val="007360E9"/>
    <w:rsid w:val="00736377"/>
    <w:rsid w:val="0073795F"/>
    <w:rsid w:val="007402FB"/>
    <w:rsid w:val="00741345"/>
    <w:rsid w:val="007414C7"/>
    <w:rsid w:val="00741E23"/>
    <w:rsid w:val="007421C3"/>
    <w:rsid w:val="0074386F"/>
    <w:rsid w:val="00744056"/>
    <w:rsid w:val="0074421C"/>
    <w:rsid w:val="007447A0"/>
    <w:rsid w:val="00744888"/>
    <w:rsid w:val="0074523F"/>
    <w:rsid w:val="007468F9"/>
    <w:rsid w:val="00746A4C"/>
    <w:rsid w:val="00747717"/>
    <w:rsid w:val="007526B5"/>
    <w:rsid w:val="0075398E"/>
    <w:rsid w:val="00753D44"/>
    <w:rsid w:val="007542F6"/>
    <w:rsid w:val="0075486E"/>
    <w:rsid w:val="00755EC8"/>
    <w:rsid w:val="0075627C"/>
    <w:rsid w:val="00756AA4"/>
    <w:rsid w:val="00757AFF"/>
    <w:rsid w:val="00762112"/>
    <w:rsid w:val="007627EF"/>
    <w:rsid w:val="007631E8"/>
    <w:rsid w:val="007641E3"/>
    <w:rsid w:val="0076501D"/>
    <w:rsid w:val="007655D0"/>
    <w:rsid w:val="0077058D"/>
    <w:rsid w:val="00771432"/>
    <w:rsid w:val="00773BC6"/>
    <w:rsid w:val="00774B68"/>
    <w:rsid w:val="0077589D"/>
    <w:rsid w:val="007760EE"/>
    <w:rsid w:val="007769A9"/>
    <w:rsid w:val="00776BC6"/>
    <w:rsid w:val="00777BC2"/>
    <w:rsid w:val="00780C0A"/>
    <w:rsid w:val="0078147E"/>
    <w:rsid w:val="00783D50"/>
    <w:rsid w:val="007846DE"/>
    <w:rsid w:val="00784898"/>
    <w:rsid w:val="00784ECD"/>
    <w:rsid w:val="00786070"/>
    <w:rsid w:val="00787D4A"/>
    <w:rsid w:val="00791592"/>
    <w:rsid w:val="007915C0"/>
    <w:rsid w:val="00791F30"/>
    <w:rsid w:val="007924D1"/>
    <w:rsid w:val="00793AFE"/>
    <w:rsid w:val="00793E16"/>
    <w:rsid w:val="00796243"/>
    <w:rsid w:val="0079646A"/>
    <w:rsid w:val="00796EDD"/>
    <w:rsid w:val="00797E1F"/>
    <w:rsid w:val="007A028C"/>
    <w:rsid w:val="007A18C5"/>
    <w:rsid w:val="007A247F"/>
    <w:rsid w:val="007A36B4"/>
    <w:rsid w:val="007A4025"/>
    <w:rsid w:val="007A428A"/>
    <w:rsid w:val="007A5121"/>
    <w:rsid w:val="007A5378"/>
    <w:rsid w:val="007A556F"/>
    <w:rsid w:val="007A6318"/>
    <w:rsid w:val="007A72F0"/>
    <w:rsid w:val="007B0032"/>
    <w:rsid w:val="007B0106"/>
    <w:rsid w:val="007B041E"/>
    <w:rsid w:val="007B0996"/>
    <w:rsid w:val="007B1A02"/>
    <w:rsid w:val="007B50AC"/>
    <w:rsid w:val="007B658A"/>
    <w:rsid w:val="007B694D"/>
    <w:rsid w:val="007B6A89"/>
    <w:rsid w:val="007B6AD1"/>
    <w:rsid w:val="007B7060"/>
    <w:rsid w:val="007C00D4"/>
    <w:rsid w:val="007C0A64"/>
    <w:rsid w:val="007C0CBF"/>
    <w:rsid w:val="007C0FD8"/>
    <w:rsid w:val="007C121E"/>
    <w:rsid w:val="007C156A"/>
    <w:rsid w:val="007C1C4D"/>
    <w:rsid w:val="007C2721"/>
    <w:rsid w:val="007C3AED"/>
    <w:rsid w:val="007C4D5A"/>
    <w:rsid w:val="007C4D96"/>
    <w:rsid w:val="007C554A"/>
    <w:rsid w:val="007C5684"/>
    <w:rsid w:val="007C6631"/>
    <w:rsid w:val="007C6A3F"/>
    <w:rsid w:val="007C7D3B"/>
    <w:rsid w:val="007D036B"/>
    <w:rsid w:val="007D0510"/>
    <w:rsid w:val="007D065F"/>
    <w:rsid w:val="007D0BA6"/>
    <w:rsid w:val="007D10CB"/>
    <w:rsid w:val="007D1A02"/>
    <w:rsid w:val="007D29C2"/>
    <w:rsid w:val="007D4350"/>
    <w:rsid w:val="007D4D4A"/>
    <w:rsid w:val="007D5EB9"/>
    <w:rsid w:val="007D69B9"/>
    <w:rsid w:val="007D733E"/>
    <w:rsid w:val="007D78E8"/>
    <w:rsid w:val="007E07DD"/>
    <w:rsid w:val="007E26C5"/>
    <w:rsid w:val="007E2E32"/>
    <w:rsid w:val="007E3004"/>
    <w:rsid w:val="007E583A"/>
    <w:rsid w:val="007E61D7"/>
    <w:rsid w:val="007E6ABA"/>
    <w:rsid w:val="007E6C91"/>
    <w:rsid w:val="007F0BEF"/>
    <w:rsid w:val="007F1127"/>
    <w:rsid w:val="007F119A"/>
    <w:rsid w:val="007F15D1"/>
    <w:rsid w:val="007F3DE3"/>
    <w:rsid w:val="007F4E20"/>
    <w:rsid w:val="007F5630"/>
    <w:rsid w:val="007F5792"/>
    <w:rsid w:val="007F57A3"/>
    <w:rsid w:val="007F5F1E"/>
    <w:rsid w:val="007F66F7"/>
    <w:rsid w:val="007F790C"/>
    <w:rsid w:val="007F79E5"/>
    <w:rsid w:val="007F7A8E"/>
    <w:rsid w:val="00800FEE"/>
    <w:rsid w:val="00801110"/>
    <w:rsid w:val="0080143B"/>
    <w:rsid w:val="008028EE"/>
    <w:rsid w:val="00802937"/>
    <w:rsid w:val="00802E46"/>
    <w:rsid w:val="00803C8B"/>
    <w:rsid w:val="00805235"/>
    <w:rsid w:val="0080693E"/>
    <w:rsid w:val="00806B62"/>
    <w:rsid w:val="00807E22"/>
    <w:rsid w:val="0081007B"/>
    <w:rsid w:val="00810A5B"/>
    <w:rsid w:val="00811193"/>
    <w:rsid w:val="00811B75"/>
    <w:rsid w:val="00812101"/>
    <w:rsid w:val="00812222"/>
    <w:rsid w:val="00812321"/>
    <w:rsid w:val="008134FC"/>
    <w:rsid w:val="00813757"/>
    <w:rsid w:val="00813FF0"/>
    <w:rsid w:val="008142F4"/>
    <w:rsid w:val="00814B56"/>
    <w:rsid w:val="008153B4"/>
    <w:rsid w:val="0081569A"/>
    <w:rsid w:val="008161B6"/>
    <w:rsid w:val="00817489"/>
    <w:rsid w:val="00817C76"/>
    <w:rsid w:val="008202D1"/>
    <w:rsid w:val="008203E4"/>
    <w:rsid w:val="008219AE"/>
    <w:rsid w:val="00821C17"/>
    <w:rsid w:val="00821D85"/>
    <w:rsid w:val="00822378"/>
    <w:rsid w:val="00822C33"/>
    <w:rsid w:val="00823E6F"/>
    <w:rsid w:val="00823F55"/>
    <w:rsid w:val="008250BC"/>
    <w:rsid w:val="00825E47"/>
    <w:rsid w:val="008319A4"/>
    <w:rsid w:val="00831E8A"/>
    <w:rsid w:val="00834E45"/>
    <w:rsid w:val="0084148E"/>
    <w:rsid w:val="00841796"/>
    <w:rsid w:val="00841C76"/>
    <w:rsid w:val="00841F6E"/>
    <w:rsid w:val="0084313C"/>
    <w:rsid w:val="00843E68"/>
    <w:rsid w:val="00844360"/>
    <w:rsid w:val="00844AE8"/>
    <w:rsid w:val="00844E60"/>
    <w:rsid w:val="00845C81"/>
    <w:rsid w:val="00845ED9"/>
    <w:rsid w:val="00847CF9"/>
    <w:rsid w:val="00847ED4"/>
    <w:rsid w:val="008501BD"/>
    <w:rsid w:val="008522C7"/>
    <w:rsid w:val="0085284C"/>
    <w:rsid w:val="00852ED8"/>
    <w:rsid w:val="00853242"/>
    <w:rsid w:val="00856129"/>
    <w:rsid w:val="00856B66"/>
    <w:rsid w:val="00857816"/>
    <w:rsid w:val="00857CB3"/>
    <w:rsid w:val="008609DF"/>
    <w:rsid w:val="00860F84"/>
    <w:rsid w:val="00861494"/>
    <w:rsid w:val="008621F4"/>
    <w:rsid w:val="00862715"/>
    <w:rsid w:val="00863D87"/>
    <w:rsid w:val="00864F0F"/>
    <w:rsid w:val="00865967"/>
    <w:rsid w:val="008679AE"/>
    <w:rsid w:val="008679CD"/>
    <w:rsid w:val="00870265"/>
    <w:rsid w:val="008708AD"/>
    <w:rsid w:val="008709AC"/>
    <w:rsid w:val="00871EC4"/>
    <w:rsid w:val="00873894"/>
    <w:rsid w:val="00873DBA"/>
    <w:rsid w:val="00874230"/>
    <w:rsid w:val="00874EE3"/>
    <w:rsid w:val="00875B7A"/>
    <w:rsid w:val="008762AD"/>
    <w:rsid w:val="0087706B"/>
    <w:rsid w:val="0087756C"/>
    <w:rsid w:val="00880094"/>
    <w:rsid w:val="008821CD"/>
    <w:rsid w:val="00882BBC"/>
    <w:rsid w:val="00883245"/>
    <w:rsid w:val="008841C6"/>
    <w:rsid w:val="00885DFB"/>
    <w:rsid w:val="00887495"/>
    <w:rsid w:val="00887ACD"/>
    <w:rsid w:val="00887E85"/>
    <w:rsid w:val="0089046F"/>
    <w:rsid w:val="00890FBB"/>
    <w:rsid w:val="00892A7D"/>
    <w:rsid w:val="00894D4E"/>
    <w:rsid w:val="008958B7"/>
    <w:rsid w:val="00896011"/>
    <w:rsid w:val="008972E2"/>
    <w:rsid w:val="00897660"/>
    <w:rsid w:val="00897ACA"/>
    <w:rsid w:val="00897B50"/>
    <w:rsid w:val="008A0FB9"/>
    <w:rsid w:val="008A1585"/>
    <w:rsid w:val="008A19BC"/>
    <w:rsid w:val="008A3A8E"/>
    <w:rsid w:val="008A3FB3"/>
    <w:rsid w:val="008B0D36"/>
    <w:rsid w:val="008B23EE"/>
    <w:rsid w:val="008B525A"/>
    <w:rsid w:val="008B5301"/>
    <w:rsid w:val="008B631B"/>
    <w:rsid w:val="008B64E1"/>
    <w:rsid w:val="008B65B8"/>
    <w:rsid w:val="008C0A97"/>
    <w:rsid w:val="008C0FC5"/>
    <w:rsid w:val="008C311A"/>
    <w:rsid w:val="008C31A1"/>
    <w:rsid w:val="008C336A"/>
    <w:rsid w:val="008C7BD5"/>
    <w:rsid w:val="008D0838"/>
    <w:rsid w:val="008D0D6A"/>
    <w:rsid w:val="008D179F"/>
    <w:rsid w:val="008D2597"/>
    <w:rsid w:val="008D31D0"/>
    <w:rsid w:val="008D4569"/>
    <w:rsid w:val="008D4926"/>
    <w:rsid w:val="008D514C"/>
    <w:rsid w:val="008D6906"/>
    <w:rsid w:val="008D75A8"/>
    <w:rsid w:val="008D7A27"/>
    <w:rsid w:val="008E12A9"/>
    <w:rsid w:val="008E13DC"/>
    <w:rsid w:val="008E16CA"/>
    <w:rsid w:val="008E1F11"/>
    <w:rsid w:val="008E207D"/>
    <w:rsid w:val="008E421E"/>
    <w:rsid w:val="008E4291"/>
    <w:rsid w:val="008E466D"/>
    <w:rsid w:val="008E4AAF"/>
    <w:rsid w:val="008E5145"/>
    <w:rsid w:val="008E5907"/>
    <w:rsid w:val="008E7C1B"/>
    <w:rsid w:val="008E7C7C"/>
    <w:rsid w:val="008F0386"/>
    <w:rsid w:val="008F10EA"/>
    <w:rsid w:val="008F1758"/>
    <w:rsid w:val="008F1AAA"/>
    <w:rsid w:val="008F1C32"/>
    <w:rsid w:val="008F2095"/>
    <w:rsid w:val="008F2443"/>
    <w:rsid w:val="008F2621"/>
    <w:rsid w:val="008F3022"/>
    <w:rsid w:val="008F3826"/>
    <w:rsid w:val="008F4457"/>
    <w:rsid w:val="008F522F"/>
    <w:rsid w:val="008F5F4D"/>
    <w:rsid w:val="008F7C0B"/>
    <w:rsid w:val="009002A3"/>
    <w:rsid w:val="00901CAD"/>
    <w:rsid w:val="009022AC"/>
    <w:rsid w:val="00902462"/>
    <w:rsid w:val="00902C08"/>
    <w:rsid w:val="00903896"/>
    <w:rsid w:val="00903CF3"/>
    <w:rsid w:val="00904847"/>
    <w:rsid w:val="00904D32"/>
    <w:rsid w:val="00905342"/>
    <w:rsid w:val="0090569C"/>
    <w:rsid w:val="00906F33"/>
    <w:rsid w:val="00907EA2"/>
    <w:rsid w:val="009103A6"/>
    <w:rsid w:val="00910700"/>
    <w:rsid w:val="009114DB"/>
    <w:rsid w:val="00911F66"/>
    <w:rsid w:val="00912AC3"/>
    <w:rsid w:val="00913207"/>
    <w:rsid w:val="00913B69"/>
    <w:rsid w:val="009149B4"/>
    <w:rsid w:val="00914C72"/>
    <w:rsid w:val="009153E5"/>
    <w:rsid w:val="00916274"/>
    <w:rsid w:val="00916D2F"/>
    <w:rsid w:val="00917C9C"/>
    <w:rsid w:val="00920507"/>
    <w:rsid w:val="009216F7"/>
    <w:rsid w:val="00921DA0"/>
    <w:rsid w:val="00922B20"/>
    <w:rsid w:val="00923C64"/>
    <w:rsid w:val="00924BF8"/>
    <w:rsid w:val="00926358"/>
    <w:rsid w:val="009275B7"/>
    <w:rsid w:val="00930414"/>
    <w:rsid w:val="009308EA"/>
    <w:rsid w:val="00932A56"/>
    <w:rsid w:val="00934001"/>
    <w:rsid w:val="00935D2A"/>
    <w:rsid w:val="009362FA"/>
    <w:rsid w:val="00936540"/>
    <w:rsid w:val="009368B1"/>
    <w:rsid w:val="00937014"/>
    <w:rsid w:val="009375BC"/>
    <w:rsid w:val="00940732"/>
    <w:rsid w:val="00940D95"/>
    <w:rsid w:val="00941706"/>
    <w:rsid w:val="00942EB7"/>
    <w:rsid w:val="009440DB"/>
    <w:rsid w:val="00944CF2"/>
    <w:rsid w:val="00944E82"/>
    <w:rsid w:val="0094602A"/>
    <w:rsid w:val="00946E5E"/>
    <w:rsid w:val="00946E98"/>
    <w:rsid w:val="009476E7"/>
    <w:rsid w:val="009529FB"/>
    <w:rsid w:val="009544A7"/>
    <w:rsid w:val="009560E4"/>
    <w:rsid w:val="00956CFC"/>
    <w:rsid w:val="00956FFB"/>
    <w:rsid w:val="00960154"/>
    <w:rsid w:val="009620B3"/>
    <w:rsid w:val="00964FDA"/>
    <w:rsid w:val="009650C1"/>
    <w:rsid w:val="009660AA"/>
    <w:rsid w:val="009670A7"/>
    <w:rsid w:val="00967DA3"/>
    <w:rsid w:val="00970691"/>
    <w:rsid w:val="00971160"/>
    <w:rsid w:val="00971BF3"/>
    <w:rsid w:val="00972217"/>
    <w:rsid w:val="0097298C"/>
    <w:rsid w:val="00972C44"/>
    <w:rsid w:val="009730C4"/>
    <w:rsid w:val="00974634"/>
    <w:rsid w:val="00974BE2"/>
    <w:rsid w:val="00975331"/>
    <w:rsid w:val="009761AB"/>
    <w:rsid w:val="00976B32"/>
    <w:rsid w:val="009809C9"/>
    <w:rsid w:val="009814F3"/>
    <w:rsid w:val="00982096"/>
    <w:rsid w:val="009828EF"/>
    <w:rsid w:val="00983118"/>
    <w:rsid w:val="00983E3C"/>
    <w:rsid w:val="00985174"/>
    <w:rsid w:val="00985627"/>
    <w:rsid w:val="00985C7B"/>
    <w:rsid w:val="00986DCC"/>
    <w:rsid w:val="00987723"/>
    <w:rsid w:val="009900B9"/>
    <w:rsid w:val="00990386"/>
    <w:rsid w:val="00990AFB"/>
    <w:rsid w:val="00991E6F"/>
    <w:rsid w:val="00993DE4"/>
    <w:rsid w:val="00993FCD"/>
    <w:rsid w:val="0099451E"/>
    <w:rsid w:val="009954A3"/>
    <w:rsid w:val="00997756"/>
    <w:rsid w:val="00997DE3"/>
    <w:rsid w:val="009A0306"/>
    <w:rsid w:val="009A25E4"/>
    <w:rsid w:val="009A26CD"/>
    <w:rsid w:val="009A2C72"/>
    <w:rsid w:val="009A4600"/>
    <w:rsid w:val="009A545C"/>
    <w:rsid w:val="009A5B86"/>
    <w:rsid w:val="009A5BD4"/>
    <w:rsid w:val="009A6D06"/>
    <w:rsid w:val="009B1574"/>
    <w:rsid w:val="009B18AB"/>
    <w:rsid w:val="009B1E01"/>
    <w:rsid w:val="009B2FEE"/>
    <w:rsid w:val="009B30FF"/>
    <w:rsid w:val="009B345D"/>
    <w:rsid w:val="009B488D"/>
    <w:rsid w:val="009B56C2"/>
    <w:rsid w:val="009B5A5A"/>
    <w:rsid w:val="009B5E9C"/>
    <w:rsid w:val="009B6237"/>
    <w:rsid w:val="009B6517"/>
    <w:rsid w:val="009B77C3"/>
    <w:rsid w:val="009B796E"/>
    <w:rsid w:val="009B7B5F"/>
    <w:rsid w:val="009B7CBD"/>
    <w:rsid w:val="009C0268"/>
    <w:rsid w:val="009C0BEF"/>
    <w:rsid w:val="009C171C"/>
    <w:rsid w:val="009C1728"/>
    <w:rsid w:val="009C1E36"/>
    <w:rsid w:val="009C210C"/>
    <w:rsid w:val="009C2898"/>
    <w:rsid w:val="009C3B6E"/>
    <w:rsid w:val="009C3E4A"/>
    <w:rsid w:val="009C554F"/>
    <w:rsid w:val="009C5744"/>
    <w:rsid w:val="009C57AF"/>
    <w:rsid w:val="009C66AA"/>
    <w:rsid w:val="009C6A3A"/>
    <w:rsid w:val="009C7C84"/>
    <w:rsid w:val="009C7E90"/>
    <w:rsid w:val="009D080E"/>
    <w:rsid w:val="009D087A"/>
    <w:rsid w:val="009D1F54"/>
    <w:rsid w:val="009D20AA"/>
    <w:rsid w:val="009D2883"/>
    <w:rsid w:val="009D30EA"/>
    <w:rsid w:val="009D38DC"/>
    <w:rsid w:val="009D3B97"/>
    <w:rsid w:val="009D4D36"/>
    <w:rsid w:val="009D5232"/>
    <w:rsid w:val="009D5583"/>
    <w:rsid w:val="009D5D18"/>
    <w:rsid w:val="009D6D75"/>
    <w:rsid w:val="009D7066"/>
    <w:rsid w:val="009D76C4"/>
    <w:rsid w:val="009D793E"/>
    <w:rsid w:val="009E18A2"/>
    <w:rsid w:val="009E354F"/>
    <w:rsid w:val="009E5986"/>
    <w:rsid w:val="009E711F"/>
    <w:rsid w:val="009F07D0"/>
    <w:rsid w:val="009F0D2B"/>
    <w:rsid w:val="009F0F06"/>
    <w:rsid w:val="009F17AC"/>
    <w:rsid w:val="009F1C22"/>
    <w:rsid w:val="009F28AE"/>
    <w:rsid w:val="009F3BF9"/>
    <w:rsid w:val="009F518E"/>
    <w:rsid w:val="009F525B"/>
    <w:rsid w:val="009F542A"/>
    <w:rsid w:val="009F5A30"/>
    <w:rsid w:val="009F5D6E"/>
    <w:rsid w:val="009F5DE7"/>
    <w:rsid w:val="00A01081"/>
    <w:rsid w:val="00A0284F"/>
    <w:rsid w:val="00A0340E"/>
    <w:rsid w:val="00A03CDE"/>
    <w:rsid w:val="00A0515B"/>
    <w:rsid w:val="00A05A23"/>
    <w:rsid w:val="00A06230"/>
    <w:rsid w:val="00A0750E"/>
    <w:rsid w:val="00A102B9"/>
    <w:rsid w:val="00A11D75"/>
    <w:rsid w:val="00A121C9"/>
    <w:rsid w:val="00A12349"/>
    <w:rsid w:val="00A13DFA"/>
    <w:rsid w:val="00A20114"/>
    <w:rsid w:val="00A21490"/>
    <w:rsid w:val="00A22E69"/>
    <w:rsid w:val="00A231A0"/>
    <w:rsid w:val="00A23FD5"/>
    <w:rsid w:val="00A24D20"/>
    <w:rsid w:val="00A257CF"/>
    <w:rsid w:val="00A2607E"/>
    <w:rsid w:val="00A264C0"/>
    <w:rsid w:val="00A26889"/>
    <w:rsid w:val="00A26DC1"/>
    <w:rsid w:val="00A27149"/>
    <w:rsid w:val="00A27BB7"/>
    <w:rsid w:val="00A30C31"/>
    <w:rsid w:val="00A30F52"/>
    <w:rsid w:val="00A310B7"/>
    <w:rsid w:val="00A32047"/>
    <w:rsid w:val="00A32775"/>
    <w:rsid w:val="00A3386F"/>
    <w:rsid w:val="00A35CAB"/>
    <w:rsid w:val="00A36E31"/>
    <w:rsid w:val="00A36FBE"/>
    <w:rsid w:val="00A37295"/>
    <w:rsid w:val="00A37BBC"/>
    <w:rsid w:val="00A40BB9"/>
    <w:rsid w:val="00A41B36"/>
    <w:rsid w:val="00A429E9"/>
    <w:rsid w:val="00A42B63"/>
    <w:rsid w:val="00A43C62"/>
    <w:rsid w:val="00A453E9"/>
    <w:rsid w:val="00A45685"/>
    <w:rsid w:val="00A461C5"/>
    <w:rsid w:val="00A46F00"/>
    <w:rsid w:val="00A47941"/>
    <w:rsid w:val="00A52F60"/>
    <w:rsid w:val="00A5598E"/>
    <w:rsid w:val="00A55C45"/>
    <w:rsid w:val="00A55C6F"/>
    <w:rsid w:val="00A564C3"/>
    <w:rsid w:val="00A56C56"/>
    <w:rsid w:val="00A5795B"/>
    <w:rsid w:val="00A606CA"/>
    <w:rsid w:val="00A607EB"/>
    <w:rsid w:val="00A60ACC"/>
    <w:rsid w:val="00A61AE3"/>
    <w:rsid w:val="00A61E08"/>
    <w:rsid w:val="00A61E26"/>
    <w:rsid w:val="00A63907"/>
    <w:rsid w:val="00A64F16"/>
    <w:rsid w:val="00A65743"/>
    <w:rsid w:val="00A66E3A"/>
    <w:rsid w:val="00A67AF8"/>
    <w:rsid w:val="00A67B4B"/>
    <w:rsid w:val="00A7030C"/>
    <w:rsid w:val="00A706FF"/>
    <w:rsid w:val="00A70789"/>
    <w:rsid w:val="00A71649"/>
    <w:rsid w:val="00A72ADC"/>
    <w:rsid w:val="00A7368D"/>
    <w:rsid w:val="00A73D90"/>
    <w:rsid w:val="00A7471E"/>
    <w:rsid w:val="00A76E20"/>
    <w:rsid w:val="00A7702B"/>
    <w:rsid w:val="00A770EC"/>
    <w:rsid w:val="00A77FDE"/>
    <w:rsid w:val="00A80137"/>
    <w:rsid w:val="00A81696"/>
    <w:rsid w:val="00A834FE"/>
    <w:rsid w:val="00A83FB3"/>
    <w:rsid w:val="00A841B3"/>
    <w:rsid w:val="00A84212"/>
    <w:rsid w:val="00A845A9"/>
    <w:rsid w:val="00A84B5B"/>
    <w:rsid w:val="00A86F9C"/>
    <w:rsid w:val="00A87EED"/>
    <w:rsid w:val="00A907CE"/>
    <w:rsid w:val="00A908E5"/>
    <w:rsid w:val="00A90938"/>
    <w:rsid w:val="00A929F5"/>
    <w:rsid w:val="00A92A06"/>
    <w:rsid w:val="00A92C2A"/>
    <w:rsid w:val="00A93154"/>
    <w:rsid w:val="00A93948"/>
    <w:rsid w:val="00A945FD"/>
    <w:rsid w:val="00A94A73"/>
    <w:rsid w:val="00A95072"/>
    <w:rsid w:val="00A95568"/>
    <w:rsid w:val="00A969F3"/>
    <w:rsid w:val="00AA06D8"/>
    <w:rsid w:val="00AA0EC6"/>
    <w:rsid w:val="00AA1000"/>
    <w:rsid w:val="00AA1291"/>
    <w:rsid w:val="00AA1703"/>
    <w:rsid w:val="00AA1789"/>
    <w:rsid w:val="00AA1807"/>
    <w:rsid w:val="00AA1904"/>
    <w:rsid w:val="00AA21A2"/>
    <w:rsid w:val="00AA2536"/>
    <w:rsid w:val="00AA346A"/>
    <w:rsid w:val="00AA4251"/>
    <w:rsid w:val="00AA5DAB"/>
    <w:rsid w:val="00AA6D9D"/>
    <w:rsid w:val="00AA6F7E"/>
    <w:rsid w:val="00AA727E"/>
    <w:rsid w:val="00AA7486"/>
    <w:rsid w:val="00AB01AE"/>
    <w:rsid w:val="00AB0640"/>
    <w:rsid w:val="00AB1355"/>
    <w:rsid w:val="00AB1B8C"/>
    <w:rsid w:val="00AB1E06"/>
    <w:rsid w:val="00AB3527"/>
    <w:rsid w:val="00AB4293"/>
    <w:rsid w:val="00AB4307"/>
    <w:rsid w:val="00AB4939"/>
    <w:rsid w:val="00AB4CE4"/>
    <w:rsid w:val="00AB509D"/>
    <w:rsid w:val="00AB5789"/>
    <w:rsid w:val="00AB61E4"/>
    <w:rsid w:val="00AB7BAD"/>
    <w:rsid w:val="00AC0771"/>
    <w:rsid w:val="00AC097C"/>
    <w:rsid w:val="00AC1FF4"/>
    <w:rsid w:val="00AC2CCD"/>
    <w:rsid w:val="00AC3084"/>
    <w:rsid w:val="00AC3A80"/>
    <w:rsid w:val="00AC52C7"/>
    <w:rsid w:val="00AC5CA9"/>
    <w:rsid w:val="00AC6593"/>
    <w:rsid w:val="00AC6951"/>
    <w:rsid w:val="00AC762A"/>
    <w:rsid w:val="00AD009A"/>
    <w:rsid w:val="00AD0F83"/>
    <w:rsid w:val="00AD2975"/>
    <w:rsid w:val="00AD2F7D"/>
    <w:rsid w:val="00AD3B19"/>
    <w:rsid w:val="00AD3DA9"/>
    <w:rsid w:val="00AD3E07"/>
    <w:rsid w:val="00AD42C3"/>
    <w:rsid w:val="00AD4DDE"/>
    <w:rsid w:val="00AD6046"/>
    <w:rsid w:val="00AD6594"/>
    <w:rsid w:val="00AE07E7"/>
    <w:rsid w:val="00AE0CD6"/>
    <w:rsid w:val="00AE0CE0"/>
    <w:rsid w:val="00AE122F"/>
    <w:rsid w:val="00AE1A59"/>
    <w:rsid w:val="00AE2D24"/>
    <w:rsid w:val="00AE34D0"/>
    <w:rsid w:val="00AE4BB5"/>
    <w:rsid w:val="00AE73BD"/>
    <w:rsid w:val="00AF05F9"/>
    <w:rsid w:val="00AF1343"/>
    <w:rsid w:val="00AF158B"/>
    <w:rsid w:val="00AF213B"/>
    <w:rsid w:val="00AF2779"/>
    <w:rsid w:val="00AF36EC"/>
    <w:rsid w:val="00AF4DE9"/>
    <w:rsid w:val="00AF5723"/>
    <w:rsid w:val="00AF7239"/>
    <w:rsid w:val="00AF7BBD"/>
    <w:rsid w:val="00B00D55"/>
    <w:rsid w:val="00B019C9"/>
    <w:rsid w:val="00B01FE7"/>
    <w:rsid w:val="00B02068"/>
    <w:rsid w:val="00B02077"/>
    <w:rsid w:val="00B02848"/>
    <w:rsid w:val="00B063DA"/>
    <w:rsid w:val="00B071B8"/>
    <w:rsid w:val="00B10215"/>
    <w:rsid w:val="00B10D34"/>
    <w:rsid w:val="00B118B0"/>
    <w:rsid w:val="00B12443"/>
    <w:rsid w:val="00B13C09"/>
    <w:rsid w:val="00B142F1"/>
    <w:rsid w:val="00B1462D"/>
    <w:rsid w:val="00B1510A"/>
    <w:rsid w:val="00B15394"/>
    <w:rsid w:val="00B15797"/>
    <w:rsid w:val="00B1611E"/>
    <w:rsid w:val="00B16C50"/>
    <w:rsid w:val="00B175F8"/>
    <w:rsid w:val="00B21276"/>
    <w:rsid w:val="00B22723"/>
    <w:rsid w:val="00B22E8C"/>
    <w:rsid w:val="00B23658"/>
    <w:rsid w:val="00B23D0F"/>
    <w:rsid w:val="00B302F9"/>
    <w:rsid w:val="00B305E3"/>
    <w:rsid w:val="00B30959"/>
    <w:rsid w:val="00B31D81"/>
    <w:rsid w:val="00B32E37"/>
    <w:rsid w:val="00B3315E"/>
    <w:rsid w:val="00B33624"/>
    <w:rsid w:val="00B3429B"/>
    <w:rsid w:val="00B346B6"/>
    <w:rsid w:val="00B37880"/>
    <w:rsid w:val="00B37937"/>
    <w:rsid w:val="00B42048"/>
    <w:rsid w:val="00B4305D"/>
    <w:rsid w:val="00B430D8"/>
    <w:rsid w:val="00B43511"/>
    <w:rsid w:val="00B440FE"/>
    <w:rsid w:val="00B44419"/>
    <w:rsid w:val="00B455E6"/>
    <w:rsid w:val="00B47561"/>
    <w:rsid w:val="00B47E76"/>
    <w:rsid w:val="00B506FB"/>
    <w:rsid w:val="00B50A05"/>
    <w:rsid w:val="00B50F43"/>
    <w:rsid w:val="00B517A4"/>
    <w:rsid w:val="00B52B42"/>
    <w:rsid w:val="00B52F69"/>
    <w:rsid w:val="00B53E63"/>
    <w:rsid w:val="00B56C7E"/>
    <w:rsid w:val="00B60240"/>
    <w:rsid w:val="00B604C5"/>
    <w:rsid w:val="00B63036"/>
    <w:rsid w:val="00B64FF4"/>
    <w:rsid w:val="00B6524D"/>
    <w:rsid w:val="00B65598"/>
    <w:rsid w:val="00B6699E"/>
    <w:rsid w:val="00B7047B"/>
    <w:rsid w:val="00B709A2"/>
    <w:rsid w:val="00B70A8B"/>
    <w:rsid w:val="00B70C48"/>
    <w:rsid w:val="00B73014"/>
    <w:rsid w:val="00B73725"/>
    <w:rsid w:val="00B74867"/>
    <w:rsid w:val="00B75259"/>
    <w:rsid w:val="00B75E36"/>
    <w:rsid w:val="00B75EA3"/>
    <w:rsid w:val="00B76C9B"/>
    <w:rsid w:val="00B80335"/>
    <w:rsid w:val="00B8096C"/>
    <w:rsid w:val="00B81283"/>
    <w:rsid w:val="00B81E04"/>
    <w:rsid w:val="00B82D75"/>
    <w:rsid w:val="00B82E91"/>
    <w:rsid w:val="00B8426A"/>
    <w:rsid w:val="00B84847"/>
    <w:rsid w:val="00B85AEE"/>
    <w:rsid w:val="00B8611B"/>
    <w:rsid w:val="00B87CD5"/>
    <w:rsid w:val="00B87F3D"/>
    <w:rsid w:val="00B90857"/>
    <w:rsid w:val="00B90E7A"/>
    <w:rsid w:val="00B92E47"/>
    <w:rsid w:val="00B93A29"/>
    <w:rsid w:val="00B93C2B"/>
    <w:rsid w:val="00B954E0"/>
    <w:rsid w:val="00B956FD"/>
    <w:rsid w:val="00B95F17"/>
    <w:rsid w:val="00BA157E"/>
    <w:rsid w:val="00BA1EDD"/>
    <w:rsid w:val="00BA21CD"/>
    <w:rsid w:val="00BA3705"/>
    <w:rsid w:val="00BA41C7"/>
    <w:rsid w:val="00BA498C"/>
    <w:rsid w:val="00BA4BB8"/>
    <w:rsid w:val="00BA4FD0"/>
    <w:rsid w:val="00BA54B3"/>
    <w:rsid w:val="00BA56C1"/>
    <w:rsid w:val="00BA618B"/>
    <w:rsid w:val="00BA6524"/>
    <w:rsid w:val="00BA6892"/>
    <w:rsid w:val="00BA777E"/>
    <w:rsid w:val="00BA785F"/>
    <w:rsid w:val="00BA7A6D"/>
    <w:rsid w:val="00BB0211"/>
    <w:rsid w:val="00BB03D1"/>
    <w:rsid w:val="00BB14C3"/>
    <w:rsid w:val="00BB195F"/>
    <w:rsid w:val="00BB40E7"/>
    <w:rsid w:val="00BB6F7C"/>
    <w:rsid w:val="00BB7878"/>
    <w:rsid w:val="00BB7928"/>
    <w:rsid w:val="00BC287B"/>
    <w:rsid w:val="00BC2C6F"/>
    <w:rsid w:val="00BC3176"/>
    <w:rsid w:val="00BC3C20"/>
    <w:rsid w:val="00BC4A2C"/>
    <w:rsid w:val="00BC4AD4"/>
    <w:rsid w:val="00BC4EBA"/>
    <w:rsid w:val="00BC643F"/>
    <w:rsid w:val="00BC6AB9"/>
    <w:rsid w:val="00BC6FF6"/>
    <w:rsid w:val="00BC75ED"/>
    <w:rsid w:val="00BD0A27"/>
    <w:rsid w:val="00BD118B"/>
    <w:rsid w:val="00BD2127"/>
    <w:rsid w:val="00BD2A2A"/>
    <w:rsid w:val="00BD2B04"/>
    <w:rsid w:val="00BD40CB"/>
    <w:rsid w:val="00BD49D2"/>
    <w:rsid w:val="00BD5AB4"/>
    <w:rsid w:val="00BD7604"/>
    <w:rsid w:val="00BD7F12"/>
    <w:rsid w:val="00BE1D3B"/>
    <w:rsid w:val="00BE2789"/>
    <w:rsid w:val="00BE385A"/>
    <w:rsid w:val="00BE4159"/>
    <w:rsid w:val="00BE4C52"/>
    <w:rsid w:val="00BE5ED5"/>
    <w:rsid w:val="00BE6192"/>
    <w:rsid w:val="00BE6DE3"/>
    <w:rsid w:val="00BE6F7D"/>
    <w:rsid w:val="00BE76C4"/>
    <w:rsid w:val="00BE795B"/>
    <w:rsid w:val="00BE7C09"/>
    <w:rsid w:val="00BF03D4"/>
    <w:rsid w:val="00BF1BCD"/>
    <w:rsid w:val="00BF2514"/>
    <w:rsid w:val="00BF3012"/>
    <w:rsid w:val="00BF3830"/>
    <w:rsid w:val="00BF39CD"/>
    <w:rsid w:val="00BF5796"/>
    <w:rsid w:val="00BF674F"/>
    <w:rsid w:val="00BF7FDC"/>
    <w:rsid w:val="00C0011C"/>
    <w:rsid w:val="00C006CA"/>
    <w:rsid w:val="00C01084"/>
    <w:rsid w:val="00C02482"/>
    <w:rsid w:val="00C024E4"/>
    <w:rsid w:val="00C02A66"/>
    <w:rsid w:val="00C033DA"/>
    <w:rsid w:val="00C03EF8"/>
    <w:rsid w:val="00C04827"/>
    <w:rsid w:val="00C04D2C"/>
    <w:rsid w:val="00C04E60"/>
    <w:rsid w:val="00C059C9"/>
    <w:rsid w:val="00C06192"/>
    <w:rsid w:val="00C06F1F"/>
    <w:rsid w:val="00C06F3C"/>
    <w:rsid w:val="00C10CB0"/>
    <w:rsid w:val="00C110EC"/>
    <w:rsid w:val="00C11398"/>
    <w:rsid w:val="00C11B88"/>
    <w:rsid w:val="00C1216B"/>
    <w:rsid w:val="00C1252D"/>
    <w:rsid w:val="00C128AB"/>
    <w:rsid w:val="00C12A14"/>
    <w:rsid w:val="00C14B23"/>
    <w:rsid w:val="00C14DEC"/>
    <w:rsid w:val="00C1525A"/>
    <w:rsid w:val="00C15704"/>
    <w:rsid w:val="00C164C5"/>
    <w:rsid w:val="00C17B81"/>
    <w:rsid w:val="00C21381"/>
    <w:rsid w:val="00C21454"/>
    <w:rsid w:val="00C2181D"/>
    <w:rsid w:val="00C2227D"/>
    <w:rsid w:val="00C2581B"/>
    <w:rsid w:val="00C26170"/>
    <w:rsid w:val="00C270D8"/>
    <w:rsid w:val="00C2756C"/>
    <w:rsid w:val="00C326DF"/>
    <w:rsid w:val="00C33917"/>
    <w:rsid w:val="00C352B1"/>
    <w:rsid w:val="00C3598C"/>
    <w:rsid w:val="00C35FCB"/>
    <w:rsid w:val="00C36088"/>
    <w:rsid w:val="00C37995"/>
    <w:rsid w:val="00C40499"/>
    <w:rsid w:val="00C40AE0"/>
    <w:rsid w:val="00C41C7C"/>
    <w:rsid w:val="00C41E73"/>
    <w:rsid w:val="00C438C4"/>
    <w:rsid w:val="00C43969"/>
    <w:rsid w:val="00C445F3"/>
    <w:rsid w:val="00C45327"/>
    <w:rsid w:val="00C45BCF"/>
    <w:rsid w:val="00C45D5C"/>
    <w:rsid w:val="00C46DA2"/>
    <w:rsid w:val="00C471AA"/>
    <w:rsid w:val="00C471CE"/>
    <w:rsid w:val="00C501AE"/>
    <w:rsid w:val="00C5042B"/>
    <w:rsid w:val="00C5072E"/>
    <w:rsid w:val="00C50B93"/>
    <w:rsid w:val="00C5164D"/>
    <w:rsid w:val="00C52588"/>
    <w:rsid w:val="00C52645"/>
    <w:rsid w:val="00C52AF3"/>
    <w:rsid w:val="00C53251"/>
    <w:rsid w:val="00C540B0"/>
    <w:rsid w:val="00C579CC"/>
    <w:rsid w:val="00C60295"/>
    <w:rsid w:val="00C6088F"/>
    <w:rsid w:val="00C61936"/>
    <w:rsid w:val="00C61BC7"/>
    <w:rsid w:val="00C62DE3"/>
    <w:rsid w:val="00C63556"/>
    <w:rsid w:val="00C6389D"/>
    <w:rsid w:val="00C63D35"/>
    <w:rsid w:val="00C6458C"/>
    <w:rsid w:val="00C654BB"/>
    <w:rsid w:val="00C655C8"/>
    <w:rsid w:val="00C65AC8"/>
    <w:rsid w:val="00C66517"/>
    <w:rsid w:val="00C6679A"/>
    <w:rsid w:val="00C66CEA"/>
    <w:rsid w:val="00C67251"/>
    <w:rsid w:val="00C67266"/>
    <w:rsid w:val="00C71E38"/>
    <w:rsid w:val="00C71E83"/>
    <w:rsid w:val="00C74F1D"/>
    <w:rsid w:val="00C758D5"/>
    <w:rsid w:val="00C763A3"/>
    <w:rsid w:val="00C7650C"/>
    <w:rsid w:val="00C80F19"/>
    <w:rsid w:val="00C80F2A"/>
    <w:rsid w:val="00C81C37"/>
    <w:rsid w:val="00C823A5"/>
    <w:rsid w:val="00C8250E"/>
    <w:rsid w:val="00C83EA7"/>
    <w:rsid w:val="00C84342"/>
    <w:rsid w:val="00C85FCD"/>
    <w:rsid w:val="00C8762E"/>
    <w:rsid w:val="00C90200"/>
    <w:rsid w:val="00C9095D"/>
    <w:rsid w:val="00C912CA"/>
    <w:rsid w:val="00C91F24"/>
    <w:rsid w:val="00C921C8"/>
    <w:rsid w:val="00C9464B"/>
    <w:rsid w:val="00C948D8"/>
    <w:rsid w:val="00C95DFA"/>
    <w:rsid w:val="00C96134"/>
    <w:rsid w:val="00C97ABA"/>
    <w:rsid w:val="00C97E41"/>
    <w:rsid w:val="00C97FEA"/>
    <w:rsid w:val="00CA0024"/>
    <w:rsid w:val="00CA01B5"/>
    <w:rsid w:val="00CA02E6"/>
    <w:rsid w:val="00CA0AB0"/>
    <w:rsid w:val="00CA0E5A"/>
    <w:rsid w:val="00CA209B"/>
    <w:rsid w:val="00CA345E"/>
    <w:rsid w:val="00CA465D"/>
    <w:rsid w:val="00CA6E98"/>
    <w:rsid w:val="00CA753C"/>
    <w:rsid w:val="00CB06B3"/>
    <w:rsid w:val="00CB0850"/>
    <w:rsid w:val="00CB12A0"/>
    <w:rsid w:val="00CB1904"/>
    <w:rsid w:val="00CB191A"/>
    <w:rsid w:val="00CB2349"/>
    <w:rsid w:val="00CB75BF"/>
    <w:rsid w:val="00CC0130"/>
    <w:rsid w:val="00CC0841"/>
    <w:rsid w:val="00CC0ABC"/>
    <w:rsid w:val="00CC1084"/>
    <w:rsid w:val="00CC1944"/>
    <w:rsid w:val="00CC257D"/>
    <w:rsid w:val="00CC3195"/>
    <w:rsid w:val="00CC44D5"/>
    <w:rsid w:val="00CC516E"/>
    <w:rsid w:val="00CC5609"/>
    <w:rsid w:val="00CC6C89"/>
    <w:rsid w:val="00CD224B"/>
    <w:rsid w:val="00CD2445"/>
    <w:rsid w:val="00CD2AF7"/>
    <w:rsid w:val="00CD3078"/>
    <w:rsid w:val="00CD3313"/>
    <w:rsid w:val="00CD3716"/>
    <w:rsid w:val="00CD376C"/>
    <w:rsid w:val="00CD4E5E"/>
    <w:rsid w:val="00CE003C"/>
    <w:rsid w:val="00CE094B"/>
    <w:rsid w:val="00CE261B"/>
    <w:rsid w:val="00CE2EF1"/>
    <w:rsid w:val="00CE2FAA"/>
    <w:rsid w:val="00CE3665"/>
    <w:rsid w:val="00CE392E"/>
    <w:rsid w:val="00CE518D"/>
    <w:rsid w:val="00CE583D"/>
    <w:rsid w:val="00CE58B0"/>
    <w:rsid w:val="00CE58F3"/>
    <w:rsid w:val="00CE6D4F"/>
    <w:rsid w:val="00CE7FBD"/>
    <w:rsid w:val="00CF0F68"/>
    <w:rsid w:val="00CF1434"/>
    <w:rsid w:val="00CF3114"/>
    <w:rsid w:val="00CF3C03"/>
    <w:rsid w:val="00CF4971"/>
    <w:rsid w:val="00CF595C"/>
    <w:rsid w:val="00CF6330"/>
    <w:rsid w:val="00CF7B24"/>
    <w:rsid w:val="00D0080F"/>
    <w:rsid w:val="00D010A8"/>
    <w:rsid w:val="00D01614"/>
    <w:rsid w:val="00D01900"/>
    <w:rsid w:val="00D03440"/>
    <w:rsid w:val="00D03D06"/>
    <w:rsid w:val="00D04690"/>
    <w:rsid w:val="00D04B7C"/>
    <w:rsid w:val="00D06F06"/>
    <w:rsid w:val="00D07159"/>
    <w:rsid w:val="00D10774"/>
    <w:rsid w:val="00D12230"/>
    <w:rsid w:val="00D12341"/>
    <w:rsid w:val="00D13F52"/>
    <w:rsid w:val="00D158DE"/>
    <w:rsid w:val="00D15B2D"/>
    <w:rsid w:val="00D16037"/>
    <w:rsid w:val="00D161B8"/>
    <w:rsid w:val="00D161C7"/>
    <w:rsid w:val="00D1669E"/>
    <w:rsid w:val="00D17E49"/>
    <w:rsid w:val="00D20437"/>
    <w:rsid w:val="00D21BA5"/>
    <w:rsid w:val="00D21DE3"/>
    <w:rsid w:val="00D2256D"/>
    <w:rsid w:val="00D23879"/>
    <w:rsid w:val="00D23F3F"/>
    <w:rsid w:val="00D25117"/>
    <w:rsid w:val="00D25822"/>
    <w:rsid w:val="00D260B4"/>
    <w:rsid w:val="00D26F56"/>
    <w:rsid w:val="00D30636"/>
    <w:rsid w:val="00D31E2D"/>
    <w:rsid w:val="00D328F1"/>
    <w:rsid w:val="00D329C5"/>
    <w:rsid w:val="00D33124"/>
    <w:rsid w:val="00D3367A"/>
    <w:rsid w:val="00D347EE"/>
    <w:rsid w:val="00D3562F"/>
    <w:rsid w:val="00D35BEA"/>
    <w:rsid w:val="00D36842"/>
    <w:rsid w:val="00D373A9"/>
    <w:rsid w:val="00D402A6"/>
    <w:rsid w:val="00D4044A"/>
    <w:rsid w:val="00D40523"/>
    <w:rsid w:val="00D41CDC"/>
    <w:rsid w:val="00D4292B"/>
    <w:rsid w:val="00D429D6"/>
    <w:rsid w:val="00D43154"/>
    <w:rsid w:val="00D43CB5"/>
    <w:rsid w:val="00D443A8"/>
    <w:rsid w:val="00D4542C"/>
    <w:rsid w:val="00D4546A"/>
    <w:rsid w:val="00D463F1"/>
    <w:rsid w:val="00D46949"/>
    <w:rsid w:val="00D4760B"/>
    <w:rsid w:val="00D47A8E"/>
    <w:rsid w:val="00D47EFC"/>
    <w:rsid w:val="00D47F00"/>
    <w:rsid w:val="00D50074"/>
    <w:rsid w:val="00D50204"/>
    <w:rsid w:val="00D5311E"/>
    <w:rsid w:val="00D532D1"/>
    <w:rsid w:val="00D54061"/>
    <w:rsid w:val="00D54329"/>
    <w:rsid w:val="00D55152"/>
    <w:rsid w:val="00D55E21"/>
    <w:rsid w:val="00D5621D"/>
    <w:rsid w:val="00D56A25"/>
    <w:rsid w:val="00D56BF5"/>
    <w:rsid w:val="00D577DE"/>
    <w:rsid w:val="00D57A00"/>
    <w:rsid w:val="00D57BAF"/>
    <w:rsid w:val="00D57E8D"/>
    <w:rsid w:val="00D60242"/>
    <w:rsid w:val="00D61971"/>
    <w:rsid w:val="00D62163"/>
    <w:rsid w:val="00D62B59"/>
    <w:rsid w:val="00D62F9B"/>
    <w:rsid w:val="00D63EA0"/>
    <w:rsid w:val="00D64098"/>
    <w:rsid w:val="00D64BD9"/>
    <w:rsid w:val="00D64CDB"/>
    <w:rsid w:val="00D65259"/>
    <w:rsid w:val="00D6535E"/>
    <w:rsid w:val="00D659D5"/>
    <w:rsid w:val="00D66625"/>
    <w:rsid w:val="00D708F6"/>
    <w:rsid w:val="00D70BED"/>
    <w:rsid w:val="00D7213B"/>
    <w:rsid w:val="00D730C7"/>
    <w:rsid w:val="00D738B8"/>
    <w:rsid w:val="00D73ABB"/>
    <w:rsid w:val="00D746A6"/>
    <w:rsid w:val="00D74A55"/>
    <w:rsid w:val="00D74F47"/>
    <w:rsid w:val="00D75228"/>
    <w:rsid w:val="00D76674"/>
    <w:rsid w:val="00D76F54"/>
    <w:rsid w:val="00D77AC8"/>
    <w:rsid w:val="00D77F6F"/>
    <w:rsid w:val="00D81036"/>
    <w:rsid w:val="00D82DD3"/>
    <w:rsid w:val="00D82F92"/>
    <w:rsid w:val="00D86398"/>
    <w:rsid w:val="00D86638"/>
    <w:rsid w:val="00D8733D"/>
    <w:rsid w:val="00D87CA6"/>
    <w:rsid w:val="00D87DF7"/>
    <w:rsid w:val="00D90373"/>
    <w:rsid w:val="00D90D17"/>
    <w:rsid w:val="00D92343"/>
    <w:rsid w:val="00D93BAB"/>
    <w:rsid w:val="00D941E4"/>
    <w:rsid w:val="00D957CA"/>
    <w:rsid w:val="00D958E8"/>
    <w:rsid w:val="00D95AD5"/>
    <w:rsid w:val="00D969F9"/>
    <w:rsid w:val="00D96AE3"/>
    <w:rsid w:val="00D96FEF"/>
    <w:rsid w:val="00D97FB3"/>
    <w:rsid w:val="00DA019A"/>
    <w:rsid w:val="00DA0E19"/>
    <w:rsid w:val="00DA1F88"/>
    <w:rsid w:val="00DA4A1A"/>
    <w:rsid w:val="00DA5239"/>
    <w:rsid w:val="00DA5FEF"/>
    <w:rsid w:val="00DA67CF"/>
    <w:rsid w:val="00DA7087"/>
    <w:rsid w:val="00DA751C"/>
    <w:rsid w:val="00DA7671"/>
    <w:rsid w:val="00DA785B"/>
    <w:rsid w:val="00DB0067"/>
    <w:rsid w:val="00DB05B6"/>
    <w:rsid w:val="00DB0613"/>
    <w:rsid w:val="00DB0987"/>
    <w:rsid w:val="00DB121E"/>
    <w:rsid w:val="00DB23ED"/>
    <w:rsid w:val="00DB2DC1"/>
    <w:rsid w:val="00DB3716"/>
    <w:rsid w:val="00DB3D98"/>
    <w:rsid w:val="00DB449B"/>
    <w:rsid w:val="00DB4570"/>
    <w:rsid w:val="00DB4EEE"/>
    <w:rsid w:val="00DB55A1"/>
    <w:rsid w:val="00DB5F47"/>
    <w:rsid w:val="00DB6703"/>
    <w:rsid w:val="00DB6AD5"/>
    <w:rsid w:val="00DB7084"/>
    <w:rsid w:val="00DC14C5"/>
    <w:rsid w:val="00DC1F4B"/>
    <w:rsid w:val="00DC23CA"/>
    <w:rsid w:val="00DC2911"/>
    <w:rsid w:val="00DC48B6"/>
    <w:rsid w:val="00DC51B4"/>
    <w:rsid w:val="00DC5228"/>
    <w:rsid w:val="00DC541E"/>
    <w:rsid w:val="00DC6133"/>
    <w:rsid w:val="00DC6D0E"/>
    <w:rsid w:val="00DC6ECE"/>
    <w:rsid w:val="00DC6EE1"/>
    <w:rsid w:val="00DC7ACF"/>
    <w:rsid w:val="00DC7D93"/>
    <w:rsid w:val="00DD108C"/>
    <w:rsid w:val="00DD16E3"/>
    <w:rsid w:val="00DD1BD9"/>
    <w:rsid w:val="00DD4277"/>
    <w:rsid w:val="00DD450C"/>
    <w:rsid w:val="00DD47D7"/>
    <w:rsid w:val="00DD53A7"/>
    <w:rsid w:val="00DD64FD"/>
    <w:rsid w:val="00DD722A"/>
    <w:rsid w:val="00DE1AEF"/>
    <w:rsid w:val="00DE1FA0"/>
    <w:rsid w:val="00DE232E"/>
    <w:rsid w:val="00DE4106"/>
    <w:rsid w:val="00DE4259"/>
    <w:rsid w:val="00DE42D8"/>
    <w:rsid w:val="00DE4731"/>
    <w:rsid w:val="00DE5A42"/>
    <w:rsid w:val="00DE6E0D"/>
    <w:rsid w:val="00DE7813"/>
    <w:rsid w:val="00DF01D3"/>
    <w:rsid w:val="00DF0310"/>
    <w:rsid w:val="00DF066B"/>
    <w:rsid w:val="00DF11EF"/>
    <w:rsid w:val="00DF1F8C"/>
    <w:rsid w:val="00DF3223"/>
    <w:rsid w:val="00DF4DF7"/>
    <w:rsid w:val="00DF53B0"/>
    <w:rsid w:val="00DF6136"/>
    <w:rsid w:val="00DF77E6"/>
    <w:rsid w:val="00DF7AD7"/>
    <w:rsid w:val="00DF7CC5"/>
    <w:rsid w:val="00E003A0"/>
    <w:rsid w:val="00E004F1"/>
    <w:rsid w:val="00E00F99"/>
    <w:rsid w:val="00E01CE8"/>
    <w:rsid w:val="00E02B64"/>
    <w:rsid w:val="00E030E2"/>
    <w:rsid w:val="00E03644"/>
    <w:rsid w:val="00E03DDF"/>
    <w:rsid w:val="00E04DBB"/>
    <w:rsid w:val="00E05653"/>
    <w:rsid w:val="00E06A39"/>
    <w:rsid w:val="00E07917"/>
    <w:rsid w:val="00E07A91"/>
    <w:rsid w:val="00E1147A"/>
    <w:rsid w:val="00E127D9"/>
    <w:rsid w:val="00E12C69"/>
    <w:rsid w:val="00E12E06"/>
    <w:rsid w:val="00E14EBC"/>
    <w:rsid w:val="00E14F97"/>
    <w:rsid w:val="00E15595"/>
    <w:rsid w:val="00E16124"/>
    <w:rsid w:val="00E1624E"/>
    <w:rsid w:val="00E1644F"/>
    <w:rsid w:val="00E16C6F"/>
    <w:rsid w:val="00E172BF"/>
    <w:rsid w:val="00E17AEB"/>
    <w:rsid w:val="00E17E93"/>
    <w:rsid w:val="00E21259"/>
    <w:rsid w:val="00E212AE"/>
    <w:rsid w:val="00E21BA4"/>
    <w:rsid w:val="00E21D6F"/>
    <w:rsid w:val="00E22166"/>
    <w:rsid w:val="00E23E5F"/>
    <w:rsid w:val="00E2466B"/>
    <w:rsid w:val="00E24767"/>
    <w:rsid w:val="00E24B25"/>
    <w:rsid w:val="00E25760"/>
    <w:rsid w:val="00E25904"/>
    <w:rsid w:val="00E25B27"/>
    <w:rsid w:val="00E25DF3"/>
    <w:rsid w:val="00E25F97"/>
    <w:rsid w:val="00E26DA1"/>
    <w:rsid w:val="00E27147"/>
    <w:rsid w:val="00E27308"/>
    <w:rsid w:val="00E311A6"/>
    <w:rsid w:val="00E31EE5"/>
    <w:rsid w:val="00E336C4"/>
    <w:rsid w:val="00E3379C"/>
    <w:rsid w:val="00E36D44"/>
    <w:rsid w:val="00E3725E"/>
    <w:rsid w:val="00E37770"/>
    <w:rsid w:val="00E37864"/>
    <w:rsid w:val="00E37999"/>
    <w:rsid w:val="00E40BA3"/>
    <w:rsid w:val="00E41388"/>
    <w:rsid w:val="00E417D2"/>
    <w:rsid w:val="00E42241"/>
    <w:rsid w:val="00E4274E"/>
    <w:rsid w:val="00E42C55"/>
    <w:rsid w:val="00E42EE3"/>
    <w:rsid w:val="00E430DA"/>
    <w:rsid w:val="00E43239"/>
    <w:rsid w:val="00E43908"/>
    <w:rsid w:val="00E44232"/>
    <w:rsid w:val="00E45428"/>
    <w:rsid w:val="00E45F90"/>
    <w:rsid w:val="00E51FF9"/>
    <w:rsid w:val="00E536C7"/>
    <w:rsid w:val="00E54D2B"/>
    <w:rsid w:val="00E556EB"/>
    <w:rsid w:val="00E55749"/>
    <w:rsid w:val="00E57083"/>
    <w:rsid w:val="00E576BE"/>
    <w:rsid w:val="00E57E21"/>
    <w:rsid w:val="00E60262"/>
    <w:rsid w:val="00E60495"/>
    <w:rsid w:val="00E61CFF"/>
    <w:rsid w:val="00E638CB"/>
    <w:rsid w:val="00E647FA"/>
    <w:rsid w:val="00E6485D"/>
    <w:rsid w:val="00E66071"/>
    <w:rsid w:val="00E664EB"/>
    <w:rsid w:val="00E67737"/>
    <w:rsid w:val="00E67856"/>
    <w:rsid w:val="00E67EB4"/>
    <w:rsid w:val="00E70BC5"/>
    <w:rsid w:val="00E72845"/>
    <w:rsid w:val="00E72B9A"/>
    <w:rsid w:val="00E73D5F"/>
    <w:rsid w:val="00E74905"/>
    <w:rsid w:val="00E756EB"/>
    <w:rsid w:val="00E761E9"/>
    <w:rsid w:val="00E76570"/>
    <w:rsid w:val="00E775A7"/>
    <w:rsid w:val="00E77D0F"/>
    <w:rsid w:val="00E80195"/>
    <w:rsid w:val="00E802EF"/>
    <w:rsid w:val="00E812B9"/>
    <w:rsid w:val="00E8194B"/>
    <w:rsid w:val="00E81C29"/>
    <w:rsid w:val="00E82A5B"/>
    <w:rsid w:val="00E831B4"/>
    <w:rsid w:val="00E83FF8"/>
    <w:rsid w:val="00E8407B"/>
    <w:rsid w:val="00E84C97"/>
    <w:rsid w:val="00E84EAC"/>
    <w:rsid w:val="00E85529"/>
    <w:rsid w:val="00E865DF"/>
    <w:rsid w:val="00E868D6"/>
    <w:rsid w:val="00E87A1E"/>
    <w:rsid w:val="00E87D4D"/>
    <w:rsid w:val="00E916C9"/>
    <w:rsid w:val="00E91843"/>
    <w:rsid w:val="00E923BA"/>
    <w:rsid w:val="00E926E1"/>
    <w:rsid w:val="00E93A2A"/>
    <w:rsid w:val="00E93C5C"/>
    <w:rsid w:val="00E93D3D"/>
    <w:rsid w:val="00E94DA2"/>
    <w:rsid w:val="00E94DFB"/>
    <w:rsid w:val="00E9612F"/>
    <w:rsid w:val="00E9627A"/>
    <w:rsid w:val="00E977F5"/>
    <w:rsid w:val="00E97A42"/>
    <w:rsid w:val="00E97F94"/>
    <w:rsid w:val="00EA074D"/>
    <w:rsid w:val="00EA1304"/>
    <w:rsid w:val="00EA2557"/>
    <w:rsid w:val="00EA3116"/>
    <w:rsid w:val="00EA4B8B"/>
    <w:rsid w:val="00EA4DB8"/>
    <w:rsid w:val="00EA4EF4"/>
    <w:rsid w:val="00EA531B"/>
    <w:rsid w:val="00EA5587"/>
    <w:rsid w:val="00EA7552"/>
    <w:rsid w:val="00EB0301"/>
    <w:rsid w:val="00EB0B39"/>
    <w:rsid w:val="00EB1928"/>
    <w:rsid w:val="00EB1C3C"/>
    <w:rsid w:val="00EB2D88"/>
    <w:rsid w:val="00EB30AF"/>
    <w:rsid w:val="00EB49B1"/>
    <w:rsid w:val="00EB51CD"/>
    <w:rsid w:val="00EB599F"/>
    <w:rsid w:val="00EB733F"/>
    <w:rsid w:val="00EC0FC7"/>
    <w:rsid w:val="00EC13B1"/>
    <w:rsid w:val="00EC2534"/>
    <w:rsid w:val="00EC35C8"/>
    <w:rsid w:val="00EC3781"/>
    <w:rsid w:val="00EC3E28"/>
    <w:rsid w:val="00EC438C"/>
    <w:rsid w:val="00EC4E72"/>
    <w:rsid w:val="00EC5555"/>
    <w:rsid w:val="00EC593E"/>
    <w:rsid w:val="00EC5977"/>
    <w:rsid w:val="00EC5BCB"/>
    <w:rsid w:val="00EC7B8A"/>
    <w:rsid w:val="00EC7FA4"/>
    <w:rsid w:val="00ED0B4B"/>
    <w:rsid w:val="00ED0E02"/>
    <w:rsid w:val="00ED121A"/>
    <w:rsid w:val="00ED1B20"/>
    <w:rsid w:val="00ED2346"/>
    <w:rsid w:val="00ED32CF"/>
    <w:rsid w:val="00ED418E"/>
    <w:rsid w:val="00ED5659"/>
    <w:rsid w:val="00ED5D03"/>
    <w:rsid w:val="00ED621D"/>
    <w:rsid w:val="00ED7947"/>
    <w:rsid w:val="00EE077D"/>
    <w:rsid w:val="00EE151A"/>
    <w:rsid w:val="00EE1EF6"/>
    <w:rsid w:val="00EE20E0"/>
    <w:rsid w:val="00EE3199"/>
    <w:rsid w:val="00EE3EDF"/>
    <w:rsid w:val="00EE42DE"/>
    <w:rsid w:val="00EE4BD0"/>
    <w:rsid w:val="00EE7554"/>
    <w:rsid w:val="00EE7808"/>
    <w:rsid w:val="00EF1DC4"/>
    <w:rsid w:val="00EF37B4"/>
    <w:rsid w:val="00EF4BE5"/>
    <w:rsid w:val="00EF68E3"/>
    <w:rsid w:val="00EF6DF4"/>
    <w:rsid w:val="00EF76E7"/>
    <w:rsid w:val="00EF79EC"/>
    <w:rsid w:val="00F00C55"/>
    <w:rsid w:val="00F01E74"/>
    <w:rsid w:val="00F04763"/>
    <w:rsid w:val="00F067BF"/>
    <w:rsid w:val="00F070B4"/>
    <w:rsid w:val="00F070C3"/>
    <w:rsid w:val="00F07371"/>
    <w:rsid w:val="00F07C46"/>
    <w:rsid w:val="00F10172"/>
    <w:rsid w:val="00F10C78"/>
    <w:rsid w:val="00F11FE4"/>
    <w:rsid w:val="00F12140"/>
    <w:rsid w:val="00F123BF"/>
    <w:rsid w:val="00F12700"/>
    <w:rsid w:val="00F12B20"/>
    <w:rsid w:val="00F131A3"/>
    <w:rsid w:val="00F1328B"/>
    <w:rsid w:val="00F14D73"/>
    <w:rsid w:val="00F15F4F"/>
    <w:rsid w:val="00F1741E"/>
    <w:rsid w:val="00F17633"/>
    <w:rsid w:val="00F20D47"/>
    <w:rsid w:val="00F2177D"/>
    <w:rsid w:val="00F21C29"/>
    <w:rsid w:val="00F230EF"/>
    <w:rsid w:val="00F24598"/>
    <w:rsid w:val="00F24778"/>
    <w:rsid w:val="00F26A17"/>
    <w:rsid w:val="00F26A26"/>
    <w:rsid w:val="00F3032E"/>
    <w:rsid w:val="00F3132F"/>
    <w:rsid w:val="00F32741"/>
    <w:rsid w:val="00F33665"/>
    <w:rsid w:val="00F3422A"/>
    <w:rsid w:val="00F34551"/>
    <w:rsid w:val="00F3764E"/>
    <w:rsid w:val="00F3770B"/>
    <w:rsid w:val="00F41226"/>
    <w:rsid w:val="00F41BD0"/>
    <w:rsid w:val="00F4346B"/>
    <w:rsid w:val="00F43926"/>
    <w:rsid w:val="00F43B3C"/>
    <w:rsid w:val="00F45D2C"/>
    <w:rsid w:val="00F464A1"/>
    <w:rsid w:val="00F47ECC"/>
    <w:rsid w:val="00F47EDD"/>
    <w:rsid w:val="00F5044E"/>
    <w:rsid w:val="00F506BF"/>
    <w:rsid w:val="00F50EFE"/>
    <w:rsid w:val="00F51D30"/>
    <w:rsid w:val="00F53150"/>
    <w:rsid w:val="00F532D2"/>
    <w:rsid w:val="00F534CA"/>
    <w:rsid w:val="00F5384A"/>
    <w:rsid w:val="00F54C06"/>
    <w:rsid w:val="00F55148"/>
    <w:rsid w:val="00F5528E"/>
    <w:rsid w:val="00F55E90"/>
    <w:rsid w:val="00F5681B"/>
    <w:rsid w:val="00F578E3"/>
    <w:rsid w:val="00F60F27"/>
    <w:rsid w:val="00F628A3"/>
    <w:rsid w:val="00F63272"/>
    <w:rsid w:val="00F635AC"/>
    <w:rsid w:val="00F63AFD"/>
    <w:rsid w:val="00F64A2A"/>
    <w:rsid w:val="00F64ABD"/>
    <w:rsid w:val="00F65505"/>
    <w:rsid w:val="00F662F1"/>
    <w:rsid w:val="00F67205"/>
    <w:rsid w:val="00F67589"/>
    <w:rsid w:val="00F70A07"/>
    <w:rsid w:val="00F71779"/>
    <w:rsid w:val="00F71A7E"/>
    <w:rsid w:val="00F71A9F"/>
    <w:rsid w:val="00F7249D"/>
    <w:rsid w:val="00F737CE"/>
    <w:rsid w:val="00F73CE9"/>
    <w:rsid w:val="00F74268"/>
    <w:rsid w:val="00F74530"/>
    <w:rsid w:val="00F74605"/>
    <w:rsid w:val="00F749C1"/>
    <w:rsid w:val="00F74BB4"/>
    <w:rsid w:val="00F751BE"/>
    <w:rsid w:val="00F75B18"/>
    <w:rsid w:val="00F778E9"/>
    <w:rsid w:val="00F77B4F"/>
    <w:rsid w:val="00F77DA8"/>
    <w:rsid w:val="00F8001F"/>
    <w:rsid w:val="00F801F4"/>
    <w:rsid w:val="00F80EF5"/>
    <w:rsid w:val="00F81D84"/>
    <w:rsid w:val="00F81F38"/>
    <w:rsid w:val="00F8205E"/>
    <w:rsid w:val="00F829E4"/>
    <w:rsid w:val="00F82C0F"/>
    <w:rsid w:val="00F845D5"/>
    <w:rsid w:val="00F85130"/>
    <w:rsid w:val="00F8604D"/>
    <w:rsid w:val="00F871CF"/>
    <w:rsid w:val="00F8749B"/>
    <w:rsid w:val="00F87E0B"/>
    <w:rsid w:val="00F90DEB"/>
    <w:rsid w:val="00F91F9D"/>
    <w:rsid w:val="00F92322"/>
    <w:rsid w:val="00F92F11"/>
    <w:rsid w:val="00F94357"/>
    <w:rsid w:val="00F9468A"/>
    <w:rsid w:val="00F966F2"/>
    <w:rsid w:val="00F96DCB"/>
    <w:rsid w:val="00F97255"/>
    <w:rsid w:val="00F97378"/>
    <w:rsid w:val="00F97DCE"/>
    <w:rsid w:val="00FA0E83"/>
    <w:rsid w:val="00FA2928"/>
    <w:rsid w:val="00FA29EA"/>
    <w:rsid w:val="00FA2E77"/>
    <w:rsid w:val="00FA3DDC"/>
    <w:rsid w:val="00FA644D"/>
    <w:rsid w:val="00FA73D9"/>
    <w:rsid w:val="00FA7E71"/>
    <w:rsid w:val="00FA7E7C"/>
    <w:rsid w:val="00FB099C"/>
    <w:rsid w:val="00FB1044"/>
    <w:rsid w:val="00FB11F1"/>
    <w:rsid w:val="00FB221C"/>
    <w:rsid w:val="00FB4897"/>
    <w:rsid w:val="00FB4984"/>
    <w:rsid w:val="00FB4F29"/>
    <w:rsid w:val="00FB5B0F"/>
    <w:rsid w:val="00FB7563"/>
    <w:rsid w:val="00FB7B76"/>
    <w:rsid w:val="00FC0312"/>
    <w:rsid w:val="00FC0711"/>
    <w:rsid w:val="00FC08F4"/>
    <w:rsid w:val="00FC1450"/>
    <w:rsid w:val="00FC18FC"/>
    <w:rsid w:val="00FC2673"/>
    <w:rsid w:val="00FC26FE"/>
    <w:rsid w:val="00FC3473"/>
    <w:rsid w:val="00FC3708"/>
    <w:rsid w:val="00FC40A3"/>
    <w:rsid w:val="00FC474B"/>
    <w:rsid w:val="00FC51D8"/>
    <w:rsid w:val="00FC5786"/>
    <w:rsid w:val="00FC5C16"/>
    <w:rsid w:val="00FC62BB"/>
    <w:rsid w:val="00FC768A"/>
    <w:rsid w:val="00FD050F"/>
    <w:rsid w:val="00FD23B1"/>
    <w:rsid w:val="00FD2EA6"/>
    <w:rsid w:val="00FD355D"/>
    <w:rsid w:val="00FD5478"/>
    <w:rsid w:val="00FD742F"/>
    <w:rsid w:val="00FE0A18"/>
    <w:rsid w:val="00FE16A4"/>
    <w:rsid w:val="00FE1D1E"/>
    <w:rsid w:val="00FE2068"/>
    <w:rsid w:val="00FE2625"/>
    <w:rsid w:val="00FE2988"/>
    <w:rsid w:val="00FE2ED1"/>
    <w:rsid w:val="00FE3CAF"/>
    <w:rsid w:val="00FE47BC"/>
    <w:rsid w:val="00FE5452"/>
    <w:rsid w:val="00FE6756"/>
    <w:rsid w:val="00FF015C"/>
    <w:rsid w:val="00FF1B8F"/>
    <w:rsid w:val="00FF25BF"/>
    <w:rsid w:val="00FF27F9"/>
    <w:rsid w:val="00FF32E5"/>
    <w:rsid w:val="00FF35CB"/>
    <w:rsid w:val="00FF391C"/>
    <w:rsid w:val="00FF41AC"/>
    <w:rsid w:val="00FF4FB6"/>
    <w:rsid w:val="00FF59B4"/>
    <w:rsid w:val="00FF5CFC"/>
    <w:rsid w:val="00FF5E4A"/>
    <w:rsid w:val="00FF609F"/>
    <w:rsid w:val="00FF7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93"/>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unhideWhenUsed/>
    <w:rsid w:val="00821C17"/>
    <w:rPr>
      <w:sz w:val="20"/>
      <w:szCs w:val="20"/>
    </w:rPr>
  </w:style>
  <w:style w:type="character" w:customStyle="1" w:styleId="CommentTextChar">
    <w:name w:val="Comment Text Char"/>
    <w:basedOn w:val="DefaultParagraphFont"/>
    <w:link w:val="CommentText"/>
    <w:uiPriority w:val="99"/>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aliases w:val="Summary box"/>
    <w:basedOn w:val="TableNormal"/>
    <w:uiPriority w:val="59"/>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nhideWhenUsed/>
    <w:rsid w:val="00821C17"/>
    <w:pPr>
      <w:spacing w:after="0"/>
    </w:pPr>
    <w:rPr>
      <w:sz w:val="18"/>
      <w:szCs w:val="20"/>
    </w:rPr>
  </w:style>
  <w:style w:type="character" w:customStyle="1" w:styleId="FootnoteTextChar">
    <w:name w:val="Footnote Text Char"/>
    <w:basedOn w:val="DefaultParagraphFont"/>
    <w:link w:val="FootnoteText"/>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c"/>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 w:type="numbering" w:customStyle="1" w:styleId="NoList1">
    <w:name w:val="No List1"/>
    <w:next w:val="NoList"/>
    <w:uiPriority w:val="99"/>
    <w:semiHidden/>
    <w:unhideWhenUsed/>
    <w:rsid w:val="00B87CD5"/>
  </w:style>
  <w:style w:type="table" w:customStyle="1" w:styleId="TableGrid1">
    <w:name w:val="Table Grid1"/>
    <w:basedOn w:val="TableNormal"/>
    <w:next w:val="TableGrid"/>
    <w:uiPriority w:val="59"/>
    <w:rsid w:val="00B87CD5"/>
    <w:pPr>
      <w:spacing w:after="0" w:line="240" w:lineRule="auto"/>
    </w:pPr>
    <w:rPr>
      <w:rFonts w:ascii="Calibri" w:eastAsia="MS Mincho" w:hAnsi="Calibr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Heading1"/>
    <w:link w:val="Title2Char"/>
    <w:qFormat/>
    <w:rsid w:val="00B87CD5"/>
    <w:rPr>
      <w:szCs w:val="32"/>
    </w:rPr>
  </w:style>
  <w:style w:type="paragraph" w:customStyle="1" w:styleId="Meetingdate">
    <w:name w:val="Meeting date"/>
    <w:basedOn w:val="Heading4"/>
    <w:link w:val="MeetingdateChar"/>
    <w:qFormat/>
    <w:rsid w:val="00B87CD5"/>
  </w:style>
  <w:style w:type="character" w:customStyle="1" w:styleId="Title2Char">
    <w:name w:val="Title 2 Char"/>
    <w:basedOn w:val="Heading1Char"/>
    <w:link w:val="Title2"/>
    <w:rsid w:val="00B87CD5"/>
    <w:rPr>
      <w:rFonts w:asciiTheme="minorHAnsi" w:eastAsiaTheme="majorEastAsia" w:hAnsiTheme="minorHAnsi" w:cstheme="majorBidi"/>
      <w:b/>
      <w:bCs/>
      <w:sz w:val="40"/>
      <w:szCs w:val="32"/>
      <w:lang w:eastAsia="en-AU"/>
    </w:rPr>
  </w:style>
  <w:style w:type="character" w:customStyle="1" w:styleId="MeetingdateChar">
    <w:name w:val="Meeting date Char"/>
    <w:basedOn w:val="Heading4Char"/>
    <w:link w:val="Meetingdate"/>
    <w:rsid w:val="00B87CD5"/>
    <w:rPr>
      <w:rFonts w:asciiTheme="minorHAnsi" w:eastAsiaTheme="minorEastAsia" w:hAnsiTheme="minorHAnsi"/>
      <w:b/>
      <w:i/>
      <w:sz w:val="32"/>
      <w:szCs w:val="32"/>
      <w:lang w:eastAsia="en-AU"/>
    </w:rPr>
  </w:style>
  <w:style w:type="paragraph" w:customStyle="1" w:styleId="Default">
    <w:name w:val="Default"/>
    <w:basedOn w:val="Normal"/>
    <w:rsid w:val="00B87CD5"/>
    <w:pPr>
      <w:autoSpaceDE w:val="0"/>
      <w:autoSpaceDN w:val="0"/>
      <w:spacing w:after="0"/>
    </w:pPr>
    <w:rPr>
      <w:rFonts w:ascii="Calibri" w:eastAsia="Calibri" w:hAnsi="Calibri" w:cs="Times New Roman"/>
      <w:color w:val="000000"/>
      <w:lang w:eastAsia="en-US"/>
    </w:rPr>
  </w:style>
  <w:style w:type="character" w:customStyle="1" w:styleId="prod-title">
    <w:name w:val="prod-title"/>
    <w:basedOn w:val="DefaultParagraphFont"/>
    <w:rsid w:val="00B87CD5"/>
  </w:style>
  <w:style w:type="character" w:customStyle="1" w:styleId="published-date">
    <w:name w:val="published-date"/>
    <w:basedOn w:val="DefaultParagraphFont"/>
    <w:rsid w:val="00B87CD5"/>
  </w:style>
  <w:style w:type="character" w:customStyle="1" w:styleId="item-code">
    <w:name w:val="item-code"/>
    <w:basedOn w:val="DefaultParagraphFont"/>
    <w:rsid w:val="00B87CD5"/>
  </w:style>
  <w:style w:type="character" w:customStyle="1" w:styleId="legend-item">
    <w:name w:val="legend-item"/>
    <w:basedOn w:val="DefaultParagraphFont"/>
    <w:rsid w:val="00B87CD5"/>
  </w:style>
  <w:style w:type="character" w:customStyle="1" w:styleId="drug-name">
    <w:name w:val="drug-name"/>
    <w:basedOn w:val="DefaultParagraphFont"/>
    <w:rsid w:val="00B87CD5"/>
  </w:style>
  <w:style w:type="character" w:customStyle="1" w:styleId="form-strength">
    <w:name w:val="form-strength"/>
    <w:basedOn w:val="DefaultParagraphFont"/>
    <w:rsid w:val="00B87CD5"/>
  </w:style>
  <w:style w:type="paragraph" w:customStyle="1" w:styleId="Tabletext1">
    <w:name w:val="Table text"/>
    <w:basedOn w:val="Normal"/>
    <w:link w:val="TabletextChar1"/>
    <w:qFormat/>
    <w:rsid w:val="00B87CD5"/>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B87CD5"/>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B87CD5"/>
    <w:rPr>
      <w:rFonts w:ascii="Arial" w:eastAsia="Times New Roman" w:hAnsi="Arial" w:cs="Times New Roman"/>
      <w:snapToGrid w:val="0"/>
      <w:sz w:val="20"/>
      <w:szCs w:val="20"/>
      <w:lang w:val="x-none"/>
    </w:rPr>
  </w:style>
  <w:style w:type="character" w:customStyle="1" w:styleId="TabletextChar1">
    <w:name w:val="Table text Char1"/>
    <w:link w:val="Tabletext1"/>
    <w:rsid w:val="00B87CD5"/>
    <w:rPr>
      <w:rFonts w:ascii="Arial" w:eastAsia="Times New Roman" w:hAnsi="Arial" w:cs="Times New Roman"/>
      <w:sz w:val="20"/>
      <w:szCs w:val="20"/>
      <w:lang w:val="x-none"/>
    </w:rPr>
  </w:style>
  <w:style w:type="paragraph" w:customStyle="1" w:styleId="acthead5">
    <w:name w:val="acthead5"/>
    <w:basedOn w:val="Normal"/>
    <w:rsid w:val="001D69C7"/>
    <w:pPr>
      <w:spacing w:before="100" w:beforeAutospacing="1" w:after="100" w:afterAutospacing="1"/>
    </w:pPr>
    <w:rPr>
      <w:rFonts w:ascii="Times New Roman" w:eastAsia="Times New Roman" w:hAnsi="Times New Roman" w:cs="Times New Roman"/>
    </w:rPr>
  </w:style>
  <w:style w:type="character" w:customStyle="1" w:styleId="charsectno">
    <w:name w:val="charsectno"/>
    <w:basedOn w:val="DefaultParagraphFont"/>
    <w:rsid w:val="001D69C7"/>
  </w:style>
  <w:style w:type="paragraph" w:customStyle="1" w:styleId="subsection">
    <w:name w:val="subsection"/>
    <w:basedOn w:val="Normal"/>
    <w:rsid w:val="001D69C7"/>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D69C7"/>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93"/>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unhideWhenUsed/>
    <w:rsid w:val="00821C17"/>
    <w:rPr>
      <w:sz w:val="20"/>
      <w:szCs w:val="20"/>
    </w:rPr>
  </w:style>
  <w:style w:type="character" w:customStyle="1" w:styleId="CommentTextChar">
    <w:name w:val="Comment Text Char"/>
    <w:basedOn w:val="DefaultParagraphFont"/>
    <w:link w:val="CommentText"/>
    <w:uiPriority w:val="99"/>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aliases w:val="Summary box"/>
    <w:basedOn w:val="TableNormal"/>
    <w:uiPriority w:val="59"/>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nhideWhenUsed/>
    <w:rsid w:val="00821C17"/>
    <w:pPr>
      <w:spacing w:after="0"/>
    </w:pPr>
    <w:rPr>
      <w:sz w:val="18"/>
      <w:szCs w:val="20"/>
    </w:rPr>
  </w:style>
  <w:style w:type="character" w:customStyle="1" w:styleId="FootnoteTextChar">
    <w:name w:val="Footnote Text Char"/>
    <w:basedOn w:val="DefaultParagraphFont"/>
    <w:link w:val="FootnoteText"/>
    <w:rsid w:val="00821C17"/>
    <w:rPr>
      <w:rFonts w:asciiTheme="minorHAnsi" w:eastAsiaTheme="minorEastAsia" w:hAnsiTheme="minorHAnsi"/>
      <w:sz w:val="18"/>
      <w:szCs w:val="20"/>
      <w:lang w:eastAsia="en-AU"/>
    </w:rPr>
  </w:style>
  <w:style w:type="character" w:styleId="FootnoteReference">
    <w:name w:val="footnote reference"/>
    <w:basedOn w:val="DefaultParagraphFont"/>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c"/>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 w:type="numbering" w:customStyle="1" w:styleId="NoList1">
    <w:name w:val="No List1"/>
    <w:next w:val="NoList"/>
    <w:uiPriority w:val="99"/>
    <w:semiHidden/>
    <w:unhideWhenUsed/>
    <w:rsid w:val="00B87CD5"/>
  </w:style>
  <w:style w:type="table" w:customStyle="1" w:styleId="TableGrid1">
    <w:name w:val="Table Grid1"/>
    <w:basedOn w:val="TableNormal"/>
    <w:next w:val="TableGrid"/>
    <w:uiPriority w:val="59"/>
    <w:rsid w:val="00B87CD5"/>
    <w:pPr>
      <w:spacing w:after="0" w:line="240" w:lineRule="auto"/>
    </w:pPr>
    <w:rPr>
      <w:rFonts w:ascii="Calibri" w:eastAsia="MS Mincho" w:hAnsi="Calibr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Heading1"/>
    <w:link w:val="Title2Char"/>
    <w:qFormat/>
    <w:rsid w:val="00B87CD5"/>
    <w:rPr>
      <w:szCs w:val="32"/>
    </w:rPr>
  </w:style>
  <w:style w:type="paragraph" w:customStyle="1" w:styleId="Meetingdate">
    <w:name w:val="Meeting date"/>
    <w:basedOn w:val="Heading4"/>
    <w:link w:val="MeetingdateChar"/>
    <w:qFormat/>
    <w:rsid w:val="00B87CD5"/>
  </w:style>
  <w:style w:type="character" w:customStyle="1" w:styleId="Title2Char">
    <w:name w:val="Title 2 Char"/>
    <w:basedOn w:val="Heading1Char"/>
    <w:link w:val="Title2"/>
    <w:rsid w:val="00B87CD5"/>
    <w:rPr>
      <w:rFonts w:asciiTheme="minorHAnsi" w:eastAsiaTheme="majorEastAsia" w:hAnsiTheme="minorHAnsi" w:cstheme="majorBidi"/>
      <w:b/>
      <w:bCs/>
      <w:sz w:val="40"/>
      <w:szCs w:val="32"/>
      <w:lang w:eastAsia="en-AU"/>
    </w:rPr>
  </w:style>
  <w:style w:type="character" w:customStyle="1" w:styleId="MeetingdateChar">
    <w:name w:val="Meeting date Char"/>
    <w:basedOn w:val="Heading4Char"/>
    <w:link w:val="Meetingdate"/>
    <w:rsid w:val="00B87CD5"/>
    <w:rPr>
      <w:rFonts w:asciiTheme="minorHAnsi" w:eastAsiaTheme="minorEastAsia" w:hAnsiTheme="minorHAnsi"/>
      <w:b/>
      <w:i/>
      <w:sz w:val="32"/>
      <w:szCs w:val="32"/>
      <w:lang w:eastAsia="en-AU"/>
    </w:rPr>
  </w:style>
  <w:style w:type="paragraph" w:customStyle="1" w:styleId="Default">
    <w:name w:val="Default"/>
    <w:basedOn w:val="Normal"/>
    <w:rsid w:val="00B87CD5"/>
    <w:pPr>
      <w:autoSpaceDE w:val="0"/>
      <w:autoSpaceDN w:val="0"/>
      <w:spacing w:after="0"/>
    </w:pPr>
    <w:rPr>
      <w:rFonts w:ascii="Calibri" w:eastAsia="Calibri" w:hAnsi="Calibri" w:cs="Times New Roman"/>
      <w:color w:val="000000"/>
      <w:lang w:eastAsia="en-US"/>
    </w:rPr>
  </w:style>
  <w:style w:type="character" w:customStyle="1" w:styleId="prod-title">
    <w:name w:val="prod-title"/>
    <w:basedOn w:val="DefaultParagraphFont"/>
    <w:rsid w:val="00B87CD5"/>
  </w:style>
  <w:style w:type="character" w:customStyle="1" w:styleId="published-date">
    <w:name w:val="published-date"/>
    <w:basedOn w:val="DefaultParagraphFont"/>
    <w:rsid w:val="00B87CD5"/>
  </w:style>
  <w:style w:type="character" w:customStyle="1" w:styleId="item-code">
    <w:name w:val="item-code"/>
    <w:basedOn w:val="DefaultParagraphFont"/>
    <w:rsid w:val="00B87CD5"/>
  </w:style>
  <w:style w:type="character" w:customStyle="1" w:styleId="legend-item">
    <w:name w:val="legend-item"/>
    <w:basedOn w:val="DefaultParagraphFont"/>
    <w:rsid w:val="00B87CD5"/>
  </w:style>
  <w:style w:type="character" w:customStyle="1" w:styleId="drug-name">
    <w:name w:val="drug-name"/>
    <w:basedOn w:val="DefaultParagraphFont"/>
    <w:rsid w:val="00B87CD5"/>
  </w:style>
  <w:style w:type="character" w:customStyle="1" w:styleId="form-strength">
    <w:name w:val="form-strength"/>
    <w:basedOn w:val="DefaultParagraphFont"/>
    <w:rsid w:val="00B87CD5"/>
  </w:style>
  <w:style w:type="paragraph" w:customStyle="1" w:styleId="Tabletext1">
    <w:name w:val="Table text"/>
    <w:basedOn w:val="Normal"/>
    <w:link w:val="TabletextChar1"/>
    <w:qFormat/>
    <w:rsid w:val="00B87CD5"/>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B87CD5"/>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B87CD5"/>
    <w:rPr>
      <w:rFonts w:ascii="Arial" w:eastAsia="Times New Roman" w:hAnsi="Arial" w:cs="Times New Roman"/>
      <w:snapToGrid w:val="0"/>
      <w:sz w:val="20"/>
      <w:szCs w:val="20"/>
      <w:lang w:val="x-none"/>
    </w:rPr>
  </w:style>
  <w:style w:type="character" w:customStyle="1" w:styleId="TabletextChar1">
    <w:name w:val="Table text Char1"/>
    <w:link w:val="Tabletext1"/>
    <w:rsid w:val="00B87CD5"/>
    <w:rPr>
      <w:rFonts w:ascii="Arial" w:eastAsia="Times New Roman" w:hAnsi="Arial" w:cs="Times New Roman"/>
      <w:sz w:val="20"/>
      <w:szCs w:val="20"/>
      <w:lang w:val="x-none"/>
    </w:rPr>
  </w:style>
  <w:style w:type="paragraph" w:customStyle="1" w:styleId="acthead5">
    <w:name w:val="acthead5"/>
    <w:basedOn w:val="Normal"/>
    <w:rsid w:val="001D69C7"/>
    <w:pPr>
      <w:spacing w:before="100" w:beforeAutospacing="1" w:after="100" w:afterAutospacing="1"/>
    </w:pPr>
    <w:rPr>
      <w:rFonts w:ascii="Times New Roman" w:eastAsia="Times New Roman" w:hAnsi="Times New Roman" w:cs="Times New Roman"/>
    </w:rPr>
  </w:style>
  <w:style w:type="character" w:customStyle="1" w:styleId="charsectno">
    <w:name w:val="charsectno"/>
    <w:basedOn w:val="DefaultParagraphFont"/>
    <w:rsid w:val="001D69C7"/>
  </w:style>
  <w:style w:type="paragraph" w:customStyle="1" w:styleId="subsection">
    <w:name w:val="subsection"/>
    <w:basedOn w:val="Normal"/>
    <w:rsid w:val="001D69C7"/>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D69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877">
      <w:bodyDiv w:val="1"/>
      <w:marLeft w:val="0"/>
      <w:marRight w:val="0"/>
      <w:marTop w:val="0"/>
      <w:marBottom w:val="0"/>
      <w:divBdr>
        <w:top w:val="none" w:sz="0" w:space="0" w:color="auto"/>
        <w:left w:val="none" w:sz="0" w:space="0" w:color="auto"/>
        <w:bottom w:val="none" w:sz="0" w:space="0" w:color="auto"/>
        <w:right w:val="none" w:sz="0" w:space="0" w:color="auto"/>
      </w:divBdr>
    </w:div>
    <w:div w:id="40370622">
      <w:bodyDiv w:val="1"/>
      <w:marLeft w:val="0"/>
      <w:marRight w:val="0"/>
      <w:marTop w:val="0"/>
      <w:marBottom w:val="0"/>
      <w:divBdr>
        <w:top w:val="none" w:sz="0" w:space="0" w:color="auto"/>
        <w:left w:val="none" w:sz="0" w:space="0" w:color="auto"/>
        <w:bottom w:val="none" w:sz="0" w:space="0" w:color="auto"/>
        <w:right w:val="none" w:sz="0" w:space="0" w:color="auto"/>
      </w:divBdr>
    </w:div>
    <w:div w:id="100882748">
      <w:bodyDiv w:val="1"/>
      <w:marLeft w:val="0"/>
      <w:marRight w:val="0"/>
      <w:marTop w:val="0"/>
      <w:marBottom w:val="0"/>
      <w:divBdr>
        <w:top w:val="none" w:sz="0" w:space="0" w:color="auto"/>
        <w:left w:val="none" w:sz="0" w:space="0" w:color="auto"/>
        <w:bottom w:val="none" w:sz="0" w:space="0" w:color="auto"/>
        <w:right w:val="none" w:sz="0" w:space="0" w:color="auto"/>
      </w:divBdr>
    </w:div>
    <w:div w:id="112865301">
      <w:bodyDiv w:val="1"/>
      <w:marLeft w:val="0"/>
      <w:marRight w:val="0"/>
      <w:marTop w:val="0"/>
      <w:marBottom w:val="0"/>
      <w:divBdr>
        <w:top w:val="none" w:sz="0" w:space="0" w:color="auto"/>
        <w:left w:val="none" w:sz="0" w:space="0" w:color="auto"/>
        <w:bottom w:val="none" w:sz="0" w:space="0" w:color="auto"/>
        <w:right w:val="none" w:sz="0" w:space="0" w:color="auto"/>
      </w:divBdr>
    </w:div>
    <w:div w:id="113208616">
      <w:bodyDiv w:val="1"/>
      <w:marLeft w:val="0"/>
      <w:marRight w:val="0"/>
      <w:marTop w:val="0"/>
      <w:marBottom w:val="0"/>
      <w:divBdr>
        <w:top w:val="none" w:sz="0" w:space="0" w:color="auto"/>
        <w:left w:val="none" w:sz="0" w:space="0" w:color="auto"/>
        <w:bottom w:val="none" w:sz="0" w:space="0" w:color="auto"/>
        <w:right w:val="none" w:sz="0" w:space="0" w:color="auto"/>
      </w:divBdr>
    </w:div>
    <w:div w:id="122771577">
      <w:bodyDiv w:val="1"/>
      <w:marLeft w:val="0"/>
      <w:marRight w:val="0"/>
      <w:marTop w:val="0"/>
      <w:marBottom w:val="0"/>
      <w:divBdr>
        <w:top w:val="none" w:sz="0" w:space="0" w:color="auto"/>
        <w:left w:val="none" w:sz="0" w:space="0" w:color="auto"/>
        <w:bottom w:val="none" w:sz="0" w:space="0" w:color="auto"/>
        <w:right w:val="none" w:sz="0" w:space="0" w:color="auto"/>
      </w:divBdr>
    </w:div>
    <w:div w:id="138232259">
      <w:bodyDiv w:val="1"/>
      <w:marLeft w:val="0"/>
      <w:marRight w:val="0"/>
      <w:marTop w:val="0"/>
      <w:marBottom w:val="0"/>
      <w:divBdr>
        <w:top w:val="none" w:sz="0" w:space="0" w:color="auto"/>
        <w:left w:val="none" w:sz="0" w:space="0" w:color="auto"/>
        <w:bottom w:val="none" w:sz="0" w:space="0" w:color="auto"/>
        <w:right w:val="none" w:sz="0" w:space="0" w:color="auto"/>
      </w:divBdr>
    </w:div>
    <w:div w:id="170753780">
      <w:bodyDiv w:val="1"/>
      <w:marLeft w:val="0"/>
      <w:marRight w:val="0"/>
      <w:marTop w:val="0"/>
      <w:marBottom w:val="0"/>
      <w:divBdr>
        <w:top w:val="none" w:sz="0" w:space="0" w:color="auto"/>
        <w:left w:val="none" w:sz="0" w:space="0" w:color="auto"/>
        <w:bottom w:val="none" w:sz="0" w:space="0" w:color="auto"/>
        <w:right w:val="none" w:sz="0" w:space="0" w:color="auto"/>
      </w:divBdr>
    </w:div>
    <w:div w:id="203450520">
      <w:bodyDiv w:val="1"/>
      <w:marLeft w:val="0"/>
      <w:marRight w:val="0"/>
      <w:marTop w:val="0"/>
      <w:marBottom w:val="0"/>
      <w:divBdr>
        <w:top w:val="none" w:sz="0" w:space="0" w:color="auto"/>
        <w:left w:val="none" w:sz="0" w:space="0" w:color="auto"/>
        <w:bottom w:val="none" w:sz="0" w:space="0" w:color="auto"/>
        <w:right w:val="none" w:sz="0" w:space="0" w:color="auto"/>
      </w:divBdr>
    </w:div>
    <w:div w:id="218519426">
      <w:bodyDiv w:val="1"/>
      <w:marLeft w:val="0"/>
      <w:marRight w:val="0"/>
      <w:marTop w:val="0"/>
      <w:marBottom w:val="0"/>
      <w:divBdr>
        <w:top w:val="none" w:sz="0" w:space="0" w:color="auto"/>
        <w:left w:val="none" w:sz="0" w:space="0" w:color="auto"/>
        <w:bottom w:val="none" w:sz="0" w:space="0" w:color="auto"/>
        <w:right w:val="none" w:sz="0" w:space="0" w:color="auto"/>
      </w:divBdr>
    </w:div>
    <w:div w:id="240408527">
      <w:bodyDiv w:val="1"/>
      <w:marLeft w:val="0"/>
      <w:marRight w:val="0"/>
      <w:marTop w:val="0"/>
      <w:marBottom w:val="0"/>
      <w:divBdr>
        <w:top w:val="none" w:sz="0" w:space="0" w:color="auto"/>
        <w:left w:val="none" w:sz="0" w:space="0" w:color="auto"/>
        <w:bottom w:val="none" w:sz="0" w:space="0" w:color="auto"/>
        <w:right w:val="none" w:sz="0" w:space="0" w:color="auto"/>
      </w:divBdr>
    </w:div>
    <w:div w:id="250549072">
      <w:bodyDiv w:val="1"/>
      <w:marLeft w:val="0"/>
      <w:marRight w:val="0"/>
      <w:marTop w:val="0"/>
      <w:marBottom w:val="0"/>
      <w:divBdr>
        <w:top w:val="none" w:sz="0" w:space="0" w:color="auto"/>
        <w:left w:val="none" w:sz="0" w:space="0" w:color="auto"/>
        <w:bottom w:val="none" w:sz="0" w:space="0" w:color="auto"/>
        <w:right w:val="none" w:sz="0" w:space="0" w:color="auto"/>
      </w:divBdr>
    </w:div>
    <w:div w:id="286856068">
      <w:bodyDiv w:val="1"/>
      <w:marLeft w:val="0"/>
      <w:marRight w:val="0"/>
      <w:marTop w:val="0"/>
      <w:marBottom w:val="0"/>
      <w:divBdr>
        <w:top w:val="none" w:sz="0" w:space="0" w:color="auto"/>
        <w:left w:val="none" w:sz="0" w:space="0" w:color="auto"/>
        <w:bottom w:val="none" w:sz="0" w:space="0" w:color="auto"/>
        <w:right w:val="none" w:sz="0" w:space="0" w:color="auto"/>
      </w:divBdr>
    </w:div>
    <w:div w:id="323896919">
      <w:bodyDiv w:val="1"/>
      <w:marLeft w:val="0"/>
      <w:marRight w:val="0"/>
      <w:marTop w:val="0"/>
      <w:marBottom w:val="0"/>
      <w:divBdr>
        <w:top w:val="none" w:sz="0" w:space="0" w:color="auto"/>
        <w:left w:val="none" w:sz="0" w:space="0" w:color="auto"/>
        <w:bottom w:val="none" w:sz="0" w:space="0" w:color="auto"/>
        <w:right w:val="none" w:sz="0" w:space="0" w:color="auto"/>
      </w:divBdr>
    </w:div>
    <w:div w:id="352195757">
      <w:bodyDiv w:val="1"/>
      <w:marLeft w:val="0"/>
      <w:marRight w:val="0"/>
      <w:marTop w:val="0"/>
      <w:marBottom w:val="0"/>
      <w:divBdr>
        <w:top w:val="none" w:sz="0" w:space="0" w:color="auto"/>
        <w:left w:val="none" w:sz="0" w:space="0" w:color="auto"/>
        <w:bottom w:val="none" w:sz="0" w:space="0" w:color="auto"/>
        <w:right w:val="none" w:sz="0" w:space="0" w:color="auto"/>
      </w:divBdr>
    </w:div>
    <w:div w:id="352920874">
      <w:bodyDiv w:val="1"/>
      <w:marLeft w:val="0"/>
      <w:marRight w:val="0"/>
      <w:marTop w:val="0"/>
      <w:marBottom w:val="0"/>
      <w:divBdr>
        <w:top w:val="none" w:sz="0" w:space="0" w:color="auto"/>
        <w:left w:val="none" w:sz="0" w:space="0" w:color="auto"/>
        <w:bottom w:val="none" w:sz="0" w:space="0" w:color="auto"/>
        <w:right w:val="none" w:sz="0" w:space="0" w:color="auto"/>
      </w:divBdr>
    </w:div>
    <w:div w:id="367989791">
      <w:bodyDiv w:val="1"/>
      <w:marLeft w:val="0"/>
      <w:marRight w:val="0"/>
      <w:marTop w:val="0"/>
      <w:marBottom w:val="0"/>
      <w:divBdr>
        <w:top w:val="none" w:sz="0" w:space="0" w:color="auto"/>
        <w:left w:val="none" w:sz="0" w:space="0" w:color="auto"/>
        <w:bottom w:val="none" w:sz="0" w:space="0" w:color="auto"/>
        <w:right w:val="none" w:sz="0" w:space="0" w:color="auto"/>
      </w:divBdr>
    </w:div>
    <w:div w:id="428544070">
      <w:bodyDiv w:val="1"/>
      <w:marLeft w:val="0"/>
      <w:marRight w:val="0"/>
      <w:marTop w:val="0"/>
      <w:marBottom w:val="0"/>
      <w:divBdr>
        <w:top w:val="none" w:sz="0" w:space="0" w:color="auto"/>
        <w:left w:val="none" w:sz="0" w:space="0" w:color="auto"/>
        <w:bottom w:val="none" w:sz="0" w:space="0" w:color="auto"/>
        <w:right w:val="none" w:sz="0" w:space="0" w:color="auto"/>
      </w:divBdr>
    </w:div>
    <w:div w:id="476722670">
      <w:bodyDiv w:val="1"/>
      <w:marLeft w:val="0"/>
      <w:marRight w:val="0"/>
      <w:marTop w:val="0"/>
      <w:marBottom w:val="0"/>
      <w:divBdr>
        <w:top w:val="none" w:sz="0" w:space="0" w:color="auto"/>
        <w:left w:val="none" w:sz="0" w:space="0" w:color="auto"/>
        <w:bottom w:val="none" w:sz="0" w:space="0" w:color="auto"/>
        <w:right w:val="none" w:sz="0" w:space="0" w:color="auto"/>
      </w:divBdr>
    </w:div>
    <w:div w:id="489100045">
      <w:bodyDiv w:val="1"/>
      <w:marLeft w:val="0"/>
      <w:marRight w:val="0"/>
      <w:marTop w:val="0"/>
      <w:marBottom w:val="0"/>
      <w:divBdr>
        <w:top w:val="none" w:sz="0" w:space="0" w:color="auto"/>
        <w:left w:val="none" w:sz="0" w:space="0" w:color="auto"/>
        <w:bottom w:val="none" w:sz="0" w:space="0" w:color="auto"/>
        <w:right w:val="none" w:sz="0" w:space="0" w:color="auto"/>
      </w:divBdr>
    </w:div>
    <w:div w:id="491874914">
      <w:bodyDiv w:val="1"/>
      <w:marLeft w:val="0"/>
      <w:marRight w:val="0"/>
      <w:marTop w:val="0"/>
      <w:marBottom w:val="0"/>
      <w:divBdr>
        <w:top w:val="none" w:sz="0" w:space="0" w:color="auto"/>
        <w:left w:val="none" w:sz="0" w:space="0" w:color="auto"/>
        <w:bottom w:val="none" w:sz="0" w:space="0" w:color="auto"/>
        <w:right w:val="none" w:sz="0" w:space="0" w:color="auto"/>
      </w:divBdr>
      <w:divsChild>
        <w:div w:id="1126044359">
          <w:marLeft w:val="0"/>
          <w:marRight w:val="0"/>
          <w:marTop w:val="0"/>
          <w:marBottom w:val="0"/>
          <w:divBdr>
            <w:top w:val="none" w:sz="0" w:space="0" w:color="auto"/>
            <w:left w:val="none" w:sz="0" w:space="0" w:color="auto"/>
            <w:bottom w:val="none" w:sz="0" w:space="0" w:color="auto"/>
            <w:right w:val="none" w:sz="0" w:space="0" w:color="auto"/>
          </w:divBdr>
          <w:divsChild>
            <w:div w:id="1004548151">
              <w:marLeft w:val="0"/>
              <w:marRight w:val="0"/>
              <w:marTop w:val="0"/>
              <w:marBottom w:val="0"/>
              <w:divBdr>
                <w:top w:val="none" w:sz="0" w:space="0" w:color="auto"/>
                <w:left w:val="none" w:sz="0" w:space="0" w:color="auto"/>
                <w:bottom w:val="none" w:sz="0" w:space="0" w:color="auto"/>
                <w:right w:val="none" w:sz="0" w:space="0" w:color="auto"/>
              </w:divBdr>
              <w:divsChild>
                <w:div w:id="760445809">
                  <w:marLeft w:val="0"/>
                  <w:marRight w:val="0"/>
                  <w:marTop w:val="0"/>
                  <w:marBottom w:val="0"/>
                  <w:divBdr>
                    <w:top w:val="none" w:sz="0" w:space="0" w:color="auto"/>
                    <w:left w:val="none" w:sz="0" w:space="0" w:color="auto"/>
                    <w:bottom w:val="none" w:sz="0" w:space="0" w:color="auto"/>
                    <w:right w:val="none" w:sz="0" w:space="0" w:color="auto"/>
                  </w:divBdr>
                  <w:divsChild>
                    <w:div w:id="766777810">
                      <w:marLeft w:val="0"/>
                      <w:marRight w:val="0"/>
                      <w:marTop w:val="0"/>
                      <w:marBottom w:val="0"/>
                      <w:divBdr>
                        <w:top w:val="none" w:sz="0" w:space="0" w:color="auto"/>
                        <w:left w:val="none" w:sz="0" w:space="0" w:color="auto"/>
                        <w:bottom w:val="none" w:sz="0" w:space="0" w:color="auto"/>
                        <w:right w:val="none" w:sz="0" w:space="0" w:color="auto"/>
                      </w:divBdr>
                      <w:divsChild>
                        <w:div w:id="1651904457">
                          <w:marLeft w:val="384"/>
                          <w:marRight w:val="384"/>
                          <w:marTop w:val="0"/>
                          <w:marBottom w:val="0"/>
                          <w:divBdr>
                            <w:top w:val="none" w:sz="0" w:space="0" w:color="auto"/>
                            <w:left w:val="none" w:sz="0" w:space="0" w:color="auto"/>
                            <w:bottom w:val="none" w:sz="0" w:space="0" w:color="auto"/>
                            <w:right w:val="none" w:sz="0" w:space="0" w:color="auto"/>
                          </w:divBdr>
                          <w:divsChild>
                            <w:div w:id="1892155994">
                              <w:marLeft w:val="0"/>
                              <w:marRight w:val="0"/>
                              <w:marTop w:val="332"/>
                              <w:marBottom w:val="332"/>
                              <w:divBdr>
                                <w:top w:val="none" w:sz="0" w:space="0" w:color="auto"/>
                                <w:left w:val="none" w:sz="0" w:space="0" w:color="auto"/>
                                <w:bottom w:val="none" w:sz="0" w:space="0" w:color="auto"/>
                                <w:right w:val="none" w:sz="0" w:space="0" w:color="auto"/>
                              </w:divBdr>
                              <w:divsChild>
                                <w:div w:id="837307767">
                                  <w:marLeft w:val="0"/>
                                  <w:marRight w:val="0"/>
                                  <w:marTop w:val="0"/>
                                  <w:marBottom w:val="0"/>
                                  <w:divBdr>
                                    <w:top w:val="none" w:sz="0" w:space="0" w:color="auto"/>
                                    <w:left w:val="none" w:sz="0" w:space="0" w:color="auto"/>
                                    <w:bottom w:val="none" w:sz="0" w:space="0" w:color="auto"/>
                                    <w:right w:val="none" w:sz="0" w:space="0" w:color="auto"/>
                                  </w:divBdr>
                                </w:div>
                              </w:divsChild>
                            </w:div>
                            <w:div w:id="1072237228">
                              <w:marLeft w:val="0"/>
                              <w:marRight w:val="0"/>
                              <w:marTop w:val="0"/>
                              <w:marBottom w:val="0"/>
                              <w:divBdr>
                                <w:top w:val="none" w:sz="0" w:space="0" w:color="auto"/>
                                <w:left w:val="none" w:sz="0" w:space="0" w:color="auto"/>
                                <w:bottom w:val="none" w:sz="0" w:space="0" w:color="auto"/>
                                <w:right w:val="none" w:sz="0" w:space="0" w:color="auto"/>
                              </w:divBdr>
                              <w:divsChild>
                                <w:div w:id="1606889106">
                                  <w:marLeft w:val="0"/>
                                  <w:marRight w:val="0"/>
                                  <w:marTop w:val="0"/>
                                  <w:marBottom w:val="0"/>
                                  <w:divBdr>
                                    <w:top w:val="none" w:sz="0" w:space="0" w:color="auto"/>
                                    <w:left w:val="none" w:sz="0" w:space="0" w:color="auto"/>
                                    <w:bottom w:val="none" w:sz="0" w:space="0" w:color="auto"/>
                                    <w:right w:val="none" w:sz="0" w:space="0" w:color="auto"/>
                                  </w:divBdr>
                                  <w:divsChild>
                                    <w:div w:id="565724985">
                                      <w:marLeft w:val="0"/>
                                      <w:marRight w:val="0"/>
                                      <w:marTop w:val="166"/>
                                      <w:marBottom w:val="166"/>
                                      <w:divBdr>
                                        <w:top w:val="none" w:sz="0" w:space="0" w:color="auto"/>
                                        <w:left w:val="none" w:sz="0" w:space="0" w:color="auto"/>
                                        <w:bottom w:val="none" w:sz="0" w:space="0" w:color="auto"/>
                                        <w:right w:val="none" w:sz="0" w:space="0" w:color="auto"/>
                                      </w:divBdr>
                                      <w:divsChild>
                                        <w:div w:id="404375881">
                                          <w:marLeft w:val="0"/>
                                          <w:marRight w:val="0"/>
                                          <w:marTop w:val="0"/>
                                          <w:marBottom w:val="0"/>
                                          <w:divBdr>
                                            <w:top w:val="none" w:sz="0" w:space="0" w:color="auto"/>
                                            <w:left w:val="none" w:sz="0" w:space="0" w:color="auto"/>
                                            <w:bottom w:val="none" w:sz="0" w:space="0" w:color="auto"/>
                                            <w:right w:val="none" w:sz="0" w:space="0" w:color="auto"/>
                                          </w:divBdr>
                                          <w:divsChild>
                                            <w:div w:id="1215970064">
                                              <w:marLeft w:val="0"/>
                                              <w:marRight w:val="0"/>
                                              <w:marTop w:val="0"/>
                                              <w:marBottom w:val="0"/>
                                              <w:divBdr>
                                                <w:top w:val="none" w:sz="0" w:space="0" w:color="auto"/>
                                                <w:left w:val="none" w:sz="0" w:space="0" w:color="auto"/>
                                                <w:bottom w:val="none" w:sz="0" w:space="0" w:color="auto"/>
                                                <w:right w:val="none" w:sz="0" w:space="0" w:color="auto"/>
                                              </w:divBdr>
                                            </w:div>
                                            <w:div w:id="654189741">
                                              <w:marLeft w:val="240"/>
                                              <w:marRight w:val="0"/>
                                              <w:marTop w:val="0"/>
                                              <w:marBottom w:val="0"/>
                                              <w:divBdr>
                                                <w:top w:val="none" w:sz="0" w:space="0" w:color="auto"/>
                                                <w:left w:val="none" w:sz="0" w:space="0" w:color="auto"/>
                                                <w:bottom w:val="none" w:sz="0" w:space="0" w:color="auto"/>
                                                <w:right w:val="none" w:sz="0" w:space="0" w:color="auto"/>
                                              </w:divBdr>
                                              <w:divsChild>
                                                <w:div w:id="17184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1589">
                                      <w:marLeft w:val="0"/>
                                      <w:marRight w:val="0"/>
                                      <w:marTop w:val="332"/>
                                      <w:marBottom w:val="332"/>
                                      <w:divBdr>
                                        <w:top w:val="none" w:sz="0" w:space="0" w:color="auto"/>
                                        <w:left w:val="none" w:sz="0" w:space="0" w:color="auto"/>
                                        <w:bottom w:val="none" w:sz="0" w:space="0" w:color="auto"/>
                                        <w:right w:val="none" w:sz="0" w:space="0" w:color="auto"/>
                                      </w:divBdr>
                                      <w:divsChild>
                                        <w:div w:id="2103060282">
                                          <w:marLeft w:val="0"/>
                                          <w:marRight w:val="0"/>
                                          <w:marTop w:val="0"/>
                                          <w:marBottom w:val="0"/>
                                          <w:divBdr>
                                            <w:top w:val="none" w:sz="0" w:space="0" w:color="auto"/>
                                            <w:left w:val="none" w:sz="0" w:space="0" w:color="auto"/>
                                            <w:bottom w:val="none" w:sz="0" w:space="0" w:color="auto"/>
                                            <w:right w:val="none" w:sz="0" w:space="0" w:color="auto"/>
                                          </w:divBdr>
                                        </w:div>
                                        <w:div w:id="1229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648255">
      <w:bodyDiv w:val="1"/>
      <w:marLeft w:val="0"/>
      <w:marRight w:val="0"/>
      <w:marTop w:val="0"/>
      <w:marBottom w:val="0"/>
      <w:divBdr>
        <w:top w:val="none" w:sz="0" w:space="0" w:color="auto"/>
        <w:left w:val="none" w:sz="0" w:space="0" w:color="auto"/>
        <w:bottom w:val="none" w:sz="0" w:space="0" w:color="auto"/>
        <w:right w:val="none" w:sz="0" w:space="0" w:color="auto"/>
      </w:divBdr>
    </w:div>
    <w:div w:id="566034725">
      <w:bodyDiv w:val="1"/>
      <w:marLeft w:val="0"/>
      <w:marRight w:val="0"/>
      <w:marTop w:val="0"/>
      <w:marBottom w:val="0"/>
      <w:divBdr>
        <w:top w:val="none" w:sz="0" w:space="0" w:color="auto"/>
        <w:left w:val="none" w:sz="0" w:space="0" w:color="auto"/>
        <w:bottom w:val="none" w:sz="0" w:space="0" w:color="auto"/>
        <w:right w:val="none" w:sz="0" w:space="0" w:color="auto"/>
      </w:divBdr>
      <w:divsChild>
        <w:div w:id="718628807">
          <w:marLeft w:val="0"/>
          <w:marRight w:val="0"/>
          <w:marTop w:val="0"/>
          <w:marBottom w:val="0"/>
          <w:divBdr>
            <w:top w:val="none" w:sz="0" w:space="0" w:color="auto"/>
            <w:left w:val="none" w:sz="0" w:space="0" w:color="auto"/>
            <w:bottom w:val="none" w:sz="0" w:space="0" w:color="auto"/>
            <w:right w:val="none" w:sz="0" w:space="0" w:color="auto"/>
          </w:divBdr>
          <w:divsChild>
            <w:div w:id="1260257635">
              <w:marLeft w:val="120"/>
              <w:marRight w:val="120"/>
              <w:marTop w:val="120"/>
              <w:marBottom w:val="120"/>
              <w:divBdr>
                <w:top w:val="none" w:sz="0" w:space="0" w:color="auto"/>
                <w:left w:val="none" w:sz="0" w:space="0" w:color="auto"/>
                <w:bottom w:val="none" w:sz="0" w:space="0" w:color="auto"/>
                <w:right w:val="none" w:sz="0" w:space="0" w:color="auto"/>
              </w:divBdr>
              <w:divsChild>
                <w:div w:id="1987005664">
                  <w:marLeft w:val="0"/>
                  <w:marRight w:val="0"/>
                  <w:marTop w:val="0"/>
                  <w:marBottom w:val="0"/>
                  <w:divBdr>
                    <w:top w:val="none" w:sz="0" w:space="0" w:color="auto"/>
                    <w:left w:val="none" w:sz="0" w:space="0" w:color="auto"/>
                    <w:bottom w:val="none" w:sz="0" w:space="0" w:color="auto"/>
                    <w:right w:val="none" w:sz="0" w:space="0" w:color="auto"/>
                  </w:divBdr>
                  <w:divsChild>
                    <w:div w:id="1413819972">
                      <w:marLeft w:val="0"/>
                      <w:marRight w:val="0"/>
                      <w:marTop w:val="0"/>
                      <w:marBottom w:val="0"/>
                      <w:divBdr>
                        <w:top w:val="none" w:sz="0" w:space="0" w:color="auto"/>
                        <w:left w:val="none" w:sz="0" w:space="0" w:color="auto"/>
                        <w:bottom w:val="none" w:sz="0" w:space="0" w:color="auto"/>
                        <w:right w:val="none" w:sz="0" w:space="0" w:color="auto"/>
                      </w:divBdr>
                      <w:divsChild>
                        <w:div w:id="1636444553">
                          <w:marLeft w:val="0"/>
                          <w:marRight w:val="0"/>
                          <w:marTop w:val="0"/>
                          <w:marBottom w:val="0"/>
                          <w:divBdr>
                            <w:top w:val="none" w:sz="0" w:space="0" w:color="auto"/>
                            <w:left w:val="none" w:sz="0" w:space="0" w:color="auto"/>
                            <w:bottom w:val="none" w:sz="0" w:space="0" w:color="auto"/>
                            <w:right w:val="none" w:sz="0" w:space="0" w:color="auto"/>
                          </w:divBdr>
                        </w:div>
                        <w:div w:id="10657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5218">
          <w:marLeft w:val="0"/>
          <w:marRight w:val="0"/>
          <w:marTop w:val="0"/>
          <w:marBottom w:val="0"/>
          <w:divBdr>
            <w:top w:val="none" w:sz="0" w:space="0" w:color="auto"/>
            <w:left w:val="single" w:sz="48" w:space="0" w:color="auto"/>
            <w:bottom w:val="none" w:sz="0" w:space="0" w:color="auto"/>
            <w:right w:val="single" w:sz="48" w:space="0" w:color="auto"/>
          </w:divBdr>
          <w:divsChild>
            <w:div w:id="1675650284">
              <w:marLeft w:val="0"/>
              <w:marRight w:val="0"/>
              <w:marTop w:val="100"/>
              <w:marBottom w:val="100"/>
              <w:divBdr>
                <w:top w:val="none" w:sz="0" w:space="0" w:color="auto"/>
                <w:left w:val="none" w:sz="0" w:space="0" w:color="auto"/>
                <w:bottom w:val="none" w:sz="0" w:space="0" w:color="auto"/>
                <w:right w:val="none" w:sz="0" w:space="0" w:color="auto"/>
              </w:divBdr>
              <w:divsChild>
                <w:div w:id="1798914308">
                  <w:marLeft w:val="0"/>
                  <w:marRight w:val="0"/>
                  <w:marTop w:val="0"/>
                  <w:marBottom w:val="0"/>
                  <w:divBdr>
                    <w:top w:val="none" w:sz="0" w:space="0" w:color="auto"/>
                    <w:left w:val="none" w:sz="0" w:space="0" w:color="auto"/>
                    <w:bottom w:val="none" w:sz="0" w:space="0" w:color="auto"/>
                    <w:right w:val="none" w:sz="0" w:space="0" w:color="auto"/>
                  </w:divBdr>
                </w:div>
              </w:divsChild>
            </w:div>
            <w:div w:id="902567828">
              <w:marLeft w:val="0"/>
              <w:marRight w:val="0"/>
              <w:marTop w:val="0"/>
              <w:marBottom w:val="0"/>
              <w:divBdr>
                <w:top w:val="none" w:sz="0" w:space="0" w:color="auto"/>
                <w:left w:val="none" w:sz="0" w:space="0" w:color="auto"/>
                <w:bottom w:val="none" w:sz="0" w:space="0" w:color="auto"/>
                <w:right w:val="none" w:sz="0" w:space="0" w:color="auto"/>
              </w:divBdr>
              <w:divsChild>
                <w:div w:id="1648634160">
                  <w:marLeft w:val="0"/>
                  <w:marRight w:val="0"/>
                  <w:marTop w:val="0"/>
                  <w:marBottom w:val="0"/>
                  <w:divBdr>
                    <w:top w:val="none" w:sz="0" w:space="0" w:color="auto"/>
                    <w:left w:val="none" w:sz="0" w:space="0" w:color="auto"/>
                    <w:bottom w:val="none" w:sz="0" w:space="0" w:color="auto"/>
                    <w:right w:val="none" w:sz="0" w:space="0" w:color="auto"/>
                  </w:divBdr>
                </w:div>
                <w:div w:id="399596678">
                  <w:marLeft w:val="0"/>
                  <w:marRight w:val="0"/>
                  <w:marTop w:val="0"/>
                  <w:marBottom w:val="0"/>
                  <w:divBdr>
                    <w:top w:val="none" w:sz="0" w:space="0" w:color="auto"/>
                    <w:left w:val="none" w:sz="0" w:space="0" w:color="auto"/>
                    <w:bottom w:val="none" w:sz="0" w:space="0" w:color="auto"/>
                    <w:right w:val="none" w:sz="0" w:space="0" w:color="auto"/>
                  </w:divBdr>
                </w:div>
              </w:divsChild>
            </w:div>
            <w:div w:id="396707165">
              <w:marLeft w:val="0"/>
              <w:marRight w:val="0"/>
              <w:marTop w:val="0"/>
              <w:marBottom w:val="0"/>
              <w:divBdr>
                <w:top w:val="none" w:sz="0" w:space="0" w:color="auto"/>
                <w:left w:val="none" w:sz="0" w:space="0" w:color="auto"/>
                <w:bottom w:val="none" w:sz="0" w:space="0" w:color="auto"/>
                <w:right w:val="none" w:sz="0" w:space="0" w:color="auto"/>
              </w:divBdr>
            </w:div>
            <w:div w:id="1195383065">
              <w:marLeft w:val="0"/>
              <w:marRight w:val="0"/>
              <w:marTop w:val="0"/>
              <w:marBottom w:val="0"/>
              <w:divBdr>
                <w:top w:val="none" w:sz="0" w:space="0" w:color="auto"/>
                <w:left w:val="none" w:sz="0" w:space="0" w:color="auto"/>
                <w:bottom w:val="none" w:sz="0" w:space="0" w:color="auto"/>
                <w:right w:val="none" w:sz="0" w:space="0" w:color="auto"/>
              </w:divBdr>
              <w:divsChild>
                <w:div w:id="601108731">
                  <w:marLeft w:val="0"/>
                  <w:marRight w:val="0"/>
                  <w:marTop w:val="0"/>
                  <w:marBottom w:val="0"/>
                  <w:divBdr>
                    <w:top w:val="none" w:sz="0" w:space="0" w:color="auto"/>
                    <w:left w:val="none" w:sz="0" w:space="0" w:color="auto"/>
                    <w:bottom w:val="none" w:sz="0" w:space="0" w:color="auto"/>
                    <w:right w:val="none" w:sz="0" w:space="0" w:color="auto"/>
                  </w:divBdr>
                  <w:divsChild>
                    <w:div w:id="98497057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6859188">
                          <w:marLeft w:val="0"/>
                          <w:marRight w:val="0"/>
                          <w:marTop w:val="0"/>
                          <w:marBottom w:val="0"/>
                          <w:divBdr>
                            <w:top w:val="none" w:sz="0" w:space="0" w:color="auto"/>
                            <w:left w:val="none" w:sz="0" w:space="0" w:color="auto"/>
                            <w:bottom w:val="none" w:sz="0" w:space="0" w:color="auto"/>
                            <w:right w:val="none" w:sz="0" w:space="0" w:color="auto"/>
                          </w:divBdr>
                          <w:divsChild>
                            <w:div w:id="533151567">
                              <w:marLeft w:val="0"/>
                              <w:marRight w:val="0"/>
                              <w:marTop w:val="0"/>
                              <w:marBottom w:val="0"/>
                              <w:divBdr>
                                <w:top w:val="none" w:sz="0" w:space="0" w:color="auto"/>
                                <w:left w:val="none" w:sz="0" w:space="0" w:color="auto"/>
                                <w:bottom w:val="none" w:sz="0" w:space="0" w:color="auto"/>
                                <w:right w:val="none" w:sz="0" w:space="0" w:color="auto"/>
                              </w:divBdr>
                            </w:div>
                            <w:div w:id="16858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0382">
                  <w:marLeft w:val="0"/>
                  <w:marRight w:val="0"/>
                  <w:marTop w:val="0"/>
                  <w:marBottom w:val="0"/>
                  <w:divBdr>
                    <w:top w:val="none" w:sz="0" w:space="0" w:color="auto"/>
                    <w:left w:val="none" w:sz="0" w:space="0" w:color="auto"/>
                    <w:bottom w:val="none" w:sz="0" w:space="0" w:color="auto"/>
                    <w:right w:val="none" w:sz="0" w:space="0" w:color="auto"/>
                  </w:divBdr>
                </w:div>
              </w:divsChild>
            </w:div>
            <w:div w:id="1459254031">
              <w:marLeft w:val="0"/>
              <w:marRight w:val="0"/>
              <w:marTop w:val="0"/>
              <w:marBottom w:val="0"/>
              <w:divBdr>
                <w:top w:val="none" w:sz="0" w:space="0" w:color="auto"/>
                <w:left w:val="none" w:sz="0" w:space="0" w:color="auto"/>
                <w:bottom w:val="none" w:sz="0" w:space="0" w:color="auto"/>
                <w:right w:val="none" w:sz="0" w:space="0" w:color="auto"/>
              </w:divBdr>
              <w:divsChild>
                <w:div w:id="167451220">
                  <w:marLeft w:val="0"/>
                  <w:marRight w:val="0"/>
                  <w:marTop w:val="0"/>
                  <w:marBottom w:val="0"/>
                  <w:divBdr>
                    <w:top w:val="none" w:sz="0" w:space="0" w:color="auto"/>
                    <w:left w:val="none" w:sz="0" w:space="0" w:color="auto"/>
                    <w:bottom w:val="none" w:sz="0" w:space="0" w:color="auto"/>
                    <w:right w:val="none" w:sz="0" w:space="0" w:color="auto"/>
                  </w:divBdr>
                  <w:divsChild>
                    <w:div w:id="100940391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825001879">
                          <w:marLeft w:val="0"/>
                          <w:marRight w:val="0"/>
                          <w:marTop w:val="0"/>
                          <w:marBottom w:val="0"/>
                          <w:divBdr>
                            <w:top w:val="none" w:sz="0" w:space="0" w:color="auto"/>
                            <w:left w:val="none" w:sz="0" w:space="0" w:color="auto"/>
                            <w:bottom w:val="none" w:sz="0" w:space="0" w:color="auto"/>
                            <w:right w:val="none" w:sz="0" w:space="0" w:color="auto"/>
                          </w:divBdr>
                          <w:divsChild>
                            <w:div w:id="1585341792">
                              <w:marLeft w:val="0"/>
                              <w:marRight w:val="0"/>
                              <w:marTop w:val="0"/>
                              <w:marBottom w:val="0"/>
                              <w:divBdr>
                                <w:top w:val="none" w:sz="0" w:space="0" w:color="auto"/>
                                <w:left w:val="none" w:sz="0" w:space="0" w:color="auto"/>
                                <w:bottom w:val="none" w:sz="0" w:space="0" w:color="auto"/>
                                <w:right w:val="none" w:sz="0" w:space="0" w:color="auto"/>
                              </w:divBdr>
                            </w:div>
                            <w:div w:id="10985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2760">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206722455">
                          <w:marLeft w:val="0"/>
                          <w:marRight w:val="0"/>
                          <w:marTop w:val="0"/>
                          <w:marBottom w:val="0"/>
                          <w:divBdr>
                            <w:top w:val="none" w:sz="0" w:space="0" w:color="auto"/>
                            <w:left w:val="none" w:sz="0" w:space="0" w:color="auto"/>
                            <w:bottom w:val="none" w:sz="0" w:space="0" w:color="auto"/>
                            <w:right w:val="none" w:sz="0" w:space="0" w:color="auto"/>
                          </w:divBdr>
                          <w:divsChild>
                            <w:div w:id="2013950129">
                              <w:marLeft w:val="0"/>
                              <w:marRight w:val="0"/>
                              <w:marTop w:val="0"/>
                              <w:marBottom w:val="0"/>
                              <w:divBdr>
                                <w:top w:val="none" w:sz="0" w:space="0" w:color="auto"/>
                                <w:left w:val="none" w:sz="0" w:space="0" w:color="auto"/>
                                <w:bottom w:val="none" w:sz="0" w:space="0" w:color="auto"/>
                                <w:right w:val="none" w:sz="0" w:space="0" w:color="auto"/>
                              </w:divBdr>
                            </w:div>
                            <w:div w:id="13896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3220">
                  <w:marLeft w:val="0"/>
                  <w:marRight w:val="0"/>
                  <w:marTop w:val="0"/>
                  <w:marBottom w:val="0"/>
                  <w:divBdr>
                    <w:top w:val="none" w:sz="0" w:space="0" w:color="auto"/>
                    <w:left w:val="none" w:sz="0" w:space="0" w:color="auto"/>
                    <w:bottom w:val="none" w:sz="0" w:space="0" w:color="auto"/>
                    <w:right w:val="none" w:sz="0" w:space="0" w:color="auto"/>
                  </w:divBdr>
                </w:div>
                <w:div w:id="126318412">
                  <w:marLeft w:val="0"/>
                  <w:marRight w:val="0"/>
                  <w:marTop w:val="0"/>
                  <w:marBottom w:val="0"/>
                  <w:divBdr>
                    <w:top w:val="none" w:sz="0" w:space="0" w:color="auto"/>
                    <w:left w:val="none" w:sz="0" w:space="0" w:color="auto"/>
                    <w:bottom w:val="none" w:sz="0" w:space="0" w:color="auto"/>
                    <w:right w:val="none" w:sz="0" w:space="0" w:color="auto"/>
                  </w:divBdr>
                  <w:divsChild>
                    <w:div w:id="1132750949">
                      <w:marLeft w:val="0"/>
                      <w:marRight w:val="0"/>
                      <w:marTop w:val="0"/>
                      <w:marBottom w:val="0"/>
                      <w:divBdr>
                        <w:top w:val="none" w:sz="0" w:space="0" w:color="auto"/>
                        <w:left w:val="none" w:sz="0" w:space="0" w:color="auto"/>
                        <w:bottom w:val="none" w:sz="0" w:space="0" w:color="auto"/>
                        <w:right w:val="none" w:sz="0" w:space="0" w:color="auto"/>
                      </w:divBdr>
                    </w:div>
                    <w:div w:id="714819422">
                      <w:marLeft w:val="0"/>
                      <w:marRight w:val="0"/>
                      <w:marTop w:val="0"/>
                      <w:marBottom w:val="0"/>
                      <w:divBdr>
                        <w:top w:val="none" w:sz="0" w:space="0" w:color="auto"/>
                        <w:left w:val="none" w:sz="0" w:space="0" w:color="auto"/>
                        <w:bottom w:val="none" w:sz="0" w:space="0" w:color="auto"/>
                        <w:right w:val="none" w:sz="0" w:space="0" w:color="auto"/>
                      </w:divBdr>
                      <w:divsChild>
                        <w:div w:id="54337016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317466144">
                              <w:marLeft w:val="0"/>
                              <w:marRight w:val="0"/>
                              <w:marTop w:val="0"/>
                              <w:marBottom w:val="0"/>
                              <w:divBdr>
                                <w:top w:val="none" w:sz="0" w:space="0" w:color="auto"/>
                                <w:left w:val="none" w:sz="0" w:space="0" w:color="auto"/>
                                <w:bottom w:val="none" w:sz="0" w:space="0" w:color="auto"/>
                                <w:right w:val="none" w:sz="0" w:space="0" w:color="auto"/>
                              </w:divBdr>
                              <w:divsChild>
                                <w:div w:id="94984742">
                                  <w:marLeft w:val="0"/>
                                  <w:marRight w:val="0"/>
                                  <w:marTop w:val="0"/>
                                  <w:marBottom w:val="0"/>
                                  <w:divBdr>
                                    <w:top w:val="none" w:sz="0" w:space="0" w:color="auto"/>
                                    <w:left w:val="none" w:sz="0" w:space="0" w:color="auto"/>
                                    <w:bottom w:val="none" w:sz="0" w:space="0" w:color="auto"/>
                                    <w:right w:val="none" w:sz="0" w:space="0" w:color="auto"/>
                                  </w:divBdr>
                                </w:div>
                                <w:div w:id="1624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4973">
                      <w:marLeft w:val="0"/>
                      <w:marRight w:val="0"/>
                      <w:marTop w:val="0"/>
                      <w:marBottom w:val="0"/>
                      <w:divBdr>
                        <w:top w:val="none" w:sz="0" w:space="0" w:color="auto"/>
                        <w:left w:val="none" w:sz="0" w:space="0" w:color="auto"/>
                        <w:bottom w:val="none" w:sz="0" w:space="0" w:color="auto"/>
                        <w:right w:val="none" w:sz="0" w:space="0" w:color="auto"/>
                      </w:divBdr>
                    </w:div>
                  </w:divsChild>
                </w:div>
                <w:div w:id="1037005564">
                  <w:marLeft w:val="0"/>
                  <w:marRight w:val="0"/>
                  <w:marTop w:val="0"/>
                  <w:marBottom w:val="0"/>
                  <w:divBdr>
                    <w:top w:val="none" w:sz="0" w:space="0" w:color="auto"/>
                    <w:left w:val="none" w:sz="0" w:space="0" w:color="auto"/>
                    <w:bottom w:val="none" w:sz="0" w:space="0" w:color="auto"/>
                    <w:right w:val="none" w:sz="0" w:space="0" w:color="auto"/>
                  </w:divBdr>
                  <w:divsChild>
                    <w:div w:id="1907568427">
                      <w:marLeft w:val="0"/>
                      <w:marRight w:val="0"/>
                      <w:marTop w:val="0"/>
                      <w:marBottom w:val="0"/>
                      <w:divBdr>
                        <w:top w:val="none" w:sz="0" w:space="0" w:color="auto"/>
                        <w:left w:val="none" w:sz="0" w:space="0" w:color="auto"/>
                        <w:bottom w:val="none" w:sz="0" w:space="0" w:color="auto"/>
                        <w:right w:val="none" w:sz="0" w:space="0" w:color="auto"/>
                      </w:divBdr>
                      <w:divsChild>
                        <w:div w:id="943073175">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032415781">
                              <w:marLeft w:val="0"/>
                              <w:marRight w:val="0"/>
                              <w:marTop w:val="0"/>
                              <w:marBottom w:val="0"/>
                              <w:divBdr>
                                <w:top w:val="none" w:sz="0" w:space="0" w:color="auto"/>
                                <w:left w:val="none" w:sz="0" w:space="0" w:color="auto"/>
                                <w:bottom w:val="none" w:sz="0" w:space="0" w:color="auto"/>
                                <w:right w:val="none" w:sz="0" w:space="0" w:color="auto"/>
                              </w:divBdr>
                              <w:divsChild>
                                <w:div w:id="1003901876">
                                  <w:marLeft w:val="0"/>
                                  <w:marRight w:val="0"/>
                                  <w:marTop w:val="0"/>
                                  <w:marBottom w:val="0"/>
                                  <w:divBdr>
                                    <w:top w:val="none" w:sz="0" w:space="0" w:color="auto"/>
                                    <w:left w:val="none" w:sz="0" w:space="0" w:color="auto"/>
                                    <w:bottom w:val="none" w:sz="0" w:space="0" w:color="auto"/>
                                    <w:right w:val="none" w:sz="0" w:space="0" w:color="auto"/>
                                  </w:divBdr>
                                </w:div>
                                <w:div w:id="8962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4375">
                      <w:marLeft w:val="0"/>
                      <w:marRight w:val="0"/>
                      <w:marTop w:val="0"/>
                      <w:marBottom w:val="0"/>
                      <w:divBdr>
                        <w:top w:val="none" w:sz="0" w:space="0" w:color="auto"/>
                        <w:left w:val="none" w:sz="0" w:space="0" w:color="auto"/>
                        <w:bottom w:val="none" w:sz="0" w:space="0" w:color="auto"/>
                        <w:right w:val="none" w:sz="0" w:space="0" w:color="auto"/>
                      </w:divBdr>
                    </w:div>
                  </w:divsChild>
                </w:div>
                <w:div w:id="1728020419">
                  <w:marLeft w:val="0"/>
                  <w:marRight w:val="0"/>
                  <w:marTop w:val="0"/>
                  <w:marBottom w:val="0"/>
                  <w:divBdr>
                    <w:top w:val="none" w:sz="0" w:space="0" w:color="auto"/>
                    <w:left w:val="none" w:sz="0" w:space="0" w:color="auto"/>
                    <w:bottom w:val="none" w:sz="0" w:space="0" w:color="auto"/>
                    <w:right w:val="none" w:sz="0" w:space="0" w:color="auto"/>
                  </w:divBdr>
                </w:div>
                <w:div w:id="313417031">
                  <w:marLeft w:val="0"/>
                  <w:marRight w:val="0"/>
                  <w:marTop w:val="0"/>
                  <w:marBottom w:val="0"/>
                  <w:divBdr>
                    <w:top w:val="none" w:sz="0" w:space="0" w:color="auto"/>
                    <w:left w:val="none" w:sz="0" w:space="0" w:color="auto"/>
                    <w:bottom w:val="none" w:sz="0" w:space="0" w:color="auto"/>
                    <w:right w:val="none" w:sz="0" w:space="0" w:color="auto"/>
                  </w:divBdr>
                </w:div>
                <w:div w:id="512453383">
                  <w:marLeft w:val="0"/>
                  <w:marRight w:val="0"/>
                  <w:marTop w:val="0"/>
                  <w:marBottom w:val="0"/>
                  <w:divBdr>
                    <w:top w:val="none" w:sz="0" w:space="0" w:color="auto"/>
                    <w:left w:val="none" w:sz="0" w:space="0" w:color="auto"/>
                    <w:bottom w:val="none" w:sz="0" w:space="0" w:color="auto"/>
                    <w:right w:val="none" w:sz="0" w:space="0" w:color="auto"/>
                  </w:divBdr>
                </w:div>
                <w:div w:id="250626380">
                  <w:marLeft w:val="0"/>
                  <w:marRight w:val="0"/>
                  <w:marTop w:val="0"/>
                  <w:marBottom w:val="0"/>
                  <w:divBdr>
                    <w:top w:val="none" w:sz="0" w:space="0" w:color="auto"/>
                    <w:left w:val="none" w:sz="0" w:space="0" w:color="auto"/>
                    <w:bottom w:val="none" w:sz="0" w:space="0" w:color="auto"/>
                    <w:right w:val="none" w:sz="0" w:space="0" w:color="auto"/>
                  </w:divBdr>
                  <w:divsChild>
                    <w:div w:id="832381858">
                      <w:marLeft w:val="0"/>
                      <w:marRight w:val="0"/>
                      <w:marTop w:val="0"/>
                      <w:marBottom w:val="0"/>
                      <w:divBdr>
                        <w:top w:val="none" w:sz="0" w:space="0" w:color="auto"/>
                        <w:left w:val="none" w:sz="0" w:space="0" w:color="auto"/>
                        <w:bottom w:val="none" w:sz="0" w:space="0" w:color="auto"/>
                        <w:right w:val="none" w:sz="0" w:space="0" w:color="auto"/>
                      </w:divBdr>
                      <w:divsChild>
                        <w:div w:id="25652605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0390381">
                              <w:marLeft w:val="0"/>
                              <w:marRight w:val="0"/>
                              <w:marTop w:val="0"/>
                              <w:marBottom w:val="0"/>
                              <w:divBdr>
                                <w:top w:val="none" w:sz="0" w:space="0" w:color="auto"/>
                                <w:left w:val="none" w:sz="0" w:space="0" w:color="auto"/>
                                <w:bottom w:val="none" w:sz="0" w:space="0" w:color="auto"/>
                                <w:right w:val="none" w:sz="0" w:space="0" w:color="auto"/>
                              </w:divBdr>
                              <w:divsChild>
                                <w:div w:id="118766606">
                                  <w:marLeft w:val="0"/>
                                  <w:marRight w:val="0"/>
                                  <w:marTop w:val="0"/>
                                  <w:marBottom w:val="0"/>
                                  <w:divBdr>
                                    <w:top w:val="none" w:sz="0" w:space="0" w:color="auto"/>
                                    <w:left w:val="none" w:sz="0" w:space="0" w:color="auto"/>
                                    <w:bottom w:val="none" w:sz="0" w:space="0" w:color="auto"/>
                                    <w:right w:val="none" w:sz="0" w:space="0" w:color="auto"/>
                                  </w:divBdr>
                                </w:div>
                                <w:div w:id="2863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6508">
                      <w:marLeft w:val="0"/>
                      <w:marRight w:val="0"/>
                      <w:marTop w:val="0"/>
                      <w:marBottom w:val="0"/>
                      <w:divBdr>
                        <w:top w:val="none" w:sz="0" w:space="0" w:color="auto"/>
                        <w:left w:val="none" w:sz="0" w:space="0" w:color="auto"/>
                        <w:bottom w:val="none" w:sz="0" w:space="0" w:color="auto"/>
                        <w:right w:val="none" w:sz="0" w:space="0" w:color="auto"/>
                      </w:divBdr>
                      <w:divsChild>
                        <w:div w:id="1630280142">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94973860">
                              <w:marLeft w:val="0"/>
                              <w:marRight w:val="0"/>
                              <w:marTop w:val="0"/>
                              <w:marBottom w:val="0"/>
                              <w:divBdr>
                                <w:top w:val="none" w:sz="0" w:space="0" w:color="auto"/>
                                <w:left w:val="none" w:sz="0" w:space="0" w:color="auto"/>
                                <w:bottom w:val="none" w:sz="0" w:space="0" w:color="auto"/>
                                <w:right w:val="none" w:sz="0" w:space="0" w:color="auto"/>
                              </w:divBdr>
                              <w:divsChild>
                                <w:div w:id="13655532">
                                  <w:marLeft w:val="0"/>
                                  <w:marRight w:val="0"/>
                                  <w:marTop w:val="0"/>
                                  <w:marBottom w:val="0"/>
                                  <w:divBdr>
                                    <w:top w:val="none" w:sz="0" w:space="0" w:color="auto"/>
                                    <w:left w:val="none" w:sz="0" w:space="0" w:color="auto"/>
                                    <w:bottom w:val="none" w:sz="0" w:space="0" w:color="auto"/>
                                    <w:right w:val="none" w:sz="0" w:space="0" w:color="auto"/>
                                  </w:divBdr>
                                </w:div>
                                <w:div w:id="13625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562539">
                  <w:marLeft w:val="0"/>
                  <w:marRight w:val="0"/>
                  <w:marTop w:val="0"/>
                  <w:marBottom w:val="0"/>
                  <w:divBdr>
                    <w:top w:val="none" w:sz="0" w:space="0" w:color="auto"/>
                    <w:left w:val="none" w:sz="0" w:space="0" w:color="auto"/>
                    <w:bottom w:val="none" w:sz="0" w:space="0" w:color="auto"/>
                    <w:right w:val="none" w:sz="0" w:space="0" w:color="auto"/>
                  </w:divBdr>
                </w:div>
                <w:div w:id="439224241">
                  <w:marLeft w:val="0"/>
                  <w:marRight w:val="0"/>
                  <w:marTop w:val="0"/>
                  <w:marBottom w:val="0"/>
                  <w:divBdr>
                    <w:top w:val="none" w:sz="0" w:space="0" w:color="auto"/>
                    <w:left w:val="none" w:sz="0" w:space="0" w:color="auto"/>
                    <w:bottom w:val="none" w:sz="0" w:space="0" w:color="auto"/>
                    <w:right w:val="none" w:sz="0" w:space="0" w:color="auto"/>
                  </w:divBdr>
                  <w:divsChild>
                    <w:div w:id="1299458270">
                      <w:marLeft w:val="0"/>
                      <w:marRight w:val="0"/>
                      <w:marTop w:val="0"/>
                      <w:marBottom w:val="0"/>
                      <w:divBdr>
                        <w:top w:val="none" w:sz="0" w:space="0" w:color="auto"/>
                        <w:left w:val="none" w:sz="0" w:space="0" w:color="auto"/>
                        <w:bottom w:val="none" w:sz="0" w:space="0" w:color="auto"/>
                        <w:right w:val="none" w:sz="0" w:space="0" w:color="auto"/>
                      </w:divBdr>
                      <w:divsChild>
                        <w:div w:id="93593980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42827609">
                              <w:marLeft w:val="0"/>
                              <w:marRight w:val="0"/>
                              <w:marTop w:val="0"/>
                              <w:marBottom w:val="0"/>
                              <w:divBdr>
                                <w:top w:val="none" w:sz="0" w:space="0" w:color="auto"/>
                                <w:left w:val="none" w:sz="0" w:space="0" w:color="auto"/>
                                <w:bottom w:val="none" w:sz="0" w:space="0" w:color="auto"/>
                                <w:right w:val="none" w:sz="0" w:space="0" w:color="auto"/>
                              </w:divBdr>
                              <w:divsChild>
                                <w:div w:id="1803225891">
                                  <w:marLeft w:val="0"/>
                                  <w:marRight w:val="0"/>
                                  <w:marTop w:val="0"/>
                                  <w:marBottom w:val="0"/>
                                  <w:divBdr>
                                    <w:top w:val="none" w:sz="0" w:space="0" w:color="auto"/>
                                    <w:left w:val="none" w:sz="0" w:space="0" w:color="auto"/>
                                    <w:bottom w:val="none" w:sz="0" w:space="0" w:color="auto"/>
                                    <w:right w:val="none" w:sz="0" w:space="0" w:color="auto"/>
                                  </w:divBdr>
                                </w:div>
                                <w:div w:id="1119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1466">
                      <w:marLeft w:val="0"/>
                      <w:marRight w:val="0"/>
                      <w:marTop w:val="0"/>
                      <w:marBottom w:val="0"/>
                      <w:divBdr>
                        <w:top w:val="none" w:sz="0" w:space="0" w:color="auto"/>
                        <w:left w:val="none" w:sz="0" w:space="0" w:color="auto"/>
                        <w:bottom w:val="none" w:sz="0" w:space="0" w:color="auto"/>
                        <w:right w:val="none" w:sz="0" w:space="0" w:color="auto"/>
                      </w:divBdr>
                    </w:div>
                  </w:divsChild>
                </w:div>
                <w:div w:id="1292057600">
                  <w:marLeft w:val="0"/>
                  <w:marRight w:val="0"/>
                  <w:marTop w:val="0"/>
                  <w:marBottom w:val="0"/>
                  <w:divBdr>
                    <w:top w:val="none" w:sz="0" w:space="0" w:color="auto"/>
                    <w:left w:val="none" w:sz="0" w:space="0" w:color="auto"/>
                    <w:bottom w:val="none" w:sz="0" w:space="0" w:color="auto"/>
                    <w:right w:val="none" w:sz="0" w:space="0" w:color="auto"/>
                  </w:divBdr>
                  <w:divsChild>
                    <w:div w:id="299044186">
                      <w:marLeft w:val="0"/>
                      <w:marRight w:val="0"/>
                      <w:marTop w:val="0"/>
                      <w:marBottom w:val="0"/>
                      <w:divBdr>
                        <w:top w:val="none" w:sz="0" w:space="0" w:color="auto"/>
                        <w:left w:val="none" w:sz="0" w:space="0" w:color="auto"/>
                        <w:bottom w:val="none" w:sz="0" w:space="0" w:color="auto"/>
                        <w:right w:val="none" w:sz="0" w:space="0" w:color="auto"/>
                      </w:divBdr>
                      <w:divsChild>
                        <w:div w:id="878394996">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629096060">
                              <w:marLeft w:val="0"/>
                              <w:marRight w:val="0"/>
                              <w:marTop w:val="0"/>
                              <w:marBottom w:val="0"/>
                              <w:divBdr>
                                <w:top w:val="none" w:sz="0" w:space="0" w:color="auto"/>
                                <w:left w:val="none" w:sz="0" w:space="0" w:color="auto"/>
                                <w:bottom w:val="none" w:sz="0" w:space="0" w:color="auto"/>
                                <w:right w:val="none" w:sz="0" w:space="0" w:color="auto"/>
                              </w:divBdr>
                              <w:divsChild>
                                <w:div w:id="458501206">
                                  <w:marLeft w:val="0"/>
                                  <w:marRight w:val="0"/>
                                  <w:marTop w:val="0"/>
                                  <w:marBottom w:val="0"/>
                                  <w:divBdr>
                                    <w:top w:val="none" w:sz="0" w:space="0" w:color="auto"/>
                                    <w:left w:val="none" w:sz="0" w:space="0" w:color="auto"/>
                                    <w:bottom w:val="none" w:sz="0" w:space="0" w:color="auto"/>
                                    <w:right w:val="none" w:sz="0" w:space="0" w:color="auto"/>
                                  </w:divBdr>
                                </w:div>
                                <w:div w:id="18304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1883">
                      <w:marLeft w:val="0"/>
                      <w:marRight w:val="0"/>
                      <w:marTop w:val="0"/>
                      <w:marBottom w:val="0"/>
                      <w:divBdr>
                        <w:top w:val="none" w:sz="0" w:space="0" w:color="auto"/>
                        <w:left w:val="none" w:sz="0" w:space="0" w:color="auto"/>
                        <w:bottom w:val="none" w:sz="0" w:space="0" w:color="auto"/>
                        <w:right w:val="none" w:sz="0" w:space="0" w:color="auto"/>
                      </w:divBdr>
                    </w:div>
                    <w:div w:id="7184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646">
              <w:marLeft w:val="0"/>
              <w:marRight w:val="0"/>
              <w:marTop w:val="0"/>
              <w:marBottom w:val="0"/>
              <w:divBdr>
                <w:top w:val="none" w:sz="0" w:space="0" w:color="auto"/>
                <w:left w:val="none" w:sz="0" w:space="0" w:color="auto"/>
                <w:bottom w:val="none" w:sz="0" w:space="0" w:color="auto"/>
                <w:right w:val="none" w:sz="0" w:space="0" w:color="auto"/>
              </w:divBdr>
            </w:div>
            <w:div w:id="2113042748">
              <w:marLeft w:val="0"/>
              <w:marRight w:val="0"/>
              <w:marTop w:val="0"/>
              <w:marBottom w:val="0"/>
              <w:divBdr>
                <w:top w:val="none" w:sz="0" w:space="0" w:color="auto"/>
                <w:left w:val="none" w:sz="0" w:space="0" w:color="auto"/>
                <w:bottom w:val="none" w:sz="0" w:space="0" w:color="auto"/>
                <w:right w:val="none" w:sz="0" w:space="0" w:color="auto"/>
              </w:divBdr>
              <w:divsChild>
                <w:div w:id="54478069">
                  <w:marLeft w:val="0"/>
                  <w:marRight w:val="0"/>
                  <w:marTop w:val="0"/>
                  <w:marBottom w:val="0"/>
                  <w:divBdr>
                    <w:top w:val="none" w:sz="0" w:space="0" w:color="auto"/>
                    <w:left w:val="none" w:sz="0" w:space="0" w:color="auto"/>
                    <w:bottom w:val="none" w:sz="0" w:space="0" w:color="auto"/>
                    <w:right w:val="none" w:sz="0" w:space="0" w:color="auto"/>
                  </w:divBdr>
                </w:div>
              </w:divsChild>
            </w:div>
            <w:div w:id="410811505">
              <w:marLeft w:val="0"/>
              <w:marRight w:val="0"/>
              <w:marTop w:val="0"/>
              <w:marBottom w:val="0"/>
              <w:divBdr>
                <w:top w:val="none" w:sz="0" w:space="0" w:color="auto"/>
                <w:left w:val="none" w:sz="0" w:space="0" w:color="auto"/>
                <w:bottom w:val="none" w:sz="0" w:space="0" w:color="auto"/>
                <w:right w:val="none" w:sz="0" w:space="0" w:color="auto"/>
              </w:divBdr>
            </w:div>
            <w:div w:id="451365605">
              <w:marLeft w:val="0"/>
              <w:marRight w:val="0"/>
              <w:marTop w:val="0"/>
              <w:marBottom w:val="0"/>
              <w:divBdr>
                <w:top w:val="none" w:sz="0" w:space="0" w:color="auto"/>
                <w:left w:val="none" w:sz="0" w:space="0" w:color="auto"/>
                <w:bottom w:val="none" w:sz="0" w:space="0" w:color="auto"/>
                <w:right w:val="none" w:sz="0" w:space="0" w:color="auto"/>
              </w:divBdr>
              <w:divsChild>
                <w:div w:id="343824421">
                  <w:marLeft w:val="0"/>
                  <w:marRight w:val="0"/>
                  <w:marTop w:val="0"/>
                  <w:marBottom w:val="0"/>
                  <w:divBdr>
                    <w:top w:val="none" w:sz="0" w:space="0" w:color="auto"/>
                    <w:left w:val="none" w:sz="0" w:space="0" w:color="auto"/>
                    <w:bottom w:val="none" w:sz="0" w:space="0" w:color="auto"/>
                    <w:right w:val="none" w:sz="0" w:space="0" w:color="auto"/>
                  </w:divBdr>
                  <w:divsChild>
                    <w:div w:id="897939858">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7431770">
                          <w:marLeft w:val="0"/>
                          <w:marRight w:val="0"/>
                          <w:marTop w:val="0"/>
                          <w:marBottom w:val="0"/>
                          <w:divBdr>
                            <w:top w:val="none" w:sz="0" w:space="0" w:color="auto"/>
                            <w:left w:val="none" w:sz="0" w:space="0" w:color="auto"/>
                            <w:bottom w:val="none" w:sz="0" w:space="0" w:color="auto"/>
                            <w:right w:val="none" w:sz="0" w:space="0" w:color="auto"/>
                          </w:divBdr>
                          <w:divsChild>
                            <w:div w:id="571937079">
                              <w:marLeft w:val="0"/>
                              <w:marRight w:val="0"/>
                              <w:marTop w:val="0"/>
                              <w:marBottom w:val="0"/>
                              <w:divBdr>
                                <w:top w:val="none" w:sz="0" w:space="0" w:color="auto"/>
                                <w:left w:val="none" w:sz="0" w:space="0" w:color="auto"/>
                                <w:bottom w:val="none" w:sz="0" w:space="0" w:color="auto"/>
                                <w:right w:val="none" w:sz="0" w:space="0" w:color="auto"/>
                              </w:divBdr>
                            </w:div>
                            <w:div w:id="17835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039">
                      <w:marLeft w:val="0"/>
                      <w:marRight w:val="0"/>
                      <w:marTop w:val="0"/>
                      <w:marBottom w:val="0"/>
                      <w:divBdr>
                        <w:top w:val="none" w:sz="0" w:space="0" w:color="auto"/>
                        <w:left w:val="none" w:sz="0" w:space="0" w:color="auto"/>
                        <w:bottom w:val="none" w:sz="0" w:space="0" w:color="auto"/>
                        <w:right w:val="none" w:sz="0" w:space="0" w:color="auto"/>
                      </w:divBdr>
                      <w:divsChild>
                        <w:div w:id="48967246">
                          <w:marLeft w:val="0"/>
                          <w:marRight w:val="0"/>
                          <w:marTop w:val="0"/>
                          <w:marBottom w:val="0"/>
                          <w:divBdr>
                            <w:top w:val="none" w:sz="0" w:space="0" w:color="auto"/>
                            <w:left w:val="none" w:sz="0" w:space="0" w:color="auto"/>
                            <w:bottom w:val="none" w:sz="0" w:space="0" w:color="auto"/>
                            <w:right w:val="none" w:sz="0" w:space="0" w:color="auto"/>
                          </w:divBdr>
                        </w:div>
                        <w:div w:id="1680162474">
                          <w:marLeft w:val="0"/>
                          <w:marRight w:val="0"/>
                          <w:marTop w:val="0"/>
                          <w:marBottom w:val="0"/>
                          <w:divBdr>
                            <w:top w:val="none" w:sz="0" w:space="0" w:color="auto"/>
                            <w:left w:val="none" w:sz="0" w:space="0" w:color="auto"/>
                            <w:bottom w:val="none" w:sz="0" w:space="0" w:color="auto"/>
                            <w:right w:val="none" w:sz="0" w:space="0" w:color="auto"/>
                          </w:divBdr>
                        </w:div>
                        <w:div w:id="584147238">
                          <w:marLeft w:val="0"/>
                          <w:marRight w:val="0"/>
                          <w:marTop w:val="0"/>
                          <w:marBottom w:val="0"/>
                          <w:divBdr>
                            <w:top w:val="none" w:sz="0" w:space="0" w:color="auto"/>
                            <w:left w:val="none" w:sz="0" w:space="0" w:color="auto"/>
                            <w:bottom w:val="none" w:sz="0" w:space="0" w:color="auto"/>
                            <w:right w:val="none" w:sz="0" w:space="0" w:color="auto"/>
                          </w:divBdr>
                        </w:div>
                        <w:div w:id="339115885">
                          <w:marLeft w:val="0"/>
                          <w:marRight w:val="0"/>
                          <w:marTop w:val="0"/>
                          <w:marBottom w:val="0"/>
                          <w:divBdr>
                            <w:top w:val="none" w:sz="0" w:space="0" w:color="auto"/>
                            <w:left w:val="none" w:sz="0" w:space="0" w:color="auto"/>
                            <w:bottom w:val="none" w:sz="0" w:space="0" w:color="auto"/>
                            <w:right w:val="none" w:sz="0" w:space="0" w:color="auto"/>
                          </w:divBdr>
                        </w:div>
                        <w:div w:id="638656391">
                          <w:marLeft w:val="0"/>
                          <w:marRight w:val="0"/>
                          <w:marTop w:val="0"/>
                          <w:marBottom w:val="0"/>
                          <w:divBdr>
                            <w:top w:val="none" w:sz="0" w:space="0" w:color="auto"/>
                            <w:left w:val="none" w:sz="0" w:space="0" w:color="auto"/>
                            <w:bottom w:val="none" w:sz="0" w:space="0" w:color="auto"/>
                            <w:right w:val="none" w:sz="0" w:space="0" w:color="auto"/>
                          </w:divBdr>
                        </w:div>
                        <w:div w:id="20965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0906">
              <w:marLeft w:val="0"/>
              <w:marRight w:val="0"/>
              <w:marTop w:val="0"/>
              <w:marBottom w:val="0"/>
              <w:divBdr>
                <w:top w:val="none" w:sz="0" w:space="0" w:color="auto"/>
                <w:left w:val="none" w:sz="0" w:space="0" w:color="auto"/>
                <w:bottom w:val="none" w:sz="0" w:space="0" w:color="auto"/>
                <w:right w:val="none" w:sz="0" w:space="0" w:color="auto"/>
              </w:divBdr>
              <w:divsChild>
                <w:div w:id="1467822146">
                  <w:marLeft w:val="0"/>
                  <w:marRight w:val="0"/>
                  <w:marTop w:val="0"/>
                  <w:marBottom w:val="0"/>
                  <w:divBdr>
                    <w:top w:val="none" w:sz="0" w:space="0" w:color="auto"/>
                    <w:left w:val="none" w:sz="0" w:space="0" w:color="auto"/>
                    <w:bottom w:val="none" w:sz="0" w:space="0" w:color="auto"/>
                    <w:right w:val="none" w:sz="0" w:space="0" w:color="auto"/>
                  </w:divBdr>
                </w:div>
              </w:divsChild>
            </w:div>
            <w:div w:id="522548878">
              <w:marLeft w:val="0"/>
              <w:marRight w:val="0"/>
              <w:marTop w:val="0"/>
              <w:marBottom w:val="0"/>
              <w:divBdr>
                <w:top w:val="none" w:sz="0" w:space="0" w:color="auto"/>
                <w:left w:val="none" w:sz="0" w:space="0" w:color="auto"/>
                <w:bottom w:val="none" w:sz="0" w:space="0" w:color="auto"/>
                <w:right w:val="none" w:sz="0" w:space="0" w:color="auto"/>
              </w:divBdr>
            </w:div>
            <w:div w:id="74979127">
              <w:marLeft w:val="0"/>
              <w:marRight w:val="0"/>
              <w:marTop w:val="0"/>
              <w:marBottom w:val="0"/>
              <w:divBdr>
                <w:top w:val="none" w:sz="0" w:space="0" w:color="auto"/>
                <w:left w:val="none" w:sz="0" w:space="0" w:color="auto"/>
                <w:bottom w:val="none" w:sz="0" w:space="0" w:color="auto"/>
                <w:right w:val="none" w:sz="0" w:space="0" w:color="auto"/>
              </w:divBdr>
              <w:divsChild>
                <w:div w:id="2035302214">
                  <w:marLeft w:val="0"/>
                  <w:marRight w:val="0"/>
                  <w:marTop w:val="0"/>
                  <w:marBottom w:val="0"/>
                  <w:divBdr>
                    <w:top w:val="none" w:sz="0" w:space="0" w:color="auto"/>
                    <w:left w:val="none" w:sz="0" w:space="0" w:color="auto"/>
                    <w:bottom w:val="none" w:sz="0" w:space="0" w:color="auto"/>
                    <w:right w:val="none" w:sz="0" w:space="0" w:color="auto"/>
                  </w:divBdr>
                  <w:divsChild>
                    <w:div w:id="48461451">
                      <w:marLeft w:val="0"/>
                      <w:marRight w:val="0"/>
                      <w:marTop w:val="256"/>
                      <w:marBottom w:val="256"/>
                      <w:divBdr>
                        <w:top w:val="none" w:sz="0" w:space="0" w:color="auto"/>
                        <w:left w:val="none" w:sz="0" w:space="0" w:color="auto"/>
                        <w:bottom w:val="none" w:sz="0" w:space="0" w:color="auto"/>
                        <w:right w:val="none" w:sz="0" w:space="0" w:color="auto"/>
                      </w:divBdr>
                      <w:divsChild>
                        <w:div w:id="1799303405">
                          <w:marLeft w:val="0"/>
                          <w:marRight w:val="0"/>
                          <w:marTop w:val="0"/>
                          <w:marBottom w:val="0"/>
                          <w:divBdr>
                            <w:top w:val="none" w:sz="0" w:space="0" w:color="auto"/>
                            <w:left w:val="none" w:sz="0" w:space="0" w:color="auto"/>
                            <w:bottom w:val="none" w:sz="0" w:space="0" w:color="auto"/>
                            <w:right w:val="none" w:sz="0" w:space="0" w:color="auto"/>
                          </w:divBdr>
                          <w:divsChild>
                            <w:div w:id="866135495">
                              <w:marLeft w:val="0"/>
                              <w:marRight w:val="0"/>
                              <w:marTop w:val="0"/>
                              <w:marBottom w:val="0"/>
                              <w:divBdr>
                                <w:top w:val="none" w:sz="0" w:space="0" w:color="auto"/>
                                <w:left w:val="none" w:sz="0" w:space="0" w:color="auto"/>
                                <w:bottom w:val="none" w:sz="0" w:space="0" w:color="auto"/>
                                <w:right w:val="none" w:sz="0" w:space="0" w:color="auto"/>
                              </w:divBdr>
                              <w:divsChild>
                                <w:div w:id="1397505884">
                                  <w:marLeft w:val="0"/>
                                  <w:marRight w:val="0"/>
                                  <w:marTop w:val="0"/>
                                  <w:marBottom w:val="0"/>
                                  <w:divBdr>
                                    <w:top w:val="none" w:sz="0" w:space="0" w:color="auto"/>
                                    <w:left w:val="none" w:sz="0" w:space="0" w:color="auto"/>
                                    <w:bottom w:val="none" w:sz="0" w:space="0" w:color="auto"/>
                                    <w:right w:val="none" w:sz="0" w:space="0" w:color="auto"/>
                                  </w:divBdr>
                                </w:div>
                                <w:div w:id="1280992866">
                                  <w:marLeft w:val="0"/>
                                  <w:marRight w:val="0"/>
                                  <w:marTop w:val="0"/>
                                  <w:marBottom w:val="0"/>
                                  <w:divBdr>
                                    <w:top w:val="none" w:sz="0" w:space="0" w:color="auto"/>
                                    <w:left w:val="none" w:sz="0" w:space="0" w:color="auto"/>
                                    <w:bottom w:val="none" w:sz="0" w:space="0" w:color="auto"/>
                                    <w:right w:val="none" w:sz="0" w:space="0" w:color="auto"/>
                                  </w:divBdr>
                                </w:div>
                                <w:div w:id="314456753">
                                  <w:marLeft w:val="240"/>
                                  <w:marRight w:val="0"/>
                                  <w:marTop w:val="0"/>
                                  <w:marBottom w:val="0"/>
                                  <w:divBdr>
                                    <w:top w:val="none" w:sz="0" w:space="0" w:color="auto"/>
                                    <w:left w:val="none" w:sz="0" w:space="0" w:color="auto"/>
                                    <w:bottom w:val="none" w:sz="0" w:space="0" w:color="auto"/>
                                    <w:right w:val="none" w:sz="0" w:space="0" w:color="auto"/>
                                  </w:divBdr>
                                  <w:divsChild>
                                    <w:div w:id="17713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5946">
                              <w:marLeft w:val="0"/>
                              <w:marRight w:val="0"/>
                              <w:marTop w:val="0"/>
                              <w:marBottom w:val="0"/>
                              <w:divBdr>
                                <w:top w:val="none" w:sz="0" w:space="0" w:color="auto"/>
                                <w:left w:val="none" w:sz="0" w:space="0" w:color="auto"/>
                                <w:bottom w:val="none" w:sz="0" w:space="0" w:color="auto"/>
                                <w:right w:val="none" w:sz="0" w:space="0" w:color="auto"/>
                              </w:divBdr>
                              <w:divsChild>
                                <w:div w:id="1261377378">
                                  <w:marLeft w:val="0"/>
                                  <w:marRight w:val="0"/>
                                  <w:marTop w:val="0"/>
                                  <w:marBottom w:val="0"/>
                                  <w:divBdr>
                                    <w:top w:val="none" w:sz="0" w:space="0" w:color="auto"/>
                                    <w:left w:val="none" w:sz="0" w:space="0" w:color="auto"/>
                                    <w:bottom w:val="none" w:sz="0" w:space="0" w:color="auto"/>
                                    <w:right w:val="none" w:sz="0" w:space="0" w:color="auto"/>
                                  </w:divBdr>
                                </w:div>
                                <w:div w:id="4505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7086">
                      <w:marLeft w:val="0"/>
                      <w:marRight w:val="0"/>
                      <w:marTop w:val="0"/>
                      <w:marBottom w:val="0"/>
                      <w:divBdr>
                        <w:top w:val="none" w:sz="0" w:space="0" w:color="auto"/>
                        <w:left w:val="none" w:sz="0" w:space="0" w:color="auto"/>
                        <w:bottom w:val="none" w:sz="0" w:space="0" w:color="auto"/>
                        <w:right w:val="none" w:sz="0" w:space="0" w:color="auto"/>
                      </w:divBdr>
                      <w:divsChild>
                        <w:div w:id="1272784403">
                          <w:marLeft w:val="0"/>
                          <w:marRight w:val="0"/>
                          <w:marTop w:val="256"/>
                          <w:marBottom w:val="256"/>
                          <w:divBdr>
                            <w:top w:val="none" w:sz="0" w:space="0" w:color="auto"/>
                            <w:left w:val="none" w:sz="0" w:space="0" w:color="auto"/>
                            <w:bottom w:val="none" w:sz="0" w:space="0" w:color="auto"/>
                            <w:right w:val="none" w:sz="0" w:space="0" w:color="auto"/>
                          </w:divBdr>
                        </w:div>
                      </w:divsChild>
                    </w:div>
                    <w:div w:id="919948037">
                      <w:marLeft w:val="0"/>
                      <w:marRight w:val="0"/>
                      <w:marTop w:val="256"/>
                      <w:marBottom w:val="256"/>
                      <w:divBdr>
                        <w:top w:val="none" w:sz="0" w:space="0" w:color="auto"/>
                        <w:left w:val="none" w:sz="0" w:space="0" w:color="auto"/>
                        <w:bottom w:val="none" w:sz="0" w:space="0" w:color="auto"/>
                        <w:right w:val="none" w:sz="0" w:space="0" w:color="auto"/>
                      </w:divBdr>
                      <w:divsChild>
                        <w:div w:id="1100878821">
                          <w:marLeft w:val="0"/>
                          <w:marRight w:val="0"/>
                          <w:marTop w:val="256"/>
                          <w:marBottom w:val="256"/>
                          <w:divBdr>
                            <w:top w:val="none" w:sz="0" w:space="0" w:color="auto"/>
                            <w:left w:val="none" w:sz="0" w:space="0" w:color="auto"/>
                            <w:bottom w:val="none" w:sz="0" w:space="0" w:color="auto"/>
                            <w:right w:val="none" w:sz="0" w:space="0" w:color="auto"/>
                          </w:divBdr>
                          <w:divsChild>
                            <w:div w:id="476265488">
                              <w:marLeft w:val="0"/>
                              <w:marRight w:val="0"/>
                              <w:marTop w:val="0"/>
                              <w:marBottom w:val="0"/>
                              <w:divBdr>
                                <w:top w:val="none" w:sz="0" w:space="0" w:color="auto"/>
                                <w:left w:val="none" w:sz="0" w:space="0" w:color="auto"/>
                                <w:bottom w:val="none" w:sz="0" w:space="0" w:color="auto"/>
                                <w:right w:val="none" w:sz="0" w:space="0" w:color="auto"/>
                              </w:divBdr>
                            </w:div>
                            <w:div w:id="961955750">
                              <w:marLeft w:val="0"/>
                              <w:marRight w:val="0"/>
                              <w:marTop w:val="0"/>
                              <w:marBottom w:val="0"/>
                              <w:divBdr>
                                <w:top w:val="none" w:sz="0" w:space="0" w:color="auto"/>
                                <w:left w:val="none" w:sz="0" w:space="0" w:color="auto"/>
                                <w:bottom w:val="none" w:sz="0" w:space="0" w:color="auto"/>
                                <w:right w:val="none" w:sz="0" w:space="0" w:color="auto"/>
                              </w:divBdr>
                            </w:div>
                            <w:div w:id="1066220628">
                              <w:marLeft w:val="0"/>
                              <w:marRight w:val="0"/>
                              <w:marTop w:val="0"/>
                              <w:marBottom w:val="0"/>
                              <w:divBdr>
                                <w:top w:val="none" w:sz="0" w:space="0" w:color="auto"/>
                                <w:left w:val="none" w:sz="0" w:space="0" w:color="auto"/>
                                <w:bottom w:val="none" w:sz="0" w:space="0" w:color="auto"/>
                                <w:right w:val="none" w:sz="0" w:space="0" w:color="auto"/>
                              </w:divBdr>
                            </w:div>
                            <w:div w:id="1858538645">
                              <w:marLeft w:val="0"/>
                              <w:marRight w:val="0"/>
                              <w:marTop w:val="0"/>
                              <w:marBottom w:val="0"/>
                              <w:divBdr>
                                <w:top w:val="none" w:sz="0" w:space="0" w:color="auto"/>
                                <w:left w:val="none" w:sz="0" w:space="0" w:color="auto"/>
                                <w:bottom w:val="none" w:sz="0" w:space="0" w:color="auto"/>
                                <w:right w:val="none" w:sz="0" w:space="0" w:color="auto"/>
                              </w:divBdr>
                            </w:div>
                          </w:divsChild>
                        </w:div>
                        <w:div w:id="2040008826">
                          <w:marLeft w:val="0"/>
                          <w:marRight w:val="0"/>
                          <w:marTop w:val="256"/>
                          <w:marBottom w:val="256"/>
                          <w:divBdr>
                            <w:top w:val="none" w:sz="0" w:space="0" w:color="auto"/>
                            <w:left w:val="none" w:sz="0" w:space="0" w:color="auto"/>
                            <w:bottom w:val="none" w:sz="0" w:space="0" w:color="auto"/>
                            <w:right w:val="none" w:sz="0" w:space="0" w:color="auto"/>
                          </w:divBdr>
                          <w:divsChild>
                            <w:div w:id="1241915235">
                              <w:marLeft w:val="0"/>
                              <w:marRight w:val="0"/>
                              <w:marTop w:val="0"/>
                              <w:marBottom w:val="0"/>
                              <w:divBdr>
                                <w:top w:val="none" w:sz="0" w:space="0" w:color="auto"/>
                                <w:left w:val="none" w:sz="0" w:space="0" w:color="auto"/>
                                <w:bottom w:val="none" w:sz="0" w:space="0" w:color="auto"/>
                                <w:right w:val="none" w:sz="0" w:space="0" w:color="auto"/>
                              </w:divBdr>
                            </w:div>
                            <w:div w:id="8761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085">
                      <w:marLeft w:val="0"/>
                      <w:marRight w:val="0"/>
                      <w:marTop w:val="256"/>
                      <w:marBottom w:val="256"/>
                      <w:divBdr>
                        <w:top w:val="none" w:sz="0" w:space="0" w:color="auto"/>
                        <w:left w:val="none" w:sz="0" w:space="0" w:color="auto"/>
                        <w:bottom w:val="none" w:sz="0" w:space="0" w:color="auto"/>
                        <w:right w:val="none" w:sz="0" w:space="0" w:color="auto"/>
                      </w:divBdr>
                      <w:divsChild>
                        <w:div w:id="873351422">
                          <w:marLeft w:val="0"/>
                          <w:marRight w:val="0"/>
                          <w:marTop w:val="0"/>
                          <w:marBottom w:val="0"/>
                          <w:divBdr>
                            <w:top w:val="none" w:sz="0" w:space="0" w:color="auto"/>
                            <w:left w:val="none" w:sz="0" w:space="0" w:color="auto"/>
                            <w:bottom w:val="none" w:sz="0" w:space="0" w:color="auto"/>
                            <w:right w:val="none" w:sz="0" w:space="0" w:color="auto"/>
                          </w:divBdr>
                          <w:divsChild>
                            <w:div w:id="366296314">
                              <w:marLeft w:val="0"/>
                              <w:marRight w:val="0"/>
                              <w:marTop w:val="0"/>
                              <w:marBottom w:val="0"/>
                              <w:divBdr>
                                <w:top w:val="none" w:sz="0" w:space="0" w:color="auto"/>
                                <w:left w:val="none" w:sz="0" w:space="0" w:color="auto"/>
                                <w:bottom w:val="none" w:sz="0" w:space="0" w:color="auto"/>
                                <w:right w:val="none" w:sz="0" w:space="0" w:color="auto"/>
                              </w:divBdr>
                            </w:div>
                            <w:div w:id="1315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8059">
              <w:marLeft w:val="0"/>
              <w:marRight w:val="0"/>
              <w:marTop w:val="0"/>
              <w:marBottom w:val="0"/>
              <w:divBdr>
                <w:top w:val="none" w:sz="0" w:space="0" w:color="auto"/>
                <w:left w:val="none" w:sz="0" w:space="0" w:color="auto"/>
                <w:bottom w:val="none" w:sz="0" w:space="0" w:color="auto"/>
                <w:right w:val="none" w:sz="0" w:space="0" w:color="auto"/>
              </w:divBdr>
              <w:divsChild>
                <w:div w:id="338847487">
                  <w:marLeft w:val="0"/>
                  <w:marRight w:val="0"/>
                  <w:marTop w:val="256"/>
                  <w:marBottom w:val="256"/>
                  <w:divBdr>
                    <w:top w:val="none" w:sz="0" w:space="0" w:color="auto"/>
                    <w:left w:val="none" w:sz="0" w:space="0" w:color="auto"/>
                    <w:bottom w:val="none" w:sz="0" w:space="0" w:color="auto"/>
                    <w:right w:val="none" w:sz="0" w:space="0" w:color="auto"/>
                  </w:divBdr>
                  <w:divsChild>
                    <w:div w:id="410933806">
                      <w:marLeft w:val="0"/>
                      <w:marRight w:val="0"/>
                      <w:marTop w:val="256"/>
                      <w:marBottom w:val="256"/>
                      <w:divBdr>
                        <w:top w:val="none" w:sz="0" w:space="0" w:color="auto"/>
                        <w:left w:val="none" w:sz="0" w:space="0" w:color="auto"/>
                        <w:bottom w:val="none" w:sz="0" w:space="0" w:color="auto"/>
                        <w:right w:val="none" w:sz="0" w:space="0" w:color="auto"/>
                      </w:divBdr>
                    </w:div>
                    <w:div w:id="1284769016">
                      <w:marLeft w:val="0"/>
                      <w:marRight w:val="0"/>
                      <w:marTop w:val="256"/>
                      <w:marBottom w:val="256"/>
                      <w:divBdr>
                        <w:top w:val="none" w:sz="0" w:space="0" w:color="auto"/>
                        <w:left w:val="none" w:sz="0" w:space="0" w:color="auto"/>
                        <w:bottom w:val="none" w:sz="0" w:space="0" w:color="auto"/>
                        <w:right w:val="none" w:sz="0" w:space="0" w:color="auto"/>
                      </w:divBdr>
                    </w:div>
                    <w:div w:id="610207879">
                      <w:marLeft w:val="0"/>
                      <w:marRight w:val="0"/>
                      <w:marTop w:val="256"/>
                      <w:marBottom w:val="256"/>
                      <w:divBdr>
                        <w:top w:val="none" w:sz="0" w:space="0" w:color="auto"/>
                        <w:left w:val="none" w:sz="0" w:space="0" w:color="auto"/>
                        <w:bottom w:val="none" w:sz="0" w:space="0" w:color="auto"/>
                        <w:right w:val="none" w:sz="0" w:space="0" w:color="auto"/>
                      </w:divBdr>
                    </w:div>
                    <w:div w:id="496575152">
                      <w:marLeft w:val="0"/>
                      <w:marRight w:val="0"/>
                      <w:marTop w:val="256"/>
                      <w:marBottom w:val="256"/>
                      <w:divBdr>
                        <w:top w:val="none" w:sz="0" w:space="0" w:color="auto"/>
                        <w:left w:val="none" w:sz="0" w:space="0" w:color="auto"/>
                        <w:bottom w:val="none" w:sz="0" w:space="0" w:color="auto"/>
                        <w:right w:val="none" w:sz="0" w:space="0" w:color="auto"/>
                      </w:divBdr>
                    </w:div>
                    <w:div w:id="1522740607">
                      <w:marLeft w:val="0"/>
                      <w:marRight w:val="0"/>
                      <w:marTop w:val="256"/>
                      <w:marBottom w:val="256"/>
                      <w:divBdr>
                        <w:top w:val="none" w:sz="0" w:space="0" w:color="auto"/>
                        <w:left w:val="none" w:sz="0" w:space="0" w:color="auto"/>
                        <w:bottom w:val="none" w:sz="0" w:space="0" w:color="auto"/>
                        <w:right w:val="none" w:sz="0" w:space="0" w:color="auto"/>
                      </w:divBdr>
                    </w:div>
                    <w:div w:id="135489757">
                      <w:marLeft w:val="0"/>
                      <w:marRight w:val="0"/>
                      <w:marTop w:val="256"/>
                      <w:marBottom w:val="256"/>
                      <w:divBdr>
                        <w:top w:val="none" w:sz="0" w:space="0" w:color="auto"/>
                        <w:left w:val="none" w:sz="0" w:space="0" w:color="auto"/>
                        <w:bottom w:val="none" w:sz="0" w:space="0" w:color="auto"/>
                        <w:right w:val="none" w:sz="0" w:space="0" w:color="auto"/>
                      </w:divBdr>
                    </w:div>
                    <w:div w:id="72750666">
                      <w:marLeft w:val="0"/>
                      <w:marRight w:val="0"/>
                      <w:marTop w:val="256"/>
                      <w:marBottom w:val="256"/>
                      <w:divBdr>
                        <w:top w:val="none" w:sz="0" w:space="0" w:color="auto"/>
                        <w:left w:val="none" w:sz="0" w:space="0" w:color="auto"/>
                        <w:bottom w:val="none" w:sz="0" w:space="0" w:color="auto"/>
                        <w:right w:val="none" w:sz="0" w:space="0" w:color="auto"/>
                      </w:divBdr>
                    </w:div>
                    <w:div w:id="436684474">
                      <w:marLeft w:val="0"/>
                      <w:marRight w:val="0"/>
                      <w:marTop w:val="256"/>
                      <w:marBottom w:val="256"/>
                      <w:divBdr>
                        <w:top w:val="none" w:sz="0" w:space="0" w:color="auto"/>
                        <w:left w:val="none" w:sz="0" w:space="0" w:color="auto"/>
                        <w:bottom w:val="none" w:sz="0" w:space="0" w:color="auto"/>
                        <w:right w:val="none" w:sz="0" w:space="0" w:color="auto"/>
                      </w:divBdr>
                    </w:div>
                    <w:div w:id="1571190639">
                      <w:marLeft w:val="0"/>
                      <w:marRight w:val="0"/>
                      <w:marTop w:val="256"/>
                      <w:marBottom w:val="256"/>
                      <w:divBdr>
                        <w:top w:val="none" w:sz="0" w:space="0" w:color="auto"/>
                        <w:left w:val="none" w:sz="0" w:space="0" w:color="auto"/>
                        <w:bottom w:val="none" w:sz="0" w:space="0" w:color="auto"/>
                        <w:right w:val="none" w:sz="0" w:space="0" w:color="auto"/>
                      </w:divBdr>
                    </w:div>
                    <w:div w:id="2106802365">
                      <w:marLeft w:val="0"/>
                      <w:marRight w:val="0"/>
                      <w:marTop w:val="256"/>
                      <w:marBottom w:val="256"/>
                      <w:divBdr>
                        <w:top w:val="none" w:sz="0" w:space="0" w:color="auto"/>
                        <w:left w:val="none" w:sz="0" w:space="0" w:color="auto"/>
                        <w:bottom w:val="none" w:sz="0" w:space="0" w:color="auto"/>
                        <w:right w:val="none" w:sz="0" w:space="0" w:color="auto"/>
                      </w:divBdr>
                    </w:div>
                    <w:div w:id="873733127">
                      <w:marLeft w:val="0"/>
                      <w:marRight w:val="0"/>
                      <w:marTop w:val="256"/>
                      <w:marBottom w:val="256"/>
                      <w:divBdr>
                        <w:top w:val="none" w:sz="0" w:space="0" w:color="auto"/>
                        <w:left w:val="none" w:sz="0" w:space="0" w:color="auto"/>
                        <w:bottom w:val="none" w:sz="0" w:space="0" w:color="auto"/>
                        <w:right w:val="none" w:sz="0" w:space="0" w:color="auto"/>
                      </w:divBdr>
                    </w:div>
                    <w:div w:id="1501388138">
                      <w:marLeft w:val="0"/>
                      <w:marRight w:val="0"/>
                      <w:marTop w:val="256"/>
                      <w:marBottom w:val="256"/>
                      <w:divBdr>
                        <w:top w:val="none" w:sz="0" w:space="0" w:color="auto"/>
                        <w:left w:val="none" w:sz="0" w:space="0" w:color="auto"/>
                        <w:bottom w:val="none" w:sz="0" w:space="0" w:color="auto"/>
                        <w:right w:val="none" w:sz="0" w:space="0" w:color="auto"/>
                      </w:divBdr>
                    </w:div>
                    <w:div w:id="1079795091">
                      <w:marLeft w:val="0"/>
                      <w:marRight w:val="0"/>
                      <w:marTop w:val="256"/>
                      <w:marBottom w:val="256"/>
                      <w:divBdr>
                        <w:top w:val="none" w:sz="0" w:space="0" w:color="auto"/>
                        <w:left w:val="none" w:sz="0" w:space="0" w:color="auto"/>
                        <w:bottom w:val="none" w:sz="0" w:space="0" w:color="auto"/>
                        <w:right w:val="none" w:sz="0" w:space="0" w:color="auto"/>
                      </w:divBdr>
                    </w:div>
                    <w:div w:id="1769501778">
                      <w:marLeft w:val="0"/>
                      <w:marRight w:val="0"/>
                      <w:marTop w:val="256"/>
                      <w:marBottom w:val="256"/>
                      <w:divBdr>
                        <w:top w:val="none" w:sz="0" w:space="0" w:color="auto"/>
                        <w:left w:val="none" w:sz="0" w:space="0" w:color="auto"/>
                        <w:bottom w:val="none" w:sz="0" w:space="0" w:color="auto"/>
                        <w:right w:val="none" w:sz="0" w:space="0" w:color="auto"/>
                      </w:divBdr>
                    </w:div>
                    <w:div w:id="385493059">
                      <w:marLeft w:val="0"/>
                      <w:marRight w:val="0"/>
                      <w:marTop w:val="256"/>
                      <w:marBottom w:val="256"/>
                      <w:divBdr>
                        <w:top w:val="none" w:sz="0" w:space="0" w:color="auto"/>
                        <w:left w:val="none" w:sz="0" w:space="0" w:color="auto"/>
                        <w:bottom w:val="none" w:sz="0" w:space="0" w:color="auto"/>
                        <w:right w:val="none" w:sz="0" w:space="0" w:color="auto"/>
                      </w:divBdr>
                    </w:div>
                    <w:div w:id="368184214">
                      <w:marLeft w:val="0"/>
                      <w:marRight w:val="0"/>
                      <w:marTop w:val="256"/>
                      <w:marBottom w:val="256"/>
                      <w:divBdr>
                        <w:top w:val="none" w:sz="0" w:space="0" w:color="auto"/>
                        <w:left w:val="none" w:sz="0" w:space="0" w:color="auto"/>
                        <w:bottom w:val="none" w:sz="0" w:space="0" w:color="auto"/>
                        <w:right w:val="none" w:sz="0" w:space="0" w:color="auto"/>
                      </w:divBdr>
                    </w:div>
                    <w:div w:id="273172270">
                      <w:marLeft w:val="0"/>
                      <w:marRight w:val="0"/>
                      <w:marTop w:val="256"/>
                      <w:marBottom w:val="256"/>
                      <w:divBdr>
                        <w:top w:val="none" w:sz="0" w:space="0" w:color="auto"/>
                        <w:left w:val="none" w:sz="0" w:space="0" w:color="auto"/>
                        <w:bottom w:val="none" w:sz="0" w:space="0" w:color="auto"/>
                        <w:right w:val="none" w:sz="0" w:space="0" w:color="auto"/>
                      </w:divBdr>
                    </w:div>
                    <w:div w:id="1247888058">
                      <w:marLeft w:val="0"/>
                      <w:marRight w:val="0"/>
                      <w:marTop w:val="256"/>
                      <w:marBottom w:val="256"/>
                      <w:divBdr>
                        <w:top w:val="none" w:sz="0" w:space="0" w:color="auto"/>
                        <w:left w:val="none" w:sz="0" w:space="0" w:color="auto"/>
                        <w:bottom w:val="none" w:sz="0" w:space="0" w:color="auto"/>
                        <w:right w:val="none" w:sz="0" w:space="0" w:color="auto"/>
                      </w:divBdr>
                    </w:div>
                    <w:div w:id="1902668351">
                      <w:marLeft w:val="0"/>
                      <w:marRight w:val="0"/>
                      <w:marTop w:val="256"/>
                      <w:marBottom w:val="256"/>
                      <w:divBdr>
                        <w:top w:val="none" w:sz="0" w:space="0" w:color="auto"/>
                        <w:left w:val="none" w:sz="0" w:space="0" w:color="auto"/>
                        <w:bottom w:val="none" w:sz="0" w:space="0" w:color="auto"/>
                        <w:right w:val="none" w:sz="0" w:space="0" w:color="auto"/>
                      </w:divBdr>
                    </w:div>
                    <w:div w:id="706025220">
                      <w:marLeft w:val="0"/>
                      <w:marRight w:val="0"/>
                      <w:marTop w:val="256"/>
                      <w:marBottom w:val="256"/>
                      <w:divBdr>
                        <w:top w:val="none" w:sz="0" w:space="0" w:color="auto"/>
                        <w:left w:val="none" w:sz="0" w:space="0" w:color="auto"/>
                        <w:bottom w:val="none" w:sz="0" w:space="0" w:color="auto"/>
                        <w:right w:val="none" w:sz="0" w:space="0" w:color="auto"/>
                      </w:divBdr>
                    </w:div>
                    <w:div w:id="357703804">
                      <w:marLeft w:val="0"/>
                      <w:marRight w:val="0"/>
                      <w:marTop w:val="256"/>
                      <w:marBottom w:val="256"/>
                      <w:divBdr>
                        <w:top w:val="none" w:sz="0" w:space="0" w:color="auto"/>
                        <w:left w:val="none" w:sz="0" w:space="0" w:color="auto"/>
                        <w:bottom w:val="none" w:sz="0" w:space="0" w:color="auto"/>
                        <w:right w:val="none" w:sz="0" w:space="0" w:color="auto"/>
                      </w:divBdr>
                    </w:div>
                    <w:div w:id="962231445">
                      <w:marLeft w:val="0"/>
                      <w:marRight w:val="0"/>
                      <w:marTop w:val="256"/>
                      <w:marBottom w:val="256"/>
                      <w:divBdr>
                        <w:top w:val="none" w:sz="0" w:space="0" w:color="auto"/>
                        <w:left w:val="none" w:sz="0" w:space="0" w:color="auto"/>
                        <w:bottom w:val="none" w:sz="0" w:space="0" w:color="auto"/>
                        <w:right w:val="none" w:sz="0" w:space="0" w:color="auto"/>
                      </w:divBdr>
                    </w:div>
                    <w:div w:id="357657078">
                      <w:marLeft w:val="0"/>
                      <w:marRight w:val="0"/>
                      <w:marTop w:val="256"/>
                      <w:marBottom w:val="256"/>
                      <w:divBdr>
                        <w:top w:val="none" w:sz="0" w:space="0" w:color="auto"/>
                        <w:left w:val="none" w:sz="0" w:space="0" w:color="auto"/>
                        <w:bottom w:val="none" w:sz="0" w:space="0" w:color="auto"/>
                        <w:right w:val="none" w:sz="0" w:space="0" w:color="auto"/>
                      </w:divBdr>
                    </w:div>
                    <w:div w:id="497891431">
                      <w:marLeft w:val="0"/>
                      <w:marRight w:val="0"/>
                      <w:marTop w:val="256"/>
                      <w:marBottom w:val="256"/>
                      <w:divBdr>
                        <w:top w:val="none" w:sz="0" w:space="0" w:color="auto"/>
                        <w:left w:val="none" w:sz="0" w:space="0" w:color="auto"/>
                        <w:bottom w:val="none" w:sz="0" w:space="0" w:color="auto"/>
                        <w:right w:val="none" w:sz="0" w:space="0" w:color="auto"/>
                      </w:divBdr>
                    </w:div>
                    <w:div w:id="1359085873">
                      <w:marLeft w:val="0"/>
                      <w:marRight w:val="0"/>
                      <w:marTop w:val="256"/>
                      <w:marBottom w:val="256"/>
                      <w:divBdr>
                        <w:top w:val="none" w:sz="0" w:space="0" w:color="auto"/>
                        <w:left w:val="none" w:sz="0" w:space="0" w:color="auto"/>
                        <w:bottom w:val="none" w:sz="0" w:space="0" w:color="auto"/>
                        <w:right w:val="none" w:sz="0" w:space="0" w:color="auto"/>
                      </w:divBdr>
                    </w:div>
                    <w:div w:id="817575240">
                      <w:marLeft w:val="0"/>
                      <w:marRight w:val="0"/>
                      <w:marTop w:val="256"/>
                      <w:marBottom w:val="256"/>
                      <w:divBdr>
                        <w:top w:val="none" w:sz="0" w:space="0" w:color="auto"/>
                        <w:left w:val="none" w:sz="0" w:space="0" w:color="auto"/>
                        <w:bottom w:val="none" w:sz="0" w:space="0" w:color="auto"/>
                        <w:right w:val="none" w:sz="0" w:space="0" w:color="auto"/>
                      </w:divBdr>
                    </w:div>
                    <w:div w:id="711463010">
                      <w:marLeft w:val="0"/>
                      <w:marRight w:val="0"/>
                      <w:marTop w:val="256"/>
                      <w:marBottom w:val="256"/>
                      <w:divBdr>
                        <w:top w:val="none" w:sz="0" w:space="0" w:color="auto"/>
                        <w:left w:val="none" w:sz="0" w:space="0" w:color="auto"/>
                        <w:bottom w:val="none" w:sz="0" w:space="0" w:color="auto"/>
                        <w:right w:val="none" w:sz="0" w:space="0" w:color="auto"/>
                      </w:divBdr>
                    </w:div>
                    <w:div w:id="463812162">
                      <w:marLeft w:val="0"/>
                      <w:marRight w:val="0"/>
                      <w:marTop w:val="256"/>
                      <w:marBottom w:val="256"/>
                      <w:divBdr>
                        <w:top w:val="none" w:sz="0" w:space="0" w:color="auto"/>
                        <w:left w:val="none" w:sz="0" w:space="0" w:color="auto"/>
                        <w:bottom w:val="none" w:sz="0" w:space="0" w:color="auto"/>
                        <w:right w:val="none" w:sz="0" w:space="0" w:color="auto"/>
                      </w:divBdr>
                    </w:div>
                    <w:div w:id="374889247">
                      <w:marLeft w:val="0"/>
                      <w:marRight w:val="0"/>
                      <w:marTop w:val="256"/>
                      <w:marBottom w:val="256"/>
                      <w:divBdr>
                        <w:top w:val="none" w:sz="0" w:space="0" w:color="auto"/>
                        <w:left w:val="none" w:sz="0" w:space="0" w:color="auto"/>
                        <w:bottom w:val="none" w:sz="0" w:space="0" w:color="auto"/>
                        <w:right w:val="none" w:sz="0" w:space="0" w:color="auto"/>
                      </w:divBdr>
                    </w:div>
                    <w:div w:id="1757940203">
                      <w:marLeft w:val="0"/>
                      <w:marRight w:val="0"/>
                      <w:marTop w:val="256"/>
                      <w:marBottom w:val="256"/>
                      <w:divBdr>
                        <w:top w:val="none" w:sz="0" w:space="0" w:color="auto"/>
                        <w:left w:val="none" w:sz="0" w:space="0" w:color="auto"/>
                        <w:bottom w:val="none" w:sz="0" w:space="0" w:color="auto"/>
                        <w:right w:val="none" w:sz="0" w:space="0" w:color="auto"/>
                      </w:divBdr>
                    </w:div>
                    <w:div w:id="180166502">
                      <w:marLeft w:val="0"/>
                      <w:marRight w:val="0"/>
                      <w:marTop w:val="256"/>
                      <w:marBottom w:val="256"/>
                      <w:divBdr>
                        <w:top w:val="none" w:sz="0" w:space="0" w:color="auto"/>
                        <w:left w:val="none" w:sz="0" w:space="0" w:color="auto"/>
                        <w:bottom w:val="none" w:sz="0" w:space="0" w:color="auto"/>
                        <w:right w:val="none" w:sz="0" w:space="0" w:color="auto"/>
                      </w:divBdr>
                    </w:div>
                    <w:div w:id="391537134">
                      <w:marLeft w:val="0"/>
                      <w:marRight w:val="0"/>
                      <w:marTop w:val="256"/>
                      <w:marBottom w:val="256"/>
                      <w:divBdr>
                        <w:top w:val="none" w:sz="0" w:space="0" w:color="auto"/>
                        <w:left w:val="none" w:sz="0" w:space="0" w:color="auto"/>
                        <w:bottom w:val="none" w:sz="0" w:space="0" w:color="auto"/>
                        <w:right w:val="none" w:sz="0" w:space="0" w:color="auto"/>
                      </w:divBdr>
                    </w:div>
                    <w:div w:id="165943426">
                      <w:marLeft w:val="0"/>
                      <w:marRight w:val="0"/>
                      <w:marTop w:val="256"/>
                      <w:marBottom w:val="256"/>
                      <w:divBdr>
                        <w:top w:val="none" w:sz="0" w:space="0" w:color="auto"/>
                        <w:left w:val="none" w:sz="0" w:space="0" w:color="auto"/>
                        <w:bottom w:val="none" w:sz="0" w:space="0" w:color="auto"/>
                        <w:right w:val="none" w:sz="0" w:space="0" w:color="auto"/>
                      </w:divBdr>
                    </w:div>
                    <w:div w:id="971902686">
                      <w:marLeft w:val="0"/>
                      <w:marRight w:val="0"/>
                      <w:marTop w:val="256"/>
                      <w:marBottom w:val="256"/>
                      <w:divBdr>
                        <w:top w:val="none" w:sz="0" w:space="0" w:color="auto"/>
                        <w:left w:val="none" w:sz="0" w:space="0" w:color="auto"/>
                        <w:bottom w:val="none" w:sz="0" w:space="0" w:color="auto"/>
                        <w:right w:val="none" w:sz="0" w:space="0" w:color="auto"/>
                      </w:divBdr>
                    </w:div>
                    <w:div w:id="1994985391">
                      <w:marLeft w:val="0"/>
                      <w:marRight w:val="0"/>
                      <w:marTop w:val="256"/>
                      <w:marBottom w:val="256"/>
                      <w:divBdr>
                        <w:top w:val="none" w:sz="0" w:space="0" w:color="auto"/>
                        <w:left w:val="none" w:sz="0" w:space="0" w:color="auto"/>
                        <w:bottom w:val="none" w:sz="0" w:space="0" w:color="auto"/>
                        <w:right w:val="none" w:sz="0" w:space="0" w:color="auto"/>
                      </w:divBdr>
                    </w:div>
                    <w:div w:id="1169634792">
                      <w:marLeft w:val="0"/>
                      <w:marRight w:val="0"/>
                      <w:marTop w:val="256"/>
                      <w:marBottom w:val="256"/>
                      <w:divBdr>
                        <w:top w:val="none" w:sz="0" w:space="0" w:color="auto"/>
                        <w:left w:val="none" w:sz="0" w:space="0" w:color="auto"/>
                        <w:bottom w:val="none" w:sz="0" w:space="0" w:color="auto"/>
                        <w:right w:val="none" w:sz="0" w:space="0" w:color="auto"/>
                      </w:divBdr>
                    </w:div>
                    <w:div w:id="737366918">
                      <w:marLeft w:val="0"/>
                      <w:marRight w:val="0"/>
                      <w:marTop w:val="256"/>
                      <w:marBottom w:val="256"/>
                      <w:divBdr>
                        <w:top w:val="none" w:sz="0" w:space="0" w:color="auto"/>
                        <w:left w:val="none" w:sz="0" w:space="0" w:color="auto"/>
                        <w:bottom w:val="none" w:sz="0" w:space="0" w:color="auto"/>
                        <w:right w:val="none" w:sz="0" w:space="0" w:color="auto"/>
                      </w:divBdr>
                    </w:div>
                    <w:div w:id="1538351566">
                      <w:marLeft w:val="0"/>
                      <w:marRight w:val="0"/>
                      <w:marTop w:val="256"/>
                      <w:marBottom w:val="256"/>
                      <w:divBdr>
                        <w:top w:val="none" w:sz="0" w:space="0" w:color="auto"/>
                        <w:left w:val="none" w:sz="0" w:space="0" w:color="auto"/>
                        <w:bottom w:val="none" w:sz="0" w:space="0" w:color="auto"/>
                        <w:right w:val="none" w:sz="0" w:space="0" w:color="auto"/>
                      </w:divBdr>
                    </w:div>
                    <w:div w:id="839660084">
                      <w:marLeft w:val="0"/>
                      <w:marRight w:val="0"/>
                      <w:marTop w:val="256"/>
                      <w:marBottom w:val="256"/>
                      <w:divBdr>
                        <w:top w:val="none" w:sz="0" w:space="0" w:color="auto"/>
                        <w:left w:val="none" w:sz="0" w:space="0" w:color="auto"/>
                        <w:bottom w:val="none" w:sz="0" w:space="0" w:color="auto"/>
                        <w:right w:val="none" w:sz="0" w:space="0" w:color="auto"/>
                      </w:divBdr>
                    </w:div>
                    <w:div w:id="200291633">
                      <w:marLeft w:val="0"/>
                      <w:marRight w:val="0"/>
                      <w:marTop w:val="256"/>
                      <w:marBottom w:val="256"/>
                      <w:divBdr>
                        <w:top w:val="none" w:sz="0" w:space="0" w:color="auto"/>
                        <w:left w:val="none" w:sz="0" w:space="0" w:color="auto"/>
                        <w:bottom w:val="none" w:sz="0" w:space="0" w:color="auto"/>
                        <w:right w:val="none" w:sz="0" w:space="0" w:color="auto"/>
                      </w:divBdr>
                    </w:div>
                    <w:div w:id="960305168">
                      <w:marLeft w:val="0"/>
                      <w:marRight w:val="0"/>
                      <w:marTop w:val="256"/>
                      <w:marBottom w:val="256"/>
                      <w:divBdr>
                        <w:top w:val="none" w:sz="0" w:space="0" w:color="auto"/>
                        <w:left w:val="none" w:sz="0" w:space="0" w:color="auto"/>
                        <w:bottom w:val="none" w:sz="0" w:space="0" w:color="auto"/>
                        <w:right w:val="none" w:sz="0" w:space="0" w:color="auto"/>
                      </w:divBdr>
                    </w:div>
                    <w:div w:id="698119036">
                      <w:marLeft w:val="0"/>
                      <w:marRight w:val="0"/>
                      <w:marTop w:val="256"/>
                      <w:marBottom w:val="256"/>
                      <w:divBdr>
                        <w:top w:val="none" w:sz="0" w:space="0" w:color="auto"/>
                        <w:left w:val="none" w:sz="0" w:space="0" w:color="auto"/>
                        <w:bottom w:val="none" w:sz="0" w:space="0" w:color="auto"/>
                        <w:right w:val="none" w:sz="0" w:space="0" w:color="auto"/>
                      </w:divBdr>
                    </w:div>
                    <w:div w:id="31151374">
                      <w:marLeft w:val="0"/>
                      <w:marRight w:val="0"/>
                      <w:marTop w:val="256"/>
                      <w:marBottom w:val="256"/>
                      <w:divBdr>
                        <w:top w:val="none" w:sz="0" w:space="0" w:color="auto"/>
                        <w:left w:val="none" w:sz="0" w:space="0" w:color="auto"/>
                        <w:bottom w:val="none" w:sz="0" w:space="0" w:color="auto"/>
                        <w:right w:val="none" w:sz="0" w:space="0" w:color="auto"/>
                      </w:divBdr>
                    </w:div>
                    <w:div w:id="327052852">
                      <w:marLeft w:val="0"/>
                      <w:marRight w:val="0"/>
                      <w:marTop w:val="256"/>
                      <w:marBottom w:val="256"/>
                      <w:divBdr>
                        <w:top w:val="none" w:sz="0" w:space="0" w:color="auto"/>
                        <w:left w:val="none" w:sz="0" w:space="0" w:color="auto"/>
                        <w:bottom w:val="none" w:sz="0" w:space="0" w:color="auto"/>
                        <w:right w:val="none" w:sz="0" w:space="0" w:color="auto"/>
                      </w:divBdr>
                    </w:div>
                    <w:div w:id="1706444067">
                      <w:marLeft w:val="0"/>
                      <w:marRight w:val="0"/>
                      <w:marTop w:val="256"/>
                      <w:marBottom w:val="256"/>
                      <w:divBdr>
                        <w:top w:val="none" w:sz="0" w:space="0" w:color="auto"/>
                        <w:left w:val="none" w:sz="0" w:space="0" w:color="auto"/>
                        <w:bottom w:val="none" w:sz="0" w:space="0" w:color="auto"/>
                        <w:right w:val="none" w:sz="0" w:space="0" w:color="auto"/>
                      </w:divBdr>
                    </w:div>
                    <w:div w:id="1698382625">
                      <w:marLeft w:val="0"/>
                      <w:marRight w:val="0"/>
                      <w:marTop w:val="256"/>
                      <w:marBottom w:val="256"/>
                      <w:divBdr>
                        <w:top w:val="none" w:sz="0" w:space="0" w:color="auto"/>
                        <w:left w:val="none" w:sz="0" w:space="0" w:color="auto"/>
                        <w:bottom w:val="none" w:sz="0" w:space="0" w:color="auto"/>
                        <w:right w:val="none" w:sz="0" w:space="0" w:color="auto"/>
                      </w:divBdr>
                    </w:div>
                    <w:div w:id="1871066344">
                      <w:marLeft w:val="0"/>
                      <w:marRight w:val="0"/>
                      <w:marTop w:val="256"/>
                      <w:marBottom w:val="256"/>
                      <w:divBdr>
                        <w:top w:val="none" w:sz="0" w:space="0" w:color="auto"/>
                        <w:left w:val="none" w:sz="0" w:space="0" w:color="auto"/>
                        <w:bottom w:val="none" w:sz="0" w:space="0" w:color="auto"/>
                        <w:right w:val="none" w:sz="0" w:space="0" w:color="auto"/>
                      </w:divBdr>
                    </w:div>
                    <w:div w:id="1164473855">
                      <w:marLeft w:val="0"/>
                      <w:marRight w:val="0"/>
                      <w:marTop w:val="256"/>
                      <w:marBottom w:val="256"/>
                      <w:divBdr>
                        <w:top w:val="none" w:sz="0" w:space="0" w:color="auto"/>
                        <w:left w:val="none" w:sz="0" w:space="0" w:color="auto"/>
                        <w:bottom w:val="none" w:sz="0" w:space="0" w:color="auto"/>
                        <w:right w:val="none" w:sz="0" w:space="0" w:color="auto"/>
                      </w:divBdr>
                    </w:div>
                    <w:div w:id="1717002044">
                      <w:marLeft w:val="0"/>
                      <w:marRight w:val="0"/>
                      <w:marTop w:val="256"/>
                      <w:marBottom w:val="256"/>
                      <w:divBdr>
                        <w:top w:val="none" w:sz="0" w:space="0" w:color="auto"/>
                        <w:left w:val="none" w:sz="0" w:space="0" w:color="auto"/>
                        <w:bottom w:val="none" w:sz="0" w:space="0" w:color="auto"/>
                        <w:right w:val="none" w:sz="0" w:space="0" w:color="auto"/>
                      </w:divBdr>
                    </w:div>
                    <w:div w:id="869487346">
                      <w:marLeft w:val="0"/>
                      <w:marRight w:val="0"/>
                      <w:marTop w:val="256"/>
                      <w:marBottom w:val="256"/>
                      <w:divBdr>
                        <w:top w:val="none" w:sz="0" w:space="0" w:color="auto"/>
                        <w:left w:val="none" w:sz="0" w:space="0" w:color="auto"/>
                        <w:bottom w:val="none" w:sz="0" w:space="0" w:color="auto"/>
                        <w:right w:val="none" w:sz="0" w:space="0" w:color="auto"/>
                      </w:divBdr>
                    </w:div>
                    <w:div w:id="853224076">
                      <w:marLeft w:val="0"/>
                      <w:marRight w:val="0"/>
                      <w:marTop w:val="256"/>
                      <w:marBottom w:val="256"/>
                      <w:divBdr>
                        <w:top w:val="none" w:sz="0" w:space="0" w:color="auto"/>
                        <w:left w:val="none" w:sz="0" w:space="0" w:color="auto"/>
                        <w:bottom w:val="none" w:sz="0" w:space="0" w:color="auto"/>
                        <w:right w:val="none" w:sz="0" w:space="0" w:color="auto"/>
                      </w:divBdr>
                    </w:div>
                    <w:div w:id="1391685673">
                      <w:marLeft w:val="0"/>
                      <w:marRight w:val="0"/>
                      <w:marTop w:val="256"/>
                      <w:marBottom w:val="256"/>
                      <w:divBdr>
                        <w:top w:val="none" w:sz="0" w:space="0" w:color="auto"/>
                        <w:left w:val="none" w:sz="0" w:space="0" w:color="auto"/>
                        <w:bottom w:val="none" w:sz="0" w:space="0" w:color="auto"/>
                        <w:right w:val="none" w:sz="0" w:space="0" w:color="auto"/>
                      </w:divBdr>
                    </w:div>
                    <w:div w:id="2054885726">
                      <w:marLeft w:val="0"/>
                      <w:marRight w:val="0"/>
                      <w:marTop w:val="256"/>
                      <w:marBottom w:val="256"/>
                      <w:divBdr>
                        <w:top w:val="none" w:sz="0" w:space="0" w:color="auto"/>
                        <w:left w:val="none" w:sz="0" w:space="0" w:color="auto"/>
                        <w:bottom w:val="none" w:sz="0" w:space="0" w:color="auto"/>
                        <w:right w:val="none" w:sz="0" w:space="0" w:color="auto"/>
                      </w:divBdr>
                    </w:div>
                    <w:div w:id="1622497174">
                      <w:marLeft w:val="0"/>
                      <w:marRight w:val="0"/>
                      <w:marTop w:val="256"/>
                      <w:marBottom w:val="256"/>
                      <w:divBdr>
                        <w:top w:val="none" w:sz="0" w:space="0" w:color="auto"/>
                        <w:left w:val="none" w:sz="0" w:space="0" w:color="auto"/>
                        <w:bottom w:val="none" w:sz="0" w:space="0" w:color="auto"/>
                        <w:right w:val="none" w:sz="0" w:space="0" w:color="auto"/>
                      </w:divBdr>
                    </w:div>
                    <w:div w:id="1000543257">
                      <w:marLeft w:val="0"/>
                      <w:marRight w:val="0"/>
                      <w:marTop w:val="256"/>
                      <w:marBottom w:val="256"/>
                      <w:divBdr>
                        <w:top w:val="none" w:sz="0" w:space="0" w:color="auto"/>
                        <w:left w:val="none" w:sz="0" w:space="0" w:color="auto"/>
                        <w:bottom w:val="none" w:sz="0" w:space="0" w:color="auto"/>
                        <w:right w:val="none" w:sz="0" w:space="0" w:color="auto"/>
                      </w:divBdr>
                    </w:div>
                    <w:div w:id="337580643">
                      <w:marLeft w:val="0"/>
                      <w:marRight w:val="0"/>
                      <w:marTop w:val="256"/>
                      <w:marBottom w:val="256"/>
                      <w:divBdr>
                        <w:top w:val="none" w:sz="0" w:space="0" w:color="auto"/>
                        <w:left w:val="none" w:sz="0" w:space="0" w:color="auto"/>
                        <w:bottom w:val="none" w:sz="0" w:space="0" w:color="auto"/>
                        <w:right w:val="none" w:sz="0" w:space="0" w:color="auto"/>
                      </w:divBdr>
                    </w:div>
                    <w:div w:id="1874414856">
                      <w:marLeft w:val="0"/>
                      <w:marRight w:val="0"/>
                      <w:marTop w:val="256"/>
                      <w:marBottom w:val="256"/>
                      <w:divBdr>
                        <w:top w:val="none" w:sz="0" w:space="0" w:color="auto"/>
                        <w:left w:val="none" w:sz="0" w:space="0" w:color="auto"/>
                        <w:bottom w:val="none" w:sz="0" w:space="0" w:color="auto"/>
                        <w:right w:val="none" w:sz="0" w:space="0" w:color="auto"/>
                      </w:divBdr>
                    </w:div>
                    <w:div w:id="1522426318">
                      <w:marLeft w:val="0"/>
                      <w:marRight w:val="0"/>
                      <w:marTop w:val="256"/>
                      <w:marBottom w:val="256"/>
                      <w:divBdr>
                        <w:top w:val="none" w:sz="0" w:space="0" w:color="auto"/>
                        <w:left w:val="none" w:sz="0" w:space="0" w:color="auto"/>
                        <w:bottom w:val="none" w:sz="0" w:space="0" w:color="auto"/>
                        <w:right w:val="none" w:sz="0" w:space="0" w:color="auto"/>
                      </w:divBdr>
                    </w:div>
                    <w:div w:id="1370640184">
                      <w:marLeft w:val="0"/>
                      <w:marRight w:val="0"/>
                      <w:marTop w:val="256"/>
                      <w:marBottom w:val="256"/>
                      <w:divBdr>
                        <w:top w:val="none" w:sz="0" w:space="0" w:color="auto"/>
                        <w:left w:val="none" w:sz="0" w:space="0" w:color="auto"/>
                        <w:bottom w:val="none" w:sz="0" w:space="0" w:color="auto"/>
                        <w:right w:val="none" w:sz="0" w:space="0" w:color="auto"/>
                      </w:divBdr>
                    </w:div>
                    <w:div w:id="951328588">
                      <w:marLeft w:val="0"/>
                      <w:marRight w:val="0"/>
                      <w:marTop w:val="256"/>
                      <w:marBottom w:val="256"/>
                      <w:divBdr>
                        <w:top w:val="none" w:sz="0" w:space="0" w:color="auto"/>
                        <w:left w:val="none" w:sz="0" w:space="0" w:color="auto"/>
                        <w:bottom w:val="none" w:sz="0" w:space="0" w:color="auto"/>
                        <w:right w:val="none" w:sz="0" w:space="0" w:color="auto"/>
                      </w:divBdr>
                    </w:div>
                    <w:div w:id="1000156899">
                      <w:marLeft w:val="0"/>
                      <w:marRight w:val="0"/>
                      <w:marTop w:val="256"/>
                      <w:marBottom w:val="256"/>
                      <w:divBdr>
                        <w:top w:val="none" w:sz="0" w:space="0" w:color="auto"/>
                        <w:left w:val="none" w:sz="0" w:space="0" w:color="auto"/>
                        <w:bottom w:val="none" w:sz="0" w:space="0" w:color="auto"/>
                        <w:right w:val="none" w:sz="0" w:space="0" w:color="auto"/>
                      </w:divBdr>
                    </w:div>
                    <w:div w:id="1346404331">
                      <w:marLeft w:val="0"/>
                      <w:marRight w:val="0"/>
                      <w:marTop w:val="256"/>
                      <w:marBottom w:val="256"/>
                      <w:divBdr>
                        <w:top w:val="none" w:sz="0" w:space="0" w:color="auto"/>
                        <w:left w:val="none" w:sz="0" w:space="0" w:color="auto"/>
                        <w:bottom w:val="none" w:sz="0" w:space="0" w:color="auto"/>
                        <w:right w:val="none" w:sz="0" w:space="0" w:color="auto"/>
                      </w:divBdr>
                    </w:div>
                    <w:div w:id="454645473">
                      <w:marLeft w:val="0"/>
                      <w:marRight w:val="0"/>
                      <w:marTop w:val="256"/>
                      <w:marBottom w:val="256"/>
                      <w:divBdr>
                        <w:top w:val="none" w:sz="0" w:space="0" w:color="auto"/>
                        <w:left w:val="none" w:sz="0" w:space="0" w:color="auto"/>
                        <w:bottom w:val="none" w:sz="0" w:space="0" w:color="auto"/>
                        <w:right w:val="none" w:sz="0" w:space="0" w:color="auto"/>
                      </w:divBdr>
                    </w:div>
                    <w:div w:id="654996707">
                      <w:marLeft w:val="0"/>
                      <w:marRight w:val="0"/>
                      <w:marTop w:val="256"/>
                      <w:marBottom w:val="256"/>
                      <w:divBdr>
                        <w:top w:val="none" w:sz="0" w:space="0" w:color="auto"/>
                        <w:left w:val="none" w:sz="0" w:space="0" w:color="auto"/>
                        <w:bottom w:val="none" w:sz="0" w:space="0" w:color="auto"/>
                        <w:right w:val="none" w:sz="0" w:space="0" w:color="auto"/>
                      </w:divBdr>
                    </w:div>
                    <w:div w:id="1515458567">
                      <w:marLeft w:val="0"/>
                      <w:marRight w:val="0"/>
                      <w:marTop w:val="256"/>
                      <w:marBottom w:val="256"/>
                      <w:divBdr>
                        <w:top w:val="none" w:sz="0" w:space="0" w:color="auto"/>
                        <w:left w:val="none" w:sz="0" w:space="0" w:color="auto"/>
                        <w:bottom w:val="none" w:sz="0" w:space="0" w:color="auto"/>
                        <w:right w:val="none" w:sz="0" w:space="0" w:color="auto"/>
                      </w:divBdr>
                    </w:div>
                    <w:div w:id="1958027405">
                      <w:marLeft w:val="0"/>
                      <w:marRight w:val="0"/>
                      <w:marTop w:val="256"/>
                      <w:marBottom w:val="256"/>
                      <w:divBdr>
                        <w:top w:val="none" w:sz="0" w:space="0" w:color="auto"/>
                        <w:left w:val="none" w:sz="0" w:space="0" w:color="auto"/>
                        <w:bottom w:val="none" w:sz="0" w:space="0" w:color="auto"/>
                        <w:right w:val="none" w:sz="0" w:space="0" w:color="auto"/>
                      </w:divBdr>
                    </w:div>
                    <w:div w:id="1574047446">
                      <w:marLeft w:val="0"/>
                      <w:marRight w:val="0"/>
                      <w:marTop w:val="256"/>
                      <w:marBottom w:val="256"/>
                      <w:divBdr>
                        <w:top w:val="none" w:sz="0" w:space="0" w:color="auto"/>
                        <w:left w:val="none" w:sz="0" w:space="0" w:color="auto"/>
                        <w:bottom w:val="none" w:sz="0" w:space="0" w:color="auto"/>
                        <w:right w:val="none" w:sz="0" w:space="0" w:color="auto"/>
                      </w:divBdr>
                    </w:div>
                    <w:div w:id="700282403">
                      <w:marLeft w:val="0"/>
                      <w:marRight w:val="0"/>
                      <w:marTop w:val="256"/>
                      <w:marBottom w:val="256"/>
                      <w:divBdr>
                        <w:top w:val="none" w:sz="0" w:space="0" w:color="auto"/>
                        <w:left w:val="none" w:sz="0" w:space="0" w:color="auto"/>
                        <w:bottom w:val="none" w:sz="0" w:space="0" w:color="auto"/>
                        <w:right w:val="none" w:sz="0" w:space="0" w:color="auto"/>
                      </w:divBdr>
                    </w:div>
                    <w:div w:id="1452283307">
                      <w:marLeft w:val="0"/>
                      <w:marRight w:val="0"/>
                      <w:marTop w:val="256"/>
                      <w:marBottom w:val="256"/>
                      <w:divBdr>
                        <w:top w:val="none" w:sz="0" w:space="0" w:color="auto"/>
                        <w:left w:val="none" w:sz="0" w:space="0" w:color="auto"/>
                        <w:bottom w:val="none" w:sz="0" w:space="0" w:color="auto"/>
                        <w:right w:val="none" w:sz="0" w:space="0" w:color="auto"/>
                      </w:divBdr>
                    </w:div>
                    <w:div w:id="1580287736">
                      <w:marLeft w:val="0"/>
                      <w:marRight w:val="0"/>
                      <w:marTop w:val="256"/>
                      <w:marBottom w:val="256"/>
                      <w:divBdr>
                        <w:top w:val="none" w:sz="0" w:space="0" w:color="auto"/>
                        <w:left w:val="none" w:sz="0" w:space="0" w:color="auto"/>
                        <w:bottom w:val="none" w:sz="0" w:space="0" w:color="auto"/>
                        <w:right w:val="none" w:sz="0" w:space="0" w:color="auto"/>
                      </w:divBdr>
                    </w:div>
                    <w:div w:id="1066149658">
                      <w:marLeft w:val="0"/>
                      <w:marRight w:val="0"/>
                      <w:marTop w:val="256"/>
                      <w:marBottom w:val="256"/>
                      <w:divBdr>
                        <w:top w:val="none" w:sz="0" w:space="0" w:color="auto"/>
                        <w:left w:val="none" w:sz="0" w:space="0" w:color="auto"/>
                        <w:bottom w:val="none" w:sz="0" w:space="0" w:color="auto"/>
                        <w:right w:val="none" w:sz="0" w:space="0" w:color="auto"/>
                      </w:divBdr>
                    </w:div>
                    <w:div w:id="327251331">
                      <w:marLeft w:val="0"/>
                      <w:marRight w:val="0"/>
                      <w:marTop w:val="256"/>
                      <w:marBottom w:val="256"/>
                      <w:divBdr>
                        <w:top w:val="none" w:sz="0" w:space="0" w:color="auto"/>
                        <w:left w:val="none" w:sz="0" w:space="0" w:color="auto"/>
                        <w:bottom w:val="none" w:sz="0" w:space="0" w:color="auto"/>
                        <w:right w:val="none" w:sz="0" w:space="0" w:color="auto"/>
                      </w:divBdr>
                    </w:div>
                    <w:div w:id="985547695">
                      <w:marLeft w:val="0"/>
                      <w:marRight w:val="0"/>
                      <w:marTop w:val="256"/>
                      <w:marBottom w:val="256"/>
                      <w:divBdr>
                        <w:top w:val="none" w:sz="0" w:space="0" w:color="auto"/>
                        <w:left w:val="none" w:sz="0" w:space="0" w:color="auto"/>
                        <w:bottom w:val="none" w:sz="0" w:space="0" w:color="auto"/>
                        <w:right w:val="none" w:sz="0" w:space="0" w:color="auto"/>
                      </w:divBdr>
                    </w:div>
                    <w:div w:id="953436739">
                      <w:marLeft w:val="0"/>
                      <w:marRight w:val="0"/>
                      <w:marTop w:val="256"/>
                      <w:marBottom w:val="256"/>
                      <w:divBdr>
                        <w:top w:val="none" w:sz="0" w:space="0" w:color="auto"/>
                        <w:left w:val="none" w:sz="0" w:space="0" w:color="auto"/>
                        <w:bottom w:val="none" w:sz="0" w:space="0" w:color="auto"/>
                        <w:right w:val="none" w:sz="0" w:space="0" w:color="auto"/>
                      </w:divBdr>
                    </w:div>
                    <w:div w:id="159463436">
                      <w:marLeft w:val="0"/>
                      <w:marRight w:val="0"/>
                      <w:marTop w:val="256"/>
                      <w:marBottom w:val="256"/>
                      <w:divBdr>
                        <w:top w:val="none" w:sz="0" w:space="0" w:color="auto"/>
                        <w:left w:val="none" w:sz="0" w:space="0" w:color="auto"/>
                        <w:bottom w:val="none" w:sz="0" w:space="0" w:color="auto"/>
                        <w:right w:val="none" w:sz="0" w:space="0" w:color="auto"/>
                      </w:divBdr>
                    </w:div>
                    <w:div w:id="795759507">
                      <w:marLeft w:val="0"/>
                      <w:marRight w:val="0"/>
                      <w:marTop w:val="256"/>
                      <w:marBottom w:val="256"/>
                      <w:divBdr>
                        <w:top w:val="none" w:sz="0" w:space="0" w:color="auto"/>
                        <w:left w:val="none" w:sz="0" w:space="0" w:color="auto"/>
                        <w:bottom w:val="none" w:sz="0" w:space="0" w:color="auto"/>
                        <w:right w:val="none" w:sz="0" w:space="0" w:color="auto"/>
                      </w:divBdr>
                    </w:div>
                    <w:div w:id="1499226629">
                      <w:marLeft w:val="0"/>
                      <w:marRight w:val="0"/>
                      <w:marTop w:val="256"/>
                      <w:marBottom w:val="256"/>
                      <w:divBdr>
                        <w:top w:val="none" w:sz="0" w:space="0" w:color="auto"/>
                        <w:left w:val="none" w:sz="0" w:space="0" w:color="auto"/>
                        <w:bottom w:val="none" w:sz="0" w:space="0" w:color="auto"/>
                        <w:right w:val="none" w:sz="0" w:space="0" w:color="auto"/>
                      </w:divBdr>
                    </w:div>
                    <w:div w:id="1903175632">
                      <w:marLeft w:val="0"/>
                      <w:marRight w:val="0"/>
                      <w:marTop w:val="256"/>
                      <w:marBottom w:val="256"/>
                      <w:divBdr>
                        <w:top w:val="none" w:sz="0" w:space="0" w:color="auto"/>
                        <w:left w:val="none" w:sz="0" w:space="0" w:color="auto"/>
                        <w:bottom w:val="none" w:sz="0" w:space="0" w:color="auto"/>
                        <w:right w:val="none" w:sz="0" w:space="0" w:color="auto"/>
                      </w:divBdr>
                    </w:div>
                    <w:div w:id="1702633089">
                      <w:marLeft w:val="0"/>
                      <w:marRight w:val="0"/>
                      <w:marTop w:val="256"/>
                      <w:marBottom w:val="256"/>
                      <w:divBdr>
                        <w:top w:val="none" w:sz="0" w:space="0" w:color="auto"/>
                        <w:left w:val="none" w:sz="0" w:space="0" w:color="auto"/>
                        <w:bottom w:val="none" w:sz="0" w:space="0" w:color="auto"/>
                        <w:right w:val="none" w:sz="0" w:space="0" w:color="auto"/>
                      </w:divBdr>
                    </w:div>
                    <w:div w:id="1322730103">
                      <w:marLeft w:val="0"/>
                      <w:marRight w:val="0"/>
                      <w:marTop w:val="256"/>
                      <w:marBottom w:val="256"/>
                      <w:divBdr>
                        <w:top w:val="none" w:sz="0" w:space="0" w:color="auto"/>
                        <w:left w:val="none" w:sz="0" w:space="0" w:color="auto"/>
                        <w:bottom w:val="none" w:sz="0" w:space="0" w:color="auto"/>
                        <w:right w:val="none" w:sz="0" w:space="0" w:color="auto"/>
                      </w:divBdr>
                    </w:div>
                    <w:div w:id="1623268994">
                      <w:marLeft w:val="0"/>
                      <w:marRight w:val="0"/>
                      <w:marTop w:val="256"/>
                      <w:marBottom w:val="256"/>
                      <w:divBdr>
                        <w:top w:val="none" w:sz="0" w:space="0" w:color="auto"/>
                        <w:left w:val="none" w:sz="0" w:space="0" w:color="auto"/>
                        <w:bottom w:val="none" w:sz="0" w:space="0" w:color="auto"/>
                        <w:right w:val="none" w:sz="0" w:space="0" w:color="auto"/>
                      </w:divBdr>
                    </w:div>
                    <w:div w:id="2133550983">
                      <w:marLeft w:val="0"/>
                      <w:marRight w:val="0"/>
                      <w:marTop w:val="256"/>
                      <w:marBottom w:val="256"/>
                      <w:divBdr>
                        <w:top w:val="none" w:sz="0" w:space="0" w:color="auto"/>
                        <w:left w:val="none" w:sz="0" w:space="0" w:color="auto"/>
                        <w:bottom w:val="none" w:sz="0" w:space="0" w:color="auto"/>
                        <w:right w:val="none" w:sz="0" w:space="0" w:color="auto"/>
                      </w:divBdr>
                    </w:div>
                    <w:div w:id="1004095270">
                      <w:marLeft w:val="0"/>
                      <w:marRight w:val="0"/>
                      <w:marTop w:val="256"/>
                      <w:marBottom w:val="256"/>
                      <w:divBdr>
                        <w:top w:val="none" w:sz="0" w:space="0" w:color="auto"/>
                        <w:left w:val="none" w:sz="0" w:space="0" w:color="auto"/>
                        <w:bottom w:val="none" w:sz="0" w:space="0" w:color="auto"/>
                        <w:right w:val="none" w:sz="0" w:space="0" w:color="auto"/>
                      </w:divBdr>
                    </w:div>
                    <w:div w:id="299237633">
                      <w:marLeft w:val="0"/>
                      <w:marRight w:val="0"/>
                      <w:marTop w:val="256"/>
                      <w:marBottom w:val="256"/>
                      <w:divBdr>
                        <w:top w:val="none" w:sz="0" w:space="0" w:color="auto"/>
                        <w:left w:val="none" w:sz="0" w:space="0" w:color="auto"/>
                        <w:bottom w:val="none" w:sz="0" w:space="0" w:color="auto"/>
                        <w:right w:val="none" w:sz="0" w:space="0" w:color="auto"/>
                      </w:divBdr>
                    </w:div>
                    <w:div w:id="2083334153">
                      <w:marLeft w:val="0"/>
                      <w:marRight w:val="0"/>
                      <w:marTop w:val="256"/>
                      <w:marBottom w:val="256"/>
                      <w:divBdr>
                        <w:top w:val="none" w:sz="0" w:space="0" w:color="auto"/>
                        <w:left w:val="none" w:sz="0" w:space="0" w:color="auto"/>
                        <w:bottom w:val="none" w:sz="0" w:space="0" w:color="auto"/>
                        <w:right w:val="none" w:sz="0" w:space="0" w:color="auto"/>
                      </w:divBdr>
                    </w:div>
                    <w:div w:id="75828504">
                      <w:marLeft w:val="0"/>
                      <w:marRight w:val="0"/>
                      <w:marTop w:val="256"/>
                      <w:marBottom w:val="256"/>
                      <w:divBdr>
                        <w:top w:val="none" w:sz="0" w:space="0" w:color="auto"/>
                        <w:left w:val="none" w:sz="0" w:space="0" w:color="auto"/>
                        <w:bottom w:val="none" w:sz="0" w:space="0" w:color="auto"/>
                        <w:right w:val="none" w:sz="0" w:space="0" w:color="auto"/>
                      </w:divBdr>
                    </w:div>
                    <w:div w:id="1690375263">
                      <w:marLeft w:val="0"/>
                      <w:marRight w:val="0"/>
                      <w:marTop w:val="256"/>
                      <w:marBottom w:val="256"/>
                      <w:divBdr>
                        <w:top w:val="none" w:sz="0" w:space="0" w:color="auto"/>
                        <w:left w:val="none" w:sz="0" w:space="0" w:color="auto"/>
                        <w:bottom w:val="none" w:sz="0" w:space="0" w:color="auto"/>
                        <w:right w:val="none" w:sz="0" w:space="0" w:color="auto"/>
                      </w:divBdr>
                    </w:div>
                    <w:div w:id="14550">
                      <w:marLeft w:val="0"/>
                      <w:marRight w:val="0"/>
                      <w:marTop w:val="256"/>
                      <w:marBottom w:val="256"/>
                      <w:divBdr>
                        <w:top w:val="none" w:sz="0" w:space="0" w:color="auto"/>
                        <w:left w:val="none" w:sz="0" w:space="0" w:color="auto"/>
                        <w:bottom w:val="none" w:sz="0" w:space="0" w:color="auto"/>
                        <w:right w:val="none" w:sz="0" w:space="0" w:color="auto"/>
                      </w:divBdr>
                    </w:div>
                    <w:div w:id="174194862">
                      <w:marLeft w:val="0"/>
                      <w:marRight w:val="0"/>
                      <w:marTop w:val="256"/>
                      <w:marBottom w:val="256"/>
                      <w:divBdr>
                        <w:top w:val="none" w:sz="0" w:space="0" w:color="auto"/>
                        <w:left w:val="none" w:sz="0" w:space="0" w:color="auto"/>
                        <w:bottom w:val="none" w:sz="0" w:space="0" w:color="auto"/>
                        <w:right w:val="none" w:sz="0" w:space="0" w:color="auto"/>
                      </w:divBdr>
                    </w:div>
                    <w:div w:id="690113000">
                      <w:marLeft w:val="0"/>
                      <w:marRight w:val="0"/>
                      <w:marTop w:val="256"/>
                      <w:marBottom w:val="256"/>
                      <w:divBdr>
                        <w:top w:val="none" w:sz="0" w:space="0" w:color="auto"/>
                        <w:left w:val="none" w:sz="0" w:space="0" w:color="auto"/>
                        <w:bottom w:val="none" w:sz="0" w:space="0" w:color="auto"/>
                        <w:right w:val="none" w:sz="0" w:space="0" w:color="auto"/>
                      </w:divBdr>
                    </w:div>
                    <w:div w:id="1919712163">
                      <w:marLeft w:val="0"/>
                      <w:marRight w:val="0"/>
                      <w:marTop w:val="256"/>
                      <w:marBottom w:val="256"/>
                      <w:divBdr>
                        <w:top w:val="none" w:sz="0" w:space="0" w:color="auto"/>
                        <w:left w:val="none" w:sz="0" w:space="0" w:color="auto"/>
                        <w:bottom w:val="none" w:sz="0" w:space="0" w:color="auto"/>
                        <w:right w:val="none" w:sz="0" w:space="0" w:color="auto"/>
                      </w:divBdr>
                    </w:div>
                    <w:div w:id="1281260916">
                      <w:marLeft w:val="0"/>
                      <w:marRight w:val="0"/>
                      <w:marTop w:val="256"/>
                      <w:marBottom w:val="256"/>
                      <w:divBdr>
                        <w:top w:val="none" w:sz="0" w:space="0" w:color="auto"/>
                        <w:left w:val="none" w:sz="0" w:space="0" w:color="auto"/>
                        <w:bottom w:val="none" w:sz="0" w:space="0" w:color="auto"/>
                        <w:right w:val="none" w:sz="0" w:space="0" w:color="auto"/>
                      </w:divBdr>
                    </w:div>
                    <w:div w:id="1949652769">
                      <w:marLeft w:val="0"/>
                      <w:marRight w:val="0"/>
                      <w:marTop w:val="256"/>
                      <w:marBottom w:val="256"/>
                      <w:divBdr>
                        <w:top w:val="none" w:sz="0" w:space="0" w:color="auto"/>
                        <w:left w:val="none" w:sz="0" w:space="0" w:color="auto"/>
                        <w:bottom w:val="none" w:sz="0" w:space="0" w:color="auto"/>
                        <w:right w:val="none" w:sz="0" w:space="0" w:color="auto"/>
                      </w:divBdr>
                    </w:div>
                    <w:div w:id="588008269">
                      <w:marLeft w:val="0"/>
                      <w:marRight w:val="0"/>
                      <w:marTop w:val="256"/>
                      <w:marBottom w:val="256"/>
                      <w:divBdr>
                        <w:top w:val="none" w:sz="0" w:space="0" w:color="auto"/>
                        <w:left w:val="none" w:sz="0" w:space="0" w:color="auto"/>
                        <w:bottom w:val="none" w:sz="0" w:space="0" w:color="auto"/>
                        <w:right w:val="none" w:sz="0" w:space="0" w:color="auto"/>
                      </w:divBdr>
                    </w:div>
                    <w:div w:id="1623465277">
                      <w:marLeft w:val="0"/>
                      <w:marRight w:val="0"/>
                      <w:marTop w:val="256"/>
                      <w:marBottom w:val="256"/>
                      <w:divBdr>
                        <w:top w:val="none" w:sz="0" w:space="0" w:color="auto"/>
                        <w:left w:val="none" w:sz="0" w:space="0" w:color="auto"/>
                        <w:bottom w:val="none" w:sz="0" w:space="0" w:color="auto"/>
                        <w:right w:val="none" w:sz="0" w:space="0" w:color="auto"/>
                      </w:divBdr>
                    </w:div>
                    <w:div w:id="779841727">
                      <w:marLeft w:val="0"/>
                      <w:marRight w:val="0"/>
                      <w:marTop w:val="256"/>
                      <w:marBottom w:val="256"/>
                      <w:divBdr>
                        <w:top w:val="none" w:sz="0" w:space="0" w:color="auto"/>
                        <w:left w:val="none" w:sz="0" w:space="0" w:color="auto"/>
                        <w:bottom w:val="none" w:sz="0" w:space="0" w:color="auto"/>
                        <w:right w:val="none" w:sz="0" w:space="0" w:color="auto"/>
                      </w:divBdr>
                    </w:div>
                    <w:div w:id="2132507035">
                      <w:marLeft w:val="0"/>
                      <w:marRight w:val="0"/>
                      <w:marTop w:val="256"/>
                      <w:marBottom w:val="256"/>
                      <w:divBdr>
                        <w:top w:val="none" w:sz="0" w:space="0" w:color="auto"/>
                        <w:left w:val="none" w:sz="0" w:space="0" w:color="auto"/>
                        <w:bottom w:val="none" w:sz="0" w:space="0" w:color="auto"/>
                        <w:right w:val="none" w:sz="0" w:space="0" w:color="auto"/>
                      </w:divBdr>
                    </w:div>
                    <w:div w:id="1230652852">
                      <w:marLeft w:val="0"/>
                      <w:marRight w:val="0"/>
                      <w:marTop w:val="256"/>
                      <w:marBottom w:val="256"/>
                      <w:divBdr>
                        <w:top w:val="none" w:sz="0" w:space="0" w:color="auto"/>
                        <w:left w:val="none" w:sz="0" w:space="0" w:color="auto"/>
                        <w:bottom w:val="none" w:sz="0" w:space="0" w:color="auto"/>
                        <w:right w:val="none" w:sz="0" w:space="0" w:color="auto"/>
                      </w:divBdr>
                    </w:div>
                    <w:div w:id="516970192">
                      <w:marLeft w:val="0"/>
                      <w:marRight w:val="0"/>
                      <w:marTop w:val="256"/>
                      <w:marBottom w:val="256"/>
                      <w:divBdr>
                        <w:top w:val="none" w:sz="0" w:space="0" w:color="auto"/>
                        <w:left w:val="none" w:sz="0" w:space="0" w:color="auto"/>
                        <w:bottom w:val="none" w:sz="0" w:space="0" w:color="auto"/>
                        <w:right w:val="none" w:sz="0" w:space="0" w:color="auto"/>
                      </w:divBdr>
                    </w:div>
                    <w:div w:id="465661665">
                      <w:marLeft w:val="0"/>
                      <w:marRight w:val="0"/>
                      <w:marTop w:val="256"/>
                      <w:marBottom w:val="256"/>
                      <w:divBdr>
                        <w:top w:val="none" w:sz="0" w:space="0" w:color="auto"/>
                        <w:left w:val="none" w:sz="0" w:space="0" w:color="auto"/>
                        <w:bottom w:val="none" w:sz="0" w:space="0" w:color="auto"/>
                        <w:right w:val="none" w:sz="0" w:space="0" w:color="auto"/>
                      </w:divBdr>
                    </w:div>
                    <w:div w:id="1433284236">
                      <w:marLeft w:val="0"/>
                      <w:marRight w:val="0"/>
                      <w:marTop w:val="256"/>
                      <w:marBottom w:val="256"/>
                      <w:divBdr>
                        <w:top w:val="none" w:sz="0" w:space="0" w:color="auto"/>
                        <w:left w:val="none" w:sz="0" w:space="0" w:color="auto"/>
                        <w:bottom w:val="none" w:sz="0" w:space="0" w:color="auto"/>
                        <w:right w:val="none" w:sz="0" w:space="0" w:color="auto"/>
                      </w:divBdr>
                    </w:div>
                    <w:div w:id="1410884323">
                      <w:marLeft w:val="0"/>
                      <w:marRight w:val="0"/>
                      <w:marTop w:val="256"/>
                      <w:marBottom w:val="256"/>
                      <w:divBdr>
                        <w:top w:val="none" w:sz="0" w:space="0" w:color="auto"/>
                        <w:left w:val="none" w:sz="0" w:space="0" w:color="auto"/>
                        <w:bottom w:val="none" w:sz="0" w:space="0" w:color="auto"/>
                        <w:right w:val="none" w:sz="0" w:space="0" w:color="auto"/>
                      </w:divBdr>
                    </w:div>
                    <w:div w:id="860583568">
                      <w:marLeft w:val="0"/>
                      <w:marRight w:val="0"/>
                      <w:marTop w:val="256"/>
                      <w:marBottom w:val="256"/>
                      <w:divBdr>
                        <w:top w:val="none" w:sz="0" w:space="0" w:color="auto"/>
                        <w:left w:val="none" w:sz="0" w:space="0" w:color="auto"/>
                        <w:bottom w:val="none" w:sz="0" w:space="0" w:color="auto"/>
                        <w:right w:val="none" w:sz="0" w:space="0" w:color="auto"/>
                      </w:divBdr>
                    </w:div>
                    <w:div w:id="193081065">
                      <w:marLeft w:val="0"/>
                      <w:marRight w:val="0"/>
                      <w:marTop w:val="256"/>
                      <w:marBottom w:val="256"/>
                      <w:divBdr>
                        <w:top w:val="none" w:sz="0" w:space="0" w:color="auto"/>
                        <w:left w:val="none" w:sz="0" w:space="0" w:color="auto"/>
                        <w:bottom w:val="none" w:sz="0" w:space="0" w:color="auto"/>
                        <w:right w:val="none" w:sz="0" w:space="0" w:color="auto"/>
                      </w:divBdr>
                    </w:div>
                    <w:div w:id="958023836">
                      <w:marLeft w:val="0"/>
                      <w:marRight w:val="0"/>
                      <w:marTop w:val="256"/>
                      <w:marBottom w:val="256"/>
                      <w:divBdr>
                        <w:top w:val="none" w:sz="0" w:space="0" w:color="auto"/>
                        <w:left w:val="none" w:sz="0" w:space="0" w:color="auto"/>
                        <w:bottom w:val="none" w:sz="0" w:space="0" w:color="auto"/>
                        <w:right w:val="none" w:sz="0" w:space="0" w:color="auto"/>
                      </w:divBdr>
                    </w:div>
                    <w:div w:id="720860070">
                      <w:marLeft w:val="0"/>
                      <w:marRight w:val="0"/>
                      <w:marTop w:val="256"/>
                      <w:marBottom w:val="256"/>
                      <w:divBdr>
                        <w:top w:val="none" w:sz="0" w:space="0" w:color="auto"/>
                        <w:left w:val="none" w:sz="0" w:space="0" w:color="auto"/>
                        <w:bottom w:val="none" w:sz="0" w:space="0" w:color="auto"/>
                        <w:right w:val="none" w:sz="0" w:space="0" w:color="auto"/>
                      </w:divBdr>
                    </w:div>
                    <w:div w:id="1688294190">
                      <w:marLeft w:val="0"/>
                      <w:marRight w:val="0"/>
                      <w:marTop w:val="256"/>
                      <w:marBottom w:val="256"/>
                      <w:divBdr>
                        <w:top w:val="none" w:sz="0" w:space="0" w:color="auto"/>
                        <w:left w:val="none" w:sz="0" w:space="0" w:color="auto"/>
                        <w:bottom w:val="none" w:sz="0" w:space="0" w:color="auto"/>
                        <w:right w:val="none" w:sz="0" w:space="0" w:color="auto"/>
                      </w:divBdr>
                    </w:div>
                    <w:div w:id="1011763606">
                      <w:marLeft w:val="0"/>
                      <w:marRight w:val="0"/>
                      <w:marTop w:val="256"/>
                      <w:marBottom w:val="256"/>
                      <w:divBdr>
                        <w:top w:val="none" w:sz="0" w:space="0" w:color="auto"/>
                        <w:left w:val="none" w:sz="0" w:space="0" w:color="auto"/>
                        <w:bottom w:val="none" w:sz="0" w:space="0" w:color="auto"/>
                        <w:right w:val="none" w:sz="0" w:space="0" w:color="auto"/>
                      </w:divBdr>
                    </w:div>
                    <w:div w:id="519466418">
                      <w:marLeft w:val="0"/>
                      <w:marRight w:val="0"/>
                      <w:marTop w:val="256"/>
                      <w:marBottom w:val="256"/>
                      <w:divBdr>
                        <w:top w:val="none" w:sz="0" w:space="0" w:color="auto"/>
                        <w:left w:val="none" w:sz="0" w:space="0" w:color="auto"/>
                        <w:bottom w:val="none" w:sz="0" w:space="0" w:color="auto"/>
                        <w:right w:val="none" w:sz="0" w:space="0" w:color="auto"/>
                      </w:divBdr>
                    </w:div>
                    <w:div w:id="1751153573">
                      <w:marLeft w:val="0"/>
                      <w:marRight w:val="0"/>
                      <w:marTop w:val="256"/>
                      <w:marBottom w:val="256"/>
                      <w:divBdr>
                        <w:top w:val="none" w:sz="0" w:space="0" w:color="auto"/>
                        <w:left w:val="none" w:sz="0" w:space="0" w:color="auto"/>
                        <w:bottom w:val="none" w:sz="0" w:space="0" w:color="auto"/>
                        <w:right w:val="none" w:sz="0" w:space="0" w:color="auto"/>
                      </w:divBdr>
                    </w:div>
                    <w:div w:id="481508149">
                      <w:marLeft w:val="0"/>
                      <w:marRight w:val="0"/>
                      <w:marTop w:val="256"/>
                      <w:marBottom w:val="256"/>
                      <w:divBdr>
                        <w:top w:val="none" w:sz="0" w:space="0" w:color="auto"/>
                        <w:left w:val="none" w:sz="0" w:space="0" w:color="auto"/>
                        <w:bottom w:val="none" w:sz="0" w:space="0" w:color="auto"/>
                        <w:right w:val="none" w:sz="0" w:space="0" w:color="auto"/>
                      </w:divBdr>
                    </w:div>
                    <w:div w:id="2118209808">
                      <w:marLeft w:val="0"/>
                      <w:marRight w:val="0"/>
                      <w:marTop w:val="256"/>
                      <w:marBottom w:val="256"/>
                      <w:divBdr>
                        <w:top w:val="none" w:sz="0" w:space="0" w:color="auto"/>
                        <w:left w:val="none" w:sz="0" w:space="0" w:color="auto"/>
                        <w:bottom w:val="none" w:sz="0" w:space="0" w:color="auto"/>
                        <w:right w:val="none" w:sz="0" w:space="0" w:color="auto"/>
                      </w:divBdr>
                    </w:div>
                    <w:div w:id="1742747567">
                      <w:marLeft w:val="0"/>
                      <w:marRight w:val="0"/>
                      <w:marTop w:val="256"/>
                      <w:marBottom w:val="256"/>
                      <w:divBdr>
                        <w:top w:val="none" w:sz="0" w:space="0" w:color="auto"/>
                        <w:left w:val="none" w:sz="0" w:space="0" w:color="auto"/>
                        <w:bottom w:val="none" w:sz="0" w:space="0" w:color="auto"/>
                        <w:right w:val="none" w:sz="0" w:space="0" w:color="auto"/>
                      </w:divBdr>
                    </w:div>
                    <w:div w:id="1569001341">
                      <w:marLeft w:val="0"/>
                      <w:marRight w:val="0"/>
                      <w:marTop w:val="256"/>
                      <w:marBottom w:val="256"/>
                      <w:divBdr>
                        <w:top w:val="none" w:sz="0" w:space="0" w:color="auto"/>
                        <w:left w:val="none" w:sz="0" w:space="0" w:color="auto"/>
                        <w:bottom w:val="none" w:sz="0" w:space="0" w:color="auto"/>
                        <w:right w:val="none" w:sz="0" w:space="0" w:color="auto"/>
                      </w:divBdr>
                    </w:div>
                    <w:div w:id="909189721">
                      <w:marLeft w:val="0"/>
                      <w:marRight w:val="0"/>
                      <w:marTop w:val="256"/>
                      <w:marBottom w:val="256"/>
                      <w:divBdr>
                        <w:top w:val="none" w:sz="0" w:space="0" w:color="auto"/>
                        <w:left w:val="none" w:sz="0" w:space="0" w:color="auto"/>
                        <w:bottom w:val="none" w:sz="0" w:space="0" w:color="auto"/>
                        <w:right w:val="none" w:sz="0" w:space="0" w:color="auto"/>
                      </w:divBdr>
                    </w:div>
                    <w:div w:id="1207109219">
                      <w:marLeft w:val="0"/>
                      <w:marRight w:val="0"/>
                      <w:marTop w:val="256"/>
                      <w:marBottom w:val="256"/>
                      <w:divBdr>
                        <w:top w:val="none" w:sz="0" w:space="0" w:color="auto"/>
                        <w:left w:val="none" w:sz="0" w:space="0" w:color="auto"/>
                        <w:bottom w:val="none" w:sz="0" w:space="0" w:color="auto"/>
                        <w:right w:val="none" w:sz="0" w:space="0" w:color="auto"/>
                      </w:divBdr>
                    </w:div>
                    <w:div w:id="411320483">
                      <w:marLeft w:val="0"/>
                      <w:marRight w:val="0"/>
                      <w:marTop w:val="256"/>
                      <w:marBottom w:val="256"/>
                      <w:divBdr>
                        <w:top w:val="none" w:sz="0" w:space="0" w:color="auto"/>
                        <w:left w:val="none" w:sz="0" w:space="0" w:color="auto"/>
                        <w:bottom w:val="none" w:sz="0" w:space="0" w:color="auto"/>
                        <w:right w:val="none" w:sz="0" w:space="0" w:color="auto"/>
                      </w:divBdr>
                    </w:div>
                    <w:div w:id="1357805175">
                      <w:marLeft w:val="0"/>
                      <w:marRight w:val="0"/>
                      <w:marTop w:val="256"/>
                      <w:marBottom w:val="256"/>
                      <w:divBdr>
                        <w:top w:val="none" w:sz="0" w:space="0" w:color="auto"/>
                        <w:left w:val="none" w:sz="0" w:space="0" w:color="auto"/>
                        <w:bottom w:val="none" w:sz="0" w:space="0" w:color="auto"/>
                        <w:right w:val="none" w:sz="0" w:space="0" w:color="auto"/>
                      </w:divBdr>
                    </w:div>
                    <w:div w:id="1874879282">
                      <w:marLeft w:val="0"/>
                      <w:marRight w:val="0"/>
                      <w:marTop w:val="256"/>
                      <w:marBottom w:val="256"/>
                      <w:divBdr>
                        <w:top w:val="none" w:sz="0" w:space="0" w:color="auto"/>
                        <w:left w:val="none" w:sz="0" w:space="0" w:color="auto"/>
                        <w:bottom w:val="none" w:sz="0" w:space="0" w:color="auto"/>
                        <w:right w:val="none" w:sz="0" w:space="0" w:color="auto"/>
                      </w:divBdr>
                    </w:div>
                    <w:div w:id="209612066">
                      <w:marLeft w:val="0"/>
                      <w:marRight w:val="0"/>
                      <w:marTop w:val="256"/>
                      <w:marBottom w:val="256"/>
                      <w:divBdr>
                        <w:top w:val="none" w:sz="0" w:space="0" w:color="auto"/>
                        <w:left w:val="none" w:sz="0" w:space="0" w:color="auto"/>
                        <w:bottom w:val="none" w:sz="0" w:space="0" w:color="auto"/>
                        <w:right w:val="none" w:sz="0" w:space="0" w:color="auto"/>
                      </w:divBdr>
                    </w:div>
                    <w:div w:id="1489439486">
                      <w:marLeft w:val="0"/>
                      <w:marRight w:val="0"/>
                      <w:marTop w:val="256"/>
                      <w:marBottom w:val="256"/>
                      <w:divBdr>
                        <w:top w:val="none" w:sz="0" w:space="0" w:color="auto"/>
                        <w:left w:val="none" w:sz="0" w:space="0" w:color="auto"/>
                        <w:bottom w:val="none" w:sz="0" w:space="0" w:color="auto"/>
                        <w:right w:val="none" w:sz="0" w:space="0" w:color="auto"/>
                      </w:divBdr>
                    </w:div>
                    <w:div w:id="953681637">
                      <w:marLeft w:val="0"/>
                      <w:marRight w:val="0"/>
                      <w:marTop w:val="256"/>
                      <w:marBottom w:val="256"/>
                      <w:divBdr>
                        <w:top w:val="none" w:sz="0" w:space="0" w:color="auto"/>
                        <w:left w:val="none" w:sz="0" w:space="0" w:color="auto"/>
                        <w:bottom w:val="none" w:sz="0" w:space="0" w:color="auto"/>
                        <w:right w:val="none" w:sz="0" w:space="0" w:color="auto"/>
                      </w:divBdr>
                    </w:div>
                    <w:div w:id="2092120827">
                      <w:marLeft w:val="0"/>
                      <w:marRight w:val="0"/>
                      <w:marTop w:val="256"/>
                      <w:marBottom w:val="256"/>
                      <w:divBdr>
                        <w:top w:val="none" w:sz="0" w:space="0" w:color="auto"/>
                        <w:left w:val="none" w:sz="0" w:space="0" w:color="auto"/>
                        <w:bottom w:val="none" w:sz="0" w:space="0" w:color="auto"/>
                        <w:right w:val="none" w:sz="0" w:space="0" w:color="auto"/>
                      </w:divBdr>
                    </w:div>
                    <w:div w:id="1097676733">
                      <w:marLeft w:val="0"/>
                      <w:marRight w:val="0"/>
                      <w:marTop w:val="256"/>
                      <w:marBottom w:val="256"/>
                      <w:divBdr>
                        <w:top w:val="none" w:sz="0" w:space="0" w:color="auto"/>
                        <w:left w:val="none" w:sz="0" w:space="0" w:color="auto"/>
                        <w:bottom w:val="none" w:sz="0" w:space="0" w:color="auto"/>
                        <w:right w:val="none" w:sz="0" w:space="0" w:color="auto"/>
                      </w:divBdr>
                    </w:div>
                    <w:div w:id="1652901513">
                      <w:marLeft w:val="0"/>
                      <w:marRight w:val="0"/>
                      <w:marTop w:val="256"/>
                      <w:marBottom w:val="256"/>
                      <w:divBdr>
                        <w:top w:val="none" w:sz="0" w:space="0" w:color="auto"/>
                        <w:left w:val="none" w:sz="0" w:space="0" w:color="auto"/>
                        <w:bottom w:val="none" w:sz="0" w:space="0" w:color="auto"/>
                        <w:right w:val="none" w:sz="0" w:space="0" w:color="auto"/>
                      </w:divBdr>
                    </w:div>
                    <w:div w:id="593130958">
                      <w:marLeft w:val="0"/>
                      <w:marRight w:val="0"/>
                      <w:marTop w:val="256"/>
                      <w:marBottom w:val="256"/>
                      <w:divBdr>
                        <w:top w:val="none" w:sz="0" w:space="0" w:color="auto"/>
                        <w:left w:val="none" w:sz="0" w:space="0" w:color="auto"/>
                        <w:bottom w:val="none" w:sz="0" w:space="0" w:color="auto"/>
                        <w:right w:val="none" w:sz="0" w:space="0" w:color="auto"/>
                      </w:divBdr>
                    </w:div>
                    <w:div w:id="64686009">
                      <w:marLeft w:val="0"/>
                      <w:marRight w:val="0"/>
                      <w:marTop w:val="256"/>
                      <w:marBottom w:val="256"/>
                      <w:divBdr>
                        <w:top w:val="none" w:sz="0" w:space="0" w:color="auto"/>
                        <w:left w:val="none" w:sz="0" w:space="0" w:color="auto"/>
                        <w:bottom w:val="none" w:sz="0" w:space="0" w:color="auto"/>
                        <w:right w:val="none" w:sz="0" w:space="0" w:color="auto"/>
                      </w:divBdr>
                    </w:div>
                    <w:div w:id="1464810649">
                      <w:marLeft w:val="0"/>
                      <w:marRight w:val="0"/>
                      <w:marTop w:val="256"/>
                      <w:marBottom w:val="256"/>
                      <w:divBdr>
                        <w:top w:val="none" w:sz="0" w:space="0" w:color="auto"/>
                        <w:left w:val="none" w:sz="0" w:space="0" w:color="auto"/>
                        <w:bottom w:val="none" w:sz="0" w:space="0" w:color="auto"/>
                        <w:right w:val="none" w:sz="0" w:space="0" w:color="auto"/>
                      </w:divBdr>
                    </w:div>
                    <w:div w:id="1571498531">
                      <w:marLeft w:val="0"/>
                      <w:marRight w:val="0"/>
                      <w:marTop w:val="256"/>
                      <w:marBottom w:val="256"/>
                      <w:divBdr>
                        <w:top w:val="none" w:sz="0" w:space="0" w:color="auto"/>
                        <w:left w:val="none" w:sz="0" w:space="0" w:color="auto"/>
                        <w:bottom w:val="none" w:sz="0" w:space="0" w:color="auto"/>
                        <w:right w:val="none" w:sz="0" w:space="0" w:color="auto"/>
                      </w:divBdr>
                    </w:div>
                  </w:divsChild>
                </w:div>
              </w:divsChild>
            </w:div>
          </w:divsChild>
        </w:div>
      </w:divsChild>
    </w:div>
    <w:div w:id="593051658">
      <w:bodyDiv w:val="1"/>
      <w:marLeft w:val="0"/>
      <w:marRight w:val="0"/>
      <w:marTop w:val="0"/>
      <w:marBottom w:val="0"/>
      <w:divBdr>
        <w:top w:val="none" w:sz="0" w:space="0" w:color="auto"/>
        <w:left w:val="none" w:sz="0" w:space="0" w:color="auto"/>
        <w:bottom w:val="none" w:sz="0" w:space="0" w:color="auto"/>
        <w:right w:val="none" w:sz="0" w:space="0" w:color="auto"/>
      </w:divBdr>
    </w:div>
    <w:div w:id="598873049">
      <w:bodyDiv w:val="1"/>
      <w:marLeft w:val="0"/>
      <w:marRight w:val="0"/>
      <w:marTop w:val="0"/>
      <w:marBottom w:val="0"/>
      <w:divBdr>
        <w:top w:val="none" w:sz="0" w:space="0" w:color="auto"/>
        <w:left w:val="none" w:sz="0" w:space="0" w:color="auto"/>
        <w:bottom w:val="none" w:sz="0" w:space="0" w:color="auto"/>
        <w:right w:val="none" w:sz="0" w:space="0" w:color="auto"/>
      </w:divBdr>
    </w:div>
    <w:div w:id="637494939">
      <w:bodyDiv w:val="1"/>
      <w:marLeft w:val="0"/>
      <w:marRight w:val="0"/>
      <w:marTop w:val="0"/>
      <w:marBottom w:val="0"/>
      <w:divBdr>
        <w:top w:val="none" w:sz="0" w:space="0" w:color="auto"/>
        <w:left w:val="none" w:sz="0" w:space="0" w:color="auto"/>
        <w:bottom w:val="none" w:sz="0" w:space="0" w:color="auto"/>
        <w:right w:val="none" w:sz="0" w:space="0" w:color="auto"/>
      </w:divBdr>
    </w:div>
    <w:div w:id="655377048">
      <w:bodyDiv w:val="1"/>
      <w:marLeft w:val="0"/>
      <w:marRight w:val="0"/>
      <w:marTop w:val="0"/>
      <w:marBottom w:val="0"/>
      <w:divBdr>
        <w:top w:val="none" w:sz="0" w:space="0" w:color="auto"/>
        <w:left w:val="none" w:sz="0" w:space="0" w:color="auto"/>
        <w:bottom w:val="none" w:sz="0" w:space="0" w:color="auto"/>
        <w:right w:val="none" w:sz="0" w:space="0" w:color="auto"/>
      </w:divBdr>
    </w:div>
    <w:div w:id="660542953">
      <w:bodyDiv w:val="1"/>
      <w:marLeft w:val="0"/>
      <w:marRight w:val="0"/>
      <w:marTop w:val="0"/>
      <w:marBottom w:val="0"/>
      <w:divBdr>
        <w:top w:val="none" w:sz="0" w:space="0" w:color="auto"/>
        <w:left w:val="none" w:sz="0" w:space="0" w:color="auto"/>
        <w:bottom w:val="none" w:sz="0" w:space="0" w:color="auto"/>
        <w:right w:val="none" w:sz="0" w:space="0" w:color="auto"/>
      </w:divBdr>
      <w:divsChild>
        <w:div w:id="1853181576">
          <w:marLeft w:val="0"/>
          <w:marRight w:val="0"/>
          <w:marTop w:val="0"/>
          <w:marBottom w:val="0"/>
          <w:divBdr>
            <w:top w:val="none" w:sz="0" w:space="0" w:color="auto"/>
            <w:left w:val="none" w:sz="0" w:space="0" w:color="auto"/>
            <w:bottom w:val="none" w:sz="0" w:space="0" w:color="auto"/>
            <w:right w:val="none" w:sz="0" w:space="0" w:color="auto"/>
          </w:divBdr>
        </w:div>
        <w:div w:id="1385448073">
          <w:marLeft w:val="0"/>
          <w:marRight w:val="0"/>
          <w:marTop w:val="0"/>
          <w:marBottom w:val="0"/>
          <w:divBdr>
            <w:top w:val="none" w:sz="0" w:space="0" w:color="auto"/>
            <w:left w:val="none" w:sz="0" w:space="0" w:color="auto"/>
            <w:bottom w:val="none" w:sz="0" w:space="0" w:color="auto"/>
            <w:right w:val="none" w:sz="0" w:space="0" w:color="auto"/>
          </w:divBdr>
        </w:div>
      </w:divsChild>
    </w:div>
    <w:div w:id="675306575">
      <w:bodyDiv w:val="1"/>
      <w:marLeft w:val="0"/>
      <w:marRight w:val="0"/>
      <w:marTop w:val="0"/>
      <w:marBottom w:val="0"/>
      <w:divBdr>
        <w:top w:val="none" w:sz="0" w:space="0" w:color="auto"/>
        <w:left w:val="none" w:sz="0" w:space="0" w:color="auto"/>
        <w:bottom w:val="none" w:sz="0" w:space="0" w:color="auto"/>
        <w:right w:val="none" w:sz="0" w:space="0" w:color="auto"/>
      </w:divBdr>
    </w:div>
    <w:div w:id="702369674">
      <w:bodyDiv w:val="1"/>
      <w:marLeft w:val="0"/>
      <w:marRight w:val="0"/>
      <w:marTop w:val="0"/>
      <w:marBottom w:val="0"/>
      <w:divBdr>
        <w:top w:val="none" w:sz="0" w:space="0" w:color="auto"/>
        <w:left w:val="none" w:sz="0" w:space="0" w:color="auto"/>
        <w:bottom w:val="none" w:sz="0" w:space="0" w:color="auto"/>
        <w:right w:val="none" w:sz="0" w:space="0" w:color="auto"/>
      </w:divBdr>
    </w:div>
    <w:div w:id="750007560">
      <w:bodyDiv w:val="1"/>
      <w:marLeft w:val="0"/>
      <w:marRight w:val="0"/>
      <w:marTop w:val="0"/>
      <w:marBottom w:val="0"/>
      <w:divBdr>
        <w:top w:val="none" w:sz="0" w:space="0" w:color="auto"/>
        <w:left w:val="none" w:sz="0" w:space="0" w:color="auto"/>
        <w:bottom w:val="none" w:sz="0" w:space="0" w:color="auto"/>
        <w:right w:val="none" w:sz="0" w:space="0" w:color="auto"/>
      </w:divBdr>
    </w:div>
    <w:div w:id="791942807">
      <w:bodyDiv w:val="1"/>
      <w:marLeft w:val="0"/>
      <w:marRight w:val="0"/>
      <w:marTop w:val="0"/>
      <w:marBottom w:val="0"/>
      <w:divBdr>
        <w:top w:val="none" w:sz="0" w:space="0" w:color="auto"/>
        <w:left w:val="none" w:sz="0" w:space="0" w:color="auto"/>
        <w:bottom w:val="none" w:sz="0" w:space="0" w:color="auto"/>
        <w:right w:val="none" w:sz="0" w:space="0" w:color="auto"/>
      </w:divBdr>
    </w:div>
    <w:div w:id="844712009">
      <w:bodyDiv w:val="1"/>
      <w:marLeft w:val="0"/>
      <w:marRight w:val="0"/>
      <w:marTop w:val="0"/>
      <w:marBottom w:val="0"/>
      <w:divBdr>
        <w:top w:val="none" w:sz="0" w:space="0" w:color="auto"/>
        <w:left w:val="none" w:sz="0" w:space="0" w:color="auto"/>
        <w:bottom w:val="none" w:sz="0" w:space="0" w:color="auto"/>
        <w:right w:val="none" w:sz="0" w:space="0" w:color="auto"/>
      </w:divBdr>
    </w:div>
    <w:div w:id="881328321">
      <w:bodyDiv w:val="1"/>
      <w:marLeft w:val="0"/>
      <w:marRight w:val="0"/>
      <w:marTop w:val="0"/>
      <w:marBottom w:val="0"/>
      <w:divBdr>
        <w:top w:val="none" w:sz="0" w:space="0" w:color="auto"/>
        <w:left w:val="none" w:sz="0" w:space="0" w:color="auto"/>
        <w:bottom w:val="none" w:sz="0" w:space="0" w:color="auto"/>
        <w:right w:val="none" w:sz="0" w:space="0" w:color="auto"/>
      </w:divBdr>
    </w:div>
    <w:div w:id="921136598">
      <w:bodyDiv w:val="1"/>
      <w:marLeft w:val="0"/>
      <w:marRight w:val="0"/>
      <w:marTop w:val="0"/>
      <w:marBottom w:val="0"/>
      <w:divBdr>
        <w:top w:val="none" w:sz="0" w:space="0" w:color="auto"/>
        <w:left w:val="none" w:sz="0" w:space="0" w:color="auto"/>
        <w:bottom w:val="none" w:sz="0" w:space="0" w:color="auto"/>
        <w:right w:val="none" w:sz="0" w:space="0" w:color="auto"/>
      </w:divBdr>
    </w:div>
    <w:div w:id="921455380">
      <w:bodyDiv w:val="1"/>
      <w:marLeft w:val="0"/>
      <w:marRight w:val="0"/>
      <w:marTop w:val="0"/>
      <w:marBottom w:val="0"/>
      <w:divBdr>
        <w:top w:val="none" w:sz="0" w:space="0" w:color="auto"/>
        <w:left w:val="none" w:sz="0" w:space="0" w:color="auto"/>
        <w:bottom w:val="none" w:sz="0" w:space="0" w:color="auto"/>
        <w:right w:val="none" w:sz="0" w:space="0" w:color="auto"/>
      </w:divBdr>
    </w:div>
    <w:div w:id="934292284">
      <w:bodyDiv w:val="1"/>
      <w:marLeft w:val="0"/>
      <w:marRight w:val="0"/>
      <w:marTop w:val="0"/>
      <w:marBottom w:val="0"/>
      <w:divBdr>
        <w:top w:val="none" w:sz="0" w:space="0" w:color="auto"/>
        <w:left w:val="none" w:sz="0" w:space="0" w:color="auto"/>
        <w:bottom w:val="none" w:sz="0" w:space="0" w:color="auto"/>
        <w:right w:val="none" w:sz="0" w:space="0" w:color="auto"/>
      </w:divBdr>
    </w:div>
    <w:div w:id="948659885">
      <w:bodyDiv w:val="1"/>
      <w:marLeft w:val="0"/>
      <w:marRight w:val="0"/>
      <w:marTop w:val="0"/>
      <w:marBottom w:val="0"/>
      <w:divBdr>
        <w:top w:val="none" w:sz="0" w:space="0" w:color="auto"/>
        <w:left w:val="none" w:sz="0" w:space="0" w:color="auto"/>
        <w:bottom w:val="none" w:sz="0" w:space="0" w:color="auto"/>
        <w:right w:val="none" w:sz="0" w:space="0" w:color="auto"/>
      </w:divBdr>
    </w:div>
    <w:div w:id="952633014">
      <w:bodyDiv w:val="1"/>
      <w:marLeft w:val="0"/>
      <w:marRight w:val="0"/>
      <w:marTop w:val="0"/>
      <w:marBottom w:val="0"/>
      <w:divBdr>
        <w:top w:val="none" w:sz="0" w:space="0" w:color="auto"/>
        <w:left w:val="none" w:sz="0" w:space="0" w:color="auto"/>
        <w:bottom w:val="none" w:sz="0" w:space="0" w:color="auto"/>
        <w:right w:val="none" w:sz="0" w:space="0" w:color="auto"/>
      </w:divBdr>
    </w:div>
    <w:div w:id="999620958">
      <w:bodyDiv w:val="1"/>
      <w:marLeft w:val="0"/>
      <w:marRight w:val="0"/>
      <w:marTop w:val="0"/>
      <w:marBottom w:val="0"/>
      <w:divBdr>
        <w:top w:val="none" w:sz="0" w:space="0" w:color="auto"/>
        <w:left w:val="none" w:sz="0" w:space="0" w:color="auto"/>
        <w:bottom w:val="none" w:sz="0" w:space="0" w:color="auto"/>
        <w:right w:val="none" w:sz="0" w:space="0" w:color="auto"/>
      </w:divBdr>
    </w:div>
    <w:div w:id="1005859119">
      <w:bodyDiv w:val="1"/>
      <w:marLeft w:val="0"/>
      <w:marRight w:val="0"/>
      <w:marTop w:val="0"/>
      <w:marBottom w:val="0"/>
      <w:divBdr>
        <w:top w:val="none" w:sz="0" w:space="0" w:color="auto"/>
        <w:left w:val="none" w:sz="0" w:space="0" w:color="auto"/>
        <w:bottom w:val="none" w:sz="0" w:space="0" w:color="auto"/>
        <w:right w:val="none" w:sz="0" w:space="0" w:color="auto"/>
      </w:divBdr>
    </w:div>
    <w:div w:id="1015108637">
      <w:bodyDiv w:val="1"/>
      <w:marLeft w:val="0"/>
      <w:marRight w:val="0"/>
      <w:marTop w:val="0"/>
      <w:marBottom w:val="0"/>
      <w:divBdr>
        <w:top w:val="none" w:sz="0" w:space="0" w:color="auto"/>
        <w:left w:val="none" w:sz="0" w:space="0" w:color="auto"/>
        <w:bottom w:val="none" w:sz="0" w:space="0" w:color="auto"/>
        <w:right w:val="none" w:sz="0" w:space="0" w:color="auto"/>
      </w:divBdr>
    </w:div>
    <w:div w:id="1018117525">
      <w:bodyDiv w:val="1"/>
      <w:marLeft w:val="0"/>
      <w:marRight w:val="0"/>
      <w:marTop w:val="0"/>
      <w:marBottom w:val="0"/>
      <w:divBdr>
        <w:top w:val="none" w:sz="0" w:space="0" w:color="auto"/>
        <w:left w:val="none" w:sz="0" w:space="0" w:color="auto"/>
        <w:bottom w:val="none" w:sz="0" w:space="0" w:color="auto"/>
        <w:right w:val="none" w:sz="0" w:space="0" w:color="auto"/>
      </w:divBdr>
    </w:div>
    <w:div w:id="1059940924">
      <w:bodyDiv w:val="1"/>
      <w:marLeft w:val="0"/>
      <w:marRight w:val="0"/>
      <w:marTop w:val="0"/>
      <w:marBottom w:val="0"/>
      <w:divBdr>
        <w:top w:val="none" w:sz="0" w:space="0" w:color="auto"/>
        <w:left w:val="none" w:sz="0" w:space="0" w:color="auto"/>
        <w:bottom w:val="none" w:sz="0" w:space="0" w:color="auto"/>
        <w:right w:val="none" w:sz="0" w:space="0" w:color="auto"/>
      </w:divBdr>
      <w:divsChild>
        <w:div w:id="1789809069">
          <w:marLeft w:val="0"/>
          <w:marRight w:val="0"/>
          <w:marTop w:val="0"/>
          <w:marBottom w:val="0"/>
          <w:divBdr>
            <w:top w:val="none" w:sz="0" w:space="0" w:color="auto"/>
            <w:left w:val="none" w:sz="0" w:space="0" w:color="auto"/>
            <w:bottom w:val="none" w:sz="0" w:space="0" w:color="auto"/>
            <w:right w:val="none" w:sz="0" w:space="0" w:color="auto"/>
          </w:divBdr>
        </w:div>
        <w:div w:id="1762943148">
          <w:marLeft w:val="0"/>
          <w:marRight w:val="0"/>
          <w:marTop w:val="0"/>
          <w:marBottom w:val="0"/>
          <w:divBdr>
            <w:top w:val="none" w:sz="0" w:space="0" w:color="auto"/>
            <w:left w:val="none" w:sz="0" w:space="0" w:color="auto"/>
            <w:bottom w:val="none" w:sz="0" w:space="0" w:color="auto"/>
            <w:right w:val="none" w:sz="0" w:space="0" w:color="auto"/>
          </w:divBdr>
        </w:div>
      </w:divsChild>
    </w:div>
    <w:div w:id="1093428552">
      <w:bodyDiv w:val="1"/>
      <w:marLeft w:val="0"/>
      <w:marRight w:val="0"/>
      <w:marTop w:val="0"/>
      <w:marBottom w:val="0"/>
      <w:divBdr>
        <w:top w:val="none" w:sz="0" w:space="0" w:color="auto"/>
        <w:left w:val="none" w:sz="0" w:space="0" w:color="auto"/>
        <w:bottom w:val="none" w:sz="0" w:space="0" w:color="auto"/>
        <w:right w:val="none" w:sz="0" w:space="0" w:color="auto"/>
      </w:divBdr>
    </w:div>
    <w:div w:id="1148088871">
      <w:bodyDiv w:val="1"/>
      <w:marLeft w:val="0"/>
      <w:marRight w:val="0"/>
      <w:marTop w:val="0"/>
      <w:marBottom w:val="0"/>
      <w:divBdr>
        <w:top w:val="none" w:sz="0" w:space="0" w:color="auto"/>
        <w:left w:val="none" w:sz="0" w:space="0" w:color="auto"/>
        <w:bottom w:val="none" w:sz="0" w:space="0" w:color="auto"/>
        <w:right w:val="none" w:sz="0" w:space="0" w:color="auto"/>
      </w:divBdr>
    </w:div>
    <w:div w:id="1180461574">
      <w:bodyDiv w:val="1"/>
      <w:marLeft w:val="0"/>
      <w:marRight w:val="0"/>
      <w:marTop w:val="0"/>
      <w:marBottom w:val="0"/>
      <w:divBdr>
        <w:top w:val="none" w:sz="0" w:space="0" w:color="auto"/>
        <w:left w:val="none" w:sz="0" w:space="0" w:color="auto"/>
        <w:bottom w:val="none" w:sz="0" w:space="0" w:color="auto"/>
        <w:right w:val="none" w:sz="0" w:space="0" w:color="auto"/>
      </w:divBdr>
    </w:div>
    <w:div w:id="1188955230">
      <w:bodyDiv w:val="1"/>
      <w:marLeft w:val="0"/>
      <w:marRight w:val="0"/>
      <w:marTop w:val="0"/>
      <w:marBottom w:val="0"/>
      <w:divBdr>
        <w:top w:val="none" w:sz="0" w:space="0" w:color="auto"/>
        <w:left w:val="none" w:sz="0" w:space="0" w:color="auto"/>
        <w:bottom w:val="none" w:sz="0" w:space="0" w:color="auto"/>
        <w:right w:val="none" w:sz="0" w:space="0" w:color="auto"/>
      </w:divBdr>
    </w:div>
    <w:div w:id="1192185733">
      <w:bodyDiv w:val="1"/>
      <w:marLeft w:val="0"/>
      <w:marRight w:val="0"/>
      <w:marTop w:val="0"/>
      <w:marBottom w:val="0"/>
      <w:divBdr>
        <w:top w:val="none" w:sz="0" w:space="0" w:color="auto"/>
        <w:left w:val="none" w:sz="0" w:space="0" w:color="auto"/>
        <w:bottom w:val="none" w:sz="0" w:space="0" w:color="auto"/>
        <w:right w:val="none" w:sz="0" w:space="0" w:color="auto"/>
      </w:divBdr>
    </w:div>
    <w:div w:id="1195457723">
      <w:bodyDiv w:val="1"/>
      <w:marLeft w:val="0"/>
      <w:marRight w:val="0"/>
      <w:marTop w:val="0"/>
      <w:marBottom w:val="0"/>
      <w:divBdr>
        <w:top w:val="none" w:sz="0" w:space="0" w:color="auto"/>
        <w:left w:val="none" w:sz="0" w:space="0" w:color="auto"/>
        <w:bottom w:val="none" w:sz="0" w:space="0" w:color="auto"/>
        <w:right w:val="none" w:sz="0" w:space="0" w:color="auto"/>
      </w:divBdr>
    </w:div>
    <w:div w:id="1197698932">
      <w:bodyDiv w:val="1"/>
      <w:marLeft w:val="0"/>
      <w:marRight w:val="0"/>
      <w:marTop w:val="0"/>
      <w:marBottom w:val="0"/>
      <w:divBdr>
        <w:top w:val="none" w:sz="0" w:space="0" w:color="auto"/>
        <w:left w:val="none" w:sz="0" w:space="0" w:color="auto"/>
        <w:bottom w:val="none" w:sz="0" w:space="0" w:color="auto"/>
        <w:right w:val="none" w:sz="0" w:space="0" w:color="auto"/>
      </w:divBdr>
    </w:div>
    <w:div w:id="1240015692">
      <w:bodyDiv w:val="1"/>
      <w:marLeft w:val="0"/>
      <w:marRight w:val="0"/>
      <w:marTop w:val="0"/>
      <w:marBottom w:val="0"/>
      <w:divBdr>
        <w:top w:val="none" w:sz="0" w:space="0" w:color="auto"/>
        <w:left w:val="none" w:sz="0" w:space="0" w:color="auto"/>
        <w:bottom w:val="none" w:sz="0" w:space="0" w:color="auto"/>
        <w:right w:val="none" w:sz="0" w:space="0" w:color="auto"/>
      </w:divBdr>
    </w:div>
    <w:div w:id="1243217988">
      <w:bodyDiv w:val="1"/>
      <w:marLeft w:val="0"/>
      <w:marRight w:val="0"/>
      <w:marTop w:val="0"/>
      <w:marBottom w:val="0"/>
      <w:divBdr>
        <w:top w:val="none" w:sz="0" w:space="0" w:color="auto"/>
        <w:left w:val="none" w:sz="0" w:space="0" w:color="auto"/>
        <w:bottom w:val="none" w:sz="0" w:space="0" w:color="auto"/>
        <w:right w:val="none" w:sz="0" w:space="0" w:color="auto"/>
      </w:divBdr>
    </w:div>
    <w:div w:id="1244022387">
      <w:bodyDiv w:val="1"/>
      <w:marLeft w:val="0"/>
      <w:marRight w:val="0"/>
      <w:marTop w:val="0"/>
      <w:marBottom w:val="0"/>
      <w:divBdr>
        <w:top w:val="none" w:sz="0" w:space="0" w:color="auto"/>
        <w:left w:val="none" w:sz="0" w:space="0" w:color="auto"/>
        <w:bottom w:val="none" w:sz="0" w:space="0" w:color="auto"/>
        <w:right w:val="none" w:sz="0" w:space="0" w:color="auto"/>
      </w:divBdr>
    </w:div>
    <w:div w:id="1255088482">
      <w:bodyDiv w:val="1"/>
      <w:marLeft w:val="0"/>
      <w:marRight w:val="0"/>
      <w:marTop w:val="0"/>
      <w:marBottom w:val="0"/>
      <w:divBdr>
        <w:top w:val="none" w:sz="0" w:space="0" w:color="auto"/>
        <w:left w:val="none" w:sz="0" w:space="0" w:color="auto"/>
        <w:bottom w:val="none" w:sz="0" w:space="0" w:color="auto"/>
        <w:right w:val="none" w:sz="0" w:space="0" w:color="auto"/>
      </w:divBdr>
    </w:div>
    <w:div w:id="1263684456">
      <w:bodyDiv w:val="1"/>
      <w:marLeft w:val="0"/>
      <w:marRight w:val="0"/>
      <w:marTop w:val="0"/>
      <w:marBottom w:val="0"/>
      <w:divBdr>
        <w:top w:val="none" w:sz="0" w:space="0" w:color="auto"/>
        <w:left w:val="none" w:sz="0" w:space="0" w:color="auto"/>
        <w:bottom w:val="none" w:sz="0" w:space="0" w:color="auto"/>
        <w:right w:val="none" w:sz="0" w:space="0" w:color="auto"/>
      </w:divBdr>
    </w:div>
    <w:div w:id="1272130684">
      <w:bodyDiv w:val="1"/>
      <w:marLeft w:val="0"/>
      <w:marRight w:val="0"/>
      <w:marTop w:val="0"/>
      <w:marBottom w:val="0"/>
      <w:divBdr>
        <w:top w:val="none" w:sz="0" w:space="0" w:color="auto"/>
        <w:left w:val="none" w:sz="0" w:space="0" w:color="auto"/>
        <w:bottom w:val="none" w:sz="0" w:space="0" w:color="auto"/>
        <w:right w:val="none" w:sz="0" w:space="0" w:color="auto"/>
      </w:divBdr>
    </w:div>
    <w:div w:id="1288050323">
      <w:bodyDiv w:val="1"/>
      <w:marLeft w:val="0"/>
      <w:marRight w:val="0"/>
      <w:marTop w:val="0"/>
      <w:marBottom w:val="0"/>
      <w:divBdr>
        <w:top w:val="none" w:sz="0" w:space="0" w:color="auto"/>
        <w:left w:val="none" w:sz="0" w:space="0" w:color="auto"/>
        <w:bottom w:val="none" w:sz="0" w:space="0" w:color="auto"/>
        <w:right w:val="none" w:sz="0" w:space="0" w:color="auto"/>
      </w:divBdr>
    </w:div>
    <w:div w:id="1315795257">
      <w:bodyDiv w:val="1"/>
      <w:marLeft w:val="0"/>
      <w:marRight w:val="0"/>
      <w:marTop w:val="0"/>
      <w:marBottom w:val="0"/>
      <w:divBdr>
        <w:top w:val="none" w:sz="0" w:space="0" w:color="auto"/>
        <w:left w:val="none" w:sz="0" w:space="0" w:color="auto"/>
        <w:bottom w:val="none" w:sz="0" w:space="0" w:color="auto"/>
        <w:right w:val="none" w:sz="0" w:space="0" w:color="auto"/>
      </w:divBdr>
    </w:div>
    <w:div w:id="1320770132">
      <w:bodyDiv w:val="1"/>
      <w:marLeft w:val="0"/>
      <w:marRight w:val="0"/>
      <w:marTop w:val="0"/>
      <w:marBottom w:val="0"/>
      <w:divBdr>
        <w:top w:val="none" w:sz="0" w:space="0" w:color="auto"/>
        <w:left w:val="none" w:sz="0" w:space="0" w:color="auto"/>
        <w:bottom w:val="none" w:sz="0" w:space="0" w:color="auto"/>
        <w:right w:val="none" w:sz="0" w:space="0" w:color="auto"/>
      </w:divBdr>
    </w:div>
    <w:div w:id="1327710828">
      <w:bodyDiv w:val="1"/>
      <w:marLeft w:val="0"/>
      <w:marRight w:val="0"/>
      <w:marTop w:val="0"/>
      <w:marBottom w:val="0"/>
      <w:divBdr>
        <w:top w:val="none" w:sz="0" w:space="0" w:color="auto"/>
        <w:left w:val="none" w:sz="0" w:space="0" w:color="auto"/>
        <w:bottom w:val="none" w:sz="0" w:space="0" w:color="auto"/>
        <w:right w:val="none" w:sz="0" w:space="0" w:color="auto"/>
      </w:divBdr>
    </w:div>
    <w:div w:id="1359429001">
      <w:bodyDiv w:val="1"/>
      <w:marLeft w:val="0"/>
      <w:marRight w:val="0"/>
      <w:marTop w:val="0"/>
      <w:marBottom w:val="0"/>
      <w:divBdr>
        <w:top w:val="none" w:sz="0" w:space="0" w:color="auto"/>
        <w:left w:val="none" w:sz="0" w:space="0" w:color="auto"/>
        <w:bottom w:val="none" w:sz="0" w:space="0" w:color="auto"/>
        <w:right w:val="none" w:sz="0" w:space="0" w:color="auto"/>
      </w:divBdr>
      <w:divsChild>
        <w:div w:id="975918115">
          <w:marLeft w:val="0"/>
          <w:marRight w:val="0"/>
          <w:marTop w:val="0"/>
          <w:marBottom w:val="0"/>
          <w:divBdr>
            <w:top w:val="none" w:sz="0" w:space="0" w:color="auto"/>
            <w:left w:val="none" w:sz="0" w:space="0" w:color="auto"/>
            <w:bottom w:val="none" w:sz="0" w:space="0" w:color="auto"/>
            <w:right w:val="none" w:sz="0" w:space="0" w:color="auto"/>
          </w:divBdr>
          <w:divsChild>
            <w:div w:id="1719431598">
              <w:marLeft w:val="120"/>
              <w:marRight w:val="120"/>
              <w:marTop w:val="120"/>
              <w:marBottom w:val="120"/>
              <w:divBdr>
                <w:top w:val="none" w:sz="0" w:space="0" w:color="auto"/>
                <w:left w:val="none" w:sz="0" w:space="0" w:color="auto"/>
                <w:bottom w:val="none" w:sz="0" w:space="0" w:color="auto"/>
                <w:right w:val="none" w:sz="0" w:space="0" w:color="auto"/>
              </w:divBdr>
              <w:divsChild>
                <w:div w:id="798108808">
                  <w:marLeft w:val="0"/>
                  <w:marRight w:val="0"/>
                  <w:marTop w:val="0"/>
                  <w:marBottom w:val="0"/>
                  <w:divBdr>
                    <w:top w:val="none" w:sz="0" w:space="0" w:color="auto"/>
                    <w:left w:val="none" w:sz="0" w:space="0" w:color="auto"/>
                    <w:bottom w:val="none" w:sz="0" w:space="0" w:color="auto"/>
                    <w:right w:val="none" w:sz="0" w:space="0" w:color="auto"/>
                  </w:divBdr>
                  <w:divsChild>
                    <w:div w:id="1346857762">
                      <w:marLeft w:val="0"/>
                      <w:marRight w:val="0"/>
                      <w:marTop w:val="0"/>
                      <w:marBottom w:val="0"/>
                      <w:divBdr>
                        <w:top w:val="none" w:sz="0" w:space="0" w:color="auto"/>
                        <w:left w:val="none" w:sz="0" w:space="0" w:color="auto"/>
                        <w:bottom w:val="none" w:sz="0" w:space="0" w:color="auto"/>
                        <w:right w:val="none" w:sz="0" w:space="0" w:color="auto"/>
                      </w:divBdr>
                      <w:divsChild>
                        <w:div w:id="1498957106">
                          <w:marLeft w:val="0"/>
                          <w:marRight w:val="0"/>
                          <w:marTop w:val="0"/>
                          <w:marBottom w:val="0"/>
                          <w:divBdr>
                            <w:top w:val="none" w:sz="0" w:space="0" w:color="auto"/>
                            <w:left w:val="none" w:sz="0" w:space="0" w:color="auto"/>
                            <w:bottom w:val="none" w:sz="0" w:space="0" w:color="auto"/>
                            <w:right w:val="none" w:sz="0" w:space="0" w:color="auto"/>
                          </w:divBdr>
                        </w:div>
                        <w:div w:id="11823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14393">
          <w:marLeft w:val="0"/>
          <w:marRight w:val="0"/>
          <w:marTop w:val="0"/>
          <w:marBottom w:val="0"/>
          <w:divBdr>
            <w:top w:val="none" w:sz="0" w:space="0" w:color="auto"/>
            <w:left w:val="single" w:sz="48" w:space="0" w:color="auto"/>
            <w:bottom w:val="none" w:sz="0" w:space="0" w:color="auto"/>
            <w:right w:val="single" w:sz="48" w:space="0" w:color="auto"/>
          </w:divBdr>
          <w:divsChild>
            <w:div w:id="1724984787">
              <w:marLeft w:val="0"/>
              <w:marRight w:val="0"/>
              <w:marTop w:val="100"/>
              <w:marBottom w:val="100"/>
              <w:divBdr>
                <w:top w:val="none" w:sz="0" w:space="0" w:color="auto"/>
                <w:left w:val="none" w:sz="0" w:space="0" w:color="auto"/>
                <w:bottom w:val="none" w:sz="0" w:space="0" w:color="auto"/>
                <w:right w:val="none" w:sz="0" w:space="0" w:color="auto"/>
              </w:divBdr>
              <w:divsChild>
                <w:div w:id="1966346634">
                  <w:marLeft w:val="0"/>
                  <w:marRight w:val="0"/>
                  <w:marTop w:val="0"/>
                  <w:marBottom w:val="0"/>
                  <w:divBdr>
                    <w:top w:val="none" w:sz="0" w:space="0" w:color="auto"/>
                    <w:left w:val="none" w:sz="0" w:space="0" w:color="auto"/>
                    <w:bottom w:val="none" w:sz="0" w:space="0" w:color="auto"/>
                    <w:right w:val="none" w:sz="0" w:space="0" w:color="auto"/>
                  </w:divBdr>
                </w:div>
              </w:divsChild>
            </w:div>
            <w:div w:id="1683628044">
              <w:marLeft w:val="0"/>
              <w:marRight w:val="0"/>
              <w:marTop w:val="0"/>
              <w:marBottom w:val="0"/>
              <w:divBdr>
                <w:top w:val="none" w:sz="0" w:space="0" w:color="auto"/>
                <w:left w:val="none" w:sz="0" w:space="0" w:color="auto"/>
                <w:bottom w:val="none" w:sz="0" w:space="0" w:color="auto"/>
                <w:right w:val="none" w:sz="0" w:space="0" w:color="auto"/>
              </w:divBdr>
              <w:divsChild>
                <w:div w:id="243493733">
                  <w:marLeft w:val="0"/>
                  <w:marRight w:val="0"/>
                  <w:marTop w:val="0"/>
                  <w:marBottom w:val="0"/>
                  <w:divBdr>
                    <w:top w:val="none" w:sz="0" w:space="0" w:color="auto"/>
                    <w:left w:val="none" w:sz="0" w:space="0" w:color="auto"/>
                    <w:bottom w:val="none" w:sz="0" w:space="0" w:color="auto"/>
                    <w:right w:val="none" w:sz="0" w:space="0" w:color="auto"/>
                  </w:divBdr>
                </w:div>
                <w:div w:id="959797083">
                  <w:marLeft w:val="0"/>
                  <w:marRight w:val="0"/>
                  <w:marTop w:val="0"/>
                  <w:marBottom w:val="0"/>
                  <w:divBdr>
                    <w:top w:val="none" w:sz="0" w:space="0" w:color="auto"/>
                    <w:left w:val="none" w:sz="0" w:space="0" w:color="auto"/>
                    <w:bottom w:val="none" w:sz="0" w:space="0" w:color="auto"/>
                    <w:right w:val="none" w:sz="0" w:space="0" w:color="auto"/>
                  </w:divBdr>
                </w:div>
              </w:divsChild>
            </w:div>
            <w:div w:id="1051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1762">
      <w:bodyDiv w:val="1"/>
      <w:marLeft w:val="0"/>
      <w:marRight w:val="0"/>
      <w:marTop w:val="0"/>
      <w:marBottom w:val="0"/>
      <w:divBdr>
        <w:top w:val="none" w:sz="0" w:space="0" w:color="auto"/>
        <w:left w:val="none" w:sz="0" w:space="0" w:color="auto"/>
        <w:bottom w:val="none" w:sz="0" w:space="0" w:color="auto"/>
        <w:right w:val="none" w:sz="0" w:space="0" w:color="auto"/>
      </w:divBdr>
    </w:div>
    <w:div w:id="1382945735">
      <w:bodyDiv w:val="1"/>
      <w:marLeft w:val="0"/>
      <w:marRight w:val="0"/>
      <w:marTop w:val="0"/>
      <w:marBottom w:val="0"/>
      <w:divBdr>
        <w:top w:val="none" w:sz="0" w:space="0" w:color="auto"/>
        <w:left w:val="none" w:sz="0" w:space="0" w:color="auto"/>
        <w:bottom w:val="none" w:sz="0" w:space="0" w:color="auto"/>
        <w:right w:val="none" w:sz="0" w:space="0" w:color="auto"/>
      </w:divBdr>
    </w:div>
    <w:div w:id="1453480109">
      <w:bodyDiv w:val="1"/>
      <w:marLeft w:val="0"/>
      <w:marRight w:val="0"/>
      <w:marTop w:val="0"/>
      <w:marBottom w:val="0"/>
      <w:divBdr>
        <w:top w:val="none" w:sz="0" w:space="0" w:color="auto"/>
        <w:left w:val="none" w:sz="0" w:space="0" w:color="auto"/>
        <w:bottom w:val="none" w:sz="0" w:space="0" w:color="auto"/>
        <w:right w:val="none" w:sz="0" w:space="0" w:color="auto"/>
      </w:divBdr>
    </w:div>
    <w:div w:id="1456480440">
      <w:bodyDiv w:val="1"/>
      <w:marLeft w:val="0"/>
      <w:marRight w:val="0"/>
      <w:marTop w:val="0"/>
      <w:marBottom w:val="0"/>
      <w:divBdr>
        <w:top w:val="none" w:sz="0" w:space="0" w:color="auto"/>
        <w:left w:val="none" w:sz="0" w:space="0" w:color="auto"/>
        <w:bottom w:val="none" w:sz="0" w:space="0" w:color="auto"/>
        <w:right w:val="none" w:sz="0" w:space="0" w:color="auto"/>
      </w:divBdr>
    </w:div>
    <w:div w:id="1474714588">
      <w:bodyDiv w:val="1"/>
      <w:marLeft w:val="0"/>
      <w:marRight w:val="0"/>
      <w:marTop w:val="0"/>
      <w:marBottom w:val="0"/>
      <w:divBdr>
        <w:top w:val="none" w:sz="0" w:space="0" w:color="auto"/>
        <w:left w:val="none" w:sz="0" w:space="0" w:color="auto"/>
        <w:bottom w:val="none" w:sz="0" w:space="0" w:color="auto"/>
        <w:right w:val="none" w:sz="0" w:space="0" w:color="auto"/>
      </w:divBdr>
    </w:div>
    <w:div w:id="1475413878">
      <w:bodyDiv w:val="1"/>
      <w:marLeft w:val="0"/>
      <w:marRight w:val="0"/>
      <w:marTop w:val="0"/>
      <w:marBottom w:val="0"/>
      <w:divBdr>
        <w:top w:val="none" w:sz="0" w:space="0" w:color="auto"/>
        <w:left w:val="none" w:sz="0" w:space="0" w:color="auto"/>
        <w:bottom w:val="none" w:sz="0" w:space="0" w:color="auto"/>
        <w:right w:val="none" w:sz="0" w:space="0" w:color="auto"/>
      </w:divBdr>
      <w:divsChild>
        <w:div w:id="1459183598">
          <w:marLeft w:val="0"/>
          <w:marRight w:val="0"/>
          <w:marTop w:val="240"/>
          <w:marBottom w:val="480"/>
          <w:divBdr>
            <w:top w:val="none" w:sz="0" w:space="0" w:color="auto"/>
            <w:left w:val="none" w:sz="0" w:space="0" w:color="auto"/>
            <w:bottom w:val="none" w:sz="0" w:space="0" w:color="auto"/>
            <w:right w:val="none" w:sz="0" w:space="0" w:color="auto"/>
          </w:divBdr>
          <w:divsChild>
            <w:div w:id="317611233">
              <w:marLeft w:val="0"/>
              <w:marRight w:val="0"/>
              <w:marTop w:val="0"/>
              <w:marBottom w:val="0"/>
              <w:divBdr>
                <w:top w:val="none" w:sz="0" w:space="0" w:color="auto"/>
                <w:left w:val="none" w:sz="0" w:space="0" w:color="auto"/>
                <w:bottom w:val="none" w:sz="0" w:space="0" w:color="auto"/>
                <w:right w:val="none" w:sz="0" w:space="0" w:color="auto"/>
              </w:divBdr>
              <w:divsChild>
                <w:div w:id="816537347">
                  <w:marLeft w:val="0"/>
                  <w:marRight w:val="0"/>
                  <w:marTop w:val="0"/>
                  <w:marBottom w:val="0"/>
                  <w:divBdr>
                    <w:top w:val="none" w:sz="0" w:space="0" w:color="auto"/>
                    <w:left w:val="none" w:sz="0" w:space="0" w:color="auto"/>
                    <w:bottom w:val="none" w:sz="0" w:space="0" w:color="auto"/>
                    <w:right w:val="none" w:sz="0" w:space="0" w:color="auto"/>
                  </w:divBdr>
                  <w:divsChild>
                    <w:div w:id="37360833">
                      <w:marLeft w:val="0"/>
                      <w:marRight w:val="0"/>
                      <w:marTop w:val="0"/>
                      <w:marBottom w:val="0"/>
                      <w:divBdr>
                        <w:top w:val="none" w:sz="0" w:space="0" w:color="auto"/>
                        <w:left w:val="none" w:sz="0" w:space="0" w:color="auto"/>
                        <w:bottom w:val="none" w:sz="0" w:space="0" w:color="auto"/>
                        <w:right w:val="none" w:sz="0" w:space="0" w:color="auto"/>
                      </w:divBdr>
                      <w:divsChild>
                        <w:div w:id="657534325">
                          <w:marLeft w:val="0"/>
                          <w:marRight w:val="0"/>
                          <w:marTop w:val="0"/>
                          <w:marBottom w:val="0"/>
                          <w:divBdr>
                            <w:top w:val="none" w:sz="0" w:space="0" w:color="auto"/>
                            <w:left w:val="none" w:sz="0" w:space="0" w:color="auto"/>
                            <w:bottom w:val="none" w:sz="0" w:space="0" w:color="auto"/>
                            <w:right w:val="none" w:sz="0" w:space="0" w:color="auto"/>
                          </w:divBdr>
                          <w:divsChild>
                            <w:div w:id="1288661511">
                              <w:marLeft w:val="0"/>
                              <w:marRight w:val="0"/>
                              <w:marTop w:val="0"/>
                              <w:marBottom w:val="0"/>
                              <w:divBdr>
                                <w:top w:val="none" w:sz="0" w:space="0" w:color="auto"/>
                                <w:left w:val="none" w:sz="0" w:space="0" w:color="auto"/>
                                <w:bottom w:val="none" w:sz="0" w:space="0" w:color="auto"/>
                                <w:right w:val="none" w:sz="0" w:space="0" w:color="auto"/>
                              </w:divBdr>
                              <w:divsChild>
                                <w:div w:id="1994333575">
                                  <w:marLeft w:val="0"/>
                                  <w:marRight w:val="0"/>
                                  <w:marTop w:val="150"/>
                                  <w:marBottom w:val="150"/>
                                  <w:divBdr>
                                    <w:top w:val="none" w:sz="0" w:space="0" w:color="auto"/>
                                    <w:left w:val="none" w:sz="0" w:space="0" w:color="auto"/>
                                    <w:bottom w:val="none" w:sz="0" w:space="0" w:color="auto"/>
                                    <w:right w:val="none" w:sz="0" w:space="0" w:color="auto"/>
                                  </w:divBdr>
                                  <w:divsChild>
                                    <w:div w:id="942610106">
                                      <w:marLeft w:val="0"/>
                                      <w:marRight w:val="0"/>
                                      <w:marTop w:val="0"/>
                                      <w:marBottom w:val="0"/>
                                      <w:divBdr>
                                        <w:top w:val="none" w:sz="0" w:space="0" w:color="auto"/>
                                        <w:left w:val="none" w:sz="0" w:space="0" w:color="auto"/>
                                        <w:bottom w:val="none" w:sz="0" w:space="0" w:color="auto"/>
                                        <w:right w:val="none" w:sz="0" w:space="0" w:color="auto"/>
                                      </w:divBdr>
                                      <w:divsChild>
                                        <w:div w:id="20453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307376">
      <w:bodyDiv w:val="1"/>
      <w:marLeft w:val="0"/>
      <w:marRight w:val="0"/>
      <w:marTop w:val="0"/>
      <w:marBottom w:val="0"/>
      <w:divBdr>
        <w:top w:val="none" w:sz="0" w:space="0" w:color="auto"/>
        <w:left w:val="none" w:sz="0" w:space="0" w:color="auto"/>
        <w:bottom w:val="none" w:sz="0" w:space="0" w:color="auto"/>
        <w:right w:val="none" w:sz="0" w:space="0" w:color="auto"/>
      </w:divBdr>
    </w:div>
    <w:div w:id="1497915110">
      <w:bodyDiv w:val="1"/>
      <w:marLeft w:val="0"/>
      <w:marRight w:val="0"/>
      <w:marTop w:val="0"/>
      <w:marBottom w:val="0"/>
      <w:divBdr>
        <w:top w:val="none" w:sz="0" w:space="0" w:color="auto"/>
        <w:left w:val="none" w:sz="0" w:space="0" w:color="auto"/>
        <w:bottom w:val="none" w:sz="0" w:space="0" w:color="auto"/>
        <w:right w:val="none" w:sz="0" w:space="0" w:color="auto"/>
      </w:divBdr>
    </w:div>
    <w:div w:id="1525898874">
      <w:bodyDiv w:val="1"/>
      <w:marLeft w:val="0"/>
      <w:marRight w:val="0"/>
      <w:marTop w:val="0"/>
      <w:marBottom w:val="0"/>
      <w:divBdr>
        <w:top w:val="none" w:sz="0" w:space="0" w:color="auto"/>
        <w:left w:val="none" w:sz="0" w:space="0" w:color="auto"/>
        <w:bottom w:val="none" w:sz="0" w:space="0" w:color="auto"/>
        <w:right w:val="none" w:sz="0" w:space="0" w:color="auto"/>
      </w:divBdr>
      <w:divsChild>
        <w:div w:id="1480657421">
          <w:marLeft w:val="0"/>
          <w:marRight w:val="0"/>
          <w:marTop w:val="0"/>
          <w:marBottom w:val="0"/>
          <w:divBdr>
            <w:top w:val="none" w:sz="0" w:space="0" w:color="C4DEEE"/>
            <w:left w:val="none" w:sz="0" w:space="8" w:color="C4DEEE"/>
            <w:bottom w:val="none" w:sz="0" w:space="0" w:color="C4DEEE"/>
            <w:right w:val="none" w:sz="0" w:space="0" w:color="C4DEEE"/>
          </w:divBdr>
        </w:div>
        <w:div w:id="733939251">
          <w:marLeft w:val="0"/>
          <w:marRight w:val="0"/>
          <w:marTop w:val="0"/>
          <w:marBottom w:val="0"/>
          <w:divBdr>
            <w:top w:val="none" w:sz="0" w:space="0" w:color="C4DEEE"/>
            <w:left w:val="none" w:sz="0" w:space="0" w:color="C4DEEE"/>
            <w:bottom w:val="none" w:sz="0" w:space="0" w:color="C4DEEE"/>
            <w:right w:val="none" w:sz="0" w:space="0" w:color="C4DEEE"/>
          </w:divBdr>
          <w:divsChild>
            <w:div w:id="992754266">
              <w:marLeft w:val="0"/>
              <w:marRight w:val="0"/>
              <w:marTop w:val="0"/>
              <w:marBottom w:val="0"/>
              <w:divBdr>
                <w:top w:val="none" w:sz="0" w:space="0" w:color="C4DEEE"/>
                <w:left w:val="none" w:sz="0" w:space="8" w:color="C4DEEE"/>
                <w:bottom w:val="none" w:sz="0" w:space="0" w:color="C4DEEE"/>
                <w:right w:val="none" w:sz="0" w:space="0" w:color="C4DEEE"/>
              </w:divBdr>
              <w:divsChild>
                <w:div w:id="850920036">
                  <w:marLeft w:val="0"/>
                  <w:marRight w:val="0"/>
                  <w:marTop w:val="0"/>
                  <w:marBottom w:val="0"/>
                  <w:divBdr>
                    <w:top w:val="none" w:sz="0" w:space="0" w:color="C4DEEE"/>
                    <w:left w:val="none" w:sz="0" w:space="0" w:color="C4DEEE"/>
                    <w:bottom w:val="none" w:sz="0" w:space="0" w:color="C4DEEE"/>
                    <w:right w:val="none" w:sz="0" w:space="0" w:color="C4DEEE"/>
                  </w:divBdr>
                  <w:divsChild>
                    <w:div w:id="134031134">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sChild>
    </w:div>
    <w:div w:id="1543863710">
      <w:bodyDiv w:val="1"/>
      <w:marLeft w:val="0"/>
      <w:marRight w:val="0"/>
      <w:marTop w:val="0"/>
      <w:marBottom w:val="0"/>
      <w:divBdr>
        <w:top w:val="none" w:sz="0" w:space="0" w:color="auto"/>
        <w:left w:val="none" w:sz="0" w:space="0" w:color="auto"/>
        <w:bottom w:val="none" w:sz="0" w:space="0" w:color="auto"/>
        <w:right w:val="none" w:sz="0" w:space="0" w:color="auto"/>
      </w:divBdr>
    </w:div>
    <w:div w:id="1570798553">
      <w:bodyDiv w:val="1"/>
      <w:marLeft w:val="0"/>
      <w:marRight w:val="0"/>
      <w:marTop w:val="0"/>
      <w:marBottom w:val="0"/>
      <w:divBdr>
        <w:top w:val="none" w:sz="0" w:space="0" w:color="auto"/>
        <w:left w:val="none" w:sz="0" w:space="0" w:color="auto"/>
        <w:bottom w:val="none" w:sz="0" w:space="0" w:color="auto"/>
        <w:right w:val="none" w:sz="0" w:space="0" w:color="auto"/>
      </w:divBdr>
      <w:divsChild>
        <w:div w:id="1774747177">
          <w:marLeft w:val="0"/>
          <w:marRight w:val="0"/>
          <w:marTop w:val="0"/>
          <w:marBottom w:val="0"/>
          <w:divBdr>
            <w:top w:val="none" w:sz="0" w:space="0" w:color="auto"/>
            <w:left w:val="none" w:sz="0" w:space="0" w:color="auto"/>
            <w:bottom w:val="none" w:sz="0" w:space="0" w:color="auto"/>
            <w:right w:val="none" w:sz="0" w:space="0" w:color="auto"/>
          </w:divBdr>
          <w:divsChild>
            <w:div w:id="414134625">
              <w:marLeft w:val="0"/>
              <w:marRight w:val="0"/>
              <w:marTop w:val="0"/>
              <w:marBottom w:val="0"/>
              <w:divBdr>
                <w:top w:val="none" w:sz="0" w:space="0" w:color="auto"/>
                <w:left w:val="none" w:sz="0" w:space="0" w:color="auto"/>
                <w:bottom w:val="none" w:sz="0" w:space="0" w:color="auto"/>
                <w:right w:val="none" w:sz="0" w:space="0" w:color="auto"/>
              </w:divBdr>
              <w:divsChild>
                <w:div w:id="683019716">
                  <w:marLeft w:val="0"/>
                  <w:marRight w:val="0"/>
                  <w:marTop w:val="0"/>
                  <w:marBottom w:val="0"/>
                  <w:divBdr>
                    <w:top w:val="none" w:sz="0" w:space="0" w:color="auto"/>
                    <w:left w:val="none" w:sz="0" w:space="0" w:color="auto"/>
                    <w:bottom w:val="none" w:sz="0" w:space="0" w:color="auto"/>
                    <w:right w:val="none" w:sz="0" w:space="0" w:color="auto"/>
                  </w:divBdr>
                  <w:divsChild>
                    <w:div w:id="305018177">
                      <w:marLeft w:val="0"/>
                      <w:marRight w:val="0"/>
                      <w:marTop w:val="0"/>
                      <w:marBottom w:val="0"/>
                      <w:divBdr>
                        <w:top w:val="none" w:sz="0" w:space="0" w:color="auto"/>
                        <w:left w:val="none" w:sz="0" w:space="0" w:color="auto"/>
                        <w:bottom w:val="none" w:sz="0" w:space="0" w:color="auto"/>
                        <w:right w:val="none" w:sz="0" w:space="0" w:color="auto"/>
                      </w:divBdr>
                      <w:divsChild>
                        <w:div w:id="468742873">
                          <w:marLeft w:val="384"/>
                          <w:marRight w:val="384"/>
                          <w:marTop w:val="0"/>
                          <w:marBottom w:val="0"/>
                          <w:divBdr>
                            <w:top w:val="none" w:sz="0" w:space="0" w:color="auto"/>
                            <w:left w:val="none" w:sz="0" w:space="0" w:color="auto"/>
                            <w:bottom w:val="none" w:sz="0" w:space="0" w:color="auto"/>
                            <w:right w:val="none" w:sz="0" w:space="0" w:color="auto"/>
                          </w:divBdr>
                          <w:divsChild>
                            <w:div w:id="1904607279">
                              <w:marLeft w:val="0"/>
                              <w:marRight w:val="0"/>
                              <w:marTop w:val="0"/>
                              <w:marBottom w:val="0"/>
                              <w:divBdr>
                                <w:top w:val="none" w:sz="0" w:space="0" w:color="auto"/>
                                <w:left w:val="none" w:sz="0" w:space="0" w:color="auto"/>
                                <w:bottom w:val="none" w:sz="0" w:space="0" w:color="auto"/>
                                <w:right w:val="none" w:sz="0" w:space="0" w:color="auto"/>
                              </w:divBdr>
                              <w:divsChild>
                                <w:div w:id="1300652996">
                                  <w:marLeft w:val="0"/>
                                  <w:marRight w:val="0"/>
                                  <w:marTop w:val="0"/>
                                  <w:marBottom w:val="0"/>
                                  <w:divBdr>
                                    <w:top w:val="none" w:sz="0" w:space="0" w:color="auto"/>
                                    <w:left w:val="none" w:sz="0" w:space="0" w:color="auto"/>
                                    <w:bottom w:val="none" w:sz="0" w:space="0" w:color="auto"/>
                                    <w:right w:val="none" w:sz="0" w:space="0" w:color="auto"/>
                                  </w:divBdr>
                                  <w:divsChild>
                                    <w:div w:id="1899510790">
                                      <w:marLeft w:val="0"/>
                                      <w:marRight w:val="0"/>
                                      <w:marTop w:val="332"/>
                                      <w:marBottom w:val="332"/>
                                      <w:divBdr>
                                        <w:top w:val="none" w:sz="0" w:space="0" w:color="auto"/>
                                        <w:left w:val="none" w:sz="0" w:space="0" w:color="auto"/>
                                        <w:bottom w:val="none" w:sz="0" w:space="0" w:color="auto"/>
                                        <w:right w:val="none" w:sz="0" w:space="0" w:color="auto"/>
                                      </w:divBdr>
                                      <w:divsChild>
                                        <w:div w:id="478888744">
                                          <w:marLeft w:val="0"/>
                                          <w:marRight w:val="0"/>
                                          <w:marTop w:val="332"/>
                                          <w:marBottom w:val="332"/>
                                          <w:divBdr>
                                            <w:top w:val="none" w:sz="0" w:space="0" w:color="auto"/>
                                            <w:left w:val="none" w:sz="0" w:space="0" w:color="auto"/>
                                            <w:bottom w:val="none" w:sz="0" w:space="0" w:color="auto"/>
                                            <w:right w:val="none" w:sz="0" w:space="0" w:color="auto"/>
                                          </w:divBdr>
                                          <w:divsChild>
                                            <w:div w:id="1565723341">
                                              <w:marLeft w:val="0"/>
                                              <w:marRight w:val="0"/>
                                              <w:marTop w:val="0"/>
                                              <w:marBottom w:val="0"/>
                                              <w:divBdr>
                                                <w:top w:val="none" w:sz="0" w:space="0" w:color="auto"/>
                                                <w:left w:val="none" w:sz="0" w:space="0" w:color="auto"/>
                                                <w:bottom w:val="none" w:sz="0" w:space="0" w:color="auto"/>
                                                <w:right w:val="none" w:sz="0" w:space="0" w:color="auto"/>
                                              </w:divBdr>
                                            </w:div>
                                            <w:div w:id="675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50331">
      <w:bodyDiv w:val="1"/>
      <w:marLeft w:val="0"/>
      <w:marRight w:val="0"/>
      <w:marTop w:val="0"/>
      <w:marBottom w:val="0"/>
      <w:divBdr>
        <w:top w:val="none" w:sz="0" w:space="0" w:color="auto"/>
        <w:left w:val="none" w:sz="0" w:space="0" w:color="auto"/>
        <w:bottom w:val="none" w:sz="0" w:space="0" w:color="auto"/>
        <w:right w:val="none" w:sz="0" w:space="0" w:color="auto"/>
      </w:divBdr>
    </w:div>
    <w:div w:id="1601329193">
      <w:bodyDiv w:val="1"/>
      <w:marLeft w:val="0"/>
      <w:marRight w:val="0"/>
      <w:marTop w:val="0"/>
      <w:marBottom w:val="0"/>
      <w:divBdr>
        <w:top w:val="none" w:sz="0" w:space="0" w:color="auto"/>
        <w:left w:val="none" w:sz="0" w:space="0" w:color="auto"/>
        <w:bottom w:val="none" w:sz="0" w:space="0" w:color="auto"/>
        <w:right w:val="none" w:sz="0" w:space="0" w:color="auto"/>
      </w:divBdr>
    </w:div>
    <w:div w:id="1602563770">
      <w:bodyDiv w:val="1"/>
      <w:marLeft w:val="0"/>
      <w:marRight w:val="0"/>
      <w:marTop w:val="0"/>
      <w:marBottom w:val="0"/>
      <w:divBdr>
        <w:top w:val="none" w:sz="0" w:space="0" w:color="auto"/>
        <w:left w:val="none" w:sz="0" w:space="0" w:color="auto"/>
        <w:bottom w:val="none" w:sz="0" w:space="0" w:color="auto"/>
        <w:right w:val="none" w:sz="0" w:space="0" w:color="auto"/>
      </w:divBdr>
    </w:div>
    <w:div w:id="1662198236">
      <w:bodyDiv w:val="1"/>
      <w:marLeft w:val="0"/>
      <w:marRight w:val="0"/>
      <w:marTop w:val="0"/>
      <w:marBottom w:val="0"/>
      <w:divBdr>
        <w:top w:val="none" w:sz="0" w:space="0" w:color="auto"/>
        <w:left w:val="none" w:sz="0" w:space="0" w:color="auto"/>
        <w:bottom w:val="none" w:sz="0" w:space="0" w:color="auto"/>
        <w:right w:val="none" w:sz="0" w:space="0" w:color="auto"/>
      </w:divBdr>
    </w:div>
    <w:div w:id="1662539554">
      <w:bodyDiv w:val="1"/>
      <w:marLeft w:val="0"/>
      <w:marRight w:val="0"/>
      <w:marTop w:val="0"/>
      <w:marBottom w:val="0"/>
      <w:divBdr>
        <w:top w:val="none" w:sz="0" w:space="0" w:color="auto"/>
        <w:left w:val="none" w:sz="0" w:space="0" w:color="auto"/>
        <w:bottom w:val="none" w:sz="0" w:space="0" w:color="auto"/>
        <w:right w:val="none" w:sz="0" w:space="0" w:color="auto"/>
      </w:divBdr>
    </w:div>
    <w:div w:id="1682465760">
      <w:bodyDiv w:val="1"/>
      <w:marLeft w:val="0"/>
      <w:marRight w:val="0"/>
      <w:marTop w:val="0"/>
      <w:marBottom w:val="0"/>
      <w:divBdr>
        <w:top w:val="none" w:sz="0" w:space="0" w:color="auto"/>
        <w:left w:val="none" w:sz="0" w:space="0" w:color="auto"/>
        <w:bottom w:val="none" w:sz="0" w:space="0" w:color="auto"/>
        <w:right w:val="none" w:sz="0" w:space="0" w:color="auto"/>
      </w:divBdr>
    </w:div>
    <w:div w:id="1701395042">
      <w:bodyDiv w:val="1"/>
      <w:marLeft w:val="0"/>
      <w:marRight w:val="0"/>
      <w:marTop w:val="0"/>
      <w:marBottom w:val="0"/>
      <w:divBdr>
        <w:top w:val="none" w:sz="0" w:space="0" w:color="auto"/>
        <w:left w:val="none" w:sz="0" w:space="0" w:color="auto"/>
        <w:bottom w:val="none" w:sz="0" w:space="0" w:color="auto"/>
        <w:right w:val="none" w:sz="0" w:space="0" w:color="auto"/>
      </w:divBdr>
    </w:div>
    <w:div w:id="1708218557">
      <w:bodyDiv w:val="1"/>
      <w:marLeft w:val="0"/>
      <w:marRight w:val="0"/>
      <w:marTop w:val="0"/>
      <w:marBottom w:val="0"/>
      <w:divBdr>
        <w:top w:val="none" w:sz="0" w:space="0" w:color="auto"/>
        <w:left w:val="none" w:sz="0" w:space="0" w:color="auto"/>
        <w:bottom w:val="none" w:sz="0" w:space="0" w:color="auto"/>
        <w:right w:val="none" w:sz="0" w:space="0" w:color="auto"/>
      </w:divBdr>
    </w:div>
    <w:div w:id="1711303349">
      <w:bodyDiv w:val="1"/>
      <w:marLeft w:val="0"/>
      <w:marRight w:val="0"/>
      <w:marTop w:val="0"/>
      <w:marBottom w:val="0"/>
      <w:divBdr>
        <w:top w:val="none" w:sz="0" w:space="0" w:color="auto"/>
        <w:left w:val="none" w:sz="0" w:space="0" w:color="auto"/>
        <w:bottom w:val="none" w:sz="0" w:space="0" w:color="auto"/>
        <w:right w:val="none" w:sz="0" w:space="0" w:color="auto"/>
      </w:divBdr>
      <w:divsChild>
        <w:div w:id="1309823336">
          <w:marLeft w:val="0"/>
          <w:marRight w:val="0"/>
          <w:marTop w:val="0"/>
          <w:marBottom w:val="0"/>
          <w:divBdr>
            <w:top w:val="none" w:sz="0" w:space="0" w:color="auto"/>
            <w:left w:val="none" w:sz="0" w:space="0" w:color="auto"/>
            <w:bottom w:val="none" w:sz="0" w:space="0" w:color="auto"/>
            <w:right w:val="none" w:sz="0" w:space="0" w:color="auto"/>
          </w:divBdr>
        </w:div>
        <w:div w:id="496923871">
          <w:marLeft w:val="0"/>
          <w:marRight w:val="0"/>
          <w:marTop w:val="0"/>
          <w:marBottom w:val="0"/>
          <w:divBdr>
            <w:top w:val="none" w:sz="0" w:space="0" w:color="auto"/>
            <w:left w:val="none" w:sz="0" w:space="0" w:color="auto"/>
            <w:bottom w:val="none" w:sz="0" w:space="0" w:color="auto"/>
            <w:right w:val="none" w:sz="0" w:space="0" w:color="auto"/>
          </w:divBdr>
        </w:div>
        <w:div w:id="753278547">
          <w:marLeft w:val="0"/>
          <w:marRight w:val="0"/>
          <w:marTop w:val="0"/>
          <w:marBottom w:val="0"/>
          <w:divBdr>
            <w:top w:val="none" w:sz="0" w:space="0" w:color="auto"/>
            <w:left w:val="none" w:sz="0" w:space="0" w:color="auto"/>
            <w:bottom w:val="none" w:sz="0" w:space="0" w:color="auto"/>
            <w:right w:val="none" w:sz="0" w:space="0" w:color="auto"/>
          </w:divBdr>
        </w:div>
      </w:divsChild>
    </w:div>
    <w:div w:id="1718240260">
      <w:bodyDiv w:val="1"/>
      <w:marLeft w:val="0"/>
      <w:marRight w:val="0"/>
      <w:marTop w:val="0"/>
      <w:marBottom w:val="0"/>
      <w:divBdr>
        <w:top w:val="none" w:sz="0" w:space="0" w:color="auto"/>
        <w:left w:val="none" w:sz="0" w:space="0" w:color="auto"/>
        <w:bottom w:val="none" w:sz="0" w:space="0" w:color="auto"/>
        <w:right w:val="none" w:sz="0" w:space="0" w:color="auto"/>
      </w:divBdr>
    </w:div>
    <w:div w:id="1735082364">
      <w:bodyDiv w:val="1"/>
      <w:marLeft w:val="0"/>
      <w:marRight w:val="0"/>
      <w:marTop w:val="0"/>
      <w:marBottom w:val="0"/>
      <w:divBdr>
        <w:top w:val="none" w:sz="0" w:space="0" w:color="auto"/>
        <w:left w:val="none" w:sz="0" w:space="0" w:color="auto"/>
        <w:bottom w:val="none" w:sz="0" w:space="0" w:color="auto"/>
        <w:right w:val="none" w:sz="0" w:space="0" w:color="auto"/>
      </w:divBdr>
    </w:div>
    <w:div w:id="1735740970">
      <w:bodyDiv w:val="1"/>
      <w:marLeft w:val="0"/>
      <w:marRight w:val="0"/>
      <w:marTop w:val="0"/>
      <w:marBottom w:val="0"/>
      <w:divBdr>
        <w:top w:val="none" w:sz="0" w:space="0" w:color="auto"/>
        <w:left w:val="none" w:sz="0" w:space="0" w:color="auto"/>
        <w:bottom w:val="none" w:sz="0" w:space="0" w:color="auto"/>
        <w:right w:val="none" w:sz="0" w:space="0" w:color="auto"/>
      </w:divBdr>
    </w:div>
    <w:div w:id="1761565339">
      <w:bodyDiv w:val="1"/>
      <w:marLeft w:val="0"/>
      <w:marRight w:val="0"/>
      <w:marTop w:val="0"/>
      <w:marBottom w:val="0"/>
      <w:divBdr>
        <w:top w:val="none" w:sz="0" w:space="0" w:color="auto"/>
        <w:left w:val="none" w:sz="0" w:space="0" w:color="auto"/>
        <w:bottom w:val="none" w:sz="0" w:space="0" w:color="auto"/>
        <w:right w:val="none" w:sz="0" w:space="0" w:color="auto"/>
      </w:divBdr>
    </w:div>
    <w:div w:id="1775633003">
      <w:bodyDiv w:val="1"/>
      <w:marLeft w:val="0"/>
      <w:marRight w:val="0"/>
      <w:marTop w:val="0"/>
      <w:marBottom w:val="0"/>
      <w:divBdr>
        <w:top w:val="none" w:sz="0" w:space="0" w:color="auto"/>
        <w:left w:val="none" w:sz="0" w:space="0" w:color="auto"/>
        <w:bottom w:val="none" w:sz="0" w:space="0" w:color="auto"/>
        <w:right w:val="none" w:sz="0" w:space="0" w:color="auto"/>
      </w:divBdr>
    </w:div>
    <w:div w:id="1776711918">
      <w:bodyDiv w:val="1"/>
      <w:marLeft w:val="0"/>
      <w:marRight w:val="0"/>
      <w:marTop w:val="0"/>
      <w:marBottom w:val="0"/>
      <w:divBdr>
        <w:top w:val="none" w:sz="0" w:space="0" w:color="auto"/>
        <w:left w:val="none" w:sz="0" w:space="0" w:color="auto"/>
        <w:bottom w:val="none" w:sz="0" w:space="0" w:color="auto"/>
        <w:right w:val="none" w:sz="0" w:space="0" w:color="auto"/>
      </w:divBdr>
    </w:div>
    <w:div w:id="1781341355">
      <w:bodyDiv w:val="1"/>
      <w:marLeft w:val="0"/>
      <w:marRight w:val="0"/>
      <w:marTop w:val="0"/>
      <w:marBottom w:val="0"/>
      <w:divBdr>
        <w:top w:val="none" w:sz="0" w:space="0" w:color="auto"/>
        <w:left w:val="none" w:sz="0" w:space="0" w:color="auto"/>
        <w:bottom w:val="none" w:sz="0" w:space="0" w:color="auto"/>
        <w:right w:val="none" w:sz="0" w:space="0" w:color="auto"/>
      </w:divBdr>
    </w:div>
    <w:div w:id="1783843523">
      <w:bodyDiv w:val="1"/>
      <w:marLeft w:val="0"/>
      <w:marRight w:val="0"/>
      <w:marTop w:val="0"/>
      <w:marBottom w:val="0"/>
      <w:divBdr>
        <w:top w:val="none" w:sz="0" w:space="0" w:color="auto"/>
        <w:left w:val="none" w:sz="0" w:space="0" w:color="auto"/>
        <w:bottom w:val="none" w:sz="0" w:space="0" w:color="auto"/>
        <w:right w:val="none" w:sz="0" w:space="0" w:color="auto"/>
      </w:divBdr>
    </w:div>
    <w:div w:id="1836648327">
      <w:bodyDiv w:val="1"/>
      <w:marLeft w:val="0"/>
      <w:marRight w:val="0"/>
      <w:marTop w:val="0"/>
      <w:marBottom w:val="0"/>
      <w:divBdr>
        <w:top w:val="none" w:sz="0" w:space="0" w:color="auto"/>
        <w:left w:val="none" w:sz="0" w:space="0" w:color="auto"/>
        <w:bottom w:val="none" w:sz="0" w:space="0" w:color="auto"/>
        <w:right w:val="none" w:sz="0" w:space="0" w:color="auto"/>
      </w:divBdr>
      <w:divsChild>
        <w:div w:id="1501389620">
          <w:marLeft w:val="0"/>
          <w:marRight w:val="0"/>
          <w:marTop w:val="0"/>
          <w:marBottom w:val="0"/>
          <w:divBdr>
            <w:top w:val="none" w:sz="0" w:space="0" w:color="auto"/>
            <w:left w:val="none" w:sz="0" w:space="0" w:color="auto"/>
            <w:bottom w:val="none" w:sz="0" w:space="0" w:color="auto"/>
            <w:right w:val="none" w:sz="0" w:space="0" w:color="auto"/>
          </w:divBdr>
          <w:divsChild>
            <w:div w:id="154340342">
              <w:marLeft w:val="0"/>
              <w:marRight w:val="0"/>
              <w:marTop w:val="0"/>
              <w:marBottom w:val="0"/>
              <w:divBdr>
                <w:top w:val="none" w:sz="0" w:space="0" w:color="auto"/>
                <w:left w:val="none" w:sz="0" w:space="0" w:color="auto"/>
                <w:bottom w:val="none" w:sz="0" w:space="0" w:color="auto"/>
                <w:right w:val="none" w:sz="0" w:space="0" w:color="auto"/>
              </w:divBdr>
              <w:divsChild>
                <w:div w:id="222185305">
                  <w:marLeft w:val="0"/>
                  <w:marRight w:val="0"/>
                  <w:marTop w:val="0"/>
                  <w:marBottom w:val="0"/>
                  <w:divBdr>
                    <w:top w:val="none" w:sz="0" w:space="0" w:color="auto"/>
                    <w:left w:val="none" w:sz="0" w:space="0" w:color="auto"/>
                    <w:bottom w:val="none" w:sz="0" w:space="0" w:color="auto"/>
                    <w:right w:val="none" w:sz="0" w:space="0" w:color="auto"/>
                  </w:divBdr>
                  <w:divsChild>
                    <w:div w:id="667250699">
                      <w:marLeft w:val="0"/>
                      <w:marRight w:val="0"/>
                      <w:marTop w:val="0"/>
                      <w:marBottom w:val="0"/>
                      <w:divBdr>
                        <w:top w:val="none" w:sz="0" w:space="0" w:color="auto"/>
                        <w:left w:val="none" w:sz="0" w:space="0" w:color="auto"/>
                        <w:bottom w:val="none" w:sz="0" w:space="0" w:color="auto"/>
                        <w:right w:val="none" w:sz="0" w:space="0" w:color="auto"/>
                      </w:divBdr>
                      <w:divsChild>
                        <w:div w:id="1223099563">
                          <w:marLeft w:val="0"/>
                          <w:marRight w:val="0"/>
                          <w:marTop w:val="0"/>
                          <w:marBottom w:val="0"/>
                          <w:divBdr>
                            <w:top w:val="none" w:sz="0" w:space="0" w:color="auto"/>
                            <w:left w:val="none" w:sz="0" w:space="0" w:color="auto"/>
                            <w:bottom w:val="none" w:sz="0" w:space="0" w:color="auto"/>
                            <w:right w:val="none" w:sz="0" w:space="0" w:color="auto"/>
                          </w:divBdr>
                          <w:divsChild>
                            <w:div w:id="19189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07833">
      <w:bodyDiv w:val="1"/>
      <w:marLeft w:val="0"/>
      <w:marRight w:val="0"/>
      <w:marTop w:val="0"/>
      <w:marBottom w:val="0"/>
      <w:divBdr>
        <w:top w:val="none" w:sz="0" w:space="0" w:color="auto"/>
        <w:left w:val="none" w:sz="0" w:space="0" w:color="auto"/>
        <w:bottom w:val="none" w:sz="0" w:space="0" w:color="auto"/>
        <w:right w:val="none" w:sz="0" w:space="0" w:color="auto"/>
      </w:divBdr>
    </w:div>
    <w:div w:id="1890801206">
      <w:bodyDiv w:val="1"/>
      <w:marLeft w:val="0"/>
      <w:marRight w:val="0"/>
      <w:marTop w:val="0"/>
      <w:marBottom w:val="0"/>
      <w:divBdr>
        <w:top w:val="none" w:sz="0" w:space="0" w:color="auto"/>
        <w:left w:val="none" w:sz="0" w:space="0" w:color="auto"/>
        <w:bottom w:val="none" w:sz="0" w:space="0" w:color="auto"/>
        <w:right w:val="none" w:sz="0" w:space="0" w:color="auto"/>
      </w:divBdr>
    </w:div>
    <w:div w:id="1896887047">
      <w:bodyDiv w:val="1"/>
      <w:marLeft w:val="0"/>
      <w:marRight w:val="0"/>
      <w:marTop w:val="0"/>
      <w:marBottom w:val="0"/>
      <w:divBdr>
        <w:top w:val="none" w:sz="0" w:space="0" w:color="auto"/>
        <w:left w:val="none" w:sz="0" w:space="0" w:color="auto"/>
        <w:bottom w:val="none" w:sz="0" w:space="0" w:color="auto"/>
        <w:right w:val="none" w:sz="0" w:space="0" w:color="auto"/>
      </w:divBdr>
    </w:div>
    <w:div w:id="1938321549">
      <w:bodyDiv w:val="1"/>
      <w:marLeft w:val="0"/>
      <w:marRight w:val="0"/>
      <w:marTop w:val="0"/>
      <w:marBottom w:val="0"/>
      <w:divBdr>
        <w:top w:val="none" w:sz="0" w:space="0" w:color="auto"/>
        <w:left w:val="none" w:sz="0" w:space="0" w:color="auto"/>
        <w:bottom w:val="none" w:sz="0" w:space="0" w:color="auto"/>
        <w:right w:val="none" w:sz="0" w:space="0" w:color="auto"/>
      </w:divBdr>
    </w:div>
    <w:div w:id="1950812549">
      <w:bodyDiv w:val="1"/>
      <w:marLeft w:val="0"/>
      <w:marRight w:val="0"/>
      <w:marTop w:val="0"/>
      <w:marBottom w:val="0"/>
      <w:divBdr>
        <w:top w:val="none" w:sz="0" w:space="0" w:color="auto"/>
        <w:left w:val="none" w:sz="0" w:space="0" w:color="auto"/>
        <w:bottom w:val="none" w:sz="0" w:space="0" w:color="auto"/>
        <w:right w:val="none" w:sz="0" w:space="0" w:color="auto"/>
      </w:divBdr>
      <w:divsChild>
        <w:div w:id="1533423649">
          <w:marLeft w:val="0"/>
          <w:marRight w:val="0"/>
          <w:marTop w:val="0"/>
          <w:marBottom w:val="0"/>
          <w:divBdr>
            <w:top w:val="none" w:sz="0" w:space="0" w:color="auto"/>
            <w:left w:val="none" w:sz="0" w:space="0" w:color="auto"/>
            <w:bottom w:val="none" w:sz="0" w:space="0" w:color="auto"/>
            <w:right w:val="none" w:sz="0" w:space="0" w:color="auto"/>
          </w:divBdr>
          <w:divsChild>
            <w:div w:id="390234010">
              <w:marLeft w:val="0"/>
              <w:marRight w:val="0"/>
              <w:marTop w:val="0"/>
              <w:marBottom w:val="0"/>
              <w:divBdr>
                <w:top w:val="none" w:sz="0" w:space="0" w:color="auto"/>
                <w:left w:val="none" w:sz="0" w:space="0" w:color="auto"/>
                <w:bottom w:val="none" w:sz="0" w:space="0" w:color="auto"/>
                <w:right w:val="none" w:sz="0" w:space="0" w:color="auto"/>
              </w:divBdr>
              <w:divsChild>
                <w:div w:id="802843079">
                  <w:marLeft w:val="0"/>
                  <w:marRight w:val="0"/>
                  <w:marTop w:val="0"/>
                  <w:marBottom w:val="0"/>
                  <w:divBdr>
                    <w:top w:val="none" w:sz="0" w:space="0" w:color="auto"/>
                    <w:left w:val="none" w:sz="0" w:space="0" w:color="auto"/>
                    <w:bottom w:val="none" w:sz="0" w:space="0" w:color="auto"/>
                    <w:right w:val="none" w:sz="0" w:space="0" w:color="auto"/>
                  </w:divBdr>
                  <w:divsChild>
                    <w:div w:id="1707830174">
                      <w:marLeft w:val="0"/>
                      <w:marRight w:val="0"/>
                      <w:marTop w:val="0"/>
                      <w:marBottom w:val="0"/>
                      <w:divBdr>
                        <w:top w:val="none" w:sz="0" w:space="0" w:color="auto"/>
                        <w:left w:val="none" w:sz="0" w:space="0" w:color="auto"/>
                        <w:bottom w:val="none" w:sz="0" w:space="0" w:color="auto"/>
                        <w:right w:val="none" w:sz="0" w:space="0" w:color="auto"/>
                      </w:divBdr>
                      <w:divsChild>
                        <w:div w:id="1731492929">
                          <w:marLeft w:val="0"/>
                          <w:marRight w:val="0"/>
                          <w:marTop w:val="0"/>
                          <w:marBottom w:val="0"/>
                          <w:divBdr>
                            <w:top w:val="none" w:sz="0" w:space="0" w:color="auto"/>
                            <w:left w:val="none" w:sz="0" w:space="0" w:color="auto"/>
                            <w:bottom w:val="none" w:sz="0" w:space="0" w:color="auto"/>
                            <w:right w:val="none" w:sz="0" w:space="0" w:color="auto"/>
                          </w:divBdr>
                          <w:divsChild>
                            <w:div w:id="1682512430">
                              <w:marLeft w:val="0"/>
                              <w:marRight w:val="0"/>
                              <w:marTop w:val="0"/>
                              <w:marBottom w:val="0"/>
                              <w:divBdr>
                                <w:top w:val="none" w:sz="0" w:space="0" w:color="auto"/>
                                <w:left w:val="none" w:sz="0" w:space="0" w:color="auto"/>
                                <w:bottom w:val="none" w:sz="0" w:space="0" w:color="auto"/>
                                <w:right w:val="none" w:sz="0" w:space="0" w:color="auto"/>
                              </w:divBdr>
                              <w:divsChild>
                                <w:div w:id="2058890960">
                                  <w:marLeft w:val="0"/>
                                  <w:marRight w:val="0"/>
                                  <w:marTop w:val="0"/>
                                  <w:marBottom w:val="0"/>
                                  <w:divBdr>
                                    <w:top w:val="none" w:sz="0" w:space="0" w:color="auto"/>
                                    <w:left w:val="none" w:sz="0" w:space="0" w:color="auto"/>
                                    <w:bottom w:val="none" w:sz="0" w:space="0" w:color="auto"/>
                                    <w:right w:val="none" w:sz="0" w:space="0" w:color="auto"/>
                                  </w:divBdr>
                                  <w:divsChild>
                                    <w:div w:id="1221096359">
                                      <w:marLeft w:val="0"/>
                                      <w:marRight w:val="0"/>
                                      <w:marTop w:val="0"/>
                                      <w:marBottom w:val="360"/>
                                      <w:divBdr>
                                        <w:top w:val="none" w:sz="0" w:space="0" w:color="auto"/>
                                        <w:left w:val="none" w:sz="0" w:space="0" w:color="auto"/>
                                        <w:bottom w:val="none" w:sz="0" w:space="0" w:color="auto"/>
                                        <w:right w:val="none" w:sz="0" w:space="0" w:color="auto"/>
                                      </w:divBdr>
                                      <w:divsChild>
                                        <w:div w:id="196238384">
                                          <w:marLeft w:val="0"/>
                                          <w:marRight w:val="0"/>
                                          <w:marTop w:val="0"/>
                                          <w:marBottom w:val="0"/>
                                          <w:divBdr>
                                            <w:top w:val="none" w:sz="0" w:space="0" w:color="auto"/>
                                            <w:left w:val="none" w:sz="0" w:space="0" w:color="auto"/>
                                            <w:bottom w:val="none" w:sz="0" w:space="0" w:color="auto"/>
                                            <w:right w:val="none" w:sz="0" w:space="0" w:color="auto"/>
                                          </w:divBdr>
                                          <w:divsChild>
                                            <w:div w:id="1215582928">
                                              <w:marLeft w:val="0"/>
                                              <w:marRight w:val="0"/>
                                              <w:marTop w:val="0"/>
                                              <w:marBottom w:val="0"/>
                                              <w:divBdr>
                                                <w:top w:val="none" w:sz="0" w:space="0" w:color="auto"/>
                                                <w:left w:val="none" w:sz="0" w:space="0" w:color="auto"/>
                                                <w:bottom w:val="none" w:sz="0" w:space="0" w:color="auto"/>
                                                <w:right w:val="none" w:sz="0" w:space="0" w:color="auto"/>
                                              </w:divBdr>
                                              <w:divsChild>
                                                <w:div w:id="23485707">
                                                  <w:marLeft w:val="0"/>
                                                  <w:marRight w:val="0"/>
                                                  <w:marTop w:val="0"/>
                                                  <w:marBottom w:val="0"/>
                                                  <w:divBdr>
                                                    <w:top w:val="none" w:sz="0" w:space="0" w:color="auto"/>
                                                    <w:left w:val="none" w:sz="0" w:space="0" w:color="auto"/>
                                                    <w:bottom w:val="none" w:sz="0" w:space="0" w:color="auto"/>
                                                    <w:right w:val="none" w:sz="0" w:space="0" w:color="auto"/>
                                                  </w:divBdr>
                                                </w:div>
                                                <w:div w:id="1396318392">
                                                  <w:marLeft w:val="0"/>
                                                  <w:marRight w:val="0"/>
                                                  <w:marTop w:val="0"/>
                                                  <w:marBottom w:val="0"/>
                                                  <w:divBdr>
                                                    <w:top w:val="none" w:sz="0" w:space="0" w:color="auto"/>
                                                    <w:left w:val="none" w:sz="0" w:space="0" w:color="auto"/>
                                                    <w:bottom w:val="none" w:sz="0" w:space="0" w:color="auto"/>
                                                    <w:right w:val="none" w:sz="0" w:space="0" w:color="auto"/>
                                                  </w:divBdr>
                                                  <w:divsChild>
                                                    <w:div w:id="217133595">
                                                      <w:marLeft w:val="0"/>
                                                      <w:marRight w:val="0"/>
                                                      <w:marTop w:val="0"/>
                                                      <w:marBottom w:val="0"/>
                                                      <w:divBdr>
                                                        <w:top w:val="single" w:sz="2" w:space="3" w:color="008000"/>
                                                        <w:left w:val="single" w:sz="2" w:space="0" w:color="008000"/>
                                                        <w:bottom w:val="single" w:sz="2" w:space="0" w:color="008000"/>
                                                        <w:right w:val="single" w:sz="2" w:space="0" w:color="008000"/>
                                                      </w:divBdr>
                                                      <w:divsChild>
                                                        <w:div w:id="556861694">
                                                          <w:marLeft w:val="0"/>
                                                          <w:marRight w:val="0"/>
                                                          <w:marTop w:val="0"/>
                                                          <w:marBottom w:val="0"/>
                                                          <w:divBdr>
                                                            <w:top w:val="none" w:sz="0" w:space="0" w:color="auto"/>
                                                            <w:left w:val="none" w:sz="0" w:space="0" w:color="auto"/>
                                                            <w:bottom w:val="none" w:sz="0" w:space="0" w:color="auto"/>
                                                            <w:right w:val="none" w:sz="0" w:space="0" w:color="auto"/>
                                                          </w:divBdr>
                                                          <w:divsChild>
                                                            <w:div w:id="2017078069">
                                                              <w:marLeft w:val="0"/>
                                                              <w:marRight w:val="0"/>
                                                              <w:marTop w:val="0"/>
                                                              <w:marBottom w:val="0"/>
                                                              <w:divBdr>
                                                                <w:top w:val="none" w:sz="0" w:space="0" w:color="auto"/>
                                                                <w:left w:val="none" w:sz="0" w:space="0" w:color="auto"/>
                                                                <w:bottom w:val="none" w:sz="0" w:space="0" w:color="auto"/>
                                                                <w:right w:val="none" w:sz="0" w:space="0" w:color="auto"/>
                                                              </w:divBdr>
                                                              <w:divsChild>
                                                                <w:div w:id="217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9944065">
      <w:bodyDiv w:val="1"/>
      <w:marLeft w:val="0"/>
      <w:marRight w:val="0"/>
      <w:marTop w:val="0"/>
      <w:marBottom w:val="0"/>
      <w:divBdr>
        <w:top w:val="none" w:sz="0" w:space="0" w:color="auto"/>
        <w:left w:val="none" w:sz="0" w:space="0" w:color="auto"/>
        <w:bottom w:val="none" w:sz="0" w:space="0" w:color="auto"/>
        <w:right w:val="none" w:sz="0" w:space="0" w:color="auto"/>
      </w:divBdr>
    </w:div>
    <w:div w:id="1997799478">
      <w:bodyDiv w:val="1"/>
      <w:marLeft w:val="0"/>
      <w:marRight w:val="0"/>
      <w:marTop w:val="0"/>
      <w:marBottom w:val="0"/>
      <w:divBdr>
        <w:top w:val="none" w:sz="0" w:space="0" w:color="auto"/>
        <w:left w:val="none" w:sz="0" w:space="0" w:color="auto"/>
        <w:bottom w:val="none" w:sz="0" w:space="0" w:color="auto"/>
        <w:right w:val="none" w:sz="0" w:space="0" w:color="auto"/>
      </w:divBdr>
    </w:div>
    <w:div w:id="2031032676">
      <w:bodyDiv w:val="1"/>
      <w:marLeft w:val="0"/>
      <w:marRight w:val="0"/>
      <w:marTop w:val="0"/>
      <w:marBottom w:val="0"/>
      <w:divBdr>
        <w:top w:val="none" w:sz="0" w:space="0" w:color="auto"/>
        <w:left w:val="none" w:sz="0" w:space="0" w:color="auto"/>
        <w:bottom w:val="none" w:sz="0" w:space="0" w:color="auto"/>
        <w:right w:val="none" w:sz="0" w:space="0" w:color="auto"/>
      </w:divBdr>
    </w:div>
    <w:div w:id="2038919534">
      <w:bodyDiv w:val="1"/>
      <w:marLeft w:val="0"/>
      <w:marRight w:val="0"/>
      <w:marTop w:val="0"/>
      <w:marBottom w:val="0"/>
      <w:divBdr>
        <w:top w:val="none" w:sz="0" w:space="0" w:color="auto"/>
        <w:left w:val="none" w:sz="0" w:space="0" w:color="auto"/>
        <w:bottom w:val="none" w:sz="0" w:space="0" w:color="auto"/>
        <w:right w:val="none" w:sz="0" w:space="0" w:color="auto"/>
      </w:divBdr>
      <w:divsChild>
        <w:div w:id="1329866447">
          <w:marLeft w:val="0"/>
          <w:marRight w:val="0"/>
          <w:marTop w:val="0"/>
          <w:marBottom w:val="0"/>
          <w:divBdr>
            <w:top w:val="none" w:sz="0" w:space="0" w:color="auto"/>
            <w:left w:val="none" w:sz="0" w:space="0" w:color="auto"/>
            <w:bottom w:val="none" w:sz="0" w:space="0" w:color="auto"/>
            <w:right w:val="none" w:sz="0" w:space="0" w:color="auto"/>
          </w:divBdr>
          <w:divsChild>
            <w:div w:id="116723355">
              <w:marLeft w:val="0"/>
              <w:marRight w:val="0"/>
              <w:marTop w:val="0"/>
              <w:marBottom w:val="0"/>
              <w:divBdr>
                <w:top w:val="none" w:sz="0" w:space="0" w:color="auto"/>
                <w:left w:val="none" w:sz="0" w:space="0" w:color="auto"/>
                <w:bottom w:val="none" w:sz="0" w:space="0" w:color="auto"/>
                <w:right w:val="none" w:sz="0" w:space="0" w:color="auto"/>
              </w:divBdr>
              <w:divsChild>
                <w:div w:id="517813793">
                  <w:marLeft w:val="0"/>
                  <w:marRight w:val="0"/>
                  <w:marTop w:val="0"/>
                  <w:marBottom w:val="0"/>
                  <w:divBdr>
                    <w:top w:val="none" w:sz="0" w:space="0" w:color="auto"/>
                    <w:left w:val="none" w:sz="0" w:space="0" w:color="auto"/>
                    <w:bottom w:val="none" w:sz="0" w:space="0" w:color="auto"/>
                    <w:right w:val="none" w:sz="0" w:space="0" w:color="auto"/>
                  </w:divBdr>
                </w:div>
                <w:div w:id="770703396">
                  <w:marLeft w:val="0"/>
                  <w:marRight w:val="0"/>
                  <w:marTop w:val="0"/>
                  <w:marBottom w:val="0"/>
                  <w:divBdr>
                    <w:top w:val="none" w:sz="0" w:space="0" w:color="auto"/>
                    <w:left w:val="none" w:sz="0" w:space="0" w:color="auto"/>
                    <w:bottom w:val="none" w:sz="0" w:space="0" w:color="auto"/>
                    <w:right w:val="none" w:sz="0" w:space="0" w:color="auto"/>
                  </w:divBdr>
                  <w:divsChild>
                    <w:div w:id="1973748607">
                      <w:marLeft w:val="0"/>
                      <w:marRight w:val="0"/>
                      <w:marTop w:val="0"/>
                      <w:marBottom w:val="0"/>
                      <w:divBdr>
                        <w:top w:val="none" w:sz="0" w:space="0" w:color="auto"/>
                        <w:left w:val="none" w:sz="0" w:space="0" w:color="auto"/>
                        <w:bottom w:val="none" w:sz="0" w:space="0" w:color="auto"/>
                        <w:right w:val="none" w:sz="0" w:space="0" w:color="auto"/>
                      </w:divBdr>
                      <w:divsChild>
                        <w:div w:id="1112440093">
                          <w:marLeft w:val="0"/>
                          <w:marRight w:val="0"/>
                          <w:marTop w:val="0"/>
                          <w:marBottom w:val="0"/>
                          <w:divBdr>
                            <w:top w:val="none" w:sz="0" w:space="0" w:color="auto"/>
                            <w:left w:val="none" w:sz="0" w:space="0" w:color="auto"/>
                            <w:bottom w:val="none" w:sz="0" w:space="0" w:color="auto"/>
                            <w:right w:val="none" w:sz="0" w:space="0" w:color="auto"/>
                          </w:divBdr>
                          <w:divsChild>
                            <w:div w:id="4822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901669">
      <w:bodyDiv w:val="1"/>
      <w:marLeft w:val="0"/>
      <w:marRight w:val="0"/>
      <w:marTop w:val="0"/>
      <w:marBottom w:val="0"/>
      <w:divBdr>
        <w:top w:val="none" w:sz="0" w:space="0" w:color="auto"/>
        <w:left w:val="none" w:sz="0" w:space="0" w:color="auto"/>
        <w:bottom w:val="none" w:sz="0" w:space="0" w:color="auto"/>
        <w:right w:val="none" w:sz="0" w:space="0" w:color="auto"/>
      </w:divBdr>
    </w:div>
    <w:div w:id="2117476584">
      <w:bodyDiv w:val="1"/>
      <w:marLeft w:val="0"/>
      <w:marRight w:val="0"/>
      <w:marTop w:val="0"/>
      <w:marBottom w:val="0"/>
      <w:divBdr>
        <w:top w:val="none" w:sz="0" w:space="0" w:color="auto"/>
        <w:left w:val="none" w:sz="0" w:space="0" w:color="auto"/>
        <w:bottom w:val="none" w:sz="0" w:space="0" w:color="auto"/>
        <w:right w:val="none" w:sz="0" w:space="0" w:color="auto"/>
      </w:divBdr>
    </w:div>
    <w:div w:id="2131825784">
      <w:bodyDiv w:val="1"/>
      <w:marLeft w:val="0"/>
      <w:marRight w:val="0"/>
      <w:marTop w:val="0"/>
      <w:marBottom w:val="0"/>
      <w:divBdr>
        <w:top w:val="none" w:sz="0" w:space="0" w:color="auto"/>
        <w:left w:val="none" w:sz="0" w:space="0" w:color="auto"/>
        <w:bottom w:val="none" w:sz="0" w:space="0" w:color="auto"/>
        <w:right w:val="none" w:sz="0" w:space="0" w:color="auto"/>
      </w:divBdr>
    </w:div>
    <w:div w:id="21363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16%20-%20pNET%20analysis%20for%20Sept%202017\D1016%20-%20LAST_SCRIPT_TO_DOD_FREQ.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[D1016 - script summary, v10 everolimus indication from auth.xlsx]Sheet4!PivotTable2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pivotFmt>
      <c:pivotFmt>
        <c:idx val="4"/>
      </c:pivotFmt>
      <c:pivotFmt>
        <c:idx val="5"/>
        <c:marker>
          <c:symbol val="none"/>
        </c:marker>
      </c:pivotFmt>
      <c:pivotFmt>
        <c:idx val="6"/>
      </c:pivotFmt>
      <c:pivotFmt>
        <c:idx val="7"/>
      </c:pivotFmt>
      <c:pivotFmt>
        <c:idx val="8"/>
      </c:pivotFmt>
      <c:pivotFmt>
        <c:idx val="9"/>
      </c:pivotFmt>
      <c:pivotFmt>
        <c:idx val="10"/>
      </c:pivotFmt>
      <c:pivotFmt>
        <c:idx val="11"/>
      </c:pivotFmt>
      <c:pivotFmt>
        <c:idx val="12"/>
      </c:pivotFmt>
    </c:pivotFmts>
    <c:plotArea>
      <c:layout/>
      <c:lineChart>
        <c:grouping val="standard"/>
        <c:varyColors val="0"/>
        <c:ser>
          <c:idx val="0"/>
          <c:order val="0"/>
          <c:tx>
            <c:strRef>
              <c:f>Sheet4!$B$3:$B$4</c:f>
              <c:strCache>
                <c:ptCount val="1"/>
                <c:pt idx="0">
                  <c:v>Total</c:v>
                </c:pt>
              </c:strCache>
            </c:strRef>
          </c:tx>
          <c:cat>
            <c:strRef>
              <c:f>Sheet4!$A$5:$A$19</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Sheet4!$B$5:$B$19</c:f>
              <c:numCache>
                <c:formatCode>General</c:formatCode>
                <c:ptCount val="14"/>
                <c:pt idx="0">
                  <c:v>13</c:v>
                </c:pt>
                <c:pt idx="1">
                  <c:v>119</c:v>
                </c:pt>
                <c:pt idx="2">
                  <c:v>99</c:v>
                </c:pt>
                <c:pt idx="3">
                  <c:v>126</c:v>
                </c:pt>
                <c:pt idx="4">
                  <c:v>155</c:v>
                </c:pt>
                <c:pt idx="5">
                  <c:v>137</c:v>
                </c:pt>
                <c:pt idx="6">
                  <c:v>168</c:v>
                </c:pt>
                <c:pt idx="7">
                  <c:v>177</c:v>
                </c:pt>
                <c:pt idx="8">
                  <c:v>164</c:v>
                </c:pt>
                <c:pt idx="9">
                  <c:v>144</c:v>
                </c:pt>
                <c:pt idx="10">
                  <c:v>175</c:v>
                </c:pt>
                <c:pt idx="11">
                  <c:v>163</c:v>
                </c:pt>
                <c:pt idx="12">
                  <c:v>206</c:v>
                </c:pt>
                <c:pt idx="13">
                  <c:v>147</c:v>
                </c:pt>
              </c:numCache>
            </c:numRef>
          </c:val>
          <c:smooth val="0"/>
        </c:ser>
        <c:ser>
          <c:idx val="1"/>
          <c:order val="1"/>
          <c:tx>
            <c:strRef>
              <c:f>Sheet4!$C$3:$C$4</c:f>
              <c:strCache>
                <c:ptCount val="1"/>
                <c:pt idx="0">
                  <c:v>EVEROLIMUS</c:v>
                </c:pt>
              </c:strCache>
            </c:strRef>
          </c:tx>
          <c:cat>
            <c:strRef>
              <c:f>Sheet4!$A$5:$A$19</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Sheet4!$C$5:$C$19</c:f>
              <c:numCache>
                <c:formatCode>General</c:formatCode>
                <c:ptCount val="14"/>
                <c:pt idx="6">
                  <c:v>44</c:v>
                </c:pt>
                <c:pt idx="7">
                  <c:v>58</c:v>
                </c:pt>
                <c:pt idx="8">
                  <c:v>61</c:v>
                </c:pt>
                <c:pt idx="9">
                  <c:v>70</c:v>
                </c:pt>
                <c:pt idx="10">
                  <c:v>84</c:v>
                </c:pt>
                <c:pt idx="11">
                  <c:v>90</c:v>
                </c:pt>
                <c:pt idx="12">
                  <c:v>109</c:v>
                </c:pt>
                <c:pt idx="13">
                  <c:v>81</c:v>
                </c:pt>
              </c:numCache>
            </c:numRef>
          </c:val>
          <c:smooth val="0"/>
        </c:ser>
        <c:ser>
          <c:idx val="2"/>
          <c:order val="2"/>
          <c:tx>
            <c:strRef>
              <c:f>Sheet4!$D$3:$D$4</c:f>
              <c:strCache>
                <c:ptCount val="1"/>
                <c:pt idx="0">
                  <c:v>SUNITINIB</c:v>
                </c:pt>
              </c:strCache>
            </c:strRef>
          </c:tx>
          <c:cat>
            <c:strRef>
              <c:f>Sheet4!$A$5:$A$19</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Sheet4!$D$5:$D$19</c:f>
              <c:numCache>
                <c:formatCode>General</c:formatCode>
                <c:ptCount val="14"/>
                <c:pt idx="0">
                  <c:v>13</c:v>
                </c:pt>
                <c:pt idx="1">
                  <c:v>119</c:v>
                </c:pt>
                <c:pt idx="2">
                  <c:v>99</c:v>
                </c:pt>
                <c:pt idx="3">
                  <c:v>126</c:v>
                </c:pt>
                <c:pt idx="4">
                  <c:v>155</c:v>
                </c:pt>
                <c:pt idx="5">
                  <c:v>137</c:v>
                </c:pt>
                <c:pt idx="6">
                  <c:v>124</c:v>
                </c:pt>
                <c:pt idx="7">
                  <c:v>119</c:v>
                </c:pt>
                <c:pt idx="8">
                  <c:v>103</c:v>
                </c:pt>
                <c:pt idx="9">
                  <c:v>74</c:v>
                </c:pt>
                <c:pt idx="10">
                  <c:v>91</c:v>
                </c:pt>
                <c:pt idx="11">
                  <c:v>73</c:v>
                </c:pt>
                <c:pt idx="12">
                  <c:v>97</c:v>
                </c:pt>
                <c:pt idx="13">
                  <c:v>66</c:v>
                </c:pt>
              </c:numCache>
            </c:numRef>
          </c:val>
          <c:smooth val="0"/>
        </c:ser>
        <c:dLbls>
          <c:showLegendKey val="0"/>
          <c:showVal val="0"/>
          <c:showCatName val="0"/>
          <c:showSerName val="0"/>
          <c:showPercent val="0"/>
          <c:showBubbleSize val="0"/>
        </c:dLbls>
        <c:marker val="1"/>
        <c:smooth val="0"/>
        <c:axId val="347629056"/>
        <c:axId val="347630976"/>
      </c:lineChart>
      <c:catAx>
        <c:axId val="347629056"/>
        <c:scaling>
          <c:orientation val="minMax"/>
        </c:scaling>
        <c:delete val="0"/>
        <c:axPos val="b"/>
        <c:title>
          <c:tx>
            <c:rich>
              <a:bodyPr/>
              <a:lstStyle/>
              <a:p>
                <a:pPr>
                  <a:defRPr b="0"/>
                </a:pPr>
                <a:r>
                  <a:rPr lang="en-US" b="0"/>
                  <a:t>Quarter  of Supply</a:t>
                </a:r>
              </a:p>
            </c:rich>
          </c:tx>
          <c:layout/>
          <c:overlay val="0"/>
        </c:title>
        <c:majorTickMark val="none"/>
        <c:minorTickMark val="none"/>
        <c:tickLblPos val="nextTo"/>
        <c:crossAx val="347630976"/>
        <c:crosses val="autoZero"/>
        <c:auto val="1"/>
        <c:lblAlgn val="ctr"/>
        <c:lblOffset val="100"/>
        <c:noMultiLvlLbl val="0"/>
      </c:catAx>
      <c:valAx>
        <c:axId val="347630976"/>
        <c:scaling>
          <c:orientation val="minMax"/>
        </c:scaling>
        <c:delete val="0"/>
        <c:axPos val="l"/>
        <c:majorGridlines/>
        <c:title>
          <c:tx>
            <c:rich>
              <a:bodyPr/>
              <a:lstStyle/>
              <a:p>
                <a:pPr>
                  <a:defRPr b="0"/>
                </a:pPr>
                <a:r>
                  <a:rPr lang="en-US" b="0"/>
                  <a:t>Prescriptions</a:t>
                </a:r>
              </a:p>
            </c:rich>
          </c:tx>
          <c:layout/>
          <c:overlay val="0"/>
        </c:title>
        <c:numFmt formatCode="General" sourceLinked="1"/>
        <c:majorTickMark val="none"/>
        <c:minorTickMark val="none"/>
        <c:tickLblPos val="nextTo"/>
        <c:crossAx val="347629056"/>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[D1016 - DAYS_LST_PNET_SCRPT_TO_DOD with day ranges, v11.xlsx]Sheet1!PivotTable7</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s>
    <c:plotArea>
      <c:layout/>
      <c:barChart>
        <c:barDir val="col"/>
        <c:grouping val="clustered"/>
        <c:varyColors val="0"/>
        <c:ser>
          <c:idx val="0"/>
          <c:order val="0"/>
          <c:tx>
            <c:strRef>
              <c:f>Sheet1!$B$4:$B$5</c:f>
              <c:strCache>
                <c:ptCount val="1"/>
                <c:pt idx="0">
                  <c:v>Total</c:v>
                </c:pt>
              </c:strCache>
            </c:strRef>
          </c:tx>
          <c:invertIfNegative val="0"/>
          <c:cat>
            <c:strRef>
              <c:f>Sheet1!$A$6:$A$16</c:f>
              <c:strCache>
                <c:ptCount val="10"/>
                <c:pt idx="0">
                  <c:v>   0 to 29 days</c:v>
                </c:pt>
                <c:pt idx="1">
                  <c:v>  30 to 59 days</c:v>
                </c:pt>
                <c:pt idx="2">
                  <c:v>  60 to 89 days</c:v>
                </c:pt>
                <c:pt idx="3">
                  <c:v>  90 to 119 days</c:v>
                </c:pt>
                <c:pt idx="4">
                  <c:v> 120 to 149 days</c:v>
                </c:pt>
                <c:pt idx="5">
                  <c:v> 150 to 179 days</c:v>
                </c:pt>
                <c:pt idx="6">
                  <c:v> 180 to 209 days</c:v>
                </c:pt>
                <c:pt idx="7">
                  <c:v> 210 to 239 days</c:v>
                </c:pt>
                <c:pt idx="8">
                  <c:v> 240 to 269 days</c:v>
                </c:pt>
                <c:pt idx="9">
                  <c:v>&gt;= 270 days</c:v>
                </c:pt>
              </c:strCache>
            </c:strRef>
          </c:cat>
          <c:val>
            <c:numRef>
              <c:f>Sheet1!$B$6:$B$16</c:f>
              <c:numCache>
                <c:formatCode>General</c:formatCode>
                <c:ptCount val="10"/>
                <c:pt idx="0">
                  <c:v>22</c:v>
                </c:pt>
                <c:pt idx="1">
                  <c:v>15</c:v>
                </c:pt>
                <c:pt idx="2">
                  <c:v>12</c:v>
                </c:pt>
                <c:pt idx="3">
                  <c:v>7</c:v>
                </c:pt>
                <c:pt idx="4">
                  <c:v>6</c:v>
                </c:pt>
                <c:pt idx="5">
                  <c:v>7</c:v>
                </c:pt>
                <c:pt idx="6">
                  <c:v>2</c:v>
                </c:pt>
                <c:pt idx="7">
                  <c:v>7</c:v>
                </c:pt>
                <c:pt idx="8">
                  <c:v>2</c:v>
                </c:pt>
                <c:pt idx="9">
                  <c:v>13</c:v>
                </c:pt>
              </c:numCache>
            </c:numRef>
          </c:val>
        </c:ser>
        <c:dLbls>
          <c:showLegendKey val="0"/>
          <c:showVal val="0"/>
          <c:showCatName val="0"/>
          <c:showSerName val="0"/>
          <c:showPercent val="0"/>
          <c:showBubbleSize val="0"/>
        </c:dLbls>
        <c:gapWidth val="150"/>
        <c:axId val="386403328"/>
        <c:axId val="386413696"/>
      </c:barChart>
      <c:catAx>
        <c:axId val="386403328"/>
        <c:scaling>
          <c:orientation val="minMax"/>
        </c:scaling>
        <c:delete val="0"/>
        <c:axPos val="b"/>
        <c:title>
          <c:tx>
            <c:rich>
              <a:bodyPr/>
              <a:lstStyle/>
              <a:p>
                <a:pPr>
                  <a:defRPr b="0"/>
                </a:pPr>
                <a:r>
                  <a:rPr lang="en-US" b="0"/>
                  <a:t>Days from last pNET prescription to estimated date of death</a:t>
                </a:r>
              </a:p>
            </c:rich>
          </c:tx>
          <c:layout/>
          <c:overlay val="0"/>
        </c:title>
        <c:majorTickMark val="none"/>
        <c:minorTickMark val="none"/>
        <c:tickLblPos val="nextTo"/>
        <c:txPr>
          <a:bodyPr rot="-5400000" vert="horz"/>
          <a:lstStyle/>
          <a:p>
            <a:pPr>
              <a:defRPr sz="1000"/>
            </a:pPr>
            <a:endParaRPr lang="en-US"/>
          </a:p>
        </c:txPr>
        <c:crossAx val="386413696"/>
        <c:crosses val="autoZero"/>
        <c:auto val="1"/>
        <c:lblAlgn val="ctr"/>
        <c:lblOffset val="100"/>
        <c:tickLblSkip val="1"/>
        <c:noMultiLvlLbl val="0"/>
      </c:catAx>
      <c:valAx>
        <c:axId val="386413696"/>
        <c:scaling>
          <c:orientation val="minMax"/>
        </c:scaling>
        <c:delete val="0"/>
        <c:axPos val="l"/>
        <c:majorGridlines/>
        <c:title>
          <c:tx>
            <c:rich>
              <a:bodyPr rot="-5400000" vert="horz"/>
              <a:lstStyle/>
              <a:p>
                <a:pPr>
                  <a:defRPr b="0"/>
                </a:pPr>
                <a:r>
                  <a:rPr lang="en-US" b="0"/>
                  <a:t>Patients</a:t>
                </a:r>
              </a:p>
            </c:rich>
          </c:tx>
          <c:layout/>
          <c:overlay val="0"/>
        </c:title>
        <c:numFmt formatCode="General" sourceLinked="1"/>
        <c:majorTickMark val="none"/>
        <c:minorTickMark val="none"/>
        <c:tickLblPos val="nextTo"/>
        <c:crossAx val="386403328"/>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[D1016 - LAST_SCRIPT_TO_DOD_FREQ.xlsx]Sheet1!PivotTable2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s>
    <c:plotArea>
      <c:layout/>
      <c:lineChart>
        <c:grouping val="standard"/>
        <c:varyColors val="0"/>
        <c:ser>
          <c:idx val="0"/>
          <c:order val="0"/>
          <c:tx>
            <c:strRef>
              <c:f>Sheet1!$B$4</c:f>
              <c:strCache>
                <c:ptCount val="1"/>
                <c:pt idx="0">
                  <c:v>Total</c:v>
                </c:pt>
              </c:strCache>
            </c:strRef>
          </c:tx>
          <c:marker>
            <c:symbol val="none"/>
          </c:marker>
          <c:cat>
            <c:strRef>
              <c:f>Sheet1!$A$5:$A$250</c:f>
              <c:strCache>
                <c:ptCount val="245"/>
                <c:pt idx="0">
                  <c:v>-2366</c:v>
                </c:pt>
                <c:pt idx="1">
                  <c:v>-2212</c:v>
                </c:pt>
                <c:pt idx="2">
                  <c:v>-1854</c:v>
                </c:pt>
                <c:pt idx="3">
                  <c:v>-1830</c:v>
                </c:pt>
                <c:pt idx="4">
                  <c:v>-1818</c:v>
                </c:pt>
                <c:pt idx="5">
                  <c:v>-1806</c:v>
                </c:pt>
                <c:pt idx="6">
                  <c:v>-1790</c:v>
                </c:pt>
                <c:pt idx="7">
                  <c:v>-1682</c:v>
                </c:pt>
                <c:pt idx="8">
                  <c:v>-1656</c:v>
                </c:pt>
                <c:pt idx="9">
                  <c:v>-1591</c:v>
                </c:pt>
                <c:pt idx="10">
                  <c:v>-1584</c:v>
                </c:pt>
                <c:pt idx="11">
                  <c:v>-1463</c:v>
                </c:pt>
                <c:pt idx="12">
                  <c:v>-1440</c:v>
                </c:pt>
                <c:pt idx="13">
                  <c:v>-1376</c:v>
                </c:pt>
                <c:pt idx="14">
                  <c:v>-1147</c:v>
                </c:pt>
                <c:pt idx="15">
                  <c:v>-1114</c:v>
                </c:pt>
                <c:pt idx="16">
                  <c:v>-1088</c:v>
                </c:pt>
                <c:pt idx="17">
                  <c:v>-1062</c:v>
                </c:pt>
                <c:pt idx="18">
                  <c:v>-1011</c:v>
                </c:pt>
                <c:pt idx="19">
                  <c:v>-980</c:v>
                </c:pt>
                <c:pt idx="20">
                  <c:v>-955</c:v>
                </c:pt>
                <c:pt idx="21">
                  <c:v>-918</c:v>
                </c:pt>
                <c:pt idx="22">
                  <c:v>-905</c:v>
                </c:pt>
                <c:pt idx="23">
                  <c:v>-869</c:v>
                </c:pt>
                <c:pt idx="24">
                  <c:v>-846</c:v>
                </c:pt>
                <c:pt idx="25">
                  <c:v>-839</c:v>
                </c:pt>
                <c:pt idx="26">
                  <c:v>-766</c:v>
                </c:pt>
                <c:pt idx="27">
                  <c:v>-750</c:v>
                </c:pt>
                <c:pt idx="28">
                  <c:v>-720</c:v>
                </c:pt>
                <c:pt idx="29">
                  <c:v>-694</c:v>
                </c:pt>
                <c:pt idx="30">
                  <c:v>-680</c:v>
                </c:pt>
                <c:pt idx="31">
                  <c:v>-644</c:v>
                </c:pt>
                <c:pt idx="32">
                  <c:v>-636</c:v>
                </c:pt>
                <c:pt idx="33">
                  <c:v>-594</c:v>
                </c:pt>
                <c:pt idx="34">
                  <c:v>-553</c:v>
                </c:pt>
                <c:pt idx="35">
                  <c:v>-518</c:v>
                </c:pt>
                <c:pt idx="36">
                  <c:v>-458</c:v>
                </c:pt>
                <c:pt idx="37">
                  <c:v>-443</c:v>
                </c:pt>
                <c:pt idx="38">
                  <c:v>-422</c:v>
                </c:pt>
                <c:pt idx="39">
                  <c:v>-416</c:v>
                </c:pt>
                <c:pt idx="40">
                  <c:v>-403</c:v>
                </c:pt>
                <c:pt idx="41">
                  <c:v>-391</c:v>
                </c:pt>
                <c:pt idx="42">
                  <c:v>-385</c:v>
                </c:pt>
                <c:pt idx="43">
                  <c:v>-383</c:v>
                </c:pt>
                <c:pt idx="44">
                  <c:v>-375</c:v>
                </c:pt>
                <c:pt idx="45">
                  <c:v>-373</c:v>
                </c:pt>
                <c:pt idx="46">
                  <c:v>-361</c:v>
                </c:pt>
                <c:pt idx="47">
                  <c:v>-334</c:v>
                </c:pt>
                <c:pt idx="48">
                  <c:v>-326</c:v>
                </c:pt>
                <c:pt idx="49">
                  <c:v>-323</c:v>
                </c:pt>
                <c:pt idx="50">
                  <c:v>-320</c:v>
                </c:pt>
                <c:pt idx="51">
                  <c:v>-316</c:v>
                </c:pt>
                <c:pt idx="52">
                  <c:v>-302</c:v>
                </c:pt>
                <c:pt idx="53">
                  <c:v>-301</c:v>
                </c:pt>
                <c:pt idx="54">
                  <c:v>-295</c:v>
                </c:pt>
                <c:pt idx="55">
                  <c:v>-264</c:v>
                </c:pt>
                <c:pt idx="56">
                  <c:v>-263</c:v>
                </c:pt>
                <c:pt idx="57">
                  <c:v>-260</c:v>
                </c:pt>
                <c:pt idx="58">
                  <c:v>-248</c:v>
                </c:pt>
                <c:pt idx="59">
                  <c:v>-244</c:v>
                </c:pt>
                <c:pt idx="60">
                  <c:v>-241</c:v>
                </c:pt>
                <c:pt idx="61">
                  <c:v>-234</c:v>
                </c:pt>
                <c:pt idx="62">
                  <c:v>-226</c:v>
                </c:pt>
                <c:pt idx="63">
                  <c:v>-219</c:v>
                </c:pt>
                <c:pt idx="64">
                  <c:v>-217</c:v>
                </c:pt>
                <c:pt idx="65">
                  <c:v>-211</c:v>
                </c:pt>
                <c:pt idx="66">
                  <c:v>-209</c:v>
                </c:pt>
                <c:pt idx="67">
                  <c:v>-208</c:v>
                </c:pt>
                <c:pt idx="68">
                  <c:v>-194</c:v>
                </c:pt>
                <c:pt idx="69">
                  <c:v>-190</c:v>
                </c:pt>
                <c:pt idx="70">
                  <c:v>-189</c:v>
                </c:pt>
                <c:pt idx="71">
                  <c:v>-187</c:v>
                </c:pt>
                <c:pt idx="72">
                  <c:v>-185</c:v>
                </c:pt>
                <c:pt idx="73">
                  <c:v>-183</c:v>
                </c:pt>
                <c:pt idx="74">
                  <c:v>-181</c:v>
                </c:pt>
                <c:pt idx="75">
                  <c:v>-175</c:v>
                </c:pt>
                <c:pt idx="76">
                  <c:v>-151</c:v>
                </c:pt>
                <c:pt idx="77">
                  <c:v>-149</c:v>
                </c:pt>
                <c:pt idx="78">
                  <c:v>-146</c:v>
                </c:pt>
                <c:pt idx="79">
                  <c:v>-143</c:v>
                </c:pt>
                <c:pt idx="80">
                  <c:v>-140</c:v>
                </c:pt>
                <c:pt idx="81">
                  <c:v>-137</c:v>
                </c:pt>
                <c:pt idx="82">
                  <c:v>-132</c:v>
                </c:pt>
                <c:pt idx="83">
                  <c:v>-127</c:v>
                </c:pt>
                <c:pt idx="84">
                  <c:v>-112</c:v>
                </c:pt>
                <c:pt idx="85">
                  <c:v>-108</c:v>
                </c:pt>
                <c:pt idx="86">
                  <c:v>-106</c:v>
                </c:pt>
                <c:pt idx="87">
                  <c:v>-102</c:v>
                </c:pt>
                <c:pt idx="88">
                  <c:v>-100</c:v>
                </c:pt>
                <c:pt idx="89">
                  <c:v>-90</c:v>
                </c:pt>
                <c:pt idx="90">
                  <c:v>-84</c:v>
                </c:pt>
                <c:pt idx="91">
                  <c:v>-77</c:v>
                </c:pt>
                <c:pt idx="92">
                  <c:v>-73</c:v>
                </c:pt>
                <c:pt idx="93">
                  <c:v>-72</c:v>
                </c:pt>
                <c:pt idx="94">
                  <c:v>-71</c:v>
                </c:pt>
                <c:pt idx="95">
                  <c:v>-69</c:v>
                </c:pt>
                <c:pt idx="96">
                  <c:v>-67</c:v>
                </c:pt>
                <c:pt idx="97">
                  <c:v>-64</c:v>
                </c:pt>
                <c:pt idx="98">
                  <c:v>-63</c:v>
                </c:pt>
                <c:pt idx="99">
                  <c:v>-59</c:v>
                </c:pt>
                <c:pt idx="100">
                  <c:v>-55</c:v>
                </c:pt>
                <c:pt idx="101">
                  <c:v>-54</c:v>
                </c:pt>
                <c:pt idx="102">
                  <c:v>-53</c:v>
                </c:pt>
                <c:pt idx="103">
                  <c:v>-51</c:v>
                </c:pt>
                <c:pt idx="104">
                  <c:v>-49</c:v>
                </c:pt>
                <c:pt idx="105">
                  <c:v>-43</c:v>
                </c:pt>
                <c:pt idx="106">
                  <c:v>-42</c:v>
                </c:pt>
                <c:pt idx="107">
                  <c:v>-41</c:v>
                </c:pt>
                <c:pt idx="108">
                  <c:v>-40</c:v>
                </c:pt>
                <c:pt idx="109">
                  <c:v>-39</c:v>
                </c:pt>
                <c:pt idx="110">
                  <c:v>-36</c:v>
                </c:pt>
                <c:pt idx="111">
                  <c:v>-35</c:v>
                </c:pt>
                <c:pt idx="112">
                  <c:v>-34</c:v>
                </c:pt>
                <c:pt idx="113">
                  <c:v>-33</c:v>
                </c:pt>
                <c:pt idx="114">
                  <c:v>-32</c:v>
                </c:pt>
                <c:pt idx="115">
                  <c:v>-31</c:v>
                </c:pt>
                <c:pt idx="116">
                  <c:v>-30</c:v>
                </c:pt>
                <c:pt idx="117">
                  <c:v>-28</c:v>
                </c:pt>
                <c:pt idx="118">
                  <c:v>-27</c:v>
                </c:pt>
                <c:pt idx="119">
                  <c:v>-26</c:v>
                </c:pt>
                <c:pt idx="120">
                  <c:v>-25</c:v>
                </c:pt>
                <c:pt idx="121">
                  <c:v>-24</c:v>
                </c:pt>
                <c:pt idx="122">
                  <c:v>-23</c:v>
                </c:pt>
                <c:pt idx="123">
                  <c:v>-22</c:v>
                </c:pt>
                <c:pt idx="124">
                  <c:v>-21</c:v>
                </c:pt>
                <c:pt idx="125">
                  <c:v>-20</c:v>
                </c:pt>
                <c:pt idx="126">
                  <c:v>-19</c:v>
                </c:pt>
                <c:pt idx="127">
                  <c:v>-18</c:v>
                </c:pt>
                <c:pt idx="128">
                  <c:v>-17</c:v>
                </c:pt>
                <c:pt idx="129">
                  <c:v>-16</c:v>
                </c:pt>
                <c:pt idx="130">
                  <c:v>-15</c:v>
                </c:pt>
                <c:pt idx="131">
                  <c:v>-14</c:v>
                </c:pt>
                <c:pt idx="132">
                  <c:v>-13</c:v>
                </c:pt>
                <c:pt idx="133">
                  <c:v>-12</c:v>
                </c:pt>
                <c:pt idx="134">
                  <c:v>-11</c:v>
                </c:pt>
                <c:pt idx="135">
                  <c:v>-10</c:v>
                </c:pt>
                <c:pt idx="136">
                  <c:v>-9</c:v>
                </c:pt>
                <c:pt idx="137">
                  <c:v>-8</c:v>
                </c:pt>
                <c:pt idx="138">
                  <c:v>-7</c:v>
                </c:pt>
                <c:pt idx="139">
                  <c:v>-6</c:v>
                </c:pt>
                <c:pt idx="140">
                  <c:v>-5</c:v>
                </c:pt>
                <c:pt idx="141">
                  <c:v>-4</c:v>
                </c:pt>
                <c:pt idx="142">
                  <c:v>-3</c:v>
                </c:pt>
                <c:pt idx="143">
                  <c:v>-2</c:v>
                </c:pt>
                <c:pt idx="144">
                  <c:v>-1</c:v>
                </c:pt>
                <c:pt idx="145">
                  <c:v>0</c:v>
                </c:pt>
                <c:pt idx="146">
                  <c:v>1</c:v>
                </c:pt>
                <c:pt idx="147">
                  <c:v>2</c:v>
                </c:pt>
                <c:pt idx="148">
                  <c:v>3</c:v>
                </c:pt>
                <c:pt idx="149">
                  <c:v>4</c:v>
                </c:pt>
                <c:pt idx="150">
                  <c:v>5</c:v>
                </c:pt>
                <c:pt idx="151">
                  <c:v>6</c:v>
                </c:pt>
                <c:pt idx="152">
                  <c:v>7</c:v>
                </c:pt>
                <c:pt idx="153">
                  <c:v>8</c:v>
                </c:pt>
                <c:pt idx="154">
                  <c:v>9</c:v>
                </c:pt>
                <c:pt idx="155">
                  <c:v>10</c:v>
                </c:pt>
                <c:pt idx="156">
                  <c:v>11</c:v>
                </c:pt>
                <c:pt idx="157">
                  <c:v>12</c:v>
                </c:pt>
                <c:pt idx="158">
                  <c:v>13</c:v>
                </c:pt>
                <c:pt idx="159">
                  <c:v>14</c:v>
                </c:pt>
                <c:pt idx="160">
                  <c:v>15</c:v>
                </c:pt>
                <c:pt idx="161">
                  <c:v>16</c:v>
                </c:pt>
                <c:pt idx="162">
                  <c:v>17</c:v>
                </c:pt>
                <c:pt idx="163">
                  <c:v>18</c:v>
                </c:pt>
                <c:pt idx="164">
                  <c:v>19</c:v>
                </c:pt>
                <c:pt idx="165">
                  <c:v>20</c:v>
                </c:pt>
                <c:pt idx="166">
                  <c:v>21</c:v>
                </c:pt>
                <c:pt idx="167">
                  <c:v>22</c:v>
                </c:pt>
                <c:pt idx="168">
                  <c:v>23</c:v>
                </c:pt>
                <c:pt idx="169">
                  <c:v>24</c:v>
                </c:pt>
                <c:pt idx="170">
                  <c:v>25</c:v>
                </c:pt>
                <c:pt idx="171">
                  <c:v>26</c:v>
                </c:pt>
                <c:pt idx="172">
                  <c:v>27</c:v>
                </c:pt>
                <c:pt idx="173">
                  <c:v>28</c:v>
                </c:pt>
                <c:pt idx="174">
                  <c:v>29</c:v>
                </c:pt>
                <c:pt idx="175">
                  <c:v>30</c:v>
                </c:pt>
                <c:pt idx="176">
                  <c:v>31</c:v>
                </c:pt>
                <c:pt idx="177">
                  <c:v>32</c:v>
                </c:pt>
                <c:pt idx="178">
                  <c:v>33</c:v>
                </c:pt>
                <c:pt idx="179">
                  <c:v>34</c:v>
                </c:pt>
                <c:pt idx="180">
                  <c:v>35</c:v>
                </c:pt>
                <c:pt idx="181">
                  <c:v>36</c:v>
                </c:pt>
                <c:pt idx="182">
                  <c:v>37</c:v>
                </c:pt>
                <c:pt idx="183">
                  <c:v>38</c:v>
                </c:pt>
                <c:pt idx="184">
                  <c:v>39</c:v>
                </c:pt>
                <c:pt idx="185">
                  <c:v>40</c:v>
                </c:pt>
                <c:pt idx="186">
                  <c:v>41</c:v>
                </c:pt>
                <c:pt idx="187">
                  <c:v>42</c:v>
                </c:pt>
                <c:pt idx="188">
                  <c:v>43</c:v>
                </c:pt>
                <c:pt idx="189">
                  <c:v>44</c:v>
                </c:pt>
                <c:pt idx="190">
                  <c:v>45</c:v>
                </c:pt>
                <c:pt idx="191">
                  <c:v>46</c:v>
                </c:pt>
                <c:pt idx="192">
                  <c:v>47</c:v>
                </c:pt>
                <c:pt idx="193">
                  <c:v>48</c:v>
                </c:pt>
                <c:pt idx="194">
                  <c:v>49</c:v>
                </c:pt>
                <c:pt idx="195">
                  <c:v>50</c:v>
                </c:pt>
                <c:pt idx="196">
                  <c:v>51</c:v>
                </c:pt>
                <c:pt idx="197">
                  <c:v>52</c:v>
                </c:pt>
                <c:pt idx="198">
                  <c:v>53</c:v>
                </c:pt>
                <c:pt idx="199">
                  <c:v>54</c:v>
                </c:pt>
                <c:pt idx="200">
                  <c:v>55</c:v>
                </c:pt>
                <c:pt idx="201">
                  <c:v>56</c:v>
                </c:pt>
                <c:pt idx="202">
                  <c:v>57</c:v>
                </c:pt>
                <c:pt idx="203">
                  <c:v>58</c:v>
                </c:pt>
                <c:pt idx="204">
                  <c:v>59</c:v>
                </c:pt>
                <c:pt idx="205">
                  <c:v>60</c:v>
                </c:pt>
                <c:pt idx="206">
                  <c:v>61</c:v>
                </c:pt>
                <c:pt idx="207">
                  <c:v>62</c:v>
                </c:pt>
                <c:pt idx="208">
                  <c:v>63</c:v>
                </c:pt>
                <c:pt idx="209">
                  <c:v>65</c:v>
                </c:pt>
                <c:pt idx="210">
                  <c:v>66</c:v>
                </c:pt>
                <c:pt idx="211">
                  <c:v>68</c:v>
                </c:pt>
                <c:pt idx="212">
                  <c:v>69</c:v>
                </c:pt>
                <c:pt idx="213">
                  <c:v>70</c:v>
                </c:pt>
                <c:pt idx="214">
                  <c:v>71</c:v>
                </c:pt>
                <c:pt idx="215">
                  <c:v>74</c:v>
                </c:pt>
                <c:pt idx="216">
                  <c:v>76</c:v>
                </c:pt>
                <c:pt idx="217">
                  <c:v>77</c:v>
                </c:pt>
                <c:pt idx="218">
                  <c:v>78</c:v>
                </c:pt>
                <c:pt idx="219">
                  <c:v>81</c:v>
                </c:pt>
                <c:pt idx="220">
                  <c:v>82</c:v>
                </c:pt>
                <c:pt idx="221">
                  <c:v>85</c:v>
                </c:pt>
                <c:pt idx="222">
                  <c:v>87</c:v>
                </c:pt>
                <c:pt idx="223">
                  <c:v>89</c:v>
                </c:pt>
                <c:pt idx="224">
                  <c:v>90</c:v>
                </c:pt>
                <c:pt idx="225">
                  <c:v>94</c:v>
                </c:pt>
                <c:pt idx="226">
                  <c:v>95</c:v>
                </c:pt>
                <c:pt idx="227">
                  <c:v>101</c:v>
                </c:pt>
                <c:pt idx="228">
                  <c:v>103</c:v>
                </c:pt>
                <c:pt idx="229">
                  <c:v>105</c:v>
                </c:pt>
                <c:pt idx="230">
                  <c:v>108</c:v>
                </c:pt>
                <c:pt idx="231">
                  <c:v>113</c:v>
                </c:pt>
                <c:pt idx="232">
                  <c:v>114</c:v>
                </c:pt>
                <c:pt idx="233">
                  <c:v>120</c:v>
                </c:pt>
                <c:pt idx="234">
                  <c:v>123</c:v>
                </c:pt>
                <c:pt idx="235">
                  <c:v>124</c:v>
                </c:pt>
                <c:pt idx="236">
                  <c:v>130</c:v>
                </c:pt>
                <c:pt idx="237">
                  <c:v>139</c:v>
                </c:pt>
                <c:pt idx="238">
                  <c:v>163</c:v>
                </c:pt>
                <c:pt idx="239">
                  <c:v>206</c:v>
                </c:pt>
                <c:pt idx="240">
                  <c:v>292</c:v>
                </c:pt>
                <c:pt idx="241">
                  <c:v>338</c:v>
                </c:pt>
                <c:pt idx="242">
                  <c:v>382</c:v>
                </c:pt>
                <c:pt idx="243">
                  <c:v>386</c:v>
                </c:pt>
                <c:pt idx="244">
                  <c:v>732</c:v>
                </c:pt>
              </c:strCache>
            </c:strRef>
          </c:cat>
          <c:val>
            <c:numRef>
              <c:f>Sheet1!$B$5:$B$250</c:f>
              <c:numCache>
                <c:formatCode>General</c:formatCode>
                <c:ptCount val="245"/>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2</c:v>
                </c:pt>
                <c:pt idx="50">
                  <c:v>1</c:v>
                </c:pt>
                <c:pt idx="51">
                  <c:v>1</c:v>
                </c:pt>
                <c:pt idx="52">
                  <c:v>2</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2</c:v>
                </c:pt>
                <c:pt idx="83">
                  <c:v>1</c:v>
                </c:pt>
                <c:pt idx="84">
                  <c:v>2</c:v>
                </c:pt>
                <c:pt idx="85">
                  <c:v>1</c:v>
                </c:pt>
                <c:pt idx="86">
                  <c:v>1</c:v>
                </c:pt>
                <c:pt idx="87">
                  <c:v>1</c:v>
                </c:pt>
                <c:pt idx="88">
                  <c:v>1</c:v>
                </c:pt>
                <c:pt idx="89">
                  <c:v>2</c:v>
                </c:pt>
                <c:pt idx="90">
                  <c:v>3</c:v>
                </c:pt>
                <c:pt idx="91">
                  <c:v>1</c:v>
                </c:pt>
                <c:pt idx="92">
                  <c:v>1</c:v>
                </c:pt>
                <c:pt idx="93">
                  <c:v>2</c:v>
                </c:pt>
                <c:pt idx="94">
                  <c:v>1</c:v>
                </c:pt>
                <c:pt idx="95">
                  <c:v>1</c:v>
                </c:pt>
                <c:pt idx="96">
                  <c:v>1</c:v>
                </c:pt>
                <c:pt idx="97">
                  <c:v>1</c:v>
                </c:pt>
                <c:pt idx="98">
                  <c:v>1</c:v>
                </c:pt>
                <c:pt idx="99">
                  <c:v>2</c:v>
                </c:pt>
                <c:pt idx="100">
                  <c:v>1</c:v>
                </c:pt>
                <c:pt idx="101">
                  <c:v>1</c:v>
                </c:pt>
                <c:pt idx="102">
                  <c:v>2</c:v>
                </c:pt>
                <c:pt idx="103">
                  <c:v>1</c:v>
                </c:pt>
                <c:pt idx="104">
                  <c:v>2</c:v>
                </c:pt>
                <c:pt idx="105">
                  <c:v>1</c:v>
                </c:pt>
                <c:pt idx="106">
                  <c:v>2</c:v>
                </c:pt>
                <c:pt idx="107">
                  <c:v>1</c:v>
                </c:pt>
                <c:pt idx="108">
                  <c:v>1</c:v>
                </c:pt>
                <c:pt idx="109">
                  <c:v>2</c:v>
                </c:pt>
                <c:pt idx="110">
                  <c:v>2</c:v>
                </c:pt>
                <c:pt idx="111">
                  <c:v>2</c:v>
                </c:pt>
                <c:pt idx="112">
                  <c:v>2</c:v>
                </c:pt>
                <c:pt idx="113">
                  <c:v>2</c:v>
                </c:pt>
                <c:pt idx="114">
                  <c:v>2</c:v>
                </c:pt>
                <c:pt idx="115">
                  <c:v>1</c:v>
                </c:pt>
                <c:pt idx="116">
                  <c:v>1</c:v>
                </c:pt>
                <c:pt idx="117">
                  <c:v>1</c:v>
                </c:pt>
                <c:pt idx="118">
                  <c:v>1</c:v>
                </c:pt>
                <c:pt idx="119">
                  <c:v>3</c:v>
                </c:pt>
                <c:pt idx="120">
                  <c:v>2</c:v>
                </c:pt>
                <c:pt idx="121">
                  <c:v>3</c:v>
                </c:pt>
                <c:pt idx="122">
                  <c:v>1</c:v>
                </c:pt>
                <c:pt idx="123">
                  <c:v>2</c:v>
                </c:pt>
                <c:pt idx="124">
                  <c:v>6</c:v>
                </c:pt>
                <c:pt idx="125">
                  <c:v>1</c:v>
                </c:pt>
                <c:pt idx="126">
                  <c:v>1</c:v>
                </c:pt>
                <c:pt idx="127">
                  <c:v>3</c:v>
                </c:pt>
                <c:pt idx="128">
                  <c:v>3</c:v>
                </c:pt>
                <c:pt idx="129">
                  <c:v>2</c:v>
                </c:pt>
                <c:pt idx="130">
                  <c:v>3</c:v>
                </c:pt>
                <c:pt idx="131">
                  <c:v>5</c:v>
                </c:pt>
                <c:pt idx="132">
                  <c:v>10</c:v>
                </c:pt>
                <c:pt idx="133">
                  <c:v>3</c:v>
                </c:pt>
                <c:pt idx="134">
                  <c:v>2</c:v>
                </c:pt>
                <c:pt idx="135">
                  <c:v>6</c:v>
                </c:pt>
                <c:pt idx="136">
                  <c:v>5</c:v>
                </c:pt>
                <c:pt idx="137">
                  <c:v>7</c:v>
                </c:pt>
                <c:pt idx="138">
                  <c:v>5</c:v>
                </c:pt>
                <c:pt idx="139">
                  <c:v>4</c:v>
                </c:pt>
                <c:pt idx="140">
                  <c:v>5</c:v>
                </c:pt>
                <c:pt idx="141">
                  <c:v>8</c:v>
                </c:pt>
                <c:pt idx="142">
                  <c:v>16</c:v>
                </c:pt>
                <c:pt idx="143">
                  <c:v>31</c:v>
                </c:pt>
                <c:pt idx="144">
                  <c:v>39</c:v>
                </c:pt>
                <c:pt idx="145">
                  <c:v>150</c:v>
                </c:pt>
                <c:pt idx="146">
                  <c:v>246</c:v>
                </c:pt>
                <c:pt idx="147">
                  <c:v>191</c:v>
                </c:pt>
                <c:pt idx="148">
                  <c:v>164</c:v>
                </c:pt>
                <c:pt idx="149">
                  <c:v>151</c:v>
                </c:pt>
                <c:pt idx="150">
                  <c:v>145</c:v>
                </c:pt>
                <c:pt idx="151">
                  <c:v>123</c:v>
                </c:pt>
                <c:pt idx="152">
                  <c:v>113</c:v>
                </c:pt>
                <c:pt idx="153">
                  <c:v>92</c:v>
                </c:pt>
                <c:pt idx="154">
                  <c:v>96</c:v>
                </c:pt>
                <c:pt idx="155">
                  <c:v>86</c:v>
                </c:pt>
                <c:pt idx="156">
                  <c:v>71</c:v>
                </c:pt>
                <c:pt idx="157">
                  <c:v>56</c:v>
                </c:pt>
                <c:pt idx="158">
                  <c:v>65</c:v>
                </c:pt>
                <c:pt idx="159">
                  <c:v>54</c:v>
                </c:pt>
                <c:pt idx="160">
                  <c:v>51</c:v>
                </c:pt>
                <c:pt idx="161">
                  <c:v>51</c:v>
                </c:pt>
                <c:pt idx="162">
                  <c:v>53</c:v>
                </c:pt>
                <c:pt idx="163">
                  <c:v>51</c:v>
                </c:pt>
                <c:pt idx="164">
                  <c:v>29</c:v>
                </c:pt>
                <c:pt idx="165">
                  <c:v>22</c:v>
                </c:pt>
                <c:pt idx="166">
                  <c:v>28</c:v>
                </c:pt>
                <c:pt idx="167">
                  <c:v>21</c:v>
                </c:pt>
                <c:pt idx="168">
                  <c:v>25</c:v>
                </c:pt>
                <c:pt idx="169">
                  <c:v>23</c:v>
                </c:pt>
                <c:pt idx="170">
                  <c:v>17</c:v>
                </c:pt>
                <c:pt idx="171">
                  <c:v>11</c:v>
                </c:pt>
                <c:pt idx="172">
                  <c:v>11</c:v>
                </c:pt>
                <c:pt idx="173">
                  <c:v>19</c:v>
                </c:pt>
                <c:pt idx="174">
                  <c:v>20</c:v>
                </c:pt>
                <c:pt idx="175">
                  <c:v>13</c:v>
                </c:pt>
                <c:pt idx="176">
                  <c:v>11</c:v>
                </c:pt>
                <c:pt idx="177">
                  <c:v>11</c:v>
                </c:pt>
                <c:pt idx="178">
                  <c:v>17</c:v>
                </c:pt>
                <c:pt idx="179">
                  <c:v>13</c:v>
                </c:pt>
                <c:pt idx="180">
                  <c:v>10</c:v>
                </c:pt>
                <c:pt idx="181">
                  <c:v>4</c:v>
                </c:pt>
                <c:pt idx="182">
                  <c:v>9</c:v>
                </c:pt>
                <c:pt idx="183">
                  <c:v>5</c:v>
                </c:pt>
                <c:pt idx="184">
                  <c:v>13</c:v>
                </c:pt>
                <c:pt idx="185">
                  <c:v>6</c:v>
                </c:pt>
                <c:pt idx="186">
                  <c:v>6</c:v>
                </c:pt>
                <c:pt idx="187">
                  <c:v>5</c:v>
                </c:pt>
                <c:pt idx="188">
                  <c:v>5</c:v>
                </c:pt>
                <c:pt idx="189">
                  <c:v>1</c:v>
                </c:pt>
                <c:pt idx="190">
                  <c:v>5</c:v>
                </c:pt>
                <c:pt idx="191">
                  <c:v>5</c:v>
                </c:pt>
                <c:pt idx="192">
                  <c:v>8</c:v>
                </c:pt>
                <c:pt idx="193">
                  <c:v>9</c:v>
                </c:pt>
                <c:pt idx="194">
                  <c:v>2</c:v>
                </c:pt>
                <c:pt idx="195">
                  <c:v>8</c:v>
                </c:pt>
                <c:pt idx="196">
                  <c:v>3</c:v>
                </c:pt>
                <c:pt idx="197">
                  <c:v>5</c:v>
                </c:pt>
                <c:pt idx="198">
                  <c:v>5</c:v>
                </c:pt>
                <c:pt idx="199">
                  <c:v>1</c:v>
                </c:pt>
                <c:pt idx="200">
                  <c:v>4</c:v>
                </c:pt>
                <c:pt idx="201">
                  <c:v>2</c:v>
                </c:pt>
                <c:pt idx="202">
                  <c:v>4</c:v>
                </c:pt>
                <c:pt idx="203">
                  <c:v>2</c:v>
                </c:pt>
                <c:pt idx="204">
                  <c:v>3</c:v>
                </c:pt>
                <c:pt idx="205">
                  <c:v>1</c:v>
                </c:pt>
                <c:pt idx="206">
                  <c:v>3</c:v>
                </c:pt>
                <c:pt idx="207">
                  <c:v>3</c:v>
                </c:pt>
                <c:pt idx="208">
                  <c:v>4</c:v>
                </c:pt>
                <c:pt idx="209">
                  <c:v>2</c:v>
                </c:pt>
                <c:pt idx="210">
                  <c:v>1</c:v>
                </c:pt>
                <c:pt idx="211">
                  <c:v>1</c:v>
                </c:pt>
                <c:pt idx="212">
                  <c:v>1</c:v>
                </c:pt>
                <c:pt idx="213">
                  <c:v>1</c:v>
                </c:pt>
                <c:pt idx="214">
                  <c:v>1</c:v>
                </c:pt>
                <c:pt idx="215">
                  <c:v>3</c:v>
                </c:pt>
                <c:pt idx="216">
                  <c:v>2</c:v>
                </c:pt>
                <c:pt idx="217">
                  <c:v>1</c:v>
                </c:pt>
                <c:pt idx="218">
                  <c:v>1</c:v>
                </c:pt>
                <c:pt idx="219">
                  <c:v>2</c:v>
                </c:pt>
                <c:pt idx="220">
                  <c:v>1</c:v>
                </c:pt>
                <c:pt idx="221">
                  <c:v>1</c:v>
                </c:pt>
                <c:pt idx="222">
                  <c:v>1</c:v>
                </c:pt>
                <c:pt idx="223">
                  <c:v>2</c:v>
                </c:pt>
                <c:pt idx="224">
                  <c:v>2</c:v>
                </c:pt>
                <c:pt idx="225">
                  <c:v>2</c:v>
                </c:pt>
                <c:pt idx="226">
                  <c:v>2</c:v>
                </c:pt>
                <c:pt idx="227">
                  <c:v>1</c:v>
                </c:pt>
                <c:pt idx="228">
                  <c:v>2</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numCache>
            </c:numRef>
          </c:val>
          <c:smooth val="0"/>
        </c:ser>
        <c:dLbls>
          <c:showLegendKey val="0"/>
          <c:showVal val="0"/>
          <c:showCatName val="0"/>
          <c:showSerName val="0"/>
          <c:showPercent val="0"/>
          <c:showBubbleSize val="0"/>
        </c:dLbls>
        <c:marker val="1"/>
        <c:smooth val="0"/>
        <c:axId val="386425984"/>
        <c:axId val="386427904"/>
      </c:lineChart>
      <c:catAx>
        <c:axId val="386425984"/>
        <c:scaling>
          <c:orientation val="minMax"/>
        </c:scaling>
        <c:delete val="0"/>
        <c:axPos val="b"/>
        <c:title>
          <c:tx>
            <c:rich>
              <a:bodyPr/>
              <a:lstStyle/>
              <a:p>
                <a:pPr>
                  <a:defRPr b="0"/>
                </a:pPr>
                <a:r>
                  <a:rPr lang="en-US" b="0"/>
                  <a:t>Days from last prescription to DHS DoD</a:t>
                </a:r>
              </a:p>
            </c:rich>
          </c:tx>
          <c:layout/>
          <c:overlay val="0"/>
        </c:title>
        <c:majorTickMark val="out"/>
        <c:minorTickMark val="none"/>
        <c:tickLblPos val="nextTo"/>
        <c:crossAx val="386427904"/>
        <c:crosses val="autoZero"/>
        <c:auto val="1"/>
        <c:lblAlgn val="ctr"/>
        <c:lblOffset val="100"/>
        <c:noMultiLvlLbl val="0"/>
      </c:catAx>
      <c:valAx>
        <c:axId val="386427904"/>
        <c:scaling>
          <c:orientation val="minMax"/>
          <c:max val="250"/>
        </c:scaling>
        <c:delete val="0"/>
        <c:axPos val="l"/>
        <c:majorGridlines/>
        <c:title>
          <c:tx>
            <c:rich>
              <a:bodyPr rot="-5400000" vert="horz"/>
              <a:lstStyle/>
              <a:p>
                <a:pPr>
                  <a:defRPr b="0"/>
                </a:pPr>
                <a:r>
                  <a:rPr lang="en-US" b="0"/>
                  <a:t>Patients</a:t>
                </a:r>
              </a:p>
            </c:rich>
          </c:tx>
          <c:layout/>
          <c:overlay val="0"/>
        </c:title>
        <c:numFmt formatCode="General" sourceLinked="1"/>
        <c:majorTickMark val="out"/>
        <c:minorTickMark val="none"/>
        <c:tickLblPos val="nextTo"/>
        <c:crossAx val="386425984"/>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[D1016 - script summary, v11 everolimus indication from auth.xlsx]Sheet4 (2)!PivotTable2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pivotFmt>
      <c:pivotFmt>
        <c:idx val="4"/>
      </c:pivotFmt>
      <c:pivotFmt>
        <c:idx val="5"/>
        <c:marker>
          <c:symbol val="none"/>
        </c:marker>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s>
    <c:plotArea>
      <c:layout/>
      <c:lineChart>
        <c:grouping val="standard"/>
        <c:varyColors val="0"/>
        <c:ser>
          <c:idx val="0"/>
          <c:order val="0"/>
          <c:tx>
            <c:strRef>
              <c:f>'Sheet4 (2)'!$B$3:$B$5</c:f>
              <c:strCache>
                <c:ptCount val="1"/>
                <c:pt idx="0">
                  <c:v>SUNITINIB - Capsule 12.5 mg</c:v>
                </c:pt>
              </c:strCache>
            </c:strRef>
          </c:tx>
          <c:cat>
            <c:strRef>
              <c:f>'Sheet4 (2)'!$A$6:$A$20</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'Sheet4 (2)'!$B$6:$B$20</c:f>
              <c:numCache>
                <c:formatCode>General</c:formatCode>
                <c:ptCount val="14"/>
                <c:pt idx="0">
                  <c:v>4</c:v>
                </c:pt>
                <c:pt idx="1">
                  <c:v>47</c:v>
                </c:pt>
                <c:pt idx="2">
                  <c:v>35</c:v>
                </c:pt>
                <c:pt idx="3">
                  <c:v>40</c:v>
                </c:pt>
                <c:pt idx="4">
                  <c:v>46</c:v>
                </c:pt>
                <c:pt idx="5">
                  <c:v>49</c:v>
                </c:pt>
                <c:pt idx="6">
                  <c:v>37</c:v>
                </c:pt>
                <c:pt idx="7">
                  <c:v>40</c:v>
                </c:pt>
                <c:pt idx="8">
                  <c:v>34</c:v>
                </c:pt>
                <c:pt idx="9">
                  <c:v>20</c:v>
                </c:pt>
                <c:pt idx="10">
                  <c:v>20</c:v>
                </c:pt>
                <c:pt idx="11">
                  <c:v>10</c:v>
                </c:pt>
                <c:pt idx="12">
                  <c:v>15</c:v>
                </c:pt>
                <c:pt idx="13">
                  <c:v>11</c:v>
                </c:pt>
              </c:numCache>
            </c:numRef>
          </c:val>
          <c:smooth val="0"/>
        </c:ser>
        <c:ser>
          <c:idx val="1"/>
          <c:order val="1"/>
          <c:tx>
            <c:strRef>
              <c:f>'Sheet4 (2)'!$C$3:$C$5</c:f>
              <c:strCache>
                <c:ptCount val="1"/>
                <c:pt idx="0">
                  <c:v>SUNITINIB - Capsule 25 mg</c:v>
                </c:pt>
              </c:strCache>
            </c:strRef>
          </c:tx>
          <c:cat>
            <c:strRef>
              <c:f>'Sheet4 (2)'!$A$6:$A$20</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'Sheet4 (2)'!$C$6:$C$20</c:f>
              <c:numCache>
                <c:formatCode>General</c:formatCode>
                <c:ptCount val="14"/>
                <c:pt idx="0">
                  <c:v>7</c:v>
                </c:pt>
                <c:pt idx="1">
                  <c:v>65</c:v>
                </c:pt>
                <c:pt idx="2">
                  <c:v>56</c:v>
                </c:pt>
                <c:pt idx="3">
                  <c:v>74</c:v>
                </c:pt>
                <c:pt idx="4">
                  <c:v>77</c:v>
                </c:pt>
                <c:pt idx="5">
                  <c:v>65</c:v>
                </c:pt>
                <c:pt idx="6">
                  <c:v>70</c:v>
                </c:pt>
                <c:pt idx="7">
                  <c:v>63</c:v>
                </c:pt>
                <c:pt idx="8">
                  <c:v>48</c:v>
                </c:pt>
                <c:pt idx="9">
                  <c:v>38</c:v>
                </c:pt>
                <c:pt idx="10">
                  <c:v>34</c:v>
                </c:pt>
                <c:pt idx="11">
                  <c:v>16</c:v>
                </c:pt>
                <c:pt idx="12">
                  <c:v>26</c:v>
                </c:pt>
                <c:pt idx="13">
                  <c:v>18</c:v>
                </c:pt>
              </c:numCache>
            </c:numRef>
          </c:val>
          <c:smooth val="0"/>
        </c:ser>
        <c:ser>
          <c:idx val="2"/>
          <c:order val="2"/>
          <c:tx>
            <c:strRef>
              <c:f>'Sheet4 (2)'!$D$3:$D$5</c:f>
              <c:strCache>
                <c:ptCount val="1"/>
                <c:pt idx="0">
                  <c:v>SUNITINIB - Capsule 37.5 mg</c:v>
                </c:pt>
              </c:strCache>
            </c:strRef>
          </c:tx>
          <c:cat>
            <c:strRef>
              <c:f>'Sheet4 (2)'!$A$6:$A$20</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'Sheet4 (2)'!$D$6:$D$20</c:f>
              <c:numCache>
                <c:formatCode>General</c:formatCode>
                <c:ptCount val="14"/>
                <c:pt idx="7">
                  <c:v>1</c:v>
                </c:pt>
                <c:pt idx="8">
                  <c:v>12</c:v>
                </c:pt>
                <c:pt idx="9">
                  <c:v>8</c:v>
                </c:pt>
                <c:pt idx="10">
                  <c:v>23</c:v>
                </c:pt>
                <c:pt idx="11">
                  <c:v>22</c:v>
                </c:pt>
                <c:pt idx="12">
                  <c:v>33</c:v>
                </c:pt>
                <c:pt idx="13">
                  <c:v>24</c:v>
                </c:pt>
              </c:numCache>
            </c:numRef>
          </c:val>
          <c:smooth val="0"/>
        </c:ser>
        <c:ser>
          <c:idx val="3"/>
          <c:order val="3"/>
          <c:tx>
            <c:strRef>
              <c:f>'Sheet4 (2)'!$E$3:$E$5</c:f>
              <c:strCache>
                <c:ptCount val="1"/>
                <c:pt idx="0">
                  <c:v>SUNITINIB - Capsule 50 mg</c:v>
                </c:pt>
              </c:strCache>
            </c:strRef>
          </c:tx>
          <c:cat>
            <c:strRef>
              <c:f>'Sheet4 (2)'!$A$6:$A$20</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'Sheet4 (2)'!$E$6:$E$20</c:f>
              <c:numCache>
                <c:formatCode>General</c:formatCode>
                <c:ptCount val="14"/>
                <c:pt idx="0">
                  <c:v>2</c:v>
                </c:pt>
                <c:pt idx="1">
                  <c:v>7</c:v>
                </c:pt>
                <c:pt idx="2">
                  <c:v>8</c:v>
                </c:pt>
                <c:pt idx="3">
                  <c:v>12</c:v>
                </c:pt>
                <c:pt idx="4">
                  <c:v>32</c:v>
                </c:pt>
                <c:pt idx="5">
                  <c:v>23</c:v>
                </c:pt>
                <c:pt idx="6">
                  <c:v>17</c:v>
                </c:pt>
                <c:pt idx="7">
                  <c:v>15</c:v>
                </c:pt>
                <c:pt idx="8">
                  <c:v>9</c:v>
                </c:pt>
                <c:pt idx="9">
                  <c:v>8</c:v>
                </c:pt>
                <c:pt idx="10">
                  <c:v>14</c:v>
                </c:pt>
                <c:pt idx="11">
                  <c:v>25</c:v>
                </c:pt>
                <c:pt idx="12">
                  <c:v>23</c:v>
                </c:pt>
                <c:pt idx="13">
                  <c:v>13</c:v>
                </c:pt>
              </c:numCache>
            </c:numRef>
          </c:val>
          <c:smooth val="0"/>
        </c:ser>
        <c:dLbls>
          <c:showLegendKey val="0"/>
          <c:showVal val="0"/>
          <c:showCatName val="0"/>
          <c:showSerName val="0"/>
          <c:showPercent val="0"/>
          <c:showBubbleSize val="0"/>
        </c:dLbls>
        <c:marker val="1"/>
        <c:smooth val="0"/>
        <c:axId val="360871808"/>
        <c:axId val="363487232"/>
      </c:lineChart>
      <c:catAx>
        <c:axId val="360871808"/>
        <c:scaling>
          <c:orientation val="minMax"/>
        </c:scaling>
        <c:delete val="0"/>
        <c:axPos val="b"/>
        <c:title>
          <c:tx>
            <c:rich>
              <a:bodyPr/>
              <a:lstStyle/>
              <a:p>
                <a:pPr>
                  <a:defRPr b="0"/>
                </a:pPr>
                <a:r>
                  <a:rPr lang="en-US" b="0"/>
                  <a:t>Quarter  of Supply</a:t>
                </a:r>
              </a:p>
            </c:rich>
          </c:tx>
          <c:layout/>
          <c:overlay val="0"/>
        </c:title>
        <c:majorTickMark val="none"/>
        <c:minorTickMark val="none"/>
        <c:tickLblPos val="nextTo"/>
        <c:crossAx val="363487232"/>
        <c:crosses val="autoZero"/>
        <c:auto val="1"/>
        <c:lblAlgn val="ctr"/>
        <c:lblOffset val="100"/>
        <c:noMultiLvlLbl val="0"/>
      </c:catAx>
      <c:valAx>
        <c:axId val="363487232"/>
        <c:scaling>
          <c:orientation val="minMax"/>
        </c:scaling>
        <c:delete val="0"/>
        <c:axPos val="l"/>
        <c:majorGridlines/>
        <c:title>
          <c:tx>
            <c:rich>
              <a:bodyPr/>
              <a:lstStyle/>
              <a:p>
                <a:pPr>
                  <a:defRPr b="0"/>
                </a:pPr>
                <a:r>
                  <a:rPr lang="en-US" b="0"/>
                  <a:t>Prescriptions</a:t>
                </a:r>
              </a:p>
            </c:rich>
          </c:tx>
          <c:layout/>
          <c:overlay val="0"/>
        </c:title>
        <c:numFmt formatCode="General" sourceLinked="1"/>
        <c:majorTickMark val="none"/>
        <c:minorTickMark val="none"/>
        <c:tickLblPos val="nextTo"/>
        <c:crossAx val="360871808"/>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[D1016 - script summary, v11 everolimus indication from auth.xlsx]Sheet4 (3)!PivotTable2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pivotFmt>
      <c:pivotFmt>
        <c:idx val="4"/>
      </c:pivotFmt>
      <c:pivotFmt>
        <c:idx val="5"/>
        <c:marker>
          <c:symbol val="none"/>
        </c:marker>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s>
    <c:plotArea>
      <c:layout/>
      <c:lineChart>
        <c:grouping val="standard"/>
        <c:varyColors val="0"/>
        <c:ser>
          <c:idx val="0"/>
          <c:order val="0"/>
          <c:tx>
            <c:strRef>
              <c:f>'Sheet4 (3)'!$B$3:$B$5</c:f>
              <c:strCache>
                <c:ptCount val="1"/>
                <c:pt idx="0">
                  <c:v>EVEROLIMUS - Tablet 10 mg</c:v>
                </c:pt>
              </c:strCache>
            </c:strRef>
          </c:tx>
          <c:cat>
            <c:strRef>
              <c:f>'Sheet4 (3)'!$A$6:$A$14</c:f>
              <c:strCache>
                <c:ptCount val="8"/>
                <c:pt idx="0">
                  <c:v>2015Q2</c:v>
                </c:pt>
                <c:pt idx="1">
                  <c:v>2015Q3</c:v>
                </c:pt>
                <c:pt idx="2">
                  <c:v>2015Q4</c:v>
                </c:pt>
                <c:pt idx="3">
                  <c:v>2016Q1</c:v>
                </c:pt>
                <c:pt idx="4">
                  <c:v>2016Q2</c:v>
                </c:pt>
                <c:pt idx="5">
                  <c:v>2016Q3</c:v>
                </c:pt>
                <c:pt idx="6">
                  <c:v>2016Q4</c:v>
                </c:pt>
                <c:pt idx="7">
                  <c:v>2017Q1</c:v>
                </c:pt>
              </c:strCache>
            </c:strRef>
          </c:cat>
          <c:val>
            <c:numRef>
              <c:f>'Sheet4 (3)'!$B$6:$B$14</c:f>
              <c:numCache>
                <c:formatCode>General</c:formatCode>
                <c:ptCount val="8"/>
                <c:pt idx="0">
                  <c:v>31</c:v>
                </c:pt>
                <c:pt idx="1">
                  <c:v>41</c:v>
                </c:pt>
                <c:pt idx="2">
                  <c:v>35</c:v>
                </c:pt>
                <c:pt idx="3">
                  <c:v>40</c:v>
                </c:pt>
                <c:pt idx="4">
                  <c:v>47</c:v>
                </c:pt>
                <c:pt idx="5">
                  <c:v>52</c:v>
                </c:pt>
                <c:pt idx="6">
                  <c:v>67</c:v>
                </c:pt>
                <c:pt idx="7">
                  <c:v>60</c:v>
                </c:pt>
              </c:numCache>
            </c:numRef>
          </c:val>
          <c:smooth val="0"/>
        </c:ser>
        <c:ser>
          <c:idx val="1"/>
          <c:order val="1"/>
          <c:tx>
            <c:strRef>
              <c:f>'Sheet4 (3)'!$C$3:$C$5</c:f>
              <c:strCache>
                <c:ptCount val="1"/>
                <c:pt idx="0">
                  <c:v>EVEROLIMUS - Tablet 5 mg</c:v>
                </c:pt>
              </c:strCache>
            </c:strRef>
          </c:tx>
          <c:cat>
            <c:strRef>
              <c:f>'Sheet4 (3)'!$A$6:$A$14</c:f>
              <c:strCache>
                <c:ptCount val="8"/>
                <c:pt idx="0">
                  <c:v>2015Q2</c:v>
                </c:pt>
                <c:pt idx="1">
                  <c:v>2015Q3</c:v>
                </c:pt>
                <c:pt idx="2">
                  <c:v>2015Q4</c:v>
                </c:pt>
                <c:pt idx="3">
                  <c:v>2016Q1</c:v>
                </c:pt>
                <c:pt idx="4">
                  <c:v>2016Q2</c:v>
                </c:pt>
                <c:pt idx="5">
                  <c:v>2016Q3</c:v>
                </c:pt>
                <c:pt idx="6">
                  <c:v>2016Q4</c:v>
                </c:pt>
                <c:pt idx="7">
                  <c:v>2017Q1</c:v>
                </c:pt>
              </c:strCache>
            </c:strRef>
          </c:cat>
          <c:val>
            <c:numRef>
              <c:f>'Sheet4 (3)'!$C$6:$C$14</c:f>
              <c:numCache>
                <c:formatCode>General</c:formatCode>
                <c:ptCount val="8"/>
                <c:pt idx="0">
                  <c:v>13</c:v>
                </c:pt>
                <c:pt idx="1">
                  <c:v>17</c:v>
                </c:pt>
                <c:pt idx="2">
                  <c:v>26</c:v>
                </c:pt>
                <c:pt idx="3">
                  <c:v>30</c:v>
                </c:pt>
                <c:pt idx="4">
                  <c:v>37</c:v>
                </c:pt>
                <c:pt idx="5">
                  <c:v>38</c:v>
                </c:pt>
                <c:pt idx="6">
                  <c:v>42</c:v>
                </c:pt>
                <c:pt idx="7">
                  <c:v>24</c:v>
                </c:pt>
              </c:numCache>
            </c:numRef>
          </c:val>
          <c:smooth val="0"/>
        </c:ser>
        <c:dLbls>
          <c:showLegendKey val="0"/>
          <c:showVal val="0"/>
          <c:showCatName val="0"/>
          <c:showSerName val="0"/>
          <c:showPercent val="0"/>
          <c:showBubbleSize val="0"/>
        </c:dLbls>
        <c:marker val="1"/>
        <c:smooth val="0"/>
        <c:axId val="366437120"/>
        <c:axId val="366439040"/>
      </c:lineChart>
      <c:catAx>
        <c:axId val="366437120"/>
        <c:scaling>
          <c:orientation val="minMax"/>
        </c:scaling>
        <c:delete val="0"/>
        <c:axPos val="b"/>
        <c:title>
          <c:tx>
            <c:rich>
              <a:bodyPr/>
              <a:lstStyle/>
              <a:p>
                <a:pPr>
                  <a:defRPr b="0"/>
                </a:pPr>
                <a:r>
                  <a:rPr lang="en-US" b="0"/>
                  <a:t>Quarter  of Supply</a:t>
                </a:r>
              </a:p>
            </c:rich>
          </c:tx>
          <c:layout/>
          <c:overlay val="0"/>
        </c:title>
        <c:majorTickMark val="none"/>
        <c:minorTickMark val="none"/>
        <c:tickLblPos val="nextTo"/>
        <c:crossAx val="366439040"/>
        <c:crosses val="autoZero"/>
        <c:auto val="1"/>
        <c:lblAlgn val="ctr"/>
        <c:lblOffset val="100"/>
        <c:noMultiLvlLbl val="0"/>
      </c:catAx>
      <c:valAx>
        <c:axId val="366439040"/>
        <c:scaling>
          <c:orientation val="minMax"/>
        </c:scaling>
        <c:delete val="0"/>
        <c:axPos val="l"/>
        <c:majorGridlines/>
        <c:title>
          <c:tx>
            <c:rich>
              <a:bodyPr/>
              <a:lstStyle/>
              <a:p>
                <a:pPr>
                  <a:defRPr b="0"/>
                </a:pPr>
                <a:r>
                  <a:rPr lang="en-US" b="0"/>
                  <a:t>Prescriptions</a:t>
                </a:r>
              </a:p>
            </c:rich>
          </c:tx>
          <c:layout/>
          <c:overlay val="0"/>
        </c:title>
        <c:numFmt formatCode="General" sourceLinked="1"/>
        <c:majorTickMark val="none"/>
        <c:minorTickMark val="none"/>
        <c:tickLblPos val="nextTo"/>
        <c:crossAx val="366437120"/>
        <c:crosses val="autoZero"/>
        <c:crossBetween val="between"/>
      </c:valAx>
    </c:plotArea>
    <c:legend>
      <c:legendPos val="r"/>
      <c:layout/>
      <c:overlay val="0"/>
      <c:txPr>
        <a:bodyPr/>
        <a:lstStyle/>
        <a:p>
          <a:pPr>
            <a:defRPr sz="9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[D1016_PATCNTBY_DRUG_N_SUPP_Q for pNET scripts - v11.xlsx]Sheet1 (3)!PivotTable2</c:name>
    <c:fmtId val="-1"/>
  </c:pivotSource>
  <c:chart>
    <c:title>
      <c:tx>
        <c:strRef>
          <c:f>'Sheet1 (3)'!$B$1</c:f>
          <c:strCache>
            <c:ptCount val="1"/>
          </c:strCache>
        </c:strRef>
      </c:tx>
      <c:layout/>
      <c:overlay val="0"/>
    </c:title>
    <c:autoTitleDeleted val="0"/>
    <c:pivotFmts>
      <c:pivotFmt>
        <c:idx val="0"/>
        <c:marker>
          <c:symbol val="none"/>
        </c:marker>
      </c:pivotFmt>
      <c:pivotFmt>
        <c:idx val="1"/>
      </c:pivotFmt>
      <c:pivotFmt>
        <c:idx val="2"/>
        <c:marker>
          <c:symbol val="none"/>
        </c:marker>
      </c:pivotFmt>
      <c:pivotFmt>
        <c:idx val="3"/>
      </c:pivotFmt>
      <c:pivotFmt>
        <c:idx val="4"/>
        <c:marker>
          <c:symbol val="none"/>
        </c:marker>
      </c:pivotFmt>
      <c:pivotFmt>
        <c:idx val="5"/>
        <c:marker>
          <c:symbol val="none"/>
        </c:marker>
      </c:pivotFmt>
      <c:pivotFmt>
        <c:idx val="6"/>
        <c:dLbl>
          <c:idx val="0"/>
          <c:delete val="1"/>
        </c:dLbl>
      </c:pivotFmt>
      <c:pivotFmt>
        <c:idx val="7"/>
        <c:dLbl>
          <c:idx val="0"/>
          <c:delete val="1"/>
        </c:dLbl>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s>
    <c:plotArea>
      <c:layout/>
      <c:lineChart>
        <c:grouping val="standard"/>
        <c:varyColors val="0"/>
        <c:ser>
          <c:idx val="0"/>
          <c:order val="0"/>
          <c:tx>
            <c:strRef>
              <c:f>'Sheet1 (3)'!$B$3:$B$4</c:f>
              <c:strCache>
                <c:ptCount val="1"/>
                <c:pt idx="0">
                  <c:v>prevalent patients - total</c:v>
                </c:pt>
              </c:strCache>
            </c:strRef>
          </c:tx>
          <c:cat>
            <c:strRef>
              <c:f>'Sheet1 (3)'!$A$5:$A$19</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 (3)'!$B$5:$B$19</c:f>
              <c:numCache>
                <c:formatCode>General</c:formatCode>
                <c:ptCount val="14"/>
                <c:pt idx="0">
                  <c:v>8</c:v>
                </c:pt>
                <c:pt idx="1">
                  <c:v>47</c:v>
                </c:pt>
                <c:pt idx="2">
                  <c:v>39</c:v>
                </c:pt>
                <c:pt idx="3">
                  <c:v>50</c:v>
                </c:pt>
                <c:pt idx="4">
                  <c:v>68</c:v>
                </c:pt>
                <c:pt idx="5">
                  <c:v>55</c:v>
                </c:pt>
                <c:pt idx="6">
                  <c:v>79</c:v>
                </c:pt>
                <c:pt idx="7">
                  <c:v>77</c:v>
                </c:pt>
                <c:pt idx="8">
                  <c:v>69</c:v>
                </c:pt>
                <c:pt idx="9">
                  <c:v>63</c:v>
                </c:pt>
                <c:pt idx="10">
                  <c:v>80</c:v>
                </c:pt>
                <c:pt idx="11">
                  <c:v>81</c:v>
                </c:pt>
                <c:pt idx="12">
                  <c:v>92</c:v>
                </c:pt>
                <c:pt idx="13">
                  <c:v>80</c:v>
                </c:pt>
              </c:numCache>
            </c:numRef>
          </c:val>
          <c:smooth val="0"/>
        </c:ser>
        <c:ser>
          <c:idx val="1"/>
          <c:order val="1"/>
          <c:tx>
            <c:strRef>
              <c:f>'Sheet1 (3)'!$C$3:$C$4</c:f>
              <c:strCache>
                <c:ptCount val="1"/>
                <c:pt idx="0">
                  <c:v>initiating patients - total</c:v>
                </c:pt>
              </c:strCache>
            </c:strRef>
          </c:tx>
          <c:cat>
            <c:strRef>
              <c:f>'Sheet1 (3)'!$A$5:$A$19</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 (3)'!$C$5:$C$19</c:f>
              <c:numCache>
                <c:formatCode>General</c:formatCode>
                <c:ptCount val="14"/>
                <c:pt idx="0">
                  <c:v>8</c:v>
                </c:pt>
                <c:pt idx="1">
                  <c:v>41</c:v>
                </c:pt>
                <c:pt idx="2">
                  <c:v>13</c:v>
                </c:pt>
                <c:pt idx="3">
                  <c:v>25</c:v>
                </c:pt>
                <c:pt idx="4">
                  <c:v>34</c:v>
                </c:pt>
                <c:pt idx="5">
                  <c:v>16</c:v>
                </c:pt>
                <c:pt idx="6">
                  <c:v>41</c:v>
                </c:pt>
                <c:pt idx="7">
                  <c:v>31</c:v>
                </c:pt>
                <c:pt idx="8">
                  <c:v>18</c:v>
                </c:pt>
                <c:pt idx="9">
                  <c:v>17</c:v>
                </c:pt>
                <c:pt idx="10">
                  <c:v>35</c:v>
                </c:pt>
                <c:pt idx="11">
                  <c:v>28</c:v>
                </c:pt>
                <c:pt idx="12">
                  <c:v>34</c:v>
                </c:pt>
                <c:pt idx="13">
                  <c:v>25</c:v>
                </c:pt>
              </c:numCache>
            </c:numRef>
          </c:val>
          <c:smooth val="0"/>
        </c:ser>
        <c:dLbls>
          <c:showLegendKey val="0"/>
          <c:showVal val="0"/>
          <c:showCatName val="0"/>
          <c:showSerName val="0"/>
          <c:showPercent val="0"/>
          <c:showBubbleSize val="0"/>
        </c:dLbls>
        <c:marker val="1"/>
        <c:smooth val="0"/>
        <c:axId val="366472576"/>
        <c:axId val="366720512"/>
      </c:lineChart>
      <c:catAx>
        <c:axId val="366472576"/>
        <c:scaling>
          <c:orientation val="minMax"/>
        </c:scaling>
        <c:delete val="0"/>
        <c:axPos val="b"/>
        <c:title>
          <c:tx>
            <c:rich>
              <a:bodyPr/>
              <a:lstStyle/>
              <a:p>
                <a:pPr>
                  <a:defRPr b="0"/>
                </a:pPr>
                <a:r>
                  <a:rPr lang="en-US" b="0"/>
                  <a:t>Quarter of Supply</a:t>
                </a:r>
              </a:p>
            </c:rich>
          </c:tx>
          <c:layout/>
          <c:overlay val="0"/>
        </c:title>
        <c:majorTickMark val="none"/>
        <c:minorTickMark val="none"/>
        <c:tickLblPos val="nextTo"/>
        <c:crossAx val="366720512"/>
        <c:crosses val="autoZero"/>
        <c:auto val="1"/>
        <c:lblAlgn val="ctr"/>
        <c:lblOffset val="100"/>
        <c:noMultiLvlLbl val="0"/>
      </c:catAx>
      <c:valAx>
        <c:axId val="366720512"/>
        <c:scaling>
          <c:orientation val="minMax"/>
        </c:scaling>
        <c:delete val="0"/>
        <c:axPos val="l"/>
        <c:majorGridlines/>
        <c:title>
          <c:tx>
            <c:rich>
              <a:bodyPr/>
              <a:lstStyle/>
              <a:p>
                <a:pPr>
                  <a:defRPr b="0"/>
                </a:pPr>
                <a:r>
                  <a:rPr lang="en-US" b="0"/>
                  <a:t>Patients</a:t>
                </a:r>
              </a:p>
            </c:rich>
          </c:tx>
          <c:layout/>
          <c:overlay val="0"/>
        </c:title>
        <c:numFmt formatCode="General" sourceLinked="1"/>
        <c:majorTickMark val="none"/>
        <c:minorTickMark val="none"/>
        <c:tickLblPos val="nextTo"/>
        <c:crossAx val="366472576"/>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[D1016_PATCNTBY_DRUG_N_SUPP_Q for pNET scripts - v11.xlsx]Sheet1!PivotTable2</c:name>
    <c:fmtId val="-1"/>
  </c:pivotSource>
  <c:chart>
    <c:title>
      <c:tx>
        <c:strRef>
          <c:f>Sheet1!$B$1</c:f>
          <c:strCache>
            <c:ptCount val="1"/>
          </c:strCache>
        </c:strRef>
      </c:tx>
      <c:layout/>
      <c:overlay val="0"/>
    </c:title>
    <c:autoTitleDeleted val="0"/>
    <c:pivotFmts>
      <c:pivotFmt>
        <c:idx val="0"/>
        <c:marker>
          <c:symbol val="none"/>
        </c:marker>
      </c:pivotFmt>
      <c:pivotFmt>
        <c:idx val="1"/>
      </c:pivotFmt>
      <c:pivotFmt>
        <c:idx val="2"/>
        <c:marker>
          <c:symbol val="none"/>
        </c:marker>
      </c:pivotFmt>
      <c:pivotFmt>
        <c:idx val="3"/>
      </c:pivotFmt>
      <c:pivotFmt>
        <c:idx val="4"/>
        <c:marker>
          <c:symbol val="none"/>
        </c:marker>
      </c:pivotFmt>
      <c:pivotFmt>
        <c:idx val="5"/>
        <c:marker>
          <c:symbol val="none"/>
        </c:marker>
      </c:pivotFmt>
      <c:pivotFmt>
        <c:idx val="6"/>
        <c:dLbl>
          <c:idx val="0"/>
          <c:delete val="1"/>
        </c:dLbl>
      </c:pivotFmt>
      <c:pivotFmt>
        <c:idx val="7"/>
        <c:dLbl>
          <c:idx val="0"/>
          <c:delete val="1"/>
        </c:dLbl>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s>
    <c:plotArea>
      <c:layout/>
      <c:lineChart>
        <c:grouping val="standard"/>
        <c:varyColors val="0"/>
        <c:ser>
          <c:idx val="0"/>
          <c:order val="0"/>
          <c:tx>
            <c:strRef>
              <c:f>Sheet1!$B$3:$B$5</c:f>
              <c:strCache>
                <c:ptCount val="1"/>
                <c:pt idx="0">
                  <c:v>prevalent patients - EVEROLIMUS</c:v>
                </c:pt>
              </c:strCache>
            </c:strRef>
          </c:tx>
          <c:cat>
            <c:strRef>
              <c:f>Sheet1!$A$6:$A$20</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Sheet1!$B$6:$B$20</c:f>
              <c:numCache>
                <c:formatCode>General</c:formatCode>
                <c:ptCount val="14"/>
                <c:pt idx="6">
                  <c:v>25</c:v>
                </c:pt>
                <c:pt idx="7">
                  <c:v>26</c:v>
                </c:pt>
                <c:pt idx="8">
                  <c:v>27</c:v>
                </c:pt>
                <c:pt idx="9">
                  <c:v>32</c:v>
                </c:pt>
                <c:pt idx="10">
                  <c:v>43</c:v>
                </c:pt>
                <c:pt idx="11">
                  <c:v>39</c:v>
                </c:pt>
                <c:pt idx="12">
                  <c:v>48</c:v>
                </c:pt>
                <c:pt idx="13">
                  <c:v>47</c:v>
                </c:pt>
              </c:numCache>
            </c:numRef>
          </c:val>
          <c:smooth val="0"/>
        </c:ser>
        <c:ser>
          <c:idx val="1"/>
          <c:order val="1"/>
          <c:tx>
            <c:strRef>
              <c:f>Sheet1!$C$3:$C$5</c:f>
              <c:strCache>
                <c:ptCount val="1"/>
                <c:pt idx="0">
                  <c:v>prevalent patients - SUNITINIB</c:v>
                </c:pt>
              </c:strCache>
            </c:strRef>
          </c:tx>
          <c:cat>
            <c:strRef>
              <c:f>Sheet1!$A$6:$A$20</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Sheet1!$C$6:$C$20</c:f>
              <c:numCache>
                <c:formatCode>General</c:formatCode>
                <c:ptCount val="14"/>
                <c:pt idx="0">
                  <c:v>8</c:v>
                </c:pt>
                <c:pt idx="1">
                  <c:v>47</c:v>
                </c:pt>
                <c:pt idx="2">
                  <c:v>39</c:v>
                </c:pt>
                <c:pt idx="3">
                  <c:v>50</c:v>
                </c:pt>
                <c:pt idx="4">
                  <c:v>68</c:v>
                </c:pt>
                <c:pt idx="5">
                  <c:v>55</c:v>
                </c:pt>
                <c:pt idx="6">
                  <c:v>55</c:v>
                </c:pt>
                <c:pt idx="7">
                  <c:v>51</c:v>
                </c:pt>
                <c:pt idx="8">
                  <c:v>42</c:v>
                </c:pt>
                <c:pt idx="9">
                  <c:v>31</c:v>
                </c:pt>
                <c:pt idx="10">
                  <c:v>39</c:v>
                </c:pt>
                <c:pt idx="11">
                  <c:v>42</c:v>
                </c:pt>
                <c:pt idx="12">
                  <c:v>45</c:v>
                </c:pt>
                <c:pt idx="13">
                  <c:v>34</c:v>
                </c:pt>
              </c:numCache>
            </c:numRef>
          </c:val>
          <c:smooth val="0"/>
        </c:ser>
        <c:ser>
          <c:idx val="2"/>
          <c:order val="2"/>
          <c:tx>
            <c:strRef>
              <c:f>Sheet1!$E$3:$E$5</c:f>
              <c:strCache>
                <c:ptCount val="1"/>
                <c:pt idx="0">
                  <c:v>initiating patients - EVEROLIMUS</c:v>
                </c:pt>
              </c:strCache>
            </c:strRef>
          </c:tx>
          <c:cat>
            <c:strRef>
              <c:f>Sheet1!$A$6:$A$20</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Sheet1!$E$6:$E$20</c:f>
              <c:numCache>
                <c:formatCode>General</c:formatCode>
                <c:ptCount val="14"/>
                <c:pt idx="6">
                  <c:v>25</c:v>
                </c:pt>
                <c:pt idx="7">
                  <c:v>12</c:v>
                </c:pt>
                <c:pt idx="8">
                  <c:v>11</c:v>
                </c:pt>
                <c:pt idx="9">
                  <c:v>12</c:v>
                </c:pt>
                <c:pt idx="10">
                  <c:v>23</c:v>
                </c:pt>
                <c:pt idx="11">
                  <c:v>14</c:v>
                </c:pt>
                <c:pt idx="12">
                  <c:v>17</c:v>
                </c:pt>
                <c:pt idx="13">
                  <c:v>18</c:v>
                </c:pt>
              </c:numCache>
            </c:numRef>
          </c:val>
          <c:smooth val="0"/>
        </c:ser>
        <c:ser>
          <c:idx val="3"/>
          <c:order val="3"/>
          <c:tx>
            <c:strRef>
              <c:f>Sheet1!$F$3:$F$5</c:f>
              <c:strCache>
                <c:ptCount val="1"/>
                <c:pt idx="0">
                  <c:v>initiating patients - SUNITINIB</c:v>
                </c:pt>
              </c:strCache>
            </c:strRef>
          </c:tx>
          <c:cat>
            <c:strRef>
              <c:f>Sheet1!$A$6:$A$20</c:f>
              <c:strCache>
                <c:ptCount val="14"/>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strCache>
            </c:strRef>
          </c:cat>
          <c:val>
            <c:numRef>
              <c:f>Sheet1!$F$6:$F$20</c:f>
              <c:numCache>
                <c:formatCode>General</c:formatCode>
                <c:ptCount val="14"/>
                <c:pt idx="0">
                  <c:v>8</c:v>
                </c:pt>
                <c:pt idx="1">
                  <c:v>41</c:v>
                </c:pt>
                <c:pt idx="2">
                  <c:v>13</c:v>
                </c:pt>
                <c:pt idx="3">
                  <c:v>25</c:v>
                </c:pt>
                <c:pt idx="4">
                  <c:v>34</c:v>
                </c:pt>
                <c:pt idx="5">
                  <c:v>16</c:v>
                </c:pt>
                <c:pt idx="6">
                  <c:v>20</c:v>
                </c:pt>
                <c:pt idx="7">
                  <c:v>22</c:v>
                </c:pt>
                <c:pt idx="8">
                  <c:v>8</c:v>
                </c:pt>
                <c:pt idx="9">
                  <c:v>6</c:v>
                </c:pt>
                <c:pt idx="10">
                  <c:v>16</c:v>
                </c:pt>
                <c:pt idx="11">
                  <c:v>15</c:v>
                </c:pt>
                <c:pt idx="12">
                  <c:v>20</c:v>
                </c:pt>
                <c:pt idx="13">
                  <c:v>9</c:v>
                </c:pt>
              </c:numCache>
            </c:numRef>
          </c:val>
          <c:smooth val="0"/>
        </c:ser>
        <c:dLbls>
          <c:showLegendKey val="0"/>
          <c:showVal val="0"/>
          <c:showCatName val="0"/>
          <c:showSerName val="0"/>
          <c:showPercent val="0"/>
          <c:showBubbleSize val="0"/>
        </c:dLbls>
        <c:marker val="1"/>
        <c:smooth val="0"/>
        <c:axId val="384549248"/>
        <c:axId val="384551168"/>
      </c:lineChart>
      <c:catAx>
        <c:axId val="384549248"/>
        <c:scaling>
          <c:orientation val="minMax"/>
        </c:scaling>
        <c:delete val="0"/>
        <c:axPos val="b"/>
        <c:title>
          <c:tx>
            <c:rich>
              <a:bodyPr/>
              <a:lstStyle/>
              <a:p>
                <a:pPr>
                  <a:defRPr b="0"/>
                </a:pPr>
                <a:r>
                  <a:rPr lang="en-US" b="0"/>
                  <a:t>Quarter of Supply</a:t>
                </a:r>
              </a:p>
            </c:rich>
          </c:tx>
          <c:layout/>
          <c:overlay val="0"/>
        </c:title>
        <c:majorTickMark val="none"/>
        <c:minorTickMark val="none"/>
        <c:tickLblPos val="nextTo"/>
        <c:crossAx val="384551168"/>
        <c:crosses val="autoZero"/>
        <c:auto val="1"/>
        <c:lblAlgn val="ctr"/>
        <c:lblOffset val="100"/>
        <c:noMultiLvlLbl val="0"/>
      </c:catAx>
      <c:valAx>
        <c:axId val="384551168"/>
        <c:scaling>
          <c:orientation val="minMax"/>
        </c:scaling>
        <c:delete val="0"/>
        <c:axPos val="l"/>
        <c:majorGridlines/>
        <c:title>
          <c:tx>
            <c:rich>
              <a:bodyPr/>
              <a:lstStyle/>
              <a:p>
                <a:pPr>
                  <a:defRPr b="0"/>
                </a:pPr>
                <a:r>
                  <a:rPr lang="en-US" b="0"/>
                  <a:t>Patients</a:t>
                </a:r>
              </a:p>
            </c:rich>
          </c:tx>
          <c:layout/>
          <c:overlay val="0"/>
        </c:title>
        <c:numFmt formatCode="General" sourceLinked="1"/>
        <c:majorTickMark val="none"/>
        <c:minorTickMark val="none"/>
        <c:tickLblPos val="nextTo"/>
        <c:crossAx val="384549248"/>
        <c:crosses val="autoZero"/>
        <c:crossBetween val="between"/>
      </c:valAx>
    </c:plotArea>
    <c:legend>
      <c:legendPos val="r"/>
      <c:layout/>
      <c:overlay val="0"/>
      <c:txPr>
        <a:bodyPr/>
        <a:lstStyle/>
        <a:p>
          <a:pPr>
            <a:defRPr sz="9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[D1016 - SUPPLY_LAG_FREQ v11, with new Cohort pNET.xlsx]Sheet1 (2)!PivotTable1</c:name>
    <c:fmtId val="-1"/>
  </c:pivotSource>
  <c:chart>
    <c:autoTitleDeleted val="1"/>
    <c:pivotFmts>
      <c:pivotFmt>
        <c:idx val="0"/>
        <c:marker>
          <c:symbol val="none"/>
        </c:marker>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s>
    <c:plotArea>
      <c:layout/>
      <c:lineChart>
        <c:grouping val="standard"/>
        <c:varyColors val="0"/>
        <c:ser>
          <c:idx val="0"/>
          <c:order val="0"/>
          <c:tx>
            <c:strRef>
              <c:f>'Sheet1 (2)'!$B$3:$B$4</c:f>
              <c:strCache>
                <c:ptCount val="1"/>
                <c:pt idx="0">
                  <c:v>EVEROLIMUS</c:v>
                </c:pt>
              </c:strCache>
            </c:strRef>
          </c:tx>
          <c:marker>
            <c:symbol val="none"/>
          </c:marker>
          <c:cat>
            <c:strRef>
              <c:f>'Sheet1 (2)'!$A$5:$A$81</c:f>
              <c:strCache>
                <c:ptCount val="76"/>
                <c:pt idx="0">
                  <c:v>1</c:v>
                </c:pt>
                <c:pt idx="1">
                  <c:v>2</c:v>
                </c:pt>
                <c:pt idx="2">
                  <c:v>4</c:v>
                </c:pt>
                <c:pt idx="3">
                  <c:v>5</c:v>
                </c:pt>
                <c:pt idx="4">
                  <c:v>6</c:v>
                </c:pt>
                <c:pt idx="5">
                  <c:v>7</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pt idx="26">
                  <c:v>29</c:v>
                </c:pt>
                <c:pt idx="27">
                  <c:v>30</c:v>
                </c:pt>
                <c:pt idx="28">
                  <c:v>31</c:v>
                </c:pt>
                <c:pt idx="29">
                  <c:v>32</c:v>
                </c:pt>
                <c:pt idx="30">
                  <c:v>33</c:v>
                </c:pt>
                <c:pt idx="31">
                  <c:v>34</c:v>
                </c:pt>
                <c:pt idx="32">
                  <c:v>35</c:v>
                </c:pt>
                <c:pt idx="33">
                  <c:v>36</c:v>
                </c:pt>
                <c:pt idx="34">
                  <c:v>37</c:v>
                </c:pt>
                <c:pt idx="35">
                  <c:v>38</c:v>
                </c:pt>
                <c:pt idx="36">
                  <c:v>39</c:v>
                </c:pt>
                <c:pt idx="37">
                  <c:v>40</c:v>
                </c:pt>
                <c:pt idx="38">
                  <c:v>41</c:v>
                </c:pt>
                <c:pt idx="39">
                  <c:v>42</c:v>
                </c:pt>
                <c:pt idx="40">
                  <c:v>43</c:v>
                </c:pt>
                <c:pt idx="41">
                  <c:v>44</c:v>
                </c:pt>
                <c:pt idx="42">
                  <c:v>45</c:v>
                </c:pt>
                <c:pt idx="43">
                  <c:v>46</c:v>
                </c:pt>
                <c:pt idx="44">
                  <c:v>47</c:v>
                </c:pt>
                <c:pt idx="45">
                  <c:v>48</c:v>
                </c:pt>
                <c:pt idx="46">
                  <c:v>49</c:v>
                </c:pt>
                <c:pt idx="47">
                  <c:v>50</c:v>
                </c:pt>
                <c:pt idx="48">
                  <c:v>51</c:v>
                </c:pt>
                <c:pt idx="49">
                  <c:v>52</c:v>
                </c:pt>
                <c:pt idx="50">
                  <c:v>53</c:v>
                </c:pt>
                <c:pt idx="51">
                  <c:v>54</c:v>
                </c:pt>
                <c:pt idx="52">
                  <c:v>55</c:v>
                </c:pt>
                <c:pt idx="53">
                  <c:v>56</c:v>
                </c:pt>
                <c:pt idx="54">
                  <c:v>57</c:v>
                </c:pt>
                <c:pt idx="55">
                  <c:v>58</c:v>
                </c:pt>
                <c:pt idx="56">
                  <c:v>59</c:v>
                </c:pt>
                <c:pt idx="57">
                  <c:v>60</c:v>
                </c:pt>
                <c:pt idx="58">
                  <c:v>61</c:v>
                </c:pt>
                <c:pt idx="59">
                  <c:v>62</c:v>
                </c:pt>
                <c:pt idx="60">
                  <c:v>63</c:v>
                </c:pt>
                <c:pt idx="61">
                  <c:v>64</c:v>
                </c:pt>
                <c:pt idx="62">
                  <c:v>65</c:v>
                </c:pt>
                <c:pt idx="63">
                  <c:v>66</c:v>
                </c:pt>
                <c:pt idx="64">
                  <c:v>67</c:v>
                </c:pt>
                <c:pt idx="65">
                  <c:v>69</c:v>
                </c:pt>
                <c:pt idx="66">
                  <c:v>70</c:v>
                </c:pt>
                <c:pt idx="67">
                  <c:v>71</c:v>
                </c:pt>
                <c:pt idx="68">
                  <c:v>72</c:v>
                </c:pt>
                <c:pt idx="69">
                  <c:v>73</c:v>
                </c:pt>
                <c:pt idx="70">
                  <c:v>74</c:v>
                </c:pt>
                <c:pt idx="71">
                  <c:v>76</c:v>
                </c:pt>
                <c:pt idx="72">
                  <c:v>77</c:v>
                </c:pt>
                <c:pt idx="73">
                  <c:v>78</c:v>
                </c:pt>
                <c:pt idx="74">
                  <c:v>84</c:v>
                </c:pt>
                <c:pt idx="75">
                  <c:v>85</c:v>
                </c:pt>
              </c:strCache>
            </c:strRef>
          </c:cat>
          <c:val>
            <c:numRef>
              <c:f>'Sheet1 (2)'!$B$5:$B$81</c:f>
              <c:numCache>
                <c:formatCode>0.00%</c:formatCode>
                <c:ptCount val="76"/>
                <c:pt idx="0">
                  <c:v>2.0114942528735632E-2</c:v>
                </c:pt>
                <c:pt idx="1">
                  <c:v>8.6206896551724137E-3</c:v>
                </c:pt>
                <c:pt idx="2">
                  <c:v>5.7471264367816091E-3</c:v>
                </c:pt>
                <c:pt idx="3">
                  <c:v>8.6206896551724137E-3</c:v>
                </c:pt>
                <c:pt idx="4">
                  <c:v>8.6206896551724137E-3</c:v>
                </c:pt>
                <c:pt idx="5">
                  <c:v>2.8735632183908046E-3</c:v>
                </c:pt>
                <c:pt idx="6">
                  <c:v>8.6206896551724137E-3</c:v>
                </c:pt>
                <c:pt idx="7">
                  <c:v>8.6206896551724137E-3</c:v>
                </c:pt>
                <c:pt idx="8">
                  <c:v>2.8735632183908046E-3</c:v>
                </c:pt>
                <c:pt idx="9">
                  <c:v>5.7471264367816091E-3</c:v>
                </c:pt>
                <c:pt idx="10">
                  <c:v>1.1494252873563218E-2</c:v>
                </c:pt>
                <c:pt idx="11">
                  <c:v>5.7471264367816091E-3</c:v>
                </c:pt>
                <c:pt idx="12">
                  <c:v>2.5862068965517241E-2</c:v>
                </c:pt>
                <c:pt idx="13">
                  <c:v>1.4367816091954023E-2</c:v>
                </c:pt>
                <c:pt idx="14">
                  <c:v>1.4367816091954023E-2</c:v>
                </c:pt>
                <c:pt idx="15">
                  <c:v>5.7471264367816091E-3</c:v>
                </c:pt>
                <c:pt idx="16">
                  <c:v>2.8735632183908046E-3</c:v>
                </c:pt>
                <c:pt idx="17">
                  <c:v>2.2988505747126436E-2</c:v>
                </c:pt>
                <c:pt idx="18">
                  <c:v>4.8850574712643681E-2</c:v>
                </c:pt>
                <c:pt idx="19">
                  <c:v>2.0114942528735632E-2</c:v>
                </c:pt>
                <c:pt idx="20">
                  <c:v>1.7241379310344827E-2</c:v>
                </c:pt>
                <c:pt idx="21">
                  <c:v>1.1494252873563218E-2</c:v>
                </c:pt>
                <c:pt idx="22">
                  <c:v>2.8735632183908046E-2</c:v>
                </c:pt>
                <c:pt idx="23">
                  <c:v>3.7356321839080463E-2</c:v>
                </c:pt>
                <c:pt idx="24">
                  <c:v>4.5977011494252873E-2</c:v>
                </c:pt>
                <c:pt idx="25">
                  <c:v>6.8965517241379309E-2</c:v>
                </c:pt>
                <c:pt idx="26">
                  <c:v>8.0459770114942528E-2</c:v>
                </c:pt>
                <c:pt idx="27">
                  <c:v>4.5977011494252873E-2</c:v>
                </c:pt>
                <c:pt idx="28">
                  <c:v>3.4482758620689655E-2</c:v>
                </c:pt>
                <c:pt idx="29">
                  <c:v>4.0229885057471264E-2</c:v>
                </c:pt>
                <c:pt idx="30">
                  <c:v>4.3103448275862072E-2</c:v>
                </c:pt>
                <c:pt idx="31">
                  <c:v>4.0229885057471264E-2</c:v>
                </c:pt>
                <c:pt idx="32">
                  <c:v>3.1609195402298854E-2</c:v>
                </c:pt>
                <c:pt idx="33">
                  <c:v>2.5862068965517241E-2</c:v>
                </c:pt>
                <c:pt idx="34">
                  <c:v>1.4367816091954023E-2</c:v>
                </c:pt>
                <c:pt idx="35">
                  <c:v>5.7471264367816091E-3</c:v>
                </c:pt>
                <c:pt idx="36">
                  <c:v>1.7241379310344827E-2</c:v>
                </c:pt>
                <c:pt idx="37">
                  <c:v>8.6206896551724137E-3</c:v>
                </c:pt>
                <c:pt idx="38">
                  <c:v>1.1494252873563218E-2</c:v>
                </c:pt>
                <c:pt idx="39">
                  <c:v>1.7241379310344827E-2</c:v>
                </c:pt>
                <c:pt idx="40">
                  <c:v>5.7471264367816091E-3</c:v>
                </c:pt>
                <c:pt idx="41">
                  <c:v>8.6206896551724137E-3</c:v>
                </c:pt>
                <c:pt idx="42">
                  <c:v>1.1494252873563218E-2</c:v>
                </c:pt>
                <c:pt idx="43">
                  <c:v>2.8735632183908046E-3</c:v>
                </c:pt>
                <c:pt idx="44">
                  <c:v>5.7471264367816091E-3</c:v>
                </c:pt>
                <c:pt idx="45">
                  <c:v>2.8735632183908046E-3</c:v>
                </c:pt>
                <c:pt idx="46">
                  <c:v>5.7471264367816091E-3</c:v>
                </c:pt>
                <c:pt idx="47">
                  <c:v>2.8735632183908046E-3</c:v>
                </c:pt>
                <c:pt idx="48">
                  <c:v>2.8735632183908046E-3</c:v>
                </c:pt>
                <c:pt idx="49">
                  <c:v>5.7471264367816091E-3</c:v>
                </c:pt>
                <c:pt idx="50">
                  <c:v>5.7471264367816091E-3</c:v>
                </c:pt>
                <c:pt idx="51">
                  <c:v>0</c:v>
                </c:pt>
                <c:pt idx="52">
                  <c:v>5.7471264367816091E-3</c:v>
                </c:pt>
                <c:pt idx="53">
                  <c:v>8.6206896551724137E-3</c:v>
                </c:pt>
                <c:pt idx="54">
                  <c:v>2.8735632183908046E-3</c:v>
                </c:pt>
                <c:pt idx="55">
                  <c:v>2.8735632183908046E-3</c:v>
                </c:pt>
                <c:pt idx="56">
                  <c:v>0</c:v>
                </c:pt>
                <c:pt idx="57">
                  <c:v>2.8735632183908046E-3</c:v>
                </c:pt>
                <c:pt idx="58">
                  <c:v>2.8735632183908046E-3</c:v>
                </c:pt>
                <c:pt idx="59">
                  <c:v>2.8735632183908046E-3</c:v>
                </c:pt>
                <c:pt idx="60">
                  <c:v>2.8735632183908046E-3</c:v>
                </c:pt>
                <c:pt idx="61">
                  <c:v>2.8735632183908046E-3</c:v>
                </c:pt>
                <c:pt idx="62">
                  <c:v>2.8735632183908046E-3</c:v>
                </c:pt>
                <c:pt idx="63">
                  <c:v>0</c:v>
                </c:pt>
                <c:pt idx="64">
                  <c:v>0</c:v>
                </c:pt>
                <c:pt idx="65">
                  <c:v>2.8735632183908046E-3</c:v>
                </c:pt>
                <c:pt idx="66">
                  <c:v>5.7471264367816091E-3</c:v>
                </c:pt>
                <c:pt idx="67">
                  <c:v>0</c:v>
                </c:pt>
                <c:pt idx="68">
                  <c:v>2.8735632183908046E-3</c:v>
                </c:pt>
                <c:pt idx="69">
                  <c:v>0</c:v>
                </c:pt>
                <c:pt idx="70">
                  <c:v>2.8735632183908046E-3</c:v>
                </c:pt>
                <c:pt idx="71">
                  <c:v>0</c:v>
                </c:pt>
                <c:pt idx="72">
                  <c:v>2.8735632183908046E-3</c:v>
                </c:pt>
                <c:pt idx="73">
                  <c:v>2.8735632183908046E-3</c:v>
                </c:pt>
                <c:pt idx="74">
                  <c:v>2.8735632183908046E-3</c:v>
                </c:pt>
                <c:pt idx="75">
                  <c:v>0</c:v>
                </c:pt>
              </c:numCache>
            </c:numRef>
          </c:val>
          <c:smooth val="0"/>
        </c:ser>
        <c:ser>
          <c:idx val="1"/>
          <c:order val="1"/>
          <c:tx>
            <c:strRef>
              <c:f>'Sheet1 (2)'!$C$3:$C$4</c:f>
              <c:strCache>
                <c:ptCount val="1"/>
                <c:pt idx="0">
                  <c:v>SUNITINIB</c:v>
                </c:pt>
              </c:strCache>
            </c:strRef>
          </c:tx>
          <c:marker>
            <c:symbol val="none"/>
          </c:marker>
          <c:cat>
            <c:strRef>
              <c:f>'Sheet1 (2)'!$A$5:$A$81</c:f>
              <c:strCache>
                <c:ptCount val="76"/>
                <c:pt idx="0">
                  <c:v>1</c:v>
                </c:pt>
                <c:pt idx="1">
                  <c:v>2</c:v>
                </c:pt>
                <c:pt idx="2">
                  <c:v>4</c:v>
                </c:pt>
                <c:pt idx="3">
                  <c:v>5</c:v>
                </c:pt>
                <c:pt idx="4">
                  <c:v>6</c:v>
                </c:pt>
                <c:pt idx="5">
                  <c:v>7</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pt idx="26">
                  <c:v>29</c:v>
                </c:pt>
                <c:pt idx="27">
                  <c:v>30</c:v>
                </c:pt>
                <c:pt idx="28">
                  <c:v>31</c:v>
                </c:pt>
                <c:pt idx="29">
                  <c:v>32</c:v>
                </c:pt>
                <c:pt idx="30">
                  <c:v>33</c:v>
                </c:pt>
                <c:pt idx="31">
                  <c:v>34</c:v>
                </c:pt>
                <c:pt idx="32">
                  <c:v>35</c:v>
                </c:pt>
                <c:pt idx="33">
                  <c:v>36</c:v>
                </c:pt>
                <c:pt idx="34">
                  <c:v>37</c:v>
                </c:pt>
                <c:pt idx="35">
                  <c:v>38</c:v>
                </c:pt>
                <c:pt idx="36">
                  <c:v>39</c:v>
                </c:pt>
                <c:pt idx="37">
                  <c:v>40</c:v>
                </c:pt>
                <c:pt idx="38">
                  <c:v>41</c:v>
                </c:pt>
                <c:pt idx="39">
                  <c:v>42</c:v>
                </c:pt>
                <c:pt idx="40">
                  <c:v>43</c:v>
                </c:pt>
                <c:pt idx="41">
                  <c:v>44</c:v>
                </c:pt>
                <c:pt idx="42">
                  <c:v>45</c:v>
                </c:pt>
                <c:pt idx="43">
                  <c:v>46</c:v>
                </c:pt>
                <c:pt idx="44">
                  <c:v>47</c:v>
                </c:pt>
                <c:pt idx="45">
                  <c:v>48</c:v>
                </c:pt>
                <c:pt idx="46">
                  <c:v>49</c:v>
                </c:pt>
                <c:pt idx="47">
                  <c:v>50</c:v>
                </c:pt>
                <c:pt idx="48">
                  <c:v>51</c:v>
                </c:pt>
                <c:pt idx="49">
                  <c:v>52</c:v>
                </c:pt>
                <c:pt idx="50">
                  <c:v>53</c:v>
                </c:pt>
                <c:pt idx="51">
                  <c:v>54</c:v>
                </c:pt>
                <c:pt idx="52">
                  <c:v>55</c:v>
                </c:pt>
                <c:pt idx="53">
                  <c:v>56</c:v>
                </c:pt>
                <c:pt idx="54">
                  <c:v>57</c:v>
                </c:pt>
                <c:pt idx="55">
                  <c:v>58</c:v>
                </c:pt>
                <c:pt idx="56">
                  <c:v>59</c:v>
                </c:pt>
                <c:pt idx="57">
                  <c:v>60</c:v>
                </c:pt>
                <c:pt idx="58">
                  <c:v>61</c:v>
                </c:pt>
                <c:pt idx="59">
                  <c:v>62</c:v>
                </c:pt>
                <c:pt idx="60">
                  <c:v>63</c:v>
                </c:pt>
                <c:pt idx="61">
                  <c:v>64</c:v>
                </c:pt>
                <c:pt idx="62">
                  <c:v>65</c:v>
                </c:pt>
                <c:pt idx="63">
                  <c:v>66</c:v>
                </c:pt>
                <c:pt idx="64">
                  <c:v>67</c:v>
                </c:pt>
                <c:pt idx="65">
                  <c:v>69</c:v>
                </c:pt>
                <c:pt idx="66">
                  <c:v>70</c:v>
                </c:pt>
                <c:pt idx="67">
                  <c:v>71</c:v>
                </c:pt>
                <c:pt idx="68">
                  <c:v>72</c:v>
                </c:pt>
                <c:pt idx="69">
                  <c:v>73</c:v>
                </c:pt>
                <c:pt idx="70">
                  <c:v>74</c:v>
                </c:pt>
                <c:pt idx="71">
                  <c:v>76</c:v>
                </c:pt>
                <c:pt idx="72">
                  <c:v>77</c:v>
                </c:pt>
                <c:pt idx="73">
                  <c:v>78</c:v>
                </c:pt>
                <c:pt idx="74">
                  <c:v>84</c:v>
                </c:pt>
                <c:pt idx="75">
                  <c:v>85</c:v>
                </c:pt>
              </c:strCache>
            </c:strRef>
          </c:cat>
          <c:val>
            <c:numRef>
              <c:f>'Sheet1 (2)'!$C$5:$C$81</c:f>
              <c:numCache>
                <c:formatCode>0.00%</c:formatCode>
                <c:ptCount val="76"/>
                <c:pt idx="0">
                  <c:v>8.1433224755700327E-3</c:v>
                </c:pt>
                <c:pt idx="1">
                  <c:v>3.2573289902280132E-3</c:v>
                </c:pt>
                <c:pt idx="2">
                  <c:v>1.6286644951140066E-3</c:v>
                </c:pt>
                <c:pt idx="3">
                  <c:v>1.6286644951140066E-3</c:v>
                </c:pt>
                <c:pt idx="4">
                  <c:v>9.7719869706840382E-3</c:v>
                </c:pt>
                <c:pt idx="5">
                  <c:v>6.5146579804560263E-3</c:v>
                </c:pt>
                <c:pt idx="6">
                  <c:v>1.6286644951140066E-3</c:v>
                </c:pt>
                <c:pt idx="7">
                  <c:v>3.2573289902280132E-3</c:v>
                </c:pt>
                <c:pt idx="8">
                  <c:v>3.2573289902280132E-3</c:v>
                </c:pt>
                <c:pt idx="9">
                  <c:v>1.6286644951140066E-3</c:v>
                </c:pt>
                <c:pt idx="10">
                  <c:v>6.5146579804560263E-3</c:v>
                </c:pt>
                <c:pt idx="11">
                  <c:v>1.1400651465798045E-2</c:v>
                </c:pt>
                <c:pt idx="12">
                  <c:v>8.1433224755700327E-3</c:v>
                </c:pt>
                <c:pt idx="13">
                  <c:v>8.1433224755700327E-3</c:v>
                </c:pt>
                <c:pt idx="14">
                  <c:v>6.5146579804560263E-3</c:v>
                </c:pt>
                <c:pt idx="15">
                  <c:v>1.3029315960912053E-2</c:v>
                </c:pt>
                <c:pt idx="16">
                  <c:v>6.5146579804560263E-3</c:v>
                </c:pt>
                <c:pt idx="17">
                  <c:v>4.8859934853420191E-3</c:v>
                </c:pt>
                <c:pt idx="18">
                  <c:v>3.7459283387622153E-2</c:v>
                </c:pt>
                <c:pt idx="19">
                  <c:v>1.4657980456026058E-2</c:v>
                </c:pt>
                <c:pt idx="20">
                  <c:v>2.4429967426710098E-2</c:v>
                </c:pt>
                <c:pt idx="21">
                  <c:v>3.4201954397394138E-2</c:v>
                </c:pt>
                <c:pt idx="22">
                  <c:v>3.5830618892508145E-2</c:v>
                </c:pt>
                <c:pt idx="23">
                  <c:v>2.6058631921824105E-2</c:v>
                </c:pt>
                <c:pt idx="24">
                  <c:v>4.7231270358306189E-2</c:v>
                </c:pt>
                <c:pt idx="25">
                  <c:v>0.14332247557003258</c:v>
                </c:pt>
                <c:pt idx="26">
                  <c:v>5.0488599348534204E-2</c:v>
                </c:pt>
                <c:pt idx="27">
                  <c:v>3.0944625407166124E-2</c:v>
                </c:pt>
                <c:pt idx="28">
                  <c:v>3.0944625407166124E-2</c:v>
                </c:pt>
                <c:pt idx="29">
                  <c:v>1.4657980456026058E-2</c:v>
                </c:pt>
                <c:pt idx="30">
                  <c:v>2.2801302931596091E-2</c:v>
                </c:pt>
                <c:pt idx="31">
                  <c:v>3.9087947882736153E-2</c:v>
                </c:pt>
                <c:pt idx="32">
                  <c:v>1.6286644951140065E-2</c:v>
                </c:pt>
                <c:pt idx="33">
                  <c:v>1.7915309446254073E-2</c:v>
                </c:pt>
                <c:pt idx="34">
                  <c:v>1.4657980456026058E-2</c:v>
                </c:pt>
                <c:pt idx="35">
                  <c:v>1.3029315960912053E-2</c:v>
                </c:pt>
                <c:pt idx="36">
                  <c:v>1.1400651465798045E-2</c:v>
                </c:pt>
                <c:pt idx="37">
                  <c:v>2.2801302931596091E-2</c:v>
                </c:pt>
                <c:pt idx="38">
                  <c:v>3.0944625407166124E-2</c:v>
                </c:pt>
                <c:pt idx="39">
                  <c:v>3.2573289902280131E-2</c:v>
                </c:pt>
                <c:pt idx="40">
                  <c:v>1.6286644951140065E-2</c:v>
                </c:pt>
                <c:pt idx="41">
                  <c:v>2.1172638436482084E-2</c:v>
                </c:pt>
                <c:pt idx="42">
                  <c:v>8.1433224755700327E-3</c:v>
                </c:pt>
                <c:pt idx="43">
                  <c:v>8.1433224755700327E-3</c:v>
                </c:pt>
                <c:pt idx="44">
                  <c:v>8.1433224755700327E-3</c:v>
                </c:pt>
                <c:pt idx="45">
                  <c:v>9.7719869706840382E-3</c:v>
                </c:pt>
                <c:pt idx="46">
                  <c:v>9.7719869706840382E-3</c:v>
                </c:pt>
                <c:pt idx="47">
                  <c:v>8.1433224755700327E-3</c:v>
                </c:pt>
                <c:pt idx="48">
                  <c:v>1.3029315960912053E-2</c:v>
                </c:pt>
                <c:pt idx="49">
                  <c:v>6.5146579804560263E-3</c:v>
                </c:pt>
                <c:pt idx="50">
                  <c:v>9.7719869706840382E-3</c:v>
                </c:pt>
                <c:pt idx="51">
                  <c:v>1.6286644951140066E-3</c:v>
                </c:pt>
                <c:pt idx="52">
                  <c:v>3.2573289902280132E-3</c:v>
                </c:pt>
                <c:pt idx="53">
                  <c:v>1.1400651465798045E-2</c:v>
                </c:pt>
                <c:pt idx="54">
                  <c:v>4.8859934853420191E-3</c:v>
                </c:pt>
                <c:pt idx="55">
                  <c:v>0</c:v>
                </c:pt>
                <c:pt idx="56">
                  <c:v>3.2573289902280132E-3</c:v>
                </c:pt>
                <c:pt idx="57">
                  <c:v>6.5146579804560263E-3</c:v>
                </c:pt>
                <c:pt idx="58">
                  <c:v>0</c:v>
                </c:pt>
                <c:pt idx="59">
                  <c:v>0</c:v>
                </c:pt>
                <c:pt idx="60">
                  <c:v>3.2573289902280132E-3</c:v>
                </c:pt>
                <c:pt idx="61">
                  <c:v>4.8859934853420191E-3</c:v>
                </c:pt>
                <c:pt idx="62">
                  <c:v>4.8859934853420191E-3</c:v>
                </c:pt>
                <c:pt idx="63">
                  <c:v>3.2573289902280132E-3</c:v>
                </c:pt>
                <c:pt idx="64">
                  <c:v>1.6286644951140066E-3</c:v>
                </c:pt>
                <c:pt idx="65">
                  <c:v>1.6286644951140066E-3</c:v>
                </c:pt>
                <c:pt idx="66">
                  <c:v>1.6286644951140066E-3</c:v>
                </c:pt>
                <c:pt idx="67">
                  <c:v>1.6286644951140066E-3</c:v>
                </c:pt>
                <c:pt idx="68">
                  <c:v>1.6286644951140066E-3</c:v>
                </c:pt>
                <c:pt idx="69">
                  <c:v>1.6286644951140066E-3</c:v>
                </c:pt>
                <c:pt idx="70">
                  <c:v>1.6286644951140066E-3</c:v>
                </c:pt>
                <c:pt idx="71">
                  <c:v>1.6286644951140066E-3</c:v>
                </c:pt>
                <c:pt idx="72">
                  <c:v>0</c:v>
                </c:pt>
                <c:pt idx="73">
                  <c:v>1.6286644951140066E-3</c:v>
                </c:pt>
                <c:pt idx="74">
                  <c:v>0</c:v>
                </c:pt>
                <c:pt idx="75">
                  <c:v>1.6286644951140066E-3</c:v>
                </c:pt>
              </c:numCache>
            </c:numRef>
          </c:val>
          <c:smooth val="0"/>
        </c:ser>
        <c:dLbls>
          <c:showLegendKey val="0"/>
          <c:showVal val="0"/>
          <c:showCatName val="0"/>
          <c:showSerName val="0"/>
          <c:showPercent val="0"/>
          <c:showBubbleSize val="0"/>
        </c:dLbls>
        <c:marker val="1"/>
        <c:smooth val="0"/>
        <c:axId val="385367424"/>
        <c:axId val="385557632"/>
      </c:lineChart>
      <c:catAx>
        <c:axId val="385367424"/>
        <c:scaling>
          <c:orientation val="minMax"/>
        </c:scaling>
        <c:delete val="0"/>
        <c:axPos val="b"/>
        <c:majorTickMark val="none"/>
        <c:minorTickMark val="none"/>
        <c:tickLblPos val="nextTo"/>
        <c:crossAx val="385557632"/>
        <c:crosses val="autoZero"/>
        <c:auto val="1"/>
        <c:lblAlgn val="ctr"/>
        <c:lblOffset val="100"/>
        <c:noMultiLvlLbl val="0"/>
      </c:catAx>
      <c:valAx>
        <c:axId val="385557632"/>
        <c:scaling>
          <c:orientation val="minMax"/>
        </c:scaling>
        <c:delete val="0"/>
        <c:axPos val="l"/>
        <c:majorGridlines/>
        <c:title>
          <c:tx>
            <c:rich>
              <a:bodyPr/>
              <a:lstStyle/>
              <a:p>
                <a:pPr>
                  <a:defRPr b="0"/>
                </a:pPr>
                <a:r>
                  <a:rPr lang="en-US" b="0"/>
                  <a:t>% Prescriptions</a:t>
                </a:r>
              </a:p>
            </c:rich>
          </c:tx>
          <c:layout/>
          <c:overlay val="0"/>
        </c:title>
        <c:numFmt formatCode="0%" sourceLinked="0"/>
        <c:majorTickMark val="none"/>
        <c:minorTickMark val="none"/>
        <c:tickLblPos val="nextTo"/>
        <c:crossAx val="385367424"/>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[D1016V11B_PATCNTBY_DRUG_N_SUPP_Q - inits by age and gender.xlsx]Sheet1 (3)!PivotTable8</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s>
    <c:plotArea>
      <c:layout/>
      <c:barChart>
        <c:barDir val="col"/>
        <c:grouping val="clustered"/>
        <c:varyColors val="0"/>
        <c:ser>
          <c:idx val="0"/>
          <c:order val="0"/>
          <c:tx>
            <c:strRef>
              <c:f>'Sheet1 (3)'!$B$5:$B$6</c:f>
              <c:strCache>
                <c:ptCount val="1"/>
                <c:pt idx="0">
                  <c:v>Total</c:v>
                </c:pt>
              </c:strCache>
            </c:strRef>
          </c:tx>
          <c:invertIfNegative val="0"/>
          <c:cat>
            <c:strRef>
              <c:f>'Sheet1 (3)'!$A$7:$A$18</c:f>
              <c:strCache>
                <c:ptCount val="11"/>
                <c:pt idx="0">
                  <c:v>0-34 yrs</c:v>
                </c:pt>
                <c:pt idx="1">
                  <c:v>35-39 yrs</c:v>
                </c:pt>
                <c:pt idx="2">
                  <c:v>40-44 yrs</c:v>
                </c:pt>
                <c:pt idx="3">
                  <c:v>45-49 yrs</c:v>
                </c:pt>
                <c:pt idx="4">
                  <c:v>50-54 yrs</c:v>
                </c:pt>
                <c:pt idx="5">
                  <c:v>55-59 yrs</c:v>
                </c:pt>
                <c:pt idx="6">
                  <c:v>60-64 yrs</c:v>
                </c:pt>
                <c:pt idx="7">
                  <c:v>65-69 yrs</c:v>
                </c:pt>
                <c:pt idx="8">
                  <c:v>70-74 yrs</c:v>
                </c:pt>
                <c:pt idx="9">
                  <c:v>75-79 yrs</c:v>
                </c:pt>
                <c:pt idx="10">
                  <c:v>80+ yrs</c:v>
                </c:pt>
              </c:strCache>
            </c:strRef>
          </c:cat>
          <c:val>
            <c:numRef>
              <c:f>'Sheet1 (3)'!$B$7:$B$18</c:f>
              <c:numCache>
                <c:formatCode>General</c:formatCode>
                <c:ptCount val="11"/>
                <c:pt idx="0">
                  <c:v>6</c:v>
                </c:pt>
                <c:pt idx="1">
                  <c:v>7</c:v>
                </c:pt>
                <c:pt idx="2">
                  <c:v>7</c:v>
                </c:pt>
                <c:pt idx="3">
                  <c:v>19</c:v>
                </c:pt>
                <c:pt idx="4">
                  <c:v>15</c:v>
                </c:pt>
                <c:pt idx="5">
                  <c:v>29</c:v>
                </c:pt>
                <c:pt idx="6">
                  <c:v>34</c:v>
                </c:pt>
                <c:pt idx="7">
                  <c:v>35</c:v>
                </c:pt>
                <c:pt idx="8">
                  <c:v>29</c:v>
                </c:pt>
                <c:pt idx="9">
                  <c:v>26</c:v>
                </c:pt>
                <c:pt idx="10">
                  <c:v>12</c:v>
                </c:pt>
              </c:numCache>
            </c:numRef>
          </c:val>
        </c:ser>
        <c:dLbls>
          <c:showLegendKey val="0"/>
          <c:showVal val="0"/>
          <c:showCatName val="0"/>
          <c:showSerName val="0"/>
          <c:showPercent val="0"/>
          <c:showBubbleSize val="0"/>
        </c:dLbls>
        <c:gapWidth val="150"/>
        <c:axId val="385815680"/>
        <c:axId val="385817216"/>
      </c:barChart>
      <c:catAx>
        <c:axId val="385815680"/>
        <c:scaling>
          <c:orientation val="minMax"/>
        </c:scaling>
        <c:delete val="0"/>
        <c:axPos val="b"/>
        <c:majorTickMark val="out"/>
        <c:minorTickMark val="none"/>
        <c:tickLblPos val="nextTo"/>
        <c:crossAx val="385817216"/>
        <c:crosses val="autoZero"/>
        <c:auto val="1"/>
        <c:lblAlgn val="ctr"/>
        <c:lblOffset val="100"/>
        <c:noMultiLvlLbl val="0"/>
      </c:catAx>
      <c:valAx>
        <c:axId val="385817216"/>
        <c:scaling>
          <c:orientation val="minMax"/>
        </c:scaling>
        <c:delete val="0"/>
        <c:axPos val="l"/>
        <c:majorGridlines/>
        <c:title>
          <c:tx>
            <c:rich>
              <a:bodyPr rot="-5400000" vert="horz"/>
              <a:lstStyle/>
              <a:p>
                <a:pPr>
                  <a:defRPr b="0"/>
                </a:pPr>
                <a:r>
                  <a:rPr lang="en-US" b="0"/>
                  <a:t>Patients</a:t>
                </a:r>
              </a:p>
            </c:rich>
          </c:tx>
          <c:layout/>
          <c:overlay val="0"/>
        </c:title>
        <c:numFmt formatCode="General" sourceLinked="1"/>
        <c:majorTickMark val="out"/>
        <c:minorTickMark val="none"/>
        <c:tickLblPos val="nextTo"/>
        <c:crossAx val="385815680"/>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[D1016V11B_PATCNTBY_DRUG_N_SUPP_Q - inits by age and gender.xlsx]Sheet1!PivotTable8</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s>
    <c:plotArea>
      <c:layout/>
      <c:barChart>
        <c:barDir val="col"/>
        <c:grouping val="clustered"/>
        <c:varyColors val="0"/>
        <c:ser>
          <c:idx val="0"/>
          <c:order val="0"/>
          <c:tx>
            <c:strRef>
              <c:f>Sheet1!$B$5:$B$6</c:f>
              <c:strCache>
                <c:ptCount val="1"/>
                <c:pt idx="0">
                  <c:v>Male</c:v>
                </c:pt>
              </c:strCache>
            </c:strRef>
          </c:tx>
          <c:invertIfNegative val="0"/>
          <c:cat>
            <c:strRef>
              <c:f>Sheet1!$A$7:$A$9</c:f>
              <c:strCache>
                <c:ptCount val="2"/>
                <c:pt idx="0">
                  <c:v>EVEROLIMUS</c:v>
                </c:pt>
                <c:pt idx="1">
                  <c:v>SUNITINIB</c:v>
                </c:pt>
              </c:strCache>
            </c:strRef>
          </c:cat>
          <c:val>
            <c:numRef>
              <c:f>Sheet1!$B$7:$B$9</c:f>
              <c:numCache>
                <c:formatCode>General</c:formatCode>
                <c:ptCount val="2"/>
                <c:pt idx="0">
                  <c:v>38</c:v>
                </c:pt>
                <c:pt idx="1">
                  <c:v>90</c:v>
                </c:pt>
              </c:numCache>
            </c:numRef>
          </c:val>
        </c:ser>
        <c:ser>
          <c:idx val="1"/>
          <c:order val="1"/>
          <c:tx>
            <c:strRef>
              <c:f>Sheet1!$C$5:$C$6</c:f>
              <c:strCache>
                <c:ptCount val="1"/>
                <c:pt idx="0">
                  <c:v>Female</c:v>
                </c:pt>
              </c:strCache>
            </c:strRef>
          </c:tx>
          <c:invertIfNegative val="0"/>
          <c:cat>
            <c:strRef>
              <c:f>Sheet1!$A$7:$A$9</c:f>
              <c:strCache>
                <c:ptCount val="2"/>
                <c:pt idx="0">
                  <c:v>EVEROLIMUS</c:v>
                </c:pt>
                <c:pt idx="1">
                  <c:v>SUNITINIB</c:v>
                </c:pt>
              </c:strCache>
            </c:strRef>
          </c:cat>
          <c:val>
            <c:numRef>
              <c:f>Sheet1!$C$7:$C$9</c:f>
              <c:numCache>
                <c:formatCode>General</c:formatCode>
                <c:ptCount val="2"/>
                <c:pt idx="0">
                  <c:v>54</c:v>
                </c:pt>
                <c:pt idx="1">
                  <c:v>64</c:v>
                </c:pt>
              </c:numCache>
            </c:numRef>
          </c:val>
        </c:ser>
        <c:dLbls>
          <c:showLegendKey val="0"/>
          <c:showVal val="0"/>
          <c:showCatName val="0"/>
          <c:showSerName val="0"/>
          <c:showPercent val="0"/>
          <c:showBubbleSize val="0"/>
        </c:dLbls>
        <c:gapWidth val="150"/>
        <c:axId val="385883136"/>
        <c:axId val="385884928"/>
      </c:barChart>
      <c:catAx>
        <c:axId val="385883136"/>
        <c:scaling>
          <c:orientation val="minMax"/>
        </c:scaling>
        <c:delete val="0"/>
        <c:axPos val="b"/>
        <c:majorTickMark val="out"/>
        <c:minorTickMark val="none"/>
        <c:tickLblPos val="nextTo"/>
        <c:crossAx val="385884928"/>
        <c:crosses val="autoZero"/>
        <c:auto val="1"/>
        <c:lblAlgn val="ctr"/>
        <c:lblOffset val="100"/>
        <c:noMultiLvlLbl val="0"/>
      </c:catAx>
      <c:valAx>
        <c:axId val="385884928"/>
        <c:scaling>
          <c:orientation val="minMax"/>
        </c:scaling>
        <c:delete val="0"/>
        <c:axPos val="l"/>
        <c:majorGridlines/>
        <c:title>
          <c:tx>
            <c:rich>
              <a:bodyPr rot="-5400000" vert="horz"/>
              <a:lstStyle/>
              <a:p>
                <a:pPr>
                  <a:defRPr b="0"/>
                </a:pPr>
                <a:r>
                  <a:rPr lang="en-US" b="0"/>
                  <a:t>Patients</a:t>
                </a:r>
              </a:p>
            </c:rich>
          </c:tx>
          <c:layout/>
          <c:overlay val="0"/>
        </c:title>
        <c:numFmt formatCode="General" sourceLinked="1"/>
        <c:majorTickMark val="out"/>
        <c:minorTickMark val="none"/>
        <c:tickLblPos val="nextTo"/>
        <c:crossAx val="385883136"/>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[D1016 - SUPPLY_LAG_FREQ v11 all scripts for pNET patients.xlsx]Sheet1!PivotTable2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dLbl>
          <c:idx val="0"/>
          <c:delete val="1"/>
        </c:dLbl>
      </c:pivotFmt>
      <c:pivotFmt>
        <c:idx val="17"/>
        <c:marker>
          <c:symbol val="none"/>
        </c:marker>
        <c:dLbl>
          <c:idx val="0"/>
          <c:delete val="1"/>
        </c:dLbl>
      </c:pivotFmt>
      <c:pivotFmt>
        <c:idx val="18"/>
      </c:pivotFmt>
      <c:pivotFmt>
        <c:idx val="19"/>
      </c:pivotFmt>
      <c:pivotFmt>
        <c:idx val="20"/>
      </c:pivotFmt>
    </c:pivotFmts>
    <c:plotArea>
      <c:layout/>
      <c:lineChart>
        <c:grouping val="standard"/>
        <c:varyColors val="0"/>
        <c:ser>
          <c:idx val="0"/>
          <c:order val="0"/>
          <c:tx>
            <c:strRef>
              <c:f>Sheet1!$B$3</c:f>
              <c:strCache>
                <c:ptCount val="1"/>
                <c:pt idx="0">
                  <c:v>Total</c:v>
                </c:pt>
              </c:strCache>
            </c:strRef>
          </c:tx>
          <c:cat>
            <c:strRef>
              <c:f>Sheet1!$A$4:$A$94</c:f>
              <c:strCach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strCache>
            </c:strRef>
          </c:cat>
          <c:val>
            <c:numRef>
              <c:f>Sheet1!$B$4:$B$94</c:f>
              <c:numCache>
                <c:formatCode>_-* #,##0_-;\-* #,##0_-;_-* "-"??_-;_-@_-</c:formatCode>
                <c:ptCount val="90"/>
                <c:pt idx="0">
                  <c:v>2169</c:v>
                </c:pt>
                <c:pt idx="1">
                  <c:v>1606</c:v>
                </c:pt>
                <c:pt idx="2">
                  <c:v>1538</c:v>
                </c:pt>
                <c:pt idx="3">
                  <c:v>1447</c:v>
                </c:pt>
                <c:pt idx="4">
                  <c:v>1372</c:v>
                </c:pt>
                <c:pt idx="5">
                  <c:v>1357</c:v>
                </c:pt>
                <c:pt idx="6">
                  <c:v>1650</c:v>
                </c:pt>
                <c:pt idx="7">
                  <c:v>1065</c:v>
                </c:pt>
                <c:pt idx="8">
                  <c:v>823</c:v>
                </c:pt>
                <c:pt idx="9">
                  <c:v>828</c:v>
                </c:pt>
                <c:pt idx="10">
                  <c:v>733</c:v>
                </c:pt>
                <c:pt idx="11">
                  <c:v>695</c:v>
                </c:pt>
                <c:pt idx="12">
                  <c:v>703</c:v>
                </c:pt>
                <c:pt idx="13">
                  <c:v>829</c:v>
                </c:pt>
                <c:pt idx="14">
                  <c:v>555</c:v>
                </c:pt>
                <c:pt idx="15">
                  <c:v>445</c:v>
                </c:pt>
                <c:pt idx="16">
                  <c:v>413</c:v>
                </c:pt>
                <c:pt idx="17">
                  <c:v>379</c:v>
                </c:pt>
                <c:pt idx="18">
                  <c:v>362</c:v>
                </c:pt>
                <c:pt idx="19">
                  <c:v>361</c:v>
                </c:pt>
                <c:pt idx="20">
                  <c:v>488</c:v>
                </c:pt>
                <c:pt idx="21">
                  <c:v>331</c:v>
                </c:pt>
                <c:pt idx="22">
                  <c:v>262</c:v>
                </c:pt>
                <c:pt idx="23">
                  <c:v>290</c:v>
                </c:pt>
                <c:pt idx="24">
                  <c:v>267</c:v>
                </c:pt>
                <c:pt idx="25">
                  <c:v>267</c:v>
                </c:pt>
                <c:pt idx="26">
                  <c:v>264</c:v>
                </c:pt>
                <c:pt idx="27">
                  <c:v>488</c:v>
                </c:pt>
                <c:pt idx="28">
                  <c:v>284</c:v>
                </c:pt>
                <c:pt idx="29">
                  <c:v>206</c:v>
                </c:pt>
                <c:pt idx="30">
                  <c:v>181</c:v>
                </c:pt>
                <c:pt idx="31">
                  <c:v>151</c:v>
                </c:pt>
                <c:pt idx="32">
                  <c:v>104</c:v>
                </c:pt>
                <c:pt idx="33">
                  <c:v>94</c:v>
                </c:pt>
                <c:pt idx="34">
                  <c:v>97</c:v>
                </c:pt>
                <c:pt idx="35">
                  <c:v>80</c:v>
                </c:pt>
                <c:pt idx="36">
                  <c:v>49</c:v>
                </c:pt>
                <c:pt idx="37">
                  <c:v>51</c:v>
                </c:pt>
                <c:pt idx="38">
                  <c:v>47</c:v>
                </c:pt>
                <c:pt idx="39">
                  <c:v>50</c:v>
                </c:pt>
                <c:pt idx="40">
                  <c:v>39</c:v>
                </c:pt>
                <c:pt idx="41">
                  <c:v>56</c:v>
                </c:pt>
                <c:pt idx="42">
                  <c:v>31</c:v>
                </c:pt>
                <c:pt idx="43">
                  <c:v>21</c:v>
                </c:pt>
                <c:pt idx="44">
                  <c:v>22</c:v>
                </c:pt>
                <c:pt idx="45">
                  <c:v>26</c:v>
                </c:pt>
                <c:pt idx="46">
                  <c:v>19</c:v>
                </c:pt>
                <c:pt idx="47">
                  <c:v>31</c:v>
                </c:pt>
                <c:pt idx="48">
                  <c:v>12</c:v>
                </c:pt>
                <c:pt idx="49">
                  <c:v>21</c:v>
                </c:pt>
                <c:pt idx="50">
                  <c:v>13</c:v>
                </c:pt>
                <c:pt idx="51">
                  <c:v>15</c:v>
                </c:pt>
                <c:pt idx="52">
                  <c:v>8</c:v>
                </c:pt>
                <c:pt idx="53">
                  <c:v>7</c:v>
                </c:pt>
                <c:pt idx="54">
                  <c:v>13</c:v>
                </c:pt>
                <c:pt idx="55">
                  <c:v>35</c:v>
                </c:pt>
                <c:pt idx="56">
                  <c:v>22</c:v>
                </c:pt>
                <c:pt idx="57">
                  <c:v>9</c:v>
                </c:pt>
                <c:pt idx="58">
                  <c:v>11</c:v>
                </c:pt>
                <c:pt idx="59">
                  <c:v>10</c:v>
                </c:pt>
                <c:pt idx="60">
                  <c:v>12</c:v>
                </c:pt>
                <c:pt idx="61">
                  <c:v>11</c:v>
                </c:pt>
                <c:pt idx="62">
                  <c:v>16</c:v>
                </c:pt>
                <c:pt idx="63">
                  <c:v>9</c:v>
                </c:pt>
                <c:pt idx="64">
                  <c:v>4</c:v>
                </c:pt>
                <c:pt idx="65">
                  <c:v>4</c:v>
                </c:pt>
                <c:pt idx="66">
                  <c:v>8</c:v>
                </c:pt>
                <c:pt idx="67">
                  <c:v>7</c:v>
                </c:pt>
                <c:pt idx="68">
                  <c:v>6</c:v>
                </c:pt>
                <c:pt idx="69">
                  <c:v>2</c:v>
                </c:pt>
                <c:pt idx="70">
                  <c:v>6</c:v>
                </c:pt>
                <c:pt idx="71">
                  <c:v>9</c:v>
                </c:pt>
                <c:pt idx="72">
                  <c:v>6</c:v>
                </c:pt>
                <c:pt idx="73">
                  <c:v>5</c:v>
                </c:pt>
                <c:pt idx="74">
                  <c:v>2</c:v>
                </c:pt>
                <c:pt idx="75">
                  <c:v>7</c:v>
                </c:pt>
                <c:pt idx="76">
                  <c:v>4</c:v>
                </c:pt>
                <c:pt idx="77">
                  <c:v>7</c:v>
                </c:pt>
                <c:pt idx="78">
                  <c:v>5</c:v>
                </c:pt>
                <c:pt idx="79">
                  <c:v>1</c:v>
                </c:pt>
                <c:pt idx="80">
                  <c:v>1</c:v>
                </c:pt>
                <c:pt idx="81">
                  <c:v>5</c:v>
                </c:pt>
                <c:pt idx="82">
                  <c:v>2</c:v>
                </c:pt>
                <c:pt idx="83">
                  <c:v>1</c:v>
                </c:pt>
                <c:pt idx="84">
                  <c:v>5</c:v>
                </c:pt>
                <c:pt idx="85">
                  <c:v>4</c:v>
                </c:pt>
                <c:pt idx="86">
                  <c:v>3</c:v>
                </c:pt>
                <c:pt idx="87">
                  <c:v>3</c:v>
                </c:pt>
                <c:pt idx="88">
                  <c:v>1</c:v>
                </c:pt>
                <c:pt idx="89">
                  <c:v>3</c:v>
                </c:pt>
              </c:numCache>
            </c:numRef>
          </c:val>
          <c:smooth val="0"/>
        </c:ser>
        <c:dLbls>
          <c:showLegendKey val="0"/>
          <c:showVal val="0"/>
          <c:showCatName val="0"/>
          <c:showSerName val="0"/>
          <c:showPercent val="0"/>
          <c:showBubbleSize val="0"/>
        </c:dLbls>
        <c:marker val="1"/>
        <c:smooth val="0"/>
        <c:axId val="386012672"/>
        <c:axId val="386014592"/>
      </c:lineChart>
      <c:catAx>
        <c:axId val="386012672"/>
        <c:scaling>
          <c:orientation val="minMax"/>
        </c:scaling>
        <c:delete val="0"/>
        <c:axPos val="b"/>
        <c:title>
          <c:tx>
            <c:rich>
              <a:bodyPr/>
              <a:lstStyle/>
              <a:p>
                <a:pPr>
                  <a:defRPr b="0"/>
                </a:pPr>
                <a:r>
                  <a:rPr lang="en-US" b="0"/>
                  <a:t>Days to resupply</a:t>
                </a:r>
              </a:p>
            </c:rich>
          </c:tx>
          <c:layout/>
          <c:overlay val="0"/>
        </c:title>
        <c:majorTickMark val="none"/>
        <c:minorTickMark val="none"/>
        <c:tickLblPos val="nextTo"/>
        <c:crossAx val="386014592"/>
        <c:crosses val="autoZero"/>
        <c:auto val="1"/>
        <c:lblAlgn val="ctr"/>
        <c:lblOffset val="100"/>
        <c:noMultiLvlLbl val="0"/>
      </c:catAx>
      <c:valAx>
        <c:axId val="386014592"/>
        <c:scaling>
          <c:orientation val="minMax"/>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386012672"/>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87F6-8856-4778-ADF6-347C4603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10690</Words>
  <Characters>60934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2018-02-13T00:55:00Z</dcterms:created>
  <dcterms:modified xsi:type="dcterms:W3CDTF">2018-02-13T00:55:00Z</dcterms:modified>
</cp:coreProperties>
</file>