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324" w:rsidRDefault="00292740" w:rsidP="00F73113">
      <w:pPr>
        <w:pStyle w:val="Title"/>
      </w:pPr>
      <w:r>
        <w:t>A</w:t>
      </w:r>
      <w:r w:rsidR="00935689">
        <w:t xml:space="preserve">nalysis </w:t>
      </w:r>
      <w:r>
        <w:t>of medicines used to treat</w:t>
      </w:r>
      <w:r w:rsidRPr="00292740">
        <w:t xml:space="preserve"> </w:t>
      </w:r>
      <w:r>
        <w:t>ulcerative colitis</w:t>
      </w:r>
    </w:p>
    <w:p w:rsidR="00736041" w:rsidRDefault="009053D3" w:rsidP="00F73113">
      <w:pPr>
        <w:pStyle w:val="Title2"/>
      </w:pPr>
      <w:r>
        <w:t>D</w:t>
      </w:r>
      <w:r w:rsidR="00832324" w:rsidRPr="0063631C">
        <w:t xml:space="preserve">rug utilisation sub-committee </w:t>
      </w:r>
      <w:r w:rsidR="00832324">
        <w:t>(DUSC)</w:t>
      </w:r>
    </w:p>
    <w:p w:rsidR="009053D3" w:rsidRPr="00F73113" w:rsidRDefault="00292740" w:rsidP="00346DA0">
      <w:pPr>
        <w:pStyle w:val="Meetingdate"/>
      </w:pPr>
      <w:r>
        <w:t>June 2017</w:t>
      </w:r>
    </w:p>
    <w:p w:rsidR="005C6661" w:rsidRPr="00CF5E22" w:rsidRDefault="005C6661" w:rsidP="00346DA0">
      <w:pPr>
        <w:pStyle w:val="Heading2"/>
      </w:pPr>
      <w:r w:rsidRPr="00CF5E22">
        <w:t>Abstract</w:t>
      </w:r>
    </w:p>
    <w:p w:rsidR="005C6661" w:rsidRPr="00CF5E22" w:rsidRDefault="005C6661" w:rsidP="00CF5E22">
      <w:pPr>
        <w:pStyle w:val="Heading3"/>
      </w:pPr>
      <w:r w:rsidRPr="00CF5E22">
        <w:t>Purpose</w:t>
      </w:r>
    </w:p>
    <w:p w:rsidR="00657A1B" w:rsidRPr="003713E6" w:rsidRDefault="00657A1B" w:rsidP="00657A1B">
      <w:r>
        <w:t xml:space="preserve">Analysis of medicines for the treatment of ulcerative </w:t>
      </w:r>
      <w:r w:rsidRPr="003713E6">
        <w:t xml:space="preserve">colitis, including predicted versus actual use of biologics for acute </w:t>
      </w:r>
      <w:r w:rsidR="007032DB">
        <w:t>severe and moderate to severe disease</w:t>
      </w:r>
      <w:r w:rsidRPr="003713E6">
        <w:t>.</w:t>
      </w:r>
    </w:p>
    <w:p w:rsidR="002D144A" w:rsidRDefault="00920B38" w:rsidP="00CF5E22">
      <w:pPr>
        <w:pStyle w:val="Heading3"/>
      </w:pPr>
      <w:r>
        <w:t>L</w:t>
      </w:r>
      <w:r w:rsidR="002D144A">
        <w:t>isting on the P</w:t>
      </w:r>
      <w:r w:rsidR="00A95FA5">
        <w:t xml:space="preserve">harmaceutical </w:t>
      </w:r>
      <w:r w:rsidR="002D144A">
        <w:t>B</w:t>
      </w:r>
      <w:r w:rsidR="00A95FA5">
        <w:t xml:space="preserve">enefits </w:t>
      </w:r>
      <w:r w:rsidR="002D144A">
        <w:t>S</w:t>
      </w:r>
      <w:r w:rsidR="00A95FA5">
        <w:t>cheme (PBS)</w:t>
      </w:r>
    </w:p>
    <w:p w:rsidR="002D144A" w:rsidRDefault="00920B38" w:rsidP="002D144A">
      <w:r>
        <w:t>Medicines available on the PBS for the treatment of ulcerative colitis include</w:t>
      </w:r>
      <w:r w:rsidR="009377FA">
        <w:t>:</w:t>
      </w:r>
    </w:p>
    <w:p w:rsidR="00920B38" w:rsidRDefault="009377FA" w:rsidP="009377FA">
      <w:pPr>
        <w:pStyle w:val="ListParagraph"/>
        <w:numPr>
          <w:ilvl w:val="0"/>
          <w:numId w:val="5"/>
        </w:numPr>
      </w:pPr>
      <w:r>
        <w:t>Corticosteroids (p</w:t>
      </w:r>
      <w:r w:rsidR="00920B38">
        <w:t>rednisolone</w:t>
      </w:r>
      <w:r>
        <w:t>, hydrocortisone and budesonide in various oral and rectal formulations)</w:t>
      </w:r>
    </w:p>
    <w:p w:rsidR="00920B38" w:rsidRDefault="00920B38" w:rsidP="009377FA">
      <w:pPr>
        <w:pStyle w:val="ListParagraph"/>
        <w:numPr>
          <w:ilvl w:val="0"/>
          <w:numId w:val="5"/>
        </w:numPr>
      </w:pPr>
      <w:r>
        <w:t>5</w:t>
      </w:r>
      <w:r w:rsidRPr="00920B38">
        <w:t>-aminosalicylate</w:t>
      </w:r>
      <w:r>
        <w:t xml:space="preserve">s (sulfasalazine, mesalazine, balsalazide and olsalazine </w:t>
      </w:r>
      <w:r w:rsidR="009377FA">
        <w:t>in a range of</w:t>
      </w:r>
      <w:r>
        <w:t xml:space="preserve"> oral formulations</w:t>
      </w:r>
      <w:r w:rsidR="009377FA">
        <w:t xml:space="preserve"> and rectal formulations)</w:t>
      </w:r>
    </w:p>
    <w:p w:rsidR="00920B38" w:rsidRDefault="00920B38" w:rsidP="009377FA">
      <w:pPr>
        <w:pStyle w:val="ListParagraph"/>
        <w:numPr>
          <w:ilvl w:val="0"/>
          <w:numId w:val="5"/>
        </w:numPr>
      </w:pPr>
      <w:r>
        <w:t xml:space="preserve">Immunomodulators: azathioprine, mercaptopurine, </w:t>
      </w:r>
      <w:r w:rsidR="009377FA">
        <w:t>cyclosporin,</w:t>
      </w:r>
      <w:r w:rsidR="007032DB">
        <w:t xml:space="preserve"> </w:t>
      </w:r>
      <w:r>
        <w:t>methotrexate</w:t>
      </w:r>
    </w:p>
    <w:p w:rsidR="00920B38" w:rsidRDefault="009377FA" w:rsidP="009377FA">
      <w:pPr>
        <w:pStyle w:val="ListParagraph"/>
        <w:numPr>
          <w:ilvl w:val="0"/>
          <w:numId w:val="5"/>
        </w:numPr>
      </w:pPr>
      <w:r>
        <w:t>T</w:t>
      </w:r>
      <w:r w:rsidRPr="009377FA">
        <w:t xml:space="preserve">umour necrosis factor (TNF)–alpha inhibitors (adalimumab, infliximab) and </w:t>
      </w:r>
      <w:r w:rsidR="00A53489">
        <w:t xml:space="preserve">the </w:t>
      </w:r>
      <w:r w:rsidR="0009244D">
        <w:t xml:space="preserve">α4β7 </w:t>
      </w:r>
      <w:r w:rsidRPr="009377FA">
        <w:t xml:space="preserve">integrin </w:t>
      </w:r>
      <w:r w:rsidR="0009244D">
        <w:t>inhibitor</w:t>
      </w:r>
      <w:r w:rsidR="0009244D" w:rsidRPr="009377FA">
        <w:t xml:space="preserve"> </w:t>
      </w:r>
      <w:r w:rsidRPr="009377FA">
        <w:t>(vedolizumab)</w:t>
      </w:r>
    </w:p>
    <w:p w:rsidR="007032DB" w:rsidRDefault="00A53489" w:rsidP="007032DB">
      <w:r>
        <w:t xml:space="preserve">Restrictions apply to some of these medicines. See </w:t>
      </w:r>
      <w:r w:rsidRPr="00470C46">
        <w:t>pbs.gov.au</w:t>
      </w:r>
      <w:r>
        <w:t xml:space="preserve"> for details</w:t>
      </w:r>
      <w:r w:rsidR="007032DB">
        <w:t>.</w:t>
      </w:r>
    </w:p>
    <w:p w:rsidR="005C6661" w:rsidRDefault="005C6661" w:rsidP="003E09D2">
      <w:pPr>
        <w:pStyle w:val="Heading3"/>
      </w:pPr>
      <w:r>
        <w:t>Data Source / methodology</w:t>
      </w:r>
    </w:p>
    <w:p w:rsidR="007032DB" w:rsidRPr="002B71FF" w:rsidRDefault="007032DB" w:rsidP="005C6661">
      <w:pPr>
        <w:pStyle w:val="NoSpacing"/>
      </w:pPr>
      <w:r w:rsidRPr="002B71FF">
        <w:t xml:space="preserve">The DHS prescription database was used to identify a cohort of </w:t>
      </w:r>
      <w:r w:rsidR="00F07E2D" w:rsidRPr="000641DC">
        <w:t>54,785</w:t>
      </w:r>
      <w:r w:rsidR="00F07E2D">
        <w:t xml:space="preserve"> </w:t>
      </w:r>
      <w:r w:rsidRPr="002B71FF">
        <w:t xml:space="preserve">patients </w:t>
      </w:r>
      <w:r w:rsidR="00F07E2D">
        <w:t xml:space="preserve">who were treated </w:t>
      </w:r>
      <w:r w:rsidRPr="002B71FF">
        <w:t xml:space="preserve">for </w:t>
      </w:r>
      <w:r w:rsidR="006441BC">
        <w:t xml:space="preserve">ulcerative colitis </w:t>
      </w:r>
      <w:r w:rsidR="00F07E2D">
        <w:t>between 2012 and 2016</w:t>
      </w:r>
      <w:r w:rsidRPr="002B71FF">
        <w:t>.</w:t>
      </w:r>
    </w:p>
    <w:p w:rsidR="005C6661" w:rsidRDefault="005C6661" w:rsidP="00CF5E22">
      <w:pPr>
        <w:pStyle w:val="Heading3"/>
      </w:pPr>
      <w:r>
        <w:t>Key Findings</w:t>
      </w:r>
    </w:p>
    <w:p w:rsidR="00607F60" w:rsidRDefault="00607F60" w:rsidP="00607F60">
      <w:pPr>
        <w:pStyle w:val="NoSpacing"/>
        <w:numPr>
          <w:ilvl w:val="0"/>
          <w:numId w:val="1"/>
        </w:numPr>
      </w:pPr>
      <w:r>
        <w:t xml:space="preserve">Mesalazine </w:t>
      </w:r>
      <w:r w:rsidRPr="00607F60">
        <w:t>has the highest use of the rectal preparations</w:t>
      </w:r>
      <w:r>
        <w:t>, the highest use of the oral 5</w:t>
      </w:r>
      <w:r w:rsidRPr="00920B38">
        <w:t>-aminosalicylate</w:t>
      </w:r>
      <w:r>
        <w:t>s, and the highest use overall</w:t>
      </w:r>
      <w:r w:rsidR="00E87E1A">
        <w:t>.</w:t>
      </w:r>
    </w:p>
    <w:p w:rsidR="00F07E2D" w:rsidRDefault="00F07E2D" w:rsidP="00607F60">
      <w:pPr>
        <w:pStyle w:val="NoSpacing"/>
        <w:numPr>
          <w:ilvl w:val="0"/>
          <w:numId w:val="1"/>
        </w:numPr>
      </w:pPr>
      <w:r>
        <w:t>Budesonide foam enema has not displaced as much of the prednisolone market as expected.</w:t>
      </w:r>
    </w:p>
    <w:p w:rsidR="005C6661" w:rsidRPr="00F07E2D" w:rsidRDefault="00F07E2D" w:rsidP="005C6661">
      <w:pPr>
        <w:pStyle w:val="NoSpacing"/>
        <w:numPr>
          <w:ilvl w:val="0"/>
          <w:numId w:val="1"/>
        </w:numPr>
      </w:pPr>
      <w:r>
        <w:t xml:space="preserve">Use of </w:t>
      </w:r>
      <w:r w:rsidR="009E168A">
        <w:t>biologic medicine</w:t>
      </w:r>
      <w:r>
        <w:t>s is low in the context of the entire market of ulcerative colitis, however use is increasing.</w:t>
      </w:r>
    </w:p>
    <w:p w:rsidR="00BB0D1A" w:rsidRDefault="00BB0D1A">
      <w:pPr>
        <w:spacing w:line="276" w:lineRule="auto"/>
        <w:rPr>
          <w:rFonts w:eastAsiaTheme="majorEastAsia" w:cstheme="majorBidi"/>
          <w:b/>
          <w:bCs/>
          <w:sz w:val="32"/>
          <w:szCs w:val="26"/>
        </w:rPr>
      </w:pPr>
      <w:r>
        <w:br w:type="page"/>
      </w:r>
    </w:p>
    <w:p w:rsidR="00E677DD" w:rsidRPr="00CF5E22" w:rsidRDefault="00E677DD" w:rsidP="00CF5E22">
      <w:pPr>
        <w:pStyle w:val="Heading1"/>
      </w:pPr>
      <w:r w:rsidRPr="00CF5E22">
        <w:lastRenderedPageBreak/>
        <w:t xml:space="preserve">Purpose of </w:t>
      </w:r>
      <w:r w:rsidR="00D151EB" w:rsidRPr="00CF5E22">
        <w:t>analysis</w:t>
      </w:r>
    </w:p>
    <w:p w:rsidR="00245624" w:rsidRPr="003713E6" w:rsidRDefault="00245624" w:rsidP="00245624">
      <w:r>
        <w:t xml:space="preserve">Analysis of medicines for the treatment of ulcerative </w:t>
      </w:r>
      <w:r w:rsidRPr="003713E6">
        <w:t>colitis</w:t>
      </w:r>
      <w:r w:rsidR="006441BC">
        <w:t xml:space="preserve"> (UC)</w:t>
      </w:r>
      <w:r w:rsidRPr="003713E6">
        <w:t xml:space="preserve">, including predicted versus actual use of biologics for acute </w:t>
      </w:r>
      <w:r>
        <w:t>severe and moderate to severe disease</w:t>
      </w:r>
      <w:r w:rsidRPr="003713E6">
        <w:t>.</w:t>
      </w:r>
    </w:p>
    <w:p w:rsidR="006537D9" w:rsidRPr="005E22C2" w:rsidRDefault="00736041" w:rsidP="00852C2C">
      <w:pPr>
        <w:pStyle w:val="Heading1"/>
        <w:spacing w:before="240"/>
      </w:pPr>
      <w:r w:rsidRPr="005E22C2">
        <w:t>Background</w:t>
      </w:r>
    </w:p>
    <w:p w:rsidR="00EE2BBB" w:rsidRPr="007247B9" w:rsidRDefault="00EE2BBB" w:rsidP="00346DA0">
      <w:pPr>
        <w:pStyle w:val="Heading2"/>
      </w:pPr>
      <w:r w:rsidRPr="007247B9">
        <w:t>Clinical situation</w:t>
      </w:r>
    </w:p>
    <w:p w:rsidR="005C0D28" w:rsidRPr="009847E6" w:rsidRDefault="005C52B3" w:rsidP="005C0D28">
      <w:pPr>
        <w:autoSpaceDE w:val="0"/>
        <w:autoSpaceDN w:val="0"/>
        <w:adjustRightInd w:val="0"/>
        <w:spacing w:after="0"/>
      </w:pPr>
      <w:r>
        <w:t>Medicines are used to induce remission in active disease, and then maintain corticosteroid free remission and prevent relapse.</w:t>
      </w:r>
      <w:bookmarkStart w:id="0" w:name="_Ref481485256"/>
      <w:r>
        <w:rPr>
          <w:rStyle w:val="FootnoteReference"/>
        </w:rPr>
        <w:footnoteReference w:id="1"/>
      </w:r>
      <w:bookmarkEnd w:id="0"/>
      <w:r>
        <w:t xml:space="preserve"> The treatment algorithm is determined by the extent and severity of the disease and the location of inflammation within the rectum.</w:t>
      </w:r>
      <w:r w:rsidR="009847E6">
        <w:t xml:space="preserve"> </w:t>
      </w:r>
      <w:r w:rsidR="005C0D28">
        <w:rPr>
          <w:rFonts w:eastAsia="Gotham-Light" w:cs="Gotham-Light"/>
        </w:rPr>
        <w:t xml:space="preserve">Therapy for </w:t>
      </w:r>
      <w:r w:rsidR="006441BC">
        <w:rPr>
          <w:rFonts w:eastAsia="Gotham-Light" w:cs="Gotham-Light"/>
        </w:rPr>
        <w:t>UC</w:t>
      </w:r>
      <w:r w:rsidR="005C0D28">
        <w:rPr>
          <w:rFonts w:eastAsia="Gotham-Light" w:cs="Gotham-Light"/>
        </w:rPr>
        <w:t xml:space="preserve"> generally involves a step-up approach:</w:t>
      </w:r>
    </w:p>
    <w:p w:rsidR="005C0D28" w:rsidRPr="00E34B6D" w:rsidRDefault="005C0D28" w:rsidP="005C0D28">
      <w:pPr>
        <w:pStyle w:val="ListParagraph"/>
        <w:numPr>
          <w:ilvl w:val="0"/>
          <w:numId w:val="6"/>
        </w:numPr>
        <w:autoSpaceDE w:val="0"/>
        <w:autoSpaceDN w:val="0"/>
        <w:adjustRightInd w:val="0"/>
        <w:spacing w:after="0"/>
        <w:rPr>
          <w:rFonts w:eastAsia="Gotham-Light" w:cs="Gotham-Light"/>
        </w:rPr>
      </w:pPr>
      <w:r w:rsidRPr="00E34B6D">
        <w:rPr>
          <w:rFonts w:eastAsia="Gotham-Light" w:cs="Gotham-Light"/>
        </w:rPr>
        <w:t>Mild anti-inflammatory drugs are used at diagnosis;</w:t>
      </w:r>
    </w:p>
    <w:p w:rsidR="005C0D28" w:rsidRPr="00E34B6D" w:rsidRDefault="005C0D28" w:rsidP="005C0D28">
      <w:pPr>
        <w:pStyle w:val="ListParagraph"/>
        <w:numPr>
          <w:ilvl w:val="0"/>
          <w:numId w:val="6"/>
        </w:numPr>
        <w:autoSpaceDE w:val="0"/>
        <w:autoSpaceDN w:val="0"/>
        <w:adjustRightInd w:val="0"/>
        <w:spacing w:after="0"/>
        <w:rPr>
          <w:rFonts w:eastAsia="Gotham-Light" w:cs="Gotham-Light"/>
        </w:rPr>
      </w:pPr>
      <w:r w:rsidRPr="00E34B6D">
        <w:rPr>
          <w:rFonts w:eastAsia="Gotham-Light" w:cs="Gotham-Light"/>
        </w:rPr>
        <w:t xml:space="preserve">After failure on mild anti-inflammatory agents, immunomodulating drugs are used; </w:t>
      </w:r>
    </w:p>
    <w:p w:rsidR="005C0D28" w:rsidRDefault="005C0D28" w:rsidP="005C0D28">
      <w:pPr>
        <w:pStyle w:val="ListParagraph"/>
        <w:numPr>
          <w:ilvl w:val="0"/>
          <w:numId w:val="6"/>
        </w:numPr>
        <w:autoSpaceDE w:val="0"/>
        <w:autoSpaceDN w:val="0"/>
        <w:adjustRightInd w:val="0"/>
        <w:spacing w:after="0"/>
        <w:rPr>
          <w:rFonts w:eastAsia="Gotham-Light" w:cs="Gotham-Light"/>
        </w:rPr>
      </w:pPr>
      <w:r w:rsidRPr="00E34B6D">
        <w:rPr>
          <w:rFonts w:eastAsia="Gotham-Light" w:cs="Gotham-Light"/>
        </w:rPr>
        <w:t xml:space="preserve">For persistent, active disease antitumour necrosis factor (TNF) </w:t>
      </w:r>
      <w:r w:rsidR="00467F81">
        <w:rPr>
          <w:rFonts w:eastAsia="Gotham-Light" w:cs="Gotham-Light"/>
        </w:rPr>
        <w:t xml:space="preserve">and </w:t>
      </w:r>
      <w:r w:rsidR="00467F81">
        <w:t>α4β7 integrin inhibitor</w:t>
      </w:r>
      <w:r w:rsidR="00467F81" w:rsidRPr="00E34B6D">
        <w:rPr>
          <w:rFonts w:eastAsia="Gotham-Light" w:cs="Gotham-Light"/>
        </w:rPr>
        <w:t xml:space="preserve"> </w:t>
      </w:r>
      <w:r w:rsidRPr="00E34B6D">
        <w:rPr>
          <w:rFonts w:eastAsia="Gotham-Light" w:cs="Gotham-Light"/>
        </w:rPr>
        <w:t>drugs are added;</w:t>
      </w:r>
      <w:r w:rsidR="001D6D49">
        <w:rPr>
          <w:rFonts w:eastAsia="Gotham-Light" w:cs="Gotham-Light"/>
        </w:rPr>
        <w:t xml:space="preserve"> and</w:t>
      </w:r>
    </w:p>
    <w:p w:rsidR="005C0D28" w:rsidRDefault="005C0D28" w:rsidP="005C0D28">
      <w:pPr>
        <w:pStyle w:val="ListParagraph"/>
        <w:numPr>
          <w:ilvl w:val="0"/>
          <w:numId w:val="6"/>
        </w:numPr>
        <w:autoSpaceDE w:val="0"/>
        <w:autoSpaceDN w:val="0"/>
        <w:adjustRightInd w:val="0"/>
        <w:spacing w:after="0"/>
      </w:pPr>
      <w:r w:rsidRPr="00E34B6D">
        <w:t>If drug therapy fails, surgery is considered.</w:t>
      </w:r>
      <w:r w:rsidR="00245624">
        <w:rPr>
          <w:rStyle w:val="FootnoteReference"/>
        </w:rPr>
        <w:footnoteReference w:id="2"/>
      </w:r>
      <w:r w:rsidR="00D41D94">
        <w:t xml:space="preserve"> </w:t>
      </w:r>
    </w:p>
    <w:p w:rsidR="005C0D28" w:rsidRDefault="005C0D28" w:rsidP="005C0D28">
      <w:pPr>
        <w:pStyle w:val="ListParagraph"/>
        <w:autoSpaceDE w:val="0"/>
        <w:autoSpaceDN w:val="0"/>
        <w:adjustRightInd w:val="0"/>
        <w:spacing w:after="0"/>
        <w:ind w:left="360"/>
      </w:pPr>
    </w:p>
    <w:p w:rsidR="005C0D28" w:rsidRDefault="005C0D28" w:rsidP="005C0D28">
      <w:r>
        <w:t xml:space="preserve">For the initial therapy of disease flares in </w:t>
      </w:r>
      <w:r w:rsidR="006441BC">
        <w:t>UC</w:t>
      </w:r>
      <w:r>
        <w:t xml:space="preserve">, </w:t>
      </w:r>
      <w:r w:rsidRPr="00C81FF4">
        <w:t>5-aminosalicylic acid (</w:t>
      </w:r>
      <w:r>
        <w:t>5-ASA) mesalazine preparations are commonly used.</w:t>
      </w:r>
      <w:r w:rsidR="006441BC" w:rsidRPr="00245624">
        <w:rPr>
          <w:vertAlign w:val="superscript"/>
        </w:rPr>
        <w:t>2</w:t>
      </w:r>
      <w:r>
        <w:t xml:space="preserve"> </w:t>
      </w:r>
      <w:r w:rsidRPr="00C81FF4">
        <w:t xml:space="preserve">5-ASAs </w:t>
      </w:r>
      <w:r>
        <w:t>are</w:t>
      </w:r>
      <w:r w:rsidRPr="00C81FF4">
        <w:t xml:space="preserve"> given rectally or orally.</w:t>
      </w:r>
      <w:r>
        <w:t xml:space="preserve"> </w:t>
      </w:r>
      <w:r w:rsidRPr="00C81FF4">
        <w:t xml:space="preserve">5-ASA preparations </w:t>
      </w:r>
      <w:r>
        <w:t xml:space="preserve">subsidised on the PBS include </w:t>
      </w:r>
      <w:r w:rsidRPr="00C81FF4">
        <w:t>mesalazine preparations</w:t>
      </w:r>
      <w:r>
        <w:t>,</w:t>
      </w:r>
      <w:r w:rsidRPr="00C81FF4">
        <w:t xml:space="preserve"> sulfasalazine,</w:t>
      </w:r>
      <w:r>
        <w:t xml:space="preserve"> olsalazine and </w:t>
      </w:r>
      <w:r w:rsidRPr="00C81FF4">
        <w:t>balsalazide.</w:t>
      </w:r>
      <w:r>
        <w:t xml:space="preserve"> </w:t>
      </w:r>
      <w:r w:rsidRPr="00F43C06">
        <w:t>Those available</w:t>
      </w:r>
      <w:r>
        <w:t xml:space="preserve"> </w:t>
      </w:r>
      <w:r w:rsidRPr="00F43C06">
        <w:t>for rectal use include mesalazine enemas</w:t>
      </w:r>
      <w:r>
        <w:t xml:space="preserve"> </w:t>
      </w:r>
      <w:r w:rsidRPr="00F43C06">
        <w:t xml:space="preserve">(liquid or foam) and suppositories. </w:t>
      </w:r>
      <w:r>
        <w:t xml:space="preserve">The PBS restrictions require that patients must first use </w:t>
      </w:r>
      <w:r w:rsidR="007032DB">
        <w:t xml:space="preserve">sulfasalazine </w:t>
      </w:r>
      <w:r>
        <w:t>before accessing mesalazine unless they are intolerant to sulfasalazine. Side effects to sulfasalazine are mainly from the sulpha moiety which</w:t>
      </w:r>
      <w:r w:rsidR="00245624">
        <w:t xml:space="preserve"> is not present in 5-ASA agents.</w:t>
      </w:r>
      <w:r w:rsidR="00245624" w:rsidRPr="00245624">
        <w:rPr>
          <w:vertAlign w:val="superscript"/>
        </w:rPr>
        <w:t>2</w:t>
      </w:r>
      <w:r w:rsidR="00245624">
        <w:t xml:space="preserve"> </w:t>
      </w:r>
      <w:r>
        <w:t>Sulfasalazine can also cause infertility in males.</w:t>
      </w:r>
    </w:p>
    <w:p w:rsidR="005C0D28" w:rsidRDefault="005C0D28" w:rsidP="005C0D28">
      <w:r>
        <w:t>Oral steroid therapy, such as prednisolone, is used to treat acute disease flares and in patients unable to take 5-</w:t>
      </w:r>
      <w:r w:rsidR="00245624">
        <w:t>ASA drugs</w:t>
      </w:r>
      <w:r>
        <w:t>.</w:t>
      </w:r>
      <w:r w:rsidR="00245624" w:rsidRPr="00245624">
        <w:rPr>
          <w:vertAlign w:val="superscript"/>
        </w:rPr>
        <w:t xml:space="preserve"> 2</w:t>
      </w:r>
      <w:r>
        <w:t xml:space="preserve"> Oral steroids are not taken recurrently due to their side effects and causing more susceptibility to infection.</w:t>
      </w:r>
      <w:r w:rsidR="00233A38">
        <w:t xml:space="preserve"> </w:t>
      </w:r>
      <w:r w:rsidR="005C51F7">
        <w:t xml:space="preserve">Corticosteroids can also be administered rectally as enemas, foams and suppositories, and intravenously. </w:t>
      </w:r>
    </w:p>
    <w:p w:rsidR="005C0D28" w:rsidRPr="00FA0B58" w:rsidRDefault="005C0D28" w:rsidP="005C0D28">
      <w:r>
        <w:t>Immunosuppresant drugs are mainly used as maintenance therapy rather than for the induction of remission as th</w:t>
      </w:r>
      <w:r w:rsidR="00245624">
        <w:t>ey have a slow onset of action.</w:t>
      </w:r>
      <w:r w:rsidR="00245624" w:rsidRPr="00245624">
        <w:rPr>
          <w:vertAlign w:val="superscript"/>
        </w:rPr>
        <w:t>2</w:t>
      </w:r>
      <w:r w:rsidR="00245624">
        <w:t xml:space="preserve"> </w:t>
      </w:r>
      <w:r>
        <w:t>These include t</w:t>
      </w:r>
      <w:r w:rsidRPr="00BF36E5">
        <w:t xml:space="preserve">hiopurines </w:t>
      </w:r>
      <w:r>
        <w:t xml:space="preserve">(azathioprine and </w:t>
      </w:r>
      <w:r w:rsidRPr="00B53712">
        <w:t>6-</w:t>
      </w:r>
      <w:r>
        <w:t>mercaptopurine) and methotrexate. The use of immunosuppressants can help to reduce the use of corticosteroids.</w:t>
      </w:r>
    </w:p>
    <w:p w:rsidR="005C0D28" w:rsidRDefault="005C0D28" w:rsidP="005C0D28">
      <w:r>
        <w:t>Calcineurin inhibitors, including</w:t>
      </w:r>
      <w:r w:rsidRPr="00D04AA3">
        <w:t xml:space="preserve"> </w:t>
      </w:r>
      <w:r>
        <w:t xml:space="preserve">cyclosporin and </w:t>
      </w:r>
      <w:r w:rsidRPr="00D04AA3">
        <w:t>tacrolimus</w:t>
      </w:r>
      <w:r>
        <w:t>,</w:t>
      </w:r>
      <w:r w:rsidRPr="00D04AA3">
        <w:t xml:space="preserve"> are </w:t>
      </w:r>
      <w:r>
        <w:t xml:space="preserve">mainly used as </w:t>
      </w:r>
      <w:r w:rsidR="00266C64">
        <w:t>rescue therapy</w:t>
      </w:r>
      <w:r>
        <w:t xml:space="preserve"> for </w:t>
      </w:r>
      <w:r w:rsidRPr="00D04AA3">
        <w:t>severe episode</w:t>
      </w:r>
      <w:r>
        <w:t>s</w:t>
      </w:r>
      <w:r w:rsidRPr="00D04AA3">
        <w:t xml:space="preserve"> of disease </w:t>
      </w:r>
      <w:r>
        <w:t xml:space="preserve">which do </w:t>
      </w:r>
      <w:r w:rsidRPr="00D04AA3">
        <w:t>not</w:t>
      </w:r>
      <w:r>
        <w:t xml:space="preserve"> </w:t>
      </w:r>
      <w:r w:rsidRPr="00D04AA3">
        <w:t>responding to high dose intravenous</w:t>
      </w:r>
      <w:r>
        <w:t xml:space="preserve"> </w:t>
      </w:r>
      <w:r w:rsidRPr="00D04AA3">
        <w:t>steroids.</w:t>
      </w:r>
    </w:p>
    <w:p w:rsidR="00D34743" w:rsidRDefault="005C0D28" w:rsidP="005C0D28">
      <w:r>
        <w:lastRenderedPageBreak/>
        <w:t xml:space="preserve">For acute severe </w:t>
      </w:r>
      <w:r w:rsidR="006441BC">
        <w:t>UC</w:t>
      </w:r>
      <w:r>
        <w:t xml:space="preserve">, patients may access PBS subsidised biological therapy after failing to respond to intravenous corticosteroids. For moderate to severe </w:t>
      </w:r>
      <w:r w:rsidR="006441BC">
        <w:t>UC</w:t>
      </w:r>
      <w:r>
        <w:t>, patients must have failed or be intolerant to a prior course of azathioprine, mercaptopurine or oral corticosteroids.</w:t>
      </w:r>
    </w:p>
    <w:p w:rsidR="007032DB" w:rsidRPr="00FF3C3D" w:rsidRDefault="007032DB" w:rsidP="007032DB">
      <w:r>
        <w:t xml:space="preserve">The TNF-alpha antagonists </w:t>
      </w:r>
      <w:r w:rsidR="0009244D">
        <w:t>(</w:t>
      </w:r>
      <w:r>
        <w:t>adalimumab, infliximab</w:t>
      </w:r>
      <w:r w:rsidR="0009244D">
        <w:t>)</w:t>
      </w:r>
      <w:r>
        <w:t xml:space="preserve"> and</w:t>
      </w:r>
      <w:r w:rsidR="00D0692C" w:rsidRPr="00D0692C">
        <w:t xml:space="preserve"> </w:t>
      </w:r>
      <w:r w:rsidR="00D0692C">
        <w:t xml:space="preserve">the </w:t>
      </w:r>
      <w:r w:rsidR="00467F81">
        <w:t xml:space="preserve">α4β7 </w:t>
      </w:r>
      <w:r w:rsidR="00D0692C" w:rsidRPr="00D0692C">
        <w:t>integrin</w:t>
      </w:r>
      <w:r>
        <w:t xml:space="preserve"> </w:t>
      </w:r>
      <w:r w:rsidR="00467F81">
        <w:t xml:space="preserve">inhibitor </w:t>
      </w:r>
      <w:r>
        <w:t>vedolizumab may be used for inducing and maintaining remission in patients with moderate to severe active disease who have responded inadequately to standard treatment.</w:t>
      </w:r>
    </w:p>
    <w:p w:rsidR="00D34743" w:rsidRDefault="00D34743" w:rsidP="00D34743">
      <w:bookmarkStart w:id="1" w:name="_Ref477338758"/>
      <w:r>
        <w:t>The Therapeutic Guidelines provide guidance on treatment as outlined below.</w:t>
      </w:r>
      <w:bookmarkEnd w:id="1"/>
      <w:r w:rsidR="00245624">
        <w:rPr>
          <w:vertAlign w:val="superscript"/>
        </w:rPr>
        <w:t>1</w:t>
      </w:r>
      <w:r w:rsidR="00245624">
        <w:t xml:space="preserve"> </w:t>
      </w:r>
    </w:p>
    <w:tbl>
      <w:tblPr>
        <w:tblStyle w:val="TableGrid"/>
        <w:tblW w:w="0" w:type="auto"/>
        <w:tblLook w:val="04A0" w:firstRow="1" w:lastRow="0" w:firstColumn="1" w:lastColumn="0" w:noHBand="0" w:noVBand="1"/>
        <w:tblCaption w:val="Summary of Therapeutic Guidelines for colitis"/>
        <w:tblDescription w:val="Summary of Therapeutic Guidelines for active proctitis or distal colitis, extensive ulcerative colitis, acute severe ulcerative colitis and maintenance therapy for ulcerative colitis"/>
      </w:tblPr>
      <w:tblGrid>
        <w:gridCol w:w="3085"/>
        <w:gridCol w:w="6088"/>
      </w:tblGrid>
      <w:tr w:rsidR="000619E9" w:rsidRPr="00AD6C1F" w:rsidTr="006033BE">
        <w:trPr>
          <w:tblHeader/>
        </w:trPr>
        <w:tc>
          <w:tcPr>
            <w:tcW w:w="9173" w:type="dxa"/>
            <w:gridSpan w:val="2"/>
          </w:tcPr>
          <w:p w:rsidR="000619E9" w:rsidRPr="00AD6C1F" w:rsidRDefault="000619E9" w:rsidP="009E168A">
            <w:pPr>
              <w:rPr>
                <w:sz w:val="20"/>
                <w:szCs w:val="20"/>
              </w:rPr>
            </w:pPr>
            <w:r w:rsidRPr="00C1164C">
              <w:rPr>
                <w:b/>
                <w:sz w:val="20"/>
                <w:szCs w:val="20"/>
              </w:rPr>
              <w:t>Active proctitis or distal colitis</w:t>
            </w:r>
          </w:p>
        </w:tc>
      </w:tr>
      <w:tr w:rsidR="000619E9" w:rsidRPr="00AD6C1F" w:rsidTr="003F3FC5">
        <w:trPr>
          <w:trHeight w:val="333"/>
        </w:trPr>
        <w:tc>
          <w:tcPr>
            <w:tcW w:w="3085" w:type="dxa"/>
            <w:vMerge w:val="restart"/>
          </w:tcPr>
          <w:p w:rsidR="000619E9" w:rsidRPr="00AD6C1F" w:rsidRDefault="000619E9" w:rsidP="009E168A">
            <w:pPr>
              <w:rPr>
                <w:sz w:val="20"/>
                <w:szCs w:val="20"/>
              </w:rPr>
            </w:pPr>
            <w:r>
              <w:rPr>
                <w:sz w:val="20"/>
                <w:szCs w:val="20"/>
              </w:rPr>
              <w:t>Initial therapy for a</w:t>
            </w:r>
            <w:r w:rsidRPr="00AD6C1F">
              <w:rPr>
                <w:sz w:val="20"/>
                <w:szCs w:val="20"/>
              </w:rPr>
              <w:t>ctive pr</w:t>
            </w:r>
            <w:r>
              <w:rPr>
                <w:sz w:val="20"/>
                <w:szCs w:val="20"/>
              </w:rPr>
              <w:t>octitis or distal colitis</w:t>
            </w:r>
          </w:p>
        </w:tc>
        <w:tc>
          <w:tcPr>
            <w:tcW w:w="6088" w:type="dxa"/>
          </w:tcPr>
          <w:p w:rsidR="000619E9" w:rsidRPr="00AD6C1F" w:rsidRDefault="000619E9" w:rsidP="009E168A">
            <w:pPr>
              <w:rPr>
                <w:sz w:val="20"/>
                <w:szCs w:val="20"/>
              </w:rPr>
            </w:pPr>
            <w:r>
              <w:rPr>
                <w:sz w:val="20"/>
                <w:szCs w:val="20"/>
              </w:rPr>
              <w:t>Mesalazine rectal administration plus 5-ASA orally administered</w:t>
            </w:r>
          </w:p>
        </w:tc>
      </w:tr>
      <w:tr w:rsidR="000619E9" w:rsidRPr="00AD6C1F" w:rsidTr="003F3FC5">
        <w:trPr>
          <w:trHeight w:val="333"/>
        </w:trPr>
        <w:tc>
          <w:tcPr>
            <w:tcW w:w="3085" w:type="dxa"/>
            <w:vMerge/>
          </w:tcPr>
          <w:p w:rsidR="000619E9" w:rsidRDefault="000619E9" w:rsidP="009E168A">
            <w:pPr>
              <w:rPr>
                <w:sz w:val="20"/>
                <w:szCs w:val="20"/>
              </w:rPr>
            </w:pPr>
          </w:p>
        </w:tc>
        <w:tc>
          <w:tcPr>
            <w:tcW w:w="6088" w:type="dxa"/>
          </w:tcPr>
          <w:p w:rsidR="000619E9" w:rsidRDefault="000619E9" w:rsidP="009E168A">
            <w:pPr>
              <w:rPr>
                <w:sz w:val="20"/>
                <w:szCs w:val="20"/>
              </w:rPr>
            </w:pPr>
            <w:r>
              <w:rPr>
                <w:sz w:val="20"/>
                <w:szCs w:val="20"/>
              </w:rPr>
              <w:t xml:space="preserve">If 5-ASA is ineffective, add rectal corticosteroid  </w:t>
            </w:r>
          </w:p>
        </w:tc>
      </w:tr>
      <w:tr w:rsidR="000619E9" w:rsidRPr="00AD6C1F" w:rsidTr="003F3FC5">
        <w:tc>
          <w:tcPr>
            <w:tcW w:w="3085" w:type="dxa"/>
          </w:tcPr>
          <w:p w:rsidR="000619E9" w:rsidRPr="00AD6C1F" w:rsidRDefault="000619E9" w:rsidP="009E168A">
            <w:pPr>
              <w:rPr>
                <w:sz w:val="20"/>
                <w:szCs w:val="20"/>
              </w:rPr>
            </w:pPr>
            <w:r>
              <w:rPr>
                <w:sz w:val="20"/>
                <w:szCs w:val="20"/>
              </w:rPr>
              <w:t>Unresponsive</w:t>
            </w:r>
            <w:r w:rsidRPr="00AD6C1F">
              <w:rPr>
                <w:sz w:val="20"/>
                <w:szCs w:val="20"/>
              </w:rPr>
              <w:t xml:space="preserve"> </w:t>
            </w:r>
            <w:r>
              <w:rPr>
                <w:sz w:val="20"/>
                <w:szCs w:val="20"/>
              </w:rPr>
              <w:t>a</w:t>
            </w:r>
            <w:r w:rsidRPr="00AD6C1F">
              <w:rPr>
                <w:sz w:val="20"/>
                <w:szCs w:val="20"/>
              </w:rPr>
              <w:t>ctive pr</w:t>
            </w:r>
            <w:r>
              <w:rPr>
                <w:sz w:val="20"/>
                <w:szCs w:val="20"/>
              </w:rPr>
              <w:t>octitis or distal colitis</w:t>
            </w:r>
          </w:p>
        </w:tc>
        <w:tc>
          <w:tcPr>
            <w:tcW w:w="6088" w:type="dxa"/>
          </w:tcPr>
          <w:p w:rsidR="000619E9" w:rsidRPr="00AD6C1F" w:rsidRDefault="000619E9" w:rsidP="009E168A">
            <w:pPr>
              <w:rPr>
                <w:sz w:val="20"/>
                <w:szCs w:val="20"/>
              </w:rPr>
            </w:pPr>
            <w:r>
              <w:rPr>
                <w:sz w:val="20"/>
                <w:szCs w:val="20"/>
              </w:rPr>
              <w:t>Add oral corticosteroid</w:t>
            </w:r>
          </w:p>
        </w:tc>
      </w:tr>
      <w:tr w:rsidR="000619E9" w:rsidRPr="00AD6C1F" w:rsidTr="009E168A">
        <w:tc>
          <w:tcPr>
            <w:tcW w:w="9173" w:type="dxa"/>
            <w:gridSpan w:val="2"/>
          </w:tcPr>
          <w:p w:rsidR="000619E9" w:rsidRPr="00AD6C1F" w:rsidRDefault="000619E9" w:rsidP="009E168A">
            <w:pPr>
              <w:rPr>
                <w:sz w:val="20"/>
                <w:szCs w:val="20"/>
              </w:rPr>
            </w:pPr>
            <w:r w:rsidRPr="00C959DF">
              <w:rPr>
                <w:b/>
                <w:sz w:val="20"/>
                <w:szCs w:val="20"/>
              </w:rPr>
              <w:t>Extensive ulcerative colitis</w:t>
            </w:r>
          </w:p>
        </w:tc>
      </w:tr>
      <w:tr w:rsidR="000619E9" w:rsidRPr="00AD6C1F" w:rsidTr="003F3FC5">
        <w:trPr>
          <w:trHeight w:val="224"/>
        </w:trPr>
        <w:tc>
          <w:tcPr>
            <w:tcW w:w="3085" w:type="dxa"/>
            <w:vMerge w:val="restart"/>
          </w:tcPr>
          <w:p w:rsidR="000619E9" w:rsidRPr="00AD6C1F" w:rsidRDefault="000619E9" w:rsidP="009E168A">
            <w:pPr>
              <w:rPr>
                <w:sz w:val="20"/>
                <w:szCs w:val="20"/>
              </w:rPr>
            </w:pPr>
            <w:r>
              <w:rPr>
                <w:sz w:val="20"/>
                <w:szCs w:val="20"/>
              </w:rPr>
              <w:t>Mild to moderate extensive ulcerative colitis</w:t>
            </w:r>
          </w:p>
        </w:tc>
        <w:tc>
          <w:tcPr>
            <w:tcW w:w="6088" w:type="dxa"/>
          </w:tcPr>
          <w:p w:rsidR="000619E9" w:rsidRPr="00AD6C1F" w:rsidRDefault="000619E9" w:rsidP="009E168A">
            <w:pPr>
              <w:rPr>
                <w:sz w:val="20"/>
                <w:szCs w:val="20"/>
              </w:rPr>
            </w:pPr>
            <w:r>
              <w:rPr>
                <w:sz w:val="20"/>
                <w:szCs w:val="20"/>
              </w:rPr>
              <w:t>Oral 5-ASA</w:t>
            </w:r>
          </w:p>
        </w:tc>
      </w:tr>
      <w:tr w:rsidR="000619E9" w:rsidRPr="00AD6C1F" w:rsidTr="003F3FC5">
        <w:trPr>
          <w:trHeight w:val="224"/>
        </w:trPr>
        <w:tc>
          <w:tcPr>
            <w:tcW w:w="3085" w:type="dxa"/>
            <w:vMerge/>
          </w:tcPr>
          <w:p w:rsidR="000619E9" w:rsidRDefault="000619E9" w:rsidP="009E168A">
            <w:pPr>
              <w:rPr>
                <w:sz w:val="20"/>
                <w:szCs w:val="20"/>
              </w:rPr>
            </w:pPr>
          </w:p>
        </w:tc>
        <w:tc>
          <w:tcPr>
            <w:tcW w:w="6088" w:type="dxa"/>
          </w:tcPr>
          <w:p w:rsidR="000619E9" w:rsidRDefault="000619E9" w:rsidP="009E168A">
            <w:pPr>
              <w:rPr>
                <w:sz w:val="20"/>
                <w:szCs w:val="20"/>
              </w:rPr>
            </w:pPr>
            <w:r>
              <w:rPr>
                <w:sz w:val="20"/>
                <w:szCs w:val="20"/>
              </w:rPr>
              <w:t>If no response add oral corticosteroid</w:t>
            </w:r>
          </w:p>
        </w:tc>
      </w:tr>
      <w:tr w:rsidR="000619E9" w:rsidRPr="00AD6C1F" w:rsidTr="003F3FC5">
        <w:trPr>
          <w:trHeight w:val="795"/>
        </w:trPr>
        <w:tc>
          <w:tcPr>
            <w:tcW w:w="3085" w:type="dxa"/>
            <w:vMerge w:val="restart"/>
          </w:tcPr>
          <w:p w:rsidR="000619E9" w:rsidRPr="00AD6C1F" w:rsidRDefault="000619E9" w:rsidP="009E168A">
            <w:pPr>
              <w:rPr>
                <w:sz w:val="20"/>
                <w:szCs w:val="20"/>
              </w:rPr>
            </w:pPr>
            <w:r w:rsidRPr="00AD6C1F">
              <w:rPr>
                <w:sz w:val="20"/>
                <w:szCs w:val="20"/>
              </w:rPr>
              <w:t>Moderate to severe chronically active or frequently relapsing ulcerative colitis</w:t>
            </w:r>
          </w:p>
        </w:tc>
        <w:tc>
          <w:tcPr>
            <w:tcW w:w="6088" w:type="dxa"/>
          </w:tcPr>
          <w:p w:rsidR="000619E9" w:rsidRPr="00AD6C1F" w:rsidRDefault="000619E9" w:rsidP="009E168A">
            <w:pPr>
              <w:rPr>
                <w:sz w:val="20"/>
                <w:szCs w:val="20"/>
              </w:rPr>
            </w:pPr>
            <w:r>
              <w:rPr>
                <w:sz w:val="20"/>
                <w:szCs w:val="20"/>
              </w:rPr>
              <w:t>If no respond to oral 5-ASA plus corticosteroid or repeated or prolonged courses of corticosteroids are required, consider adding an immunomodulatory medicine such as azathioprine or mercaptopurine</w:t>
            </w:r>
          </w:p>
        </w:tc>
      </w:tr>
      <w:tr w:rsidR="000619E9" w:rsidRPr="00AD6C1F" w:rsidTr="003F3FC5">
        <w:trPr>
          <w:trHeight w:val="279"/>
        </w:trPr>
        <w:tc>
          <w:tcPr>
            <w:tcW w:w="3085" w:type="dxa"/>
            <w:vMerge/>
          </w:tcPr>
          <w:p w:rsidR="000619E9" w:rsidRPr="00AD6C1F" w:rsidRDefault="000619E9" w:rsidP="009E168A">
            <w:pPr>
              <w:rPr>
                <w:sz w:val="20"/>
                <w:szCs w:val="20"/>
              </w:rPr>
            </w:pPr>
          </w:p>
        </w:tc>
        <w:tc>
          <w:tcPr>
            <w:tcW w:w="6088" w:type="dxa"/>
          </w:tcPr>
          <w:p w:rsidR="000619E9" w:rsidRDefault="000619E9" w:rsidP="009E168A">
            <w:pPr>
              <w:rPr>
                <w:sz w:val="20"/>
                <w:szCs w:val="20"/>
              </w:rPr>
            </w:pPr>
            <w:r>
              <w:rPr>
                <w:sz w:val="20"/>
                <w:szCs w:val="20"/>
              </w:rPr>
              <w:t>If azathioprine or mercaptopurine cannot be tolerated consider adding methotrexate</w:t>
            </w:r>
          </w:p>
        </w:tc>
      </w:tr>
      <w:tr w:rsidR="000619E9" w:rsidRPr="00AD6C1F" w:rsidTr="003F3FC5">
        <w:trPr>
          <w:trHeight w:val="588"/>
        </w:trPr>
        <w:tc>
          <w:tcPr>
            <w:tcW w:w="3085" w:type="dxa"/>
            <w:vMerge/>
          </w:tcPr>
          <w:p w:rsidR="000619E9" w:rsidRPr="00AD6C1F" w:rsidRDefault="000619E9" w:rsidP="009E168A">
            <w:pPr>
              <w:rPr>
                <w:sz w:val="20"/>
                <w:szCs w:val="20"/>
              </w:rPr>
            </w:pPr>
          </w:p>
        </w:tc>
        <w:tc>
          <w:tcPr>
            <w:tcW w:w="6088" w:type="dxa"/>
          </w:tcPr>
          <w:p w:rsidR="000619E9" w:rsidRPr="00AE5E63" w:rsidRDefault="000619E9" w:rsidP="009E168A">
            <w:pPr>
              <w:rPr>
                <w:sz w:val="20"/>
                <w:szCs w:val="20"/>
              </w:rPr>
            </w:pPr>
            <w:r>
              <w:rPr>
                <w:sz w:val="20"/>
                <w:szCs w:val="20"/>
              </w:rPr>
              <w:t xml:space="preserve">If no response to a 5-ASA </w:t>
            </w:r>
            <w:r w:rsidRPr="00C959DF">
              <w:rPr>
                <w:sz w:val="20"/>
                <w:szCs w:val="20"/>
              </w:rPr>
              <w:t xml:space="preserve">and a corticosteroid </w:t>
            </w:r>
            <w:r>
              <w:rPr>
                <w:sz w:val="20"/>
                <w:szCs w:val="20"/>
              </w:rPr>
              <w:t>after three months</w:t>
            </w:r>
            <w:r w:rsidRPr="00C959DF">
              <w:rPr>
                <w:sz w:val="20"/>
                <w:szCs w:val="20"/>
              </w:rPr>
              <w:t xml:space="preserve"> (with or without</w:t>
            </w:r>
            <w:r>
              <w:rPr>
                <w:sz w:val="20"/>
                <w:szCs w:val="20"/>
              </w:rPr>
              <w:t xml:space="preserve"> an immunomodulatory medicine</w:t>
            </w:r>
            <w:r w:rsidRPr="00C959DF">
              <w:rPr>
                <w:sz w:val="20"/>
                <w:szCs w:val="20"/>
              </w:rPr>
              <w:t>), use</w:t>
            </w:r>
            <w:r>
              <w:rPr>
                <w:sz w:val="20"/>
                <w:szCs w:val="20"/>
              </w:rPr>
              <w:t xml:space="preserve"> infliximab or vedolizumab. </w:t>
            </w:r>
          </w:p>
          <w:p w:rsidR="000619E9" w:rsidRPr="00AE5E63" w:rsidRDefault="000619E9" w:rsidP="009E168A">
            <w:pPr>
              <w:rPr>
                <w:sz w:val="20"/>
                <w:szCs w:val="20"/>
              </w:rPr>
            </w:pPr>
            <w:r w:rsidRPr="00AE5E63">
              <w:rPr>
                <w:sz w:val="20"/>
                <w:szCs w:val="20"/>
              </w:rPr>
              <w:t>Combination therapy with infliximab and another immunomodulatory drug (azathioprine, mercaptopurine or methotrexate) may be required.</w:t>
            </w:r>
          </w:p>
          <w:p w:rsidR="000619E9" w:rsidRDefault="000619E9" w:rsidP="009E168A">
            <w:pPr>
              <w:rPr>
                <w:sz w:val="20"/>
                <w:szCs w:val="20"/>
              </w:rPr>
            </w:pPr>
            <w:r w:rsidRPr="00AE5E63">
              <w:rPr>
                <w:sz w:val="20"/>
                <w:szCs w:val="20"/>
              </w:rPr>
              <w:t>Surgery (proctocolectomy with either ileal pouch–anal anastomosis or end-ileostomy) may be considered for chronic refractory disease.</w:t>
            </w:r>
          </w:p>
        </w:tc>
      </w:tr>
      <w:tr w:rsidR="000619E9" w:rsidRPr="00AD6C1F" w:rsidTr="009E168A">
        <w:tc>
          <w:tcPr>
            <w:tcW w:w="9173" w:type="dxa"/>
            <w:gridSpan w:val="2"/>
          </w:tcPr>
          <w:p w:rsidR="000619E9" w:rsidRDefault="000619E9" w:rsidP="009E168A">
            <w:pPr>
              <w:rPr>
                <w:b/>
                <w:sz w:val="20"/>
                <w:szCs w:val="20"/>
              </w:rPr>
            </w:pPr>
            <w:r w:rsidRPr="00C959DF">
              <w:rPr>
                <w:b/>
                <w:sz w:val="20"/>
                <w:szCs w:val="20"/>
              </w:rPr>
              <w:t>Acute severe ulcerative colitis</w:t>
            </w:r>
          </w:p>
          <w:p w:rsidR="000619E9" w:rsidRPr="00AE5E63" w:rsidRDefault="000619E9" w:rsidP="009E168A">
            <w:pPr>
              <w:rPr>
                <w:sz w:val="20"/>
                <w:szCs w:val="20"/>
              </w:rPr>
            </w:pPr>
            <w:r w:rsidRPr="00C959DF">
              <w:rPr>
                <w:sz w:val="20"/>
                <w:szCs w:val="20"/>
              </w:rPr>
              <w:t>Acute severe ulcerative col</w:t>
            </w:r>
            <w:r>
              <w:rPr>
                <w:sz w:val="20"/>
                <w:szCs w:val="20"/>
              </w:rPr>
              <w:t>itis is a medical emergency treated in hospital.</w:t>
            </w:r>
          </w:p>
        </w:tc>
      </w:tr>
      <w:tr w:rsidR="000619E9" w:rsidRPr="00AD6C1F" w:rsidTr="003F3FC5">
        <w:tc>
          <w:tcPr>
            <w:tcW w:w="3085" w:type="dxa"/>
          </w:tcPr>
          <w:p w:rsidR="000619E9" w:rsidRPr="00AD6C1F" w:rsidRDefault="000619E9" w:rsidP="009E168A">
            <w:pPr>
              <w:rPr>
                <w:sz w:val="20"/>
                <w:szCs w:val="20"/>
              </w:rPr>
            </w:pPr>
            <w:r>
              <w:rPr>
                <w:sz w:val="20"/>
                <w:szCs w:val="20"/>
              </w:rPr>
              <w:t>Initial therapy</w:t>
            </w:r>
          </w:p>
        </w:tc>
        <w:tc>
          <w:tcPr>
            <w:tcW w:w="6088" w:type="dxa"/>
          </w:tcPr>
          <w:p w:rsidR="000619E9" w:rsidRPr="00AD6C1F" w:rsidRDefault="000619E9" w:rsidP="009E168A">
            <w:pPr>
              <w:rPr>
                <w:sz w:val="20"/>
                <w:szCs w:val="20"/>
              </w:rPr>
            </w:pPr>
            <w:r w:rsidRPr="00EB1A40">
              <w:rPr>
                <w:sz w:val="20"/>
                <w:szCs w:val="20"/>
              </w:rPr>
              <w:t>Fluid, electrolyte or blood replacement when required, together with an intravenous corticosteroid</w:t>
            </w:r>
            <w:r>
              <w:rPr>
                <w:sz w:val="20"/>
                <w:szCs w:val="20"/>
              </w:rPr>
              <w:t xml:space="preserve"> such as hydrocortisone or methylprednisolone sodium succinate.</w:t>
            </w:r>
          </w:p>
        </w:tc>
      </w:tr>
      <w:tr w:rsidR="000619E9" w:rsidRPr="00AD6C1F" w:rsidTr="003F3FC5">
        <w:tc>
          <w:tcPr>
            <w:tcW w:w="3085" w:type="dxa"/>
          </w:tcPr>
          <w:p w:rsidR="000619E9" w:rsidRPr="00AD6C1F" w:rsidRDefault="000619E9" w:rsidP="009E168A">
            <w:pPr>
              <w:rPr>
                <w:sz w:val="20"/>
                <w:szCs w:val="20"/>
              </w:rPr>
            </w:pPr>
            <w:r>
              <w:rPr>
                <w:sz w:val="20"/>
                <w:szCs w:val="20"/>
              </w:rPr>
              <w:t>Salvage therapy</w:t>
            </w:r>
          </w:p>
        </w:tc>
        <w:tc>
          <w:tcPr>
            <w:tcW w:w="6088" w:type="dxa"/>
          </w:tcPr>
          <w:p w:rsidR="000619E9" w:rsidRPr="00AD6C1F" w:rsidRDefault="000619E9" w:rsidP="009E168A">
            <w:pPr>
              <w:rPr>
                <w:sz w:val="20"/>
                <w:szCs w:val="20"/>
              </w:rPr>
            </w:pPr>
            <w:r w:rsidRPr="00EB1A40">
              <w:rPr>
                <w:sz w:val="20"/>
                <w:szCs w:val="20"/>
              </w:rPr>
              <w:t>Prompt medical salvage therapy</w:t>
            </w:r>
            <w:r>
              <w:rPr>
                <w:sz w:val="20"/>
                <w:szCs w:val="20"/>
              </w:rPr>
              <w:t xml:space="preserve"> (</w:t>
            </w:r>
            <w:r w:rsidRPr="00AE5E63">
              <w:rPr>
                <w:sz w:val="20"/>
                <w:szCs w:val="20"/>
              </w:rPr>
              <w:t xml:space="preserve">intravenous cyclosporin </w:t>
            </w:r>
            <w:r>
              <w:rPr>
                <w:sz w:val="20"/>
                <w:szCs w:val="20"/>
              </w:rPr>
              <w:t>or</w:t>
            </w:r>
            <w:r w:rsidRPr="00AE5E63">
              <w:rPr>
                <w:sz w:val="20"/>
                <w:szCs w:val="20"/>
              </w:rPr>
              <w:t xml:space="preserve"> infliximab</w:t>
            </w:r>
            <w:r>
              <w:rPr>
                <w:sz w:val="20"/>
                <w:szCs w:val="20"/>
              </w:rPr>
              <w:t>)</w:t>
            </w:r>
            <w:r w:rsidRPr="00EB1A40">
              <w:rPr>
                <w:sz w:val="20"/>
                <w:szCs w:val="20"/>
              </w:rPr>
              <w:t xml:space="preserve"> or colectomy should be considered for patients with acute severe ulcerative colitis who fail to respond or continue to deteriorate despite 3 to 5 days of intravenous corticosteroid treatment</w:t>
            </w:r>
            <w:r>
              <w:rPr>
                <w:sz w:val="20"/>
                <w:szCs w:val="20"/>
              </w:rPr>
              <w:t>.</w:t>
            </w:r>
            <w:r w:rsidRPr="00EB1A40">
              <w:rPr>
                <w:sz w:val="20"/>
                <w:szCs w:val="20"/>
              </w:rPr>
              <w:t xml:space="preserve"> </w:t>
            </w:r>
          </w:p>
        </w:tc>
      </w:tr>
      <w:tr w:rsidR="000619E9" w:rsidRPr="00AD6C1F" w:rsidTr="009E168A">
        <w:tc>
          <w:tcPr>
            <w:tcW w:w="9173" w:type="dxa"/>
            <w:gridSpan w:val="2"/>
          </w:tcPr>
          <w:p w:rsidR="000619E9" w:rsidRPr="00AD6C1F" w:rsidRDefault="000619E9" w:rsidP="009E168A">
            <w:pPr>
              <w:rPr>
                <w:sz w:val="20"/>
                <w:szCs w:val="20"/>
              </w:rPr>
            </w:pPr>
            <w:r w:rsidRPr="001E654A">
              <w:rPr>
                <w:b/>
                <w:sz w:val="20"/>
                <w:szCs w:val="20"/>
              </w:rPr>
              <w:t>Maintenance therapy for ulcerative colitis</w:t>
            </w:r>
          </w:p>
        </w:tc>
      </w:tr>
      <w:tr w:rsidR="000619E9" w:rsidRPr="00AD6C1F" w:rsidTr="003F3FC5">
        <w:tc>
          <w:tcPr>
            <w:tcW w:w="3085" w:type="dxa"/>
          </w:tcPr>
          <w:p w:rsidR="000619E9" w:rsidRPr="00AD6C1F" w:rsidRDefault="000619E9" w:rsidP="009E168A">
            <w:pPr>
              <w:rPr>
                <w:sz w:val="20"/>
                <w:szCs w:val="20"/>
              </w:rPr>
            </w:pPr>
            <w:r>
              <w:rPr>
                <w:sz w:val="20"/>
                <w:szCs w:val="20"/>
              </w:rPr>
              <w:t>Maintenance</w:t>
            </w:r>
          </w:p>
        </w:tc>
        <w:tc>
          <w:tcPr>
            <w:tcW w:w="6088" w:type="dxa"/>
          </w:tcPr>
          <w:p w:rsidR="000619E9" w:rsidRPr="00AD6C1F" w:rsidRDefault="000619E9" w:rsidP="009E168A">
            <w:pPr>
              <w:rPr>
                <w:sz w:val="20"/>
                <w:szCs w:val="20"/>
              </w:rPr>
            </w:pPr>
            <w:r>
              <w:rPr>
                <w:sz w:val="20"/>
                <w:szCs w:val="20"/>
              </w:rPr>
              <w:t>5-ASA orally administered</w:t>
            </w:r>
          </w:p>
        </w:tc>
      </w:tr>
      <w:tr w:rsidR="000619E9" w:rsidRPr="00AD6C1F" w:rsidTr="003F3FC5">
        <w:tc>
          <w:tcPr>
            <w:tcW w:w="3085" w:type="dxa"/>
          </w:tcPr>
          <w:p w:rsidR="000619E9" w:rsidRPr="00AD6C1F" w:rsidRDefault="000619E9" w:rsidP="009E168A">
            <w:pPr>
              <w:rPr>
                <w:sz w:val="20"/>
                <w:szCs w:val="20"/>
              </w:rPr>
            </w:pPr>
            <w:r>
              <w:rPr>
                <w:sz w:val="20"/>
                <w:szCs w:val="20"/>
              </w:rPr>
              <w:t xml:space="preserve">Maintenance for patients who responded to rectal mesalazine </w:t>
            </w:r>
          </w:p>
        </w:tc>
        <w:tc>
          <w:tcPr>
            <w:tcW w:w="6088" w:type="dxa"/>
          </w:tcPr>
          <w:p w:rsidR="000619E9" w:rsidRPr="00AD6C1F" w:rsidRDefault="000619E9" w:rsidP="009E168A">
            <w:pPr>
              <w:rPr>
                <w:sz w:val="20"/>
                <w:szCs w:val="20"/>
              </w:rPr>
            </w:pPr>
            <w:r>
              <w:rPr>
                <w:sz w:val="20"/>
                <w:szCs w:val="20"/>
              </w:rPr>
              <w:t>M</w:t>
            </w:r>
            <w:r w:rsidRPr="008C70F6">
              <w:rPr>
                <w:sz w:val="20"/>
                <w:szCs w:val="20"/>
              </w:rPr>
              <w:t>esalazine rectal</w:t>
            </w:r>
            <w:r>
              <w:rPr>
                <w:sz w:val="20"/>
                <w:szCs w:val="20"/>
              </w:rPr>
              <w:t>ly administered at a reduced frequency</w:t>
            </w:r>
          </w:p>
        </w:tc>
      </w:tr>
      <w:tr w:rsidR="000619E9" w:rsidRPr="00AD6C1F" w:rsidTr="003F3FC5">
        <w:tc>
          <w:tcPr>
            <w:tcW w:w="3085" w:type="dxa"/>
          </w:tcPr>
          <w:p w:rsidR="000619E9" w:rsidRPr="00AD6C1F" w:rsidRDefault="000619E9" w:rsidP="009E168A">
            <w:pPr>
              <w:rPr>
                <w:sz w:val="20"/>
                <w:szCs w:val="20"/>
              </w:rPr>
            </w:pPr>
            <w:r>
              <w:rPr>
                <w:sz w:val="20"/>
                <w:szCs w:val="20"/>
              </w:rPr>
              <w:t xml:space="preserve">Maintenance for </w:t>
            </w:r>
            <w:r w:rsidRPr="008C70F6">
              <w:rPr>
                <w:sz w:val="20"/>
                <w:szCs w:val="20"/>
              </w:rPr>
              <w:t>patients with severe initial disease or frequent relapses despite maintenance therapy with 5-</w:t>
            </w:r>
            <w:r>
              <w:rPr>
                <w:sz w:val="20"/>
                <w:szCs w:val="20"/>
              </w:rPr>
              <w:t>ASA</w:t>
            </w:r>
          </w:p>
        </w:tc>
        <w:tc>
          <w:tcPr>
            <w:tcW w:w="6088" w:type="dxa"/>
          </w:tcPr>
          <w:p w:rsidR="000619E9" w:rsidRPr="00AD6C1F" w:rsidRDefault="000619E9" w:rsidP="009E168A">
            <w:pPr>
              <w:rPr>
                <w:sz w:val="20"/>
                <w:szCs w:val="20"/>
              </w:rPr>
            </w:pPr>
            <w:r>
              <w:rPr>
                <w:sz w:val="20"/>
                <w:szCs w:val="20"/>
              </w:rPr>
              <w:t>P</w:t>
            </w:r>
            <w:r w:rsidRPr="008C70F6">
              <w:rPr>
                <w:sz w:val="20"/>
                <w:szCs w:val="20"/>
              </w:rPr>
              <w:t xml:space="preserve">rolonged remission may be achieved with </w:t>
            </w:r>
            <w:r>
              <w:rPr>
                <w:sz w:val="20"/>
                <w:szCs w:val="20"/>
              </w:rPr>
              <w:t>the addition of an</w:t>
            </w:r>
            <w:r w:rsidRPr="008C70F6">
              <w:rPr>
                <w:sz w:val="20"/>
                <w:szCs w:val="20"/>
              </w:rPr>
              <w:t xml:space="preserve"> immunomodulatory drug</w:t>
            </w:r>
            <w:r>
              <w:rPr>
                <w:sz w:val="20"/>
                <w:szCs w:val="20"/>
              </w:rPr>
              <w:t xml:space="preserve"> such as azathioprine, mercaptopurine or methotrexate</w:t>
            </w:r>
          </w:p>
        </w:tc>
      </w:tr>
      <w:tr w:rsidR="000619E9" w:rsidRPr="00AD6C1F" w:rsidTr="003F3FC5">
        <w:tc>
          <w:tcPr>
            <w:tcW w:w="3085" w:type="dxa"/>
          </w:tcPr>
          <w:p w:rsidR="000619E9" w:rsidRPr="00AD6C1F" w:rsidRDefault="000619E9" w:rsidP="009E168A">
            <w:pPr>
              <w:rPr>
                <w:sz w:val="20"/>
                <w:szCs w:val="20"/>
              </w:rPr>
            </w:pPr>
            <w:r>
              <w:rPr>
                <w:sz w:val="20"/>
                <w:szCs w:val="20"/>
              </w:rPr>
              <w:t>C</w:t>
            </w:r>
            <w:r w:rsidRPr="008C70F6">
              <w:rPr>
                <w:sz w:val="20"/>
                <w:szCs w:val="20"/>
              </w:rPr>
              <w:t>hronically active disease that is refractory to the above therapy</w:t>
            </w:r>
          </w:p>
        </w:tc>
        <w:tc>
          <w:tcPr>
            <w:tcW w:w="6088" w:type="dxa"/>
          </w:tcPr>
          <w:p w:rsidR="000619E9" w:rsidRPr="00AD6C1F" w:rsidRDefault="000619E9" w:rsidP="009E168A">
            <w:pPr>
              <w:rPr>
                <w:sz w:val="20"/>
                <w:szCs w:val="20"/>
              </w:rPr>
            </w:pPr>
            <w:r>
              <w:rPr>
                <w:sz w:val="20"/>
                <w:szCs w:val="20"/>
              </w:rPr>
              <w:t>Infliximab or vedolizumab if there was a response to induction therapy with these drugs</w:t>
            </w:r>
          </w:p>
        </w:tc>
      </w:tr>
    </w:tbl>
    <w:p w:rsidR="00D34743" w:rsidRDefault="00D34743" w:rsidP="00D34743">
      <w:pPr>
        <w:pStyle w:val="Notes"/>
      </w:pPr>
      <w:r>
        <w:t>Source: Therapeutic guidelines,</w:t>
      </w:r>
      <w:r w:rsidRPr="008C70F6">
        <w:t xml:space="preserve"> </w:t>
      </w:r>
      <w:r>
        <w:t>Published March 2016,</w:t>
      </w:r>
      <w:r w:rsidRPr="008C70F6">
        <w:t xml:space="preserve"> </w:t>
      </w:r>
      <w:r>
        <w:t>eTG March 2017 edition</w:t>
      </w:r>
    </w:p>
    <w:p w:rsidR="006B709B" w:rsidRDefault="006B709B" w:rsidP="006441BC">
      <w:pPr>
        <w:pStyle w:val="Heading2"/>
        <w:keepNext/>
      </w:pPr>
      <w:r>
        <w:lastRenderedPageBreak/>
        <w:t>Dosage and administration</w:t>
      </w:r>
    </w:p>
    <w:p w:rsidR="00A35800" w:rsidRPr="00A35800" w:rsidRDefault="00657A1B" w:rsidP="005C0D28">
      <w:pPr>
        <w:rPr>
          <w:highlight w:val="yellow"/>
        </w:rPr>
      </w:pPr>
      <w:r w:rsidRPr="00657A1B">
        <w:t>Dosage and administration</w:t>
      </w:r>
      <w:r w:rsidR="00E00C08">
        <w:t xml:space="preserve"> depends on</w:t>
      </w:r>
      <w:r w:rsidR="00796079">
        <w:t xml:space="preserve"> the medicine, route of administration, formulation, severity and whether treatment is for acute </w:t>
      </w:r>
      <w:r w:rsidR="006441BC">
        <w:t>UC</w:t>
      </w:r>
      <w:r w:rsidR="007032DB">
        <w:t xml:space="preserve"> or maintenance.</w:t>
      </w:r>
      <w:r w:rsidRPr="00657A1B">
        <w:t xml:space="preserve"> </w:t>
      </w:r>
      <w:r w:rsidR="00796079">
        <w:t xml:space="preserve">Details are provided in Appendix </w:t>
      </w:r>
      <w:r w:rsidR="00187002">
        <w:t>A</w:t>
      </w:r>
      <w:r w:rsidR="00796079">
        <w:t xml:space="preserve">. </w:t>
      </w:r>
    </w:p>
    <w:p w:rsidR="00F17D4B" w:rsidRPr="002F61CA" w:rsidRDefault="00F17D4B" w:rsidP="00F17D4B">
      <w:r w:rsidRPr="002F61CA">
        <w:t xml:space="preserve">The current Product Information (PI) and Consumer Medicine Information (CMI) are available from </w:t>
      </w:r>
      <w:r w:rsidRPr="00470C46">
        <w:t>the TGA (Product Information)</w:t>
      </w:r>
      <w:r>
        <w:t xml:space="preserve"> and </w:t>
      </w:r>
      <w:r w:rsidRPr="00470C46">
        <w:t>the TGA (Consumer Medicines Information)</w:t>
      </w:r>
      <w:r>
        <w:t>.</w:t>
      </w:r>
    </w:p>
    <w:p w:rsidR="00DF0B13" w:rsidRPr="007247B9" w:rsidDel="00EE2BBB" w:rsidRDefault="00DF0B13" w:rsidP="00346DA0">
      <w:pPr>
        <w:pStyle w:val="Heading2"/>
      </w:pPr>
      <w:r w:rsidRPr="007247B9" w:rsidDel="00EE2BBB">
        <w:t>PBS listing details</w:t>
      </w:r>
      <w:r w:rsidR="00D151EB" w:rsidDel="00EE2BBB">
        <w:t xml:space="preserve"> (as at </w:t>
      </w:r>
      <w:r w:rsidR="00C9031C">
        <w:t>April 2017)</w:t>
      </w:r>
    </w:p>
    <w:p w:rsidR="0052397D" w:rsidRDefault="00195C94" w:rsidP="00195C94">
      <w:r>
        <w:t>PBS listing de</w:t>
      </w:r>
      <w:r w:rsidR="00187002">
        <w:t>tails can be found in Appendix B</w:t>
      </w:r>
      <w:r>
        <w:t>.</w:t>
      </w:r>
    </w:p>
    <w:p w:rsidR="004C3186" w:rsidDel="00EE2BBB" w:rsidRDefault="004C3186" w:rsidP="00CF5E22">
      <w:pPr>
        <w:pStyle w:val="Heading3"/>
      </w:pPr>
      <w:r w:rsidDel="00EE2BBB">
        <w:t>Restriction</w:t>
      </w:r>
      <w:r w:rsidR="00187002">
        <w:t>s</w:t>
      </w:r>
      <w:r w:rsidR="007032DB">
        <w:t xml:space="preserve"> (abridged)</w:t>
      </w:r>
    </w:p>
    <w:p w:rsidR="00187002" w:rsidRDefault="00187002" w:rsidP="00187002">
      <w:r>
        <w:t xml:space="preserve">The listings for 5-ASA preparations, corticosteroid therapy, immunosuppressant drugs and calcineurin inhibitors are summarised in Table </w:t>
      </w:r>
      <w:r w:rsidR="00245624">
        <w:t>1</w:t>
      </w:r>
      <w:r>
        <w:t>.</w:t>
      </w:r>
    </w:p>
    <w:p w:rsidR="006441BC" w:rsidRDefault="006441BC">
      <w:pPr>
        <w:spacing w:line="276" w:lineRule="auto"/>
        <w:rPr>
          <w:b/>
          <w:i/>
        </w:rPr>
      </w:pPr>
      <w:r>
        <w:br w:type="page"/>
      </w:r>
    </w:p>
    <w:p w:rsidR="00187002" w:rsidRPr="005C3DC7" w:rsidRDefault="00245624" w:rsidP="005C3DC7">
      <w:pPr>
        <w:pStyle w:val="Tabletitle"/>
        <w:rPr>
          <w:i w:val="0"/>
        </w:rPr>
      </w:pPr>
      <w:r w:rsidRPr="005C3DC7">
        <w:rPr>
          <w:i w:val="0"/>
        </w:rPr>
        <w:lastRenderedPageBreak/>
        <w:t>Table 1</w:t>
      </w:r>
      <w:r w:rsidR="00187002" w:rsidRPr="005C3DC7">
        <w:rPr>
          <w:i w:val="0"/>
        </w:rPr>
        <w:t>: Listings for 5-ASA preparations, corticosteroid therapy and immunosuppressant medicines</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istings for 5-ASA preparations, corticosteroid therapy and immunosuppressant medicines"/>
        <w:tblDescription w:val="Listings for 5-ASA preparations, corticosteroid therapy and immunosuppressant medicines"/>
      </w:tblPr>
      <w:tblGrid>
        <w:gridCol w:w="2000"/>
        <w:gridCol w:w="6946"/>
      </w:tblGrid>
      <w:tr w:rsidR="00187002" w:rsidRPr="00E95F75" w:rsidTr="00F55E25">
        <w:trPr>
          <w:trHeight w:val="315"/>
        </w:trPr>
        <w:tc>
          <w:tcPr>
            <w:tcW w:w="8946" w:type="dxa"/>
            <w:gridSpan w:val="2"/>
            <w:shd w:val="clear" w:color="auto" w:fill="BFBFBF" w:themeFill="background1" w:themeFillShade="BF"/>
            <w:noWrap/>
            <w:vAlign w:val="center"/>
          </w:tcPr>
          <w:p w:rsidR="00187002" w:rsidRPr="00E95F75" w:rsidRDefault="00187002" w:rsidP="00F55E25">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ORAL 5-ASA</w:t>
            </w:r>
          </w:p>
        </w:tc>
      </w:tr>
      <w:tr w:rsidR="00187002" w:rsidRPr="00E95F75" w:rsidTr="00F55E25">
        <w:trPr>
          <w:trHeight w:val="315"/>
        </w:trPr>
        <w:tc>
          <w:tcPr>
            <w:tcW w:w="2000" w:type="dxa"/>
            <w:shd w:val="clear" w:color="auto" w:fill="auto"/>
            <w:noWrap/>
            <w:vAlign w:val="center"/>
          </w:tcPr>
          <w:p w:rsidR="00187002" w:rsidRPr="00E95F75" w:rsidRDefault="00187002" w:rsidP="00F55E25">
            <w:pPr>
              <w:spacing w:after="0"/>
              <w:rPr>
                <w:rFonts w:ascii="Calibri" w:eastAsia="Times New Roman" w:hAnsi="Calibri" w:cs="Times New Roman"/>
                <w:color w:val="000000"/>
                <w:sz w:val="20"/>
                <w:szCs w:val="20"/>
              </w:rPr>
            </w:pPr>
            <w:r w:rsidRPr="00E95F75">
              <w:rPr>
                <w:rFonts w:ascii="Calibri" w:eastAsia="Times New Roman" w:hAnsi="Calibri" w:cs="Times New Roman"/>
                <w:color w:val="000000"/>
                <w:sz w:val="20"/>
                <w:szCs w:val="20"/>
              </w:rPr>
              <w:t>MESALAZINE</w:t>
            </w:r>
          </w:p>
        </w:tc>
        <w:tc>
          <w:tcPr>
            <w:tcW w:w="6946" w:type="dxa"/>
            <w:vAlign w:val="center"/>
          </w:tcPr>
          <w:p w:rsidR="00187002" w:rsidRPr="00E95F75" w:rsidRDefault="00187002" w:rsidP="00F55E25">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L</w:t>
            </w:r>
            <w:r w:rsidRPr="00C07FAE">
              <w:rPr>
                <w:rFonts w:ascii="Calibri" w:eastAsia="Times New Roman" w:hAnsi="Calibri" w:cs="Times New Roman"/>
                <w:color w:val="000000"/>
                <w:sz w:val="20"/>
                <w:szCs w:val="20"/>
              </w:rPr>
              <w:t>istings are Authority Required (STREAMLINED)</w:t>
            </w:r>
          </w:p>
        </w:tc>
      </w:tr>
      <w:tr w:rsidR="00187002" w:rsidRPr="00E95F75" w:rsidTr="00F55E25">
        <w:trPr>
          <w:trHeight w:val="315"/>
        </w:trPr>
        <w:tc>
          <w:tcPr>
            <w:tcW w:w="2000" w:type="dxa"/>
            <w:shd w:val="clear" w:color="auto" w:fill="auto"/>
            <w:noWrap/>
            <w:vAlign w:val="center"/>
          </w:tcPr>
          <w:p w:rsidR="00187002" w:rsidRPr="00E95F75" w:rsidRDefault="00187002" w:rsidP="00F55E25">
            <w:pPr>
              <w:spacing w:after="0"/>
              <w:rPr>
                <w:rFonts w:ascii="Calibri" w:eastAsia="Times New Roman" w:hAnsi="Calibri" w:cs="Times New Roman"/>
                <w:color w:val="000000"/>
                <w:sz w:val="20"/>
                <w:szCs w:val="20"/>
              </w:rPr>
            </w:pPr>
            <w:r w:rsidRPr="00E95F75">
              <w:rPr>
                <w:rFonts w:ascii="Calibri" w:eastAsia="Times New Roman" w:hAnsi="Calibri" w:cs="Times New Roman"/>
                <w:color w:val="000000"/>
                <w:sz w:val="20"/>
                <w:szCs w:val="20"/>
              </w:rPr>
              <w:t>SULFASALAZINE</w:t>
            </w:r>
          </w:p>
        </w:tc>
        <w:tc>
          <w:tcPr>
            <w:tcW w:w="6946" w:type="dxa"/>
            <w:vAlign w:val="center"/>
          </w:tcPr>
          <w:p w:rsidR="00187002" w:rsidRPr="00E95F75" w:rsidRDefault="00187002" w:rsidP="00F55E25">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Unrestricted listings</w:t>
            </w:r>
          </w:p>
        </w:tc>
      </w:tr>
      <w:tr w:rsidR="00187002" w:rsidRPr="00E95F75" w:rsidTr="00F55E25">
        <w:trPr>
          <w:trHeight w:val="315"/>
        </w:trPr>
        <w:tc>
          <w:tcPr>
            <w:tcW w:w="2000" w:type="dxa"/>
            <w:shd w:val="clear" w:color="auto" w:fill="auto"/>
            <w:noWrap/>
            <w:vAlign w:val="center"/>
          </w:tcPr>
          <w:p w:rsidR="00187002" w:rsidRPr="00E95F75" w:rsidRDefault="00187002" w:rsidP="00F55E25">
            <w:pPr>
              <w:spacing w:after="0"/>
              <w:rPr>
                <w:rFonts w:ascii="Calibri" w:eastAsia="Times New Roman" w:hAnsi="Calibri" w:cs="Times New Roman"/>
                <w:color w:val="000000"/>
                <w:sz w:val="20"/>
                <w:szCs w:val="20"/>
              </w:rPr>
            </w:pPr>
            <w:r w:rsidRPr="00E95F75">
              <w:rPr>
                <w:rFonts w:ascii="Calibri" w:eastAsia="Times New Roman" w:hAnsi="Calibri" w:cs="Times New Roman"/>
                <w:color w:val="000000"/>
                <w:sz w:val="20"/>
                <w:szCs w:val="20"/>
              </w:rPr>
              <w:t>BALSALAZIDE</w:t>
            </w:r>
          </w:p>
        </w:tc>
        <w:tc>
          <w:tcPr>
            <w:tcW w:w="6946" w:type="dxa"/>
            <w:vAlign w:val="center"/>
          </w:tcPr>
          <w:p w:rsidR="00187002" w:rsidRPr="00E95F75" w:rsidRDefault="00187002" w:rsidP="00F55E25">
            <w:pPr>
              <w:spacing w:after="0"/>
              <w:rPr>
                <w:rFonts w:ascii="Calibri" w:eastAsia="Times New Roman" w:hAnsi="Calibri" w:cs="Times New Roman"/>
                <w:color w:val="000000"/>
                <w:sz w:val="20"/>
                <w:szCs w:val="20"/>
              </w:rPr>
            </w:pPr>
            <w:r w:rsidRPr="00C07FAE">
              <w:rPr>
                <w:rFonts w:ascii="Calibri" w:eastAsia="Times New Roman" w:hAnsi="Calibri" w:cs="Times New Roman"/>
                <w:color w:val="000000"/>
                <w:sz w:val="20"/>
                <w:szCs w:val="20"/>
              </w:rPr>
              <w:t>Authority Required (STREAMLINED)</w:t>
            </w:r>
            <w:r>
              <w:rPr>
                <w:rFonts w:ascii="Calibri" w:eastAsia="Times New Roman" w:hAnsi="Calibri" w:cs="Times New Roman"/>
                <w:color w:val="000000"/>
                <w:sz w:val="20"/>
                <w:szCs w:val="20"/>
              </w:rPr>
              <w:t xml:space="preserve"> listing for ulcerative colitis </w:t>
            </w:r>
            <w:r w:rsidRPr="00C07FAE">
              <w:rPr>
                <w:rFonts w:ascii="Calibri" w:eastAsia="Times New Roman" w:hAnsi="Calibri" w:cs="Times New Roman"/>
                <w:color w:val="000000"/>
                <w:sz w:val="20"/>
                <w:szCs w:val="20"/>
              </w:rPr>
              <w:t>Patient must have had a documented hypersensitivity reaction to a sulphonamide</w:t>
            </w:r>
            <w:r>
              <w:rPr>
                <w:rFonts w:ascii="Calibri" w:eastAsia="Times New Roman" w:hAnsi="Calibri" w:cs="Times New Roman"/>
                <w:color w:val="000000"/>
                <w:sz w:val="20"/>
                <w:szCs w:val="20"/>
              </w:rPr>
              <w:t xml:space="preserve"> or p</w:t>
            </w:r>
            <w:r w:rsidRPr="00C07FAE">
              <w:rPr>
                <w:rFonts w:ascii="Calibri" w:eastAsia="Times New Roman" w:hAnsi="Calibri" w:cs="Times New Roman"/>
                <w:color w:val="000000"/>
                <w:sz w:val="20"/>
                <w:szCs w:val="20"/>
              </w:rPr>
              <w:t>atient must be intolerant to sulfasalazine.</w:t>
            </w:r>
          </w:p>
        </w:tc>
      </w:tr>
      <w:tr w:rsidR="00187002" w:rsidRPr="00E95F75" w:rsidTr="00F55E25">
        <w:trPr>
          <w:trHeight w:val="315"/>
        </w:trPr>
        <w:tc>
          <w:tcPr>
            <w:tcW w:w="2000" w:type="dxa"/>
            <w:shd w:val="clear" w:color="auto" w:fill="auto"/>
            <w:noWrap/>
            <w:vAlign w:val="center"/>
            <w:hideMark/>
          </w:tcPr>
          <w:p w:rsidR="00187002" w:rsidRPr="00E95F75" w:rsidRDefault="00187002" w:rsidP="00F55E25">
            <w:pPr>
              <w:spacing w:after="0"/>
              <w:rPr>
                <w:rFonts w:ascii="Calibri" w:eastAsia="Times New Roman" w:hAnsi="Calibri" w:cs="Times New Roman"/>
                <w:color w:val="000000"/>
                <w:sz w:val="20"/>
                <w:szCs w:val="20"/>
              </w:rPr>
            </w:pPr>
            <w:r w:rsidRPr="00E95F75">
              <w:rPr>
                <w:rFonts w:ascii="Calibri" w:eastAsia="Times New Roman" w:hAnsi="Calibri" w:cs="Times New Roman"/>
                <w:color w:val="000000"/>
                <w:sz w:val="20"/>
                <w:szCs w:val="20"/>
              </w:rPr>
              <w:t>OLSALAZINE</w:t>
            </w:r>
          </w:p>
        </w:tc>
        <w:tc>
          <w:tcPr>
            <w:tcW w:w="6946" w:type="dxa"/>
            <w:vAlign w:val="center"/>
          </w:tcPr>
          <w:p w:rsidR="00187002" w:rsidRPr="00E95F75" w:rsidRDefault="00187002" w:rsidP="00F55E25">
            <w:pPr>
              <w:spacing w:after="0"/>
              <w:rPr>
                <w:rFonts w:ascii="Calibri" w:eastAsia="Times New Roman" w:hAnsi="Calibri" w:cs="Times New Roman"/>
                <w:color w:val="000000"/>
                <w:sz w:val="20"/>
                <w:szCs w:val="20"/>
              </w:rPr>
            </w:pPr>
            <w:r w:rsidRPr="00C07FAE">
              <w:rPr>
                <w:rFonts w:ascii="Calibri" w:eastAsia="Times New Roman" w:hAnsi="Calibri" w:cs="Times New Roman"/>
                <w:color w:val="000000"/>
                <w:sz w:val="20"/>
                <w:szCs w:val="20"/>
              </w:rPr>
              <w:t>Authority Required (STREAMLINED)</w:t>
            </w:r>
            <w:r>
              <w:rPr>
                <w:rFonts w:ascii="Calibri" w:eastAsia="Times New Roman" w:hAnsi="Calibri" w:cs="Times New Roman"/>
                <w:color w:val="000000"/>
                <w:sz w:val="20"/>
                <w:szCs w:val="20"/>
              </w:rPr>
              <w:t xml:space="preserve"> listing for ulcerative colitis </w:t>
            </w:r>
            <w:r w:rsidRPr="00C07FAE">
              <w:rPr>
                <w:rFonts w:ascii="Calibri" w:eastAsia="Times New Roman" w:hAnsi="Calibri" w:cs="Times New Roman"/>
                <w:color w:val="000000"/>
                <w:sz w:val="20"/>
                <w:szCs w:val="20"/>
              </w:rPr>
              <w:t>Patient must have had a documented hypersensitivity reaction to a sulphonamide</w:t>
            </w:r>
            <w:r>
              <w:rPr>
                <w:rFonts w:ascii="Calibri" w:eastAsia="Times New Roman" w:hAnsi="Calibri" w:cs="Times New Roman"/>
                <w:color w:val="000000"/>
                <w:sz w:val="20"/>
                <w:szCs w:val="20"/>
              </w:rPr>
              <w:t xml:space="preserve"> or p</w:t>
            </w:r>
            <w:r w:rsidRPr="00C07FAE">
              <w:rPr>
                <w:rFonts w:ascii="Calibri" w:eastAsia="Times New Roman" w:hAnsi="Calibri" w:cs="Times New Roman"/>
                <w:color w:val="000000"/>
                <w:sz w:val="20"/>
                <w:szCs w:val="20"/>
              </w:rPr>
              <w:t>atient must be intolerant to sulfasalazine.</w:t>
            </w:r>
          </w:p>
        </w:tc>
      </w:tr>
      <w:tr w:rsidR="00187002" w:rsidRPr="00E95F75" w:rsidTr="00F55E25">
        <w:trPr>
          <w:trHeight w:val="315"/>
        </w:trPr>
        <w:tc>
          <w:tcPr>
            <w:tcW w:w="8946" w:type="dxa"/>
            <w:gridSpan w:val="2"/>
            <w:shd w:val="clear" w:color="auto" w:fill="BFBFBF" w:themeFill="background1" w:themeFillShade="BF"/>
            <w:noWrap/>
            <w:vAlign w:val="center"/>
          </w:tcPr>
          <w:p w:rsidR="00187002" w:rsidRPr="00E95F75" w:rsidRDefault="00187002" w:rsidP="00F55E25">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RECTAL 5-ASA</w:t>
            </w:r>
          </w:p>
        </w:tc>
      </w:tr>
      <w:tr w:rsidR="00187002" w:rsidRPr="00E95F75" w:rsidTr="00F55E25">
        <w:trPr>
          <w:trHeight w:val="315"/>
        </w:trPr>
        <w:tc>
          <w:tcPr>
            <w:tcW w:w="2000" w:type="dxa"/>
            <w:shd w:val="clear" w:color="auto" w:fill="auto"/>
            <w:noWrap/>
            <w:vAlign w:val="center"/>
          </w:tcPr>
          <w:p w:rsidR="00187002" w:rsidRPr="00E95F75" w:rsidRDefault="00187002" w:rsidP="00F55E25">
            <w:pPr>
              <w:spacing w:after="0"/>
              <w:rPr>
                <w:rFonts w:ascii="Calibri" w:eastAsia="Times New Roman" w:hAnsi="Calibri" w:cs="Times New Roman"/>
                <w:color w:val="000000"/>
                <w:sz w:val="20"/>
                <w:szCs w:val="20"/>
              </w:rPr>
            </w:pPr>
            <w:r w:rsidRPr="00E95F75">
              <w:rPr>
                <w:rFonts w:ascii="Calibri" w:eastAsia="Times New Roman" w:hAnsi="Calibri" w:cs="Times New Roman"/>
                <w:color w:val="000000"/>
                <w:sz w:val="20"/>
                <w:szCs w:val="20"/>
              </w:rPr>
              <w:t>MESALAZINE</w:t>
            </w:r>
          </w:p>
        </w:tc>
        <w:tc>
          <w:tcPr>
            <w:tcW w:w="6946" w:type="dxa"/>
            <w:vAlign w:val="center"/>
          </w:tcPr>
          <w:p w:rsidR="00187002" w:rsidRPr="00E95F75" w:rsidRDefault="007032DB" w:rsidP="007032DB">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Suppositories are listed</w:t>
            </w:r>
            <w:r w:rsidR="00187002">
              <w:rPr>
                <w:rFonts w:ascii="Calibri" w:eastAsia="Times New Roman" w:hAnsi="Calibri" w:cs="Times New Roman"/>
                <w:color w:val="000000"/>
                <w:sz w:val="20"/>
                <w:szCs w:val="20"/>
              </w:rPr>
              <w:t xml:space="preserve"> as </w:t>
            </w:r>
            <w:r w:rsidR="00187002" w:rsidRPr="00C07FAE">
              <w:rPr>
                <w:rFonts w:ascii="Calibri" w:eastAsia="Times New Roman" w:hAnsi="Calibri" w:cs="Times New Roman"/>
                <w:color w:val="000000"/>
                <w:sz w:val="20"/>
                <w:szCs w:val="20"/>
              </w:rPr>
              <w:t>Restricted Benefit</w:t>
            </w:r>
            <w:r w:rsidR="00187002">
              <w:rPr>
                <w:rFonts w:ascii="Calibri" w:eastAsia="Times New Roman" w:hAnsi="Calibri" w:cs="Times New Roman"/>
                <w:color w:val="000000"/>
                <w:sz w:val="20"/>
                <w:szCs w:val="20"/>
              </w:rPr>
              <w:t xml:space="preserve"> for a</w:t>
            </w:r>
            <w:r w:rsidR="00187002" w:rsidRPr="00C07FAE">
              <w:rPr>
                <w:rFonts w:ascii="Calibri" w:eastAsia="Times New Roman" w:hAnsi="Calibri" w:cs="Times New Roman"/>
                <w:color w:val="000000"/>
                <w:sz w:val="20"/>
                <w:szCs w:val="20"/>
              </w:rPr>
              <w:t>cute episode of mild to moderate ulcerative proctitis</w:t>
            </w:r>
            <w:r w:rsidR="00187002">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enemas are listed for a</w:t>
            </w:r>
            <w:r w:rsidRPr="00C07FAE">
              <w:rPr>
                <w:rFonts w:ascii="Calibri" w:eastAsia="Times New Roman" w:hAnsi="Calibri" w:cs="Times New Roman"/>
                <w:color w:val="000000"/>
                <w:sz w:val="20"/>
                <w:szCs w:val="20"/>
              </w:rPr>
              <w:t xml:space="preserve">cute episode of mild to moderate ulcerative </w:t>
            </w:r>
            <w:r>
              <w:rPr>
                <w:rFonts w:ascii="Calibri" w:eastAsia="Times New Roman" w:hAnsi="Calibri" w:cs="Times New Roman"/>
                <w:color w:val="000000"/>
                <w:sz w:val="20"/>
                <w:szCs w:val="20"/>
              </w:rPr>
              <w:t xml:space="preserve">colitis as </w:t>
            </w:r>
            <w:r w:rsidR="00187002" w:rsidRPr="00C07FAE">
              <w:rPr>
                <w:rFonts w:ascii="Calibri" w:eastAsia="Times New Roman" w:hAnsi="Calibri" w:cs="Times New Roman"/>
                <w:color w:val="000000"/>
                <w:sz w:val="20"/>
                <w:szCs w:val="20"/>
              </w:rPr>
              <w:t>Authority Required (STREAMLINED)</w:t>
            </w:r>
          </w:p>
        </w:tc>
      </w:tr>
      <w:tr w:rsidR="00187002" w:rsidRPr="00E95F75" w:rsidTr="00F55E25">
        <w:trPr>
          <w:trHeight w:val="315"/>
        </w:trPr>
        <w:tc>
          <w:tcPr>
            <w:tcW w:w="8946" w:type="dxa"/>
            <w:gridSpan w:val="2"/>
            <w:shd w:val="clear" w:color="auto" w:fill="BFBFBF" w:themeFill="background1" w:themeFillShade="BF"/>
            <w:noWrap/>
            <w:vAlign w:val="center"/>
          </w:tcPr>
          <w:p w:rsidR="00187002" w:rsidRPr="00E95F75" w:rsidRDefault="00187002" w:rsidP="00F55E25">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RECTAL </w:t>
            </w:r>
            <w:r>
              <w:rPr>
                <w:sz w:val="20"/>
                <w:szCs w:val="20"/>
              </w:rPr>
              <w:t>CORTICOSTEROID</w:t>
            </w:r>
          </w:p>
        </w:tc>
      </w:tr>
      <w:tr w:rsidR="00187002" w:rsidRPr="00E95F75" w:rsidTr="00F55E25">
        <w:trPr>
          <w:trHeight w:val="315"/>
        </w:trPr>
        <w:tc>
          <w:tcPr>
            <w:tcW w:w="2000" w:type="dxa"/>
            <w:shd w:val="clear" w:color="auto" w:fill="auto"/>
            <w:noWrap/>
            <w:vAlign w:val="center"/>
          </w:tcPr>
          <w:p w:rsidR="00187002" w:rsidRPr="00E95F75" w:rsidRDefault="00187002" w:rsidP="00F55E25">
            <w:pPr>
              <w:spacing w:after="0"/>
              <w:rPr>
                <w:rFonts w:ascii="Calibri" w:eastAsia="Times New Roman" w:hAnsi="Calibri" w:cs="Times New Roman"/>
                <w:color w:val="000000"/>
                <w:sz w:val="20"/>
                <w:szCs w:val="20"/>
              </w:rPr>
            </w:pPr>
            <w:r w:rsidRPr="00E95F75">
              <w:rPr>
                <w:rFonts w:ascii="Calibri" w:eastAsia="Times New Roman" w:hAnsi="Calibri" w:cs="Times New Roman"/>
                <w:color w:val="000000"/>
                <w:sz w:val="20"/>
                <w:szCs w:val="20"/>
              </w:rPr>
              <w:t>HYDROCORTISONE ACETATE</w:t>
            </w:r>
          </w:p>
        </w:tc>
        <w:tc>
          <w:tcPr>
            <w:tcW w:w="6946" w:type="dxa"/>
            <w:vAlign w:val="center"/>
          </w:tcPr>
          <w:p w:rsidR="00187002" w:rsidRPr="00E95F75" w:rsidRDefault="00187002" w:rsidP="00F55E25">
            <w:pPr>
              <w:spacing w:after="0"/>
              <w:rPr>
                <w:rFonts w:ascii="Calibri" w:eastAsia="Times New Roman" w:hAnsi="Calibri" w:cs="Times New Roman"/>
                <w:color w:val="000000"/>
                <w:sz w:val="20"/>
                <w:szCs w:val="20"/>
              </w:rPr>
            </w:pPr>
            <w:r w:rsidRPr="00C07FAE">
              <w:rPr>
                <w:rFonts w:ascii="Calibri" w:eastAsia="Times New Roman" w:hAnsi="Calibri" w:cs="Times New Roman"/>
                <w:color w:val="000000"/>
                <w:sz w:val="20"/>
                <w:szCs w:val="20"/>
              </w:rPr>
              <w:t>Restricted Benefit</w:t>
            </w:r>
            <w:r>
              <w:rPr>
                <w:rFonts w:ascii="Calibri" w:eastAsia="Times New Roman" w:hAnsi="Calibri" w:cs="Times New Roman"/>
                <w:color w:val="000000"/>
                <w:sz w:val="20"/>
                <w:szCs w:val="20"/>
              </w:rPr>
              <w:t xml:space="preserve"> for p</w:t>
            </w:r>
            <w:r w:rsidRPr="00C07FAE">
              <w:rPr>
                <w:rFonts w:ascii="Calibri" w:eastAsia="Times New Roman" w:hAnsi="Calibri" w:cs="Times New Roman"/>
                <w:color w:val="000000"/>
                <w:sz w:val="20"/>
                <w:szCs w:val="20"/>
              </w:rPr>
              <w:t>roctitis</w:t>
            </w:r>
            <w:r>
              <w:rPr>
                <w:rFonts w:ascii="Calibri" w:eastAsia="Times New Roman" w:hAnsi="Calibri" w:cs="Times New Roman"/>
                <w:color w:val="000000"/>
                <w:sz w:val="20"/>
                <w:szCs w:val="20"/>
              </w:rPr>
              <w:t xml:space="preserve"> and u</w:t>
            </w:r>
            <w:r w:rsidRPr="00C07FAE">
              <w:rPr>
                <w:rFonts w:ascii="Calibri" w:eastAsia="Times New Roman" w:hAnsi="Calibri" w:cs="Times New Roman"/>
                <w:color w:val="000000"/>
                <w:sz w:val="20"/>
                <w:szCs w:val="20"/>
              </w:rPr>
              <w:t>lcerative colitis</w:t>
            </w:r>
          </w:p>
        </w:tc>
      </w:tr>
      <w:tr w:rsidR="00187002" w:rsidRPr="00E95F75" w:rsidTr="00F55E25">
        <w:trPr>
          <w:trHeight w:val="315"/>
        </w:trPr>
        <w:tc>
          <w:tcPr>
            <w:tcW w:w="2000" w:type="dxa"/>
            <w:shd w:val="clear" w:color="auto" w:fill="auto"/>
            <w:noWrap/>
            <w:vAlign w:val="center"/>
          </w:tcPr>
          <w:p w:rsidR="00187002" w:rsidRPr="00E95F75" w:rsidRDefault="00187002" w:rsidP="00F55E25">
            <w:pPr>
              <w:spacing w:after="0"/>
              <w:rPr>
                <w:rFonts w:ascii="Calibri" w:eastAsia="Times New Roman" w:hAnsi="Calibri" w:cs="Times New Roman"/>
                <w:color w:val="000000"/>
                <w:sz w:val="20"/>
                <w:szCs w:val="20"/>
              </w:rPr>
            </w:pPr>
            <w:r w:rsidRPr="00E95F75">
              <w:rPr>
                <w:rFonts w:ascii="Calibri" w:eastAsia="Times New Roman" w:hAnsi="Calibri" w:cs="Times New Roman"/>
                <w:color w:val="000000"/>
                <w:sz w:val="20"/>
                <w:szCs w:val="20"/>
              </w:rPr>
              <w:t>BUDESONIDE</w:t>
            </w:r>
          </w:p>
        </w:tc>
        <w:tc>
          <w:tcPr>
            <w:tcW w:w="6946" w:type="dxa"/>
            <w:vAlign w:val="center"/>
          </w:tcPr>
          <w:p w:rsidR="00187002" w:rsidRPr="00E95F75" w:rsidRDefault="00187002" w:rsidP="00F55E25">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Unrestricted listing</w:t>
            </w:r>
          </w:p>
        </w:tc>
      </w:tr>
      <w:tr w:rsidR="00187002" w:rsidRPr="00E95F75" w:rsidTr="00F55E25">
        <w:trPr>
          <w:trHeight w:val="315"/>
        </w:trPr>
        <w:tc>
          <w:tcPr>
            <w:tcW w:w="2000" w:type="dxa"/>
            <w:shd w:val="clear" w:color="auto" w:fill="auto"/>
            <w:noWrap/>
            <w:vAlign w:val="center"/>
            <w:hideMark/>
          </w:tcPr>
          <w:p w:rsidR="00187002" w:rsidRPr="00E95F75" w:rsidRDefault="00187002" w:rsidP="00F55E25">
            <w:pPr>
              <w:spacing w:after="0"/>
              <w:rPr>
                <w:rFonts w:ascii="Calibri" w:eastAsia="Times New Roman" w:hAnsi="Calibri" w:cs="Times New Roman"/>
                <w:color w:val="000000"/>
                <w:sz w:val="20"/>
                <w:szCs w:val="20"/>
              </w:rPr>
            </w:pPr>
            <w:r w:rsidRPr="00E95F75">
              <w:rPr>
                <w:rFonts w:ascii="Calibri" w:eastAsia="Times New Roman" w:hAnsi="Calibri" w:cs="Times New Roman"/>
                <w:color w:val="000000"/>
                <w:sz w:val="20"/>
                <w:szCs w:val="20"/>
              </w:rPr>
              <w:t>PREDNISOLONE SODIUM PHOSPHATE</w:t>
            </w:r>
          </w:p>
        </w:tc>
        <w:tc>
          <w:tcPr>
            <w:tcW w:w="6946" w:type="dxa"/>
            <w:vAlign w:val="center"/>
          </w:tcPr>
          <w:p w:rsidR="00187002" w:rsidRDefault="00187002" w:rsidP="00F55E25">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Enema is unrestricted listing</w:t>
            </w:r>
          </w:p>
          <w:p w:rsidR="00187002" w:rsidRPr="00E95F75" w:rsidRDefault="00187002" w:rsidP="00F55E25">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Suppository is a r</w:t>
            </w:r>
            <w:r w:rsidRPr="00C07FAE">
              <w:rPr>
                <w:rFonts w:ascii="Calibri" w:eastAsia="Times New Roman" w:hAnsi="Calibri" w:cs="Times New Roman"/>
                <w:color w:val="000000"/>
                <w:sz w:val="20"/>
                <w:szCs w:val="20"/>
              </w:rPr>
              <w:t>estricted Benefit</w:t>
            </w:r>
            <w:r>
              <w:rPr>
                <w:rFonts w:ascii="Calibri" w:eastAsia="Times New Roman" w:hAnsi="Calibri" w:cs="Times New Roman"/>
                <w:color w:val="000000"/>
                <w:sz w:val="20"/>
                <w:szCs w:val="20"/>
              </w:rPr>
              <w:t xml:space="preserve"> for p</w:t>
            </w:r>
            <w:r w:rsidRPr="00C07FAE">
              <w:rPr>
                <w:rFonts w:ascii="Calibri" w:eastAsia="Times New Roman" w:hAnsi="Calibri" w:cs="Times New Roman"/>
                <w:color w:val="000000"/>
                <w:sz w:val="20"/>
                <w:szCs w:val="20"/>
              </w:rPr>
              <w:t>roctitis</w:t>
            </w:r>
            <w:r>
              <w:rPr>
                <w:rFonts w:ascii="Calibri" w:eastAsia="Times New Roman" w:hAnsi="Calibri" w:cs="Times New Roman"/>
                <w:color w:val="000000"/>
                <w:sz w:val="20"/>
                <w:szCs w:val="20"/>
              </w:rPr>
              <w:t xml:space="preserve"> and u</w:t>
            </w:r>
            <w:r w:rsidRPr="00C07FAE">
              <w:rPr>
                <w:rFonts w:ascii="Calibri" w:eastAsia="Times New Roman" w:hAnsi="Calibri" w:cs="Times New Roman"/>
                <w:color w:val="000000"/>
                <w:sz w:val="20"/>
                <w:szCs w:val="20"/>
              </w:rPr>
              <w:t>lcerative colitis</w:t>
            </w:r>
          </w:p>
        </w:tc>
      </w:tr>
      <w:tr w:rsidR="00187002" w:rsidRPr="00E95F75" w:rsidTr="00F55E25">
        <w:trPr>
          <w:trHeight w:val="315"/>
        </w:trPr>
        <w:tc>
          <w:tcPr>
            <w:tcW w:w="8946" w:type="dxa"/>
            <w:gridSpan w:val="2"/>
            <w:shd w:val="clear" w:color="auto" w:fill="BFBFBF" w:themeFill="background1" w:themeFillShade="BF"/>
            <w:noWrap/>
            <w:vAlign w:val="center"/>
          </w:tcPr>
          <w:p w:rsidR="00187002" w:rsidRPr="00E95F75" w:rsidRDefault="00187002" w:rsidP="00F55E25">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ORAL </w:t>
            </w:r>
            <w:r>
              <w:rPr>
                <w:sz w:val="20"/>
                <w:szCs w:val="20"/>
              </w:rPr>
              <w:t>CORTICOSTEROID</w:t>
            </w:r>
          </w:p>
        </w:tc>
      </w:tr>
      <w:tr w:rsidR="00187002" w:rsidRPr="00E95F75" w:rsidTr="00F55E25">
        <w:trPr>
          <w:trHeight w:val="315"/>
        </w:trPr>
        <w:tc>
          <w:tcPr>
            <w:tcW w:w="2000" w:type="dxa"/>
            <w:shd w:val="clear" w:color="auto" w:fill="auto"/>
            <w:noWrap/>
            <w:vAlign w:val="center"/>
            <w:hideMark/>
          </w:tcPr>
          <w:p w:rsidR="00187002" w:rsidRPr="00E95F75" w:rsidRDefault="00187002" w:rsidP="00F55E25">
            <w:pPr>
              <w:spacing w:after="0"/>
              <w:rPr>
                <w:rFonts w:ascii="Calibri" w:eastAsia="Times New Roman" w:hAnsi="Calibri" w:cs="Times New Roman"/>
                <w:color w:val="000000"/>
                <w:sz w:val="20"/>
                <w:szCs w:val="20"/>
              </w:rPr>
            </w:pPr>
            <w:r w:rsidRPr="00E95F75">
              <w:rPr>
                <w:rFonts w:ascii="Calibri" w:eastAsia="Times New Roman" w:hAnsi="Calibri" w:cs="Times New Roman"/>
                <w:color w:val="000000"/>
                <w:sz w:val="20"/>
                <w:szCs w:val="20"/>
              </w:rPr>
              <w:t>HYDROCORTISONE</w:t>
            </w:r>
          </w:p>
        </w:tc>
        <w:tc>
          <w:tcPr>
            <w:tcW w:w="6946" w:type="dxa"/>
            <w:vAlign w:val="center"/>
          </w:tcPr>
          <w:p w:rsidR="00187002" w:rsidRPr="00E95F75" w:rsidRDefault="00187002" w:rsidP="00F55E25">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Unrestricted listing</w:t>
            </w:r>
          </w:p>
        </w:tc>
      </w:tr>
      <w:tr w:rsidR="00187002" w:rsidRPr="00E95F75" w:rsidTr="00F55E25">
        <w:trPr>
          <w:trHeight w:val="315"/>
        </w:trPr>
        <w:tc>
          <w:tcPr>
            <w:tcW w:w="2000" w:type="dxa"/>
            <w:shd w:val="clear" w:color="auto" w:fill="auto"/>
            <w:noWrap/>
            <w:vAlign w:val="center"/>
            <w:hideMark/>
          </w:tcPr>
          <w:p w:rsidR="00187002" w:rsidRPr="00E95F75" w:rsidRDefault="00187002" w:rsidP="00F55E25">
            <w:pPr>
              <w:spacing w:after="0"/>
              <w:rPr>
                <w:rFonts w:ascii="Calibri" w:eastAsia="Times New Roman" w:hAnsi="Calibri" w:cs="Times New Roman"/>
                <w:color w:val="000000"/>
                <w:sz w:val="20"/>
                <w:szCs w:val="20"/>
              </w:rPr>
            </w:pPr>
            <w:r w:rsidRPr="00E95F75">
              <w:rPr>
                <w:rFonts w:ascii="Calibri" w:eastAsia="Times New Roman" w:hAnsi="Calibri" w:cs="Times New Roman"/>
                <w:color w:val="000000"/>
                <w:sz w:val="20"/>
                <w:szCs w:val="20"/>
              </w:rPr>
              <w:t>PREDNISOLONE</w:t>
            </w:r>
          </w:p>
        </w:tc>
        <w:tc>
          <w:tcPr>
            <w:tcW w:w="6946" w:type="dxa"/>
            <w:vAlign w:val="center"/>
          </w:tcPr>
          <w:p w:rsidR="00187002" w:rsidRPr="00E95F75" w:rsidRDefault="00187002" w:rsidP="00F55E25">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Unrestricted listing</w:t>
            </w:r>
          </w:p>
        </w:tc>
      </w:tr>
      <w:tr w:rsidR="00187002" w:rsidRPr="00E95F75" w:rsidTr="00F55E25">
        <w:trPr>
          <w:trHeight w:val="315"/>
        </w:trPr>
        <w:tc>
          <w:tcPr>
            <w:tcW w:w="2000" w:type="dxa"/>
            <w:shd w:val="clear" w:color="auto" w:fill="auto"/>
            <w:noWrap/>
            <w:vAlign w:val="center"/>
            <w:hideMark/>
          </w:tcPr>
          <w:p w:rsidR="00187002" w:rsidRPr="00E95F75" w:rsidRDefault="00187002" w:rsidP="00F55E25">
            <w:pPr>
              <w:spacing w:after="0"/>
              <w:rPr>
                <w:rFonts w:ascii="Calibri" w:eastAsia="Times New Roman" w:hAnsi="Calibri" w:cs="Times New Roman"/>
                <w:color w:val="000000"/>
                <w:sz w:val="20"/>
                <w:szCs w:val="20"/>
              </w:rPr>
            </w:pPr>
            <w:r w:rsidRPr="00E95F75">
              <w:rPr>
                <w:rFonts w:ascii="Calibri" w:eastAsia="Times New Roman" w:hAnsi="Calibri" w:cs="Times New Roman"/>
                <w:color w:val="000000"/>
                <w:sz w:val="20"/>
                <w:szCs w:val="20"/>
              </w:rPr>
              <w:t>PREDNISOLONE SODIUM PHOSPHATE</w:t>
            </w:r>
          </w:p>
        </w:tc>
        <w:tc>
          <w:tcPr>
            <w:tcW w:w="6946" w:type="dxa"/>
            <w:vAlign w:val="center"/>
          </w:tcPr>
          <w:p w:rsidR="00187002" w:rsidRPr="00E95F75" w:rsidRDefault="00187002" w:rsidP="00F55E25">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Unrestricted listing (oral liquid)</w:t>
            </w:r>
          </w:p>
        </w:tc>
      </w:tr>
      <w:tr w:rsidR="00187002" w:rsidRPr="00E95F75" w:rsidTr="00F55E25">
        <w:trPr>
          <w:trHeight w:val="315"/>
        </w:trPr>
        <w:tc>
          <w:tcPr>
            <w:tcW w:w="2000" w:type="dxa"/>
            <w:shd w:val="clear" w:color="auto" w:fill="auto"/>
            <w:noWrap/>
            <w:vAlign w:val="center"/>
            <w:hideMark/>
          </w:tcPr>
          <w:p w:rsidR="00187002" w:rsidRPr="00E95F75" w:rsidRDefault="00187002" w:rsidP="00F55E25">
            <w:pPr>
              <w:spacing w:after="0"/>
              <w:rPr>
                <w:rFonts w:ascii="Calibri" w:eastAsia="Times New Roman" w:hAnsi="Calibri" w:cs="Times New Roman"/>
                <w:color w:val="000000"/>
                <w:sz w:val="20"/>
                <w:szCs w:val="20"/>
              </w:rPr>
            </w:pPr>
            <w:r w:rsidRPr="00E95F75">
              <w:rPr>
                <w:rFonts w:ascii="Calibri" w:eastAsia="Times New Roman" w:hAnsi="Calibri" w:cs="Times New Roman"/>
                <w:color w:val="000000"/>
                <w:sz w:val="20"/>
                <w:szCs w:val="20"/>
              </w:rPr>
              <w:t>PREDNISONE</w:t>
            </w:r>
          </w:p>
        </w:tc>
        <w:tc>
          <w:tcPr>
            <w:tcW w:w="6946" w:type="dxa"/>
            <w:vAlign w:val="center"/>
          </w:tcPr>
          <w:p w:rsidR="00187002" w:rsidRPr="00E95F75" w:rsidRDefault="00187002" w:rsidP="00F55E25">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Unrestricted listing</w:t>
            </w:r>
          </w:p>
        </w:tc>
      </w:tr>
      <w:tr w:rsidR="00187002" w:rsidRPr="00E95F75" w:rsidTr="00F55E25">
        <w:trPr>
          <w:trHeight w:val="315"/>
        </w:trPr>
        <w:tc>
          <w:tcPr>
            <w:tcW w:w="8946" w:type="dxa"/>
            <w:gridSpan w:val="2"/>
            <w:shd w:val="clear" w:color="auto" w:fill="BFBFBF" w:themeFill="background1" w:themeFillShade="BF"/>
            <w:noWrap/>
            <w:vAlign w:val="center"/>
          </w:tcPr>
          <w:p w:rsidR="00187002" w:rsidRPr="00E95F75" w:rsidRDefault="00187002" w:rsidP="00F55E25">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INJECTABLE CORTICOSTEROID</w:t>
            </w:r>
          </w:p>
        </w:tc>
      </w:tr>
      <w:tr w:rsidR="00187002" w:rsidRPr="00E95F75" w:rsidTr="00F55E25">
        <w:trPr>
          <w:trHeight w:val="315"/>
        </w:trPr>
        <w:tc>
          <w:tcPr>
            <w:tcW w:w="2000" w:type="dxa"/>
            <w:shd w:val="clear" w:color="auto" w:fill="FFFFFF" w:themeFill="background1"/>
            <w:noWrap/>
            <w:vAlign w:val="center"/>
          </w:tcPr>
          <w:p w:rsidR="00187002" w:rsidRPr="00E95F75" w:rsidRDefault="00187002" w:rsidP="00F55E25">
            <w:pPr>
              <w:spacing w:after="0"/>
              <w:rPr>
                <w:rFonts w:ascii="Calibri" w:eastAsia="Times New Roman" w:hAnsi="Calibri" w:cs="Times New Roman"/>
                <w:color w:val="000000"/>
                <w:sz w:val="20"/>
                <w:szCs w:val="20"/>
              </w:rPr>
            </w:pPr>
            <w:r w:rsidRPr="00C07FAE">
              <w:rPr>
                <w:rFonts w:ascii="Calibri" w:eastAsia="Times New Roman" w:hAnsi="Calibri" w:cs="Times New Roman"/>
                <w:color w:val="000000"/>
                <w:sz w:val="20"/>
                <w:szCs w:val="20"/>
              </w:rPr>
              <w:t>HYDROCORTISONE SODIUM SUCCINATE</w:t>
            </w:r>
          </w:p>
        </w:tc>
        <w:tc>
          <w:tcPr>
            <w:tcW w:w="6946" w:type="dxa"/>
            <w:shd w:val="clear" w:color="auto" w:fill="FFFFFF" w:themeFill="background1"/>
            <w:vAlign w:val="center"/>
          </w:tcPr>
          <w:p w:rsidR="00187002" w:rsidRPr="00E95F75" w:rsidRDefault="00187002" w:rsidP="00F55E25">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Unrestricted listing</w:t>
            </w:r>
          </w:p>
        </w:tc>
      </w:tr>
      <w:tr w:rsidR="00187002" w:rsidRPr="00E95F75" w:rsidTr="00F55E25">
        <w:trPr>
          <w:trHeight w:val="315"/>
        </w:trPr>
        <w:tc>
          <w:tcPr>
            <w:tcW w:w="8946" w:type="dxa"/>
            <w:gridSpan w:val="2"/>
            <w:shd w:val="clear" w:color="auto" w:fill="BFBFBF" w:themeFill="background1" w:themeFillShade="BF"/>
            <w:noWrap/>
            <w:vAlign w:val="center"/>
          </w:tcPr>
          <w:p w:rsidR="00187002" w:rsidRPr="00E95F75" w:rsidRDefault="00187002" w:rsidP="00F55E25">
            <w:pPr>
              <w:spacing w:after="0"/>
              <w:rPr>
                <w:rFonts w:ascii="Calibri" w:eastAsia="Times New Roman" w:hAnsi="Calibri" w:cs="Times New Roman"/>
                <w:color w:val="000000"/>
                <w:sz w:val="20"/>
                <w:szCs w:val="20"/>
              </w:rPr>
            </w:pPr>
            <w:r w:rsidRPr="00E95F75">
              <w:rPr>
                <w:rFonts w:ascii="Calibri" w:eastAsia="Times New Roman" w:hAnsi="Calibri" w:cs="Times New Roman"/>
                <w:color w:val="000000"/>
                <w:sz w:val="20"/>
                <w:szCs w:val="20"/>
              </w:rPr>
              <w:t>IMMUNOMODULATORY MEDICINE</w:t>
            </w:r>
          </w:p>
        </w:tc>
      </w:tr>
      <w:tr w:rsidR="00187002" w:rsidRPr="00E95F75" w:rsidTr="00F55E25">
        <w:trPr>
          <w:trHeight w:val="315"/>
        </w:trPr>
        <w:tc>
          <w:tcPr>
            <w:tcW w:w="2000" w:type="dxa"/>
            <w:shd w:val="clear" w:color="auto" w:fill="auto"/>
            <w:noWrap/>
            <w:vAlign w:val="center"/>
            <w:hideMark/>
          </w:tcPr>
          <w:p w:rsidR="00187002" w:rsidRPr="00E95F75" w:rsidRDefault="00187002" w:rsidP="00F55E25">
            <w:pPr>
              <w:spacing w:after="0"/>
              <w:rPr>
                <w:rFonts w:ascii="Calibri" w:eastAsia="Times New Roman" w:hAnsi="Calibri" w:cs="Times New Roman"/>
                <w:color w:val="000000"/>
                <w:sz w:val="20"/>
                <w:szCs w:val="20"/>
              </w:rPr>
            </w:pPr>
            <w:r w:rsidRPr="00E95F75">
              <w:rPr>
                <w:rFonts w:ascii="Calibri" w:eastAsia="Times New Roman" w:hAnsi="Calibri" w:cs="Times New Roman"/>
                <w:color w:val="000000"/>
                <w:sz w:val="20"/>
                <w:szCs w:val="20"/>
              </w:rPr>
              <w:t>AZATHIOPRINE</w:t>
            </w:r>
          </w:p>
        </w:tc>
        <w:tc>
          <w:tcPr>
            <w:tcW w:w="6946" w:type="dxa"/>
            <w:vAlign w:val="center"/>
          </w:tcPr>
          <w:p w:rsidR="00187002" w:rsidRPr="00E95F75" w:rsidRDefault="00187002" w:rsidP="00F55E25">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Unrestricted listing</w:t>
            </w:r>
          </w:p>
        </w:tc>
      </w:tr>
      <w:tr w:rsidR="00187002" w:rsidRPr="00E95F75" w:rsidTr="00F55E25">
        <w:trPr>
          <w:trHeight w:val="315"/>
        </w:trPr>
        <w:tc>
          <w:tcPr>
            <w:tcW w:w="2000" w:type="dxa"/>
            <w:shd w:val="clear" w:color="auto" w:fill="auto"/>
            <w:noWrap/>
            <w:vAlign w:val="center"/>
            <w:hideMark/>
          </w:tcPr>
          <w:p w:rsidR="00187002" w:rsidRPr="00E95F75" w:rsidRDefault="00187002" w:rsidP="00F55E25">
            <w:pPr>
              <w:spacing w:after="0"/>
              <w:rPr>
                <w:rFonts w:ascii="Calibri" w:eastAsia="Times New Roman" w:hAnsi="Calibri" w:cs="Times New Roman"/>
                <w:color w:val="000000"/>
                <w:sz w:val="20"/>
                <w:szCs w:val="20"/>
              </w:rPr>
            </w:pPr>
            <w:r w:rsidRPr="00E95F75">
              <w:rPr>
                <w:rFonts w:ascii="Calibri" w:eastAsia="Times New Roman" w:hAnsi="Calibri" w:cs="Times New Roman"/>
                <w:color w:val="000000"/>
                <w:sz w:val="20"/>
                <w:szCs w:val="20"/>
              </w:rPr>
              <w:t>MERCAPTOPURINE</w:t>
            </w:r>
          </w:p>
        </w:tc>
        <w:tc>
          <w:tcPr>
            <w:tcW w:w="6946" w:type="dxa"/>
            <w:vAlign w:val="center"/>
          </w:tcPr>
          <w:p w:rsidR="00187002" w:rsidRPr="00E95F75" w:rsidRDefault="00187002" w:rsidP="00F55E25">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Unrestricted listing</w:t>
            </w:r>
          </w:p>
        </w:tc>
      </w:tr>
      <w:tr w:rsidR="00187002" w:rsidRPr="00E95F75" w:rsidTr="00F55E25">
        <w:trPr>
          <w:trHeight w:val="315"/>
        </w:trPr>
        <w:tc>
          <w:tcPr>
            <w:tcW w:w="2000" w:type="dxa"/>
            <w:shd w:val="clear" w:color="auto" w:fill="auto"/>
            <w:noWrap/>
            <w:vAlign w:val="center"/>
            <w:hideMark/>
          </w:tcPr>
          <w:p w:rsidR="00187002" w:rsidRPr="00E95F75" w:rsidRDefault="00187002" w:rsidP="00F55E25">
            <w:pPr>
              <w:spacing w:after="0"/>
              <w:rPr>
                <w:rFonts w:ascii="Calibri" w:eastAsia="Times New Roman" w:hAnsi="Calibri" w:cs="Times New Roman"/>
                <w:color w:val="000000"/>
                <w:sz w:val="20"/>
                <w:szCs w:val="20"/>
              </w:rPr>
            </w:pPr>
            <w:r w:rsidRPr="00E95F75">
              <w:rPr>
                <w:rFonts w:ascii="Calibri" w:eastAsia="Times New Roman" w:hAnsi="Calibri" w:cs="Times New Roman"/>
                <w:color w:val="000000"/>
                <w:sz w:val="20"/>
                <w:szCs w:val="20"/>
              </w:rPr>
              <w:t>METHOTREXATE</w:t>
            </w:r>
          </w:p>
        </w:tc>
        <w:tc>
          <w:tcPr>
            <w:tcW w:w="6946" w:type="dxa"/>
            <w:vAlign w:val="center"/>
          </w:tcPr>
          <w:p w:rsidR="00187002" w:rsidRPr="00E95F75" w:rsidRDefault="00187002" w:rsidP="00F55E25">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Unrestricted listing</w:t>
            </w:r>
          </w:p>
        </w:tc>
      </w:tr>
      <w:tr w:rsidR="00187002" w:rsidRPr="00E95F75" w:rsidTr="00F55E25">
        <w:trPr>
          <w:trHeight w:val="315"/>
        </w:trPr>
        <w:tc>
          <w:tcPr>
            <w:tcW w:w="2000" w:type="dxa"/>
            <w:shd w:val="clear" w:color="auto" w:fill="auto"/>
            <w:noWrap/>
            <w:vAlign w:val="center"/>
            <w:hideMark/>
          </w:tcPr>
          <w:p w:rsidR="00187002" w:rsidRPr="00E95F75" w:rsidRDefault="00187002" w:rsidP="00F55E25">
            <w:pPr>
              <w:spacing w:after="0"/>
              <w:rPr>
                <w:rFonts w:ascii="Calibri" w:eastAsia="Times New Roman" w:hAnsi="Calibri" w:cs="Times New Roman"/>
                <w:color w:val="000000"/>
                <w:sz w:val="20"/>
                <w:szCs w:val="20"/>
              </w:rPr>
            </w:pPr>
            <w:r w:rsidRPr="00E95F75">
              <w:rPr>
                <w:rFonts w:ascii="Calibri" w:eastAsia="Times New Roman" w:hAnsi="Calibri" w:cs="Times New Roman"/>
                <w:color w:val="000000"/>
                <w:sz w:val="20"/>
                <w:szCs w:val="20"/>
              </w:rPr>
              <w:t>INFLIXIMAB</w:t>
            </w:r>
          </w:p>
        </w:tc>
        <w:tc>
          <w:tcPr>
            <w:tcW w:w="6946" w:type="dxa"/>
            <w:vAlign w:val="center"/>
          </w:tcPr>
          <w:p w:rsidR="00187002" w:rsidRDefault="00187002" w:rsidP="00F55E25">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Acute severe:</w:t>
            </w:r>
          </w:p>
          <w:p w:rsidR="00187002" w:rsidRPr="00E95F75" w:rsidRDefault="00187002" w:rsidP="00F55E25">
            <w:pPr>
              <w:spacing w:after="0"/>
              <w:rPr>
                <w:rFonts w:ascii="Calibri" w:eastAsia="Times New Roman" w:hAnsi="Calibri" w:cs="Times New Roman"/>
                <w:color w:val="000000"/>
                <w:sz w:val="20"/>
                <w:szCs w:val="20"/>
              </w:rPr>
            </w:pPr>
            <w:r w:rsidRPr="00CC072B">
              <w:rPr>
                <w:rFonts w:ascii="Calibri" w:eastAsia="Times New Roman" w:hAnsi="Calibri" w:cs="Times New Roman"/>
                <w:color w:val="000000"/>
                <w:sz w:val="20"/>
                <w:szCs w:val="20"/>
              </w:rPr>
              <w:t>Authority Required (STREAMLINED)</w:t>
            </w:r>
            <w:r>
              <w:rPr>
                <w:rFonts w:ascii="Calibri" w:eastAsia="Times New Roman" w:hAnsi="Calibri" w:cs="Times New Roman"/>
                <w:color w:val="000000"/>
                <w:sz w:val="20"/>
                <w:szCs w:val="20"/>
              </w:rPr>
              <w:t xml:space="preserve"> for patients who have failed</w:t>
            </w:r>
            <w:r>
              <w:t xml:space="preserve"> </w:t>
            </w:r>
            <w:r w:rsidRPr="00CC072B">
              <w:rPr>
                <w:rFonts w:ascii="Calibri" w:eastAsia="Times New Roman" w:hAnsi="Calibri" w:cs="Times New Roman"/>
                <w:color w:val="000000"/>
                <w:sz w:val="20"/>
                <w:szCs w:val="20"/>
              </w:rPr>
              <w:t>to achieve an adequate response to at least 72 hours treatment with intravenous corticosteroids</w:t>
            </w:r>
          </w:p>
        </w:tc>
      </w:tr>
      <w:tr w:rsidR="007032DB" w:rsidRPr="00E95F75" w:rsidTr="00F55E25">
        <w:trPr>
          <w:trHeight w:val="315"/>
        </w:trPr>
        <w:tc>
          <w:tcPr>
            <w:tcW w:w="2000" w:type="dxa"/>
            <w:shd w:val="clear" w:color="auto" w:fill="auto"/>
            <w:noWrap/>
            <w:vAlign w:val="center"/>
          </w:tcPr>
          <w:p w:rsidR="007032DB" w:rsidRPr="00E95F75" w:rsidRDefault="007032DB" w:rsidP="00F55E25">
            <w:pPr>
              <w:spacing w:after="0"/>
              <w:rPr>
                <w:rFonts w:ascii="Calibri" w:eastAsia="Times New Roman" w:hAnsi="Calibri" w:cs="Times New Roman"/>
                <w:color w:val="000000"/>
                <w:sz w:val="20"/>
                <w:szCs w:val="20"/>
              </w:rPr>
            </w:pPr>
            <w:r w:rsidRPr="00E95F75">
              <w:rPr>
                <w:rFonts w:ascii="Calibri" w:eastAsia="Times New Roman" w:hAnsi="Calibri" w:cs="Times New Roman"/>
                <w:color w:val="000000"/>
                <w:sz w:val="20"/>
                <w:szCs w:val="20"/>
              </w:rPr>
              <w:t>INFLIXIMAB</w:t>
            </w:r>
            <w:r>
              <w:rPr>
                <w:rFonts w:ascii="Calibri" w:eastAsia="Times New Roman" w:hAnsi="Calibri" w:cs="Times New Roman"/>
                <w:color w:val="000000"/>
                <w:sz w:val="20"/>
                <w:szCs w:val="20"/>
              </w:rPr>
              <w:t>,</w:t>
            </w:r>
          </w:p>
          <w:p w:rsidR="007032DB" w:rsidRPr="00E95F75" w:rsidRDefault="007032DB" w:rsidP="00F55E25">
            <w:pPr>
              <w:spacing w:after="0"/>
              <w:rPr>
                <w:rFonts w:ascii="Calibri" w:eastAsia="Times New Roman" w:hAnsi="Calibri" w:cs="Times New Roman"/>
                <w:color w:val="000000"/>
                <w:sz w:val="20"/>
                <w:szCs w:val="20"/>
              </w:rPr>
            </w:pPr>
            <w:r w:rsidRPr="00E95F75">
              <w:rPr>
                <w:rFonts w:ascii="Calibri" w:eastAsia="Times New Roman" w:hAnsi="Calibri" w:cs="Times New Roman"/>
                <w:color w:val="000000"/>
                <w:sz w:val="20"/>
                <w:szCs w:val="20"/>
              </w:rPr>
              <w:t>VEDOLIZUMAB</w:t>
            </w:r>
            <w:r>
              <w:rPr>
                <w:rFonts w:ascii="Calibri" w:eastAsia="Times New Roman" w:hAnsi="Calibri" w:cs="Times New Roman"/>
                <w:color w:val="000000"/>
                <w:sz w:val="20"/>
                <w:szCs w:val="20"/>
              </w:rPr>
              <w:t>,</w:t>
            </w:r>
          </w:p>
          <w:p w:rsidR="007032DB" w:rsidRPr="00E95F75" w:rsidRDefault="007032DB" w:rsidP="00F55E25">
            <w:pPr>
              <w:spacing w:after="0"/>
              <w:rPr>
                <w:rFonts w:ascii="Calibri" w:eastAsia="Times New Roman" w:hAnsi="Calibri" w:cs="Times New Roman"/>
                <w:color w:val="000000"/>
                <w:sz w:val="20"/>
                <w:szCs w:val="20"/>
              </w:rPr>
            </w:pPr>
            <w:r w:rsidRPr="00E95F75">
              <w:rPr>
                <w:rFonts w:ascii="Calibri" w:eastAsia="Times New Roman" w:hAnsi="Calibri" w:cs="Times New Roman"/>
                <w:color w:val="000000"/>
                <w:sz w:val="20"/>
                <w:szCs w:val="20"/>
              </w:rPr>
              <w:t>ADALIMUMAB</w:t>
            </w:r>
          </w:p>
        </w:tc>
        <w:tc>
          <w:tcPr>
            <w:tcW w:w="6946" w:type="dxa"/>
            <w:vAlign w:val="center"/>
          </w:tcPr>
          <w:p w:rsidR="007032DB" w:rsidRDefault="007032DB" w:rsidP="00F55E25">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Moderate to severe:</w:t>
            </w:r>
          </w:p>
          <w:p w:rsidR="007032DB" w:rsidRPr="00E95F75" w:rsidRDefault="007032DB" w:rsidP="00F55E25">
            <w:pPr>
              <w:spacing w:after="0"/>
              <w:rPr>
                <w:rFonts w:ascii="Calibri" w:eastAsia="Times New Roman" w:hAnsi="Calibri" w:cs="Times New Roman"/>
                <w:color w:val="000000"/>
                <w:sz w:val="20"/>
                <w:szCs w:val="20"/>
              </w:rPr>
            </w:pPr>
            <w:r w:rsidRPr="00CC072B">
              <w:rPr>
                <w:rFonts w:ascii="Calibri" w:eastAsia="Times New Roman" w:hAnsi="Calibri" w:cs="Times New Roman"/>
                <w:color w:val="000000"/>
                <w:sz w:val="20"/>
                <w:szCs w:val="20"/>
              </w:rPr>
              <w:t>Authority Required</w:t>
            </w:r>
            <w:r>
              <w:rPr>
                <w:rFonts w:ascii="Calibri" w:eastAsia="Times New Roman" w:hAnsi="Calibri" w:cs="Times New Roman"/>
                <w:color w:val="000000"/>
                <w:sz w:val="20"/>
                <w:szCs w:val="20"/>
              </w:rPr>
              <w:t xml:space="preserve"> listing for patients who have </w:t>
            </w:r>
            <w:r w:rsidRPr="00CC072B">
              <w:rPr>
                <w:rFonts w:ascii="Calibri" w:eastAsia="Times New Roman" w:hAnsi="Calibri" w:cs="Times New Roman"/>
                <w:color w:val="000000"/>
                <w:sz w:val="20"/>
                <w:szCs w:val="20"/>
              </w:rPr>
              <w:t>failed treatment with a 5-aminosalicylate oral preparation, and failed to achieve an adequate response to either azathioprine, mercaptopurine or a tapered course of oral steroids.</w:t>
            </w:r>
          </w:p>
        </w:tc>
      </w:tr>
    </w:tbl>
    <w:p w:rsidR="00187002" w:rsidRDefault="00187002" w:rsidP="00187002">
      <w:pPr>
        <w:spacing w:after="0"/>
      </w:pPr>
    </w:p>
    <w:p w:rsidR="00187002" w:rsidRDefault="00187002" w:rsidP="00187002">
      <w:pPr>
        <w:spacing w:after="0"/>
      </w:pPr>
      <w:r w:rsidRPr="00FA0B58">
        <w:t xml:space="preserve">The </w:t>
      </w:r>
      <w:r w:rsidR="009E168A">
        <w:t>biologic</w:t>
      </w:r>
      <w:r w:rsidRPr="00FA0B58">
        <w:t xml:space="preserve">s included in this review have complex restrictions, abridged versions are presented here by indication. </w:t>
      </w:r>
    </w:p>
    <w:p w:rsidR="00187002" w:rsidRDefault="00187002" w:rsidP="00187002">
      <w:pPr>
        <w:spacing w:after="0"/>
      </w:pPr>
    </w:p>
    <w:p w:rsidR="00187002" w:rsidRDefault="00187002" w:rsidP="00187002">
      <w:r w:rsidRPr="00FA0B58">
        <w:t xml:space="preserve">For full details of the current restrictions refer to the </w:t>
      </w:r>
      <w:r w:rsidRPr="00470C46">
        <w:t>PBS website</w:t>
      </w:r>
      <w:r>
        <w:rPr>
          <w:rStyle w:val="Hyperlink"/>
        </w:rPr>
        <w:t>.</w:t>
      </w:r>
    </w:p>
    <w:p w:rsidR="006441BC" w:rsidRDefault="006441BC">
      <w:pPr>
        <w:spacing w:line="276" w:lineRule="auto"/>
        <w:rPr>
          <w:u w:val="single"/>
        </w:rPr>
      </w:pPr>
      <w:r>
        <w:rPr>
          <w:u w:val="single"/>
        </w:rPr>
        <w:br w:type="page"/>
      </w:r>
    </w:p>
    <w:p w:rsidR="00187002" w:rsidRPr="0083431A" w:rsidRDefault="00187002" w:rsidP="00187002">
      <w:pPr>
        <w:rPr>
          <w:u w:val="single"/>
        </w:rPr>
      </w:pPr>
      <w:r w:rsidRPr="0083431A">
        <w:rPr>
          <w:u w:val="single"/>
        </w:rPr>
        <w:lastRenderedPageBreak/>
        <w:t>Acute severe ulcerative colitis</w:t>
      </w:r>
    </w:p>
    <w:p w:rsidR="00187002" w:rsidRDefault="00187002" w:rsidP="00187002">
      <w:pPr>
        <w:spacing w:after="0"/>
      </w:pPr>
      <w:r>
        <w:t xml:space="preserve">Patients must be 6 </w:t>
      </w:r>
      <w:r w:rsidRPr="00FA0B58">
        <w:t>years or older who meet the following criteria:</w:t>
      </w:r>
    </w:p>
    <w:p w:rsidR="00187002" w:rsidRPr="00FA0B58" w:rsidRDefault="00187002" w:rsidP="00187002">
      <w:pPr>
        <w:pStyle w:val="ListParagraph"/>
        <w:numPr>
          <w:ilvl w:val="0"/>
          <w:numId w:val="7"/>
        </w:numPr>
        <w:spacing w:after="0"/>
      </w:pPr>
      <w:r w:rsidRPr="00FA0B58">
        <w:t xml:space="preserve">Must have a diagnosis of </w:t>
      </w:r>
      <w:r>
        <w:t xml:space="preserve">acute </w:t>
      </w:r>
      <w:r w:rsidRPr="00FA0B58">
        <w:t xml:space="preserve">severe </w:t>
      </w:r>
      <w:r w:rsidR="006441BC">
        <w:t>UC</w:t>
      </w:r>
      <w:r w:rsidRPr="00FA0B58">
        <w:t xml:space="preserve"> diagnosed by a gastroenterologist or a consultant physician (either internal or general medicine specialising in gastroenterology); and</w:t>
      </w:r>
    </w:p>
    <w:p w:rsidR="00187002" w:rsidRDefault="00187002" w:rsidP="00187002">
      <w:pPr>
        <w:pStyle w:val="ListParagraph"/>
        <w:numPr>
          <w:ilvl w:val="0"/>
          <w:numId w:val="7"/>
        </w:numPr>
        <w:spacing w:after="0"/>
      </w:pPr>
      <w:r w:rsidRPr="00F0082F">
        <w:t>must have failed to achieve an adequate response to at least 72 hours treatment with intravenous corticos</w:t>
      </w:r>
      <w:r>
        <w:t xml:space="preserve">teroids prior to initiation of </w:t>
      </w:r>
      <w:r w:rsidR="009E168A">
        <w:t>biologic</w:t>
      </w:r>
      <w:r w:rsidRPr="00F0082F">
        <w:t xml:space="preserve"> treatment in hospital</w:t>
      </w:r>
      <w:r>
        <w:t>; and</w:t>
      </w:r>
    </w:p>
    <w:p w:rsidR="00187002" w:rsidRPr="00417D44" w:rsidRDefault="00187002" w:rsidP="00187002">
      <w:pPr>
        <w:pStyle w:val="ListParagraph"/>
        <w:numPr>
          <w:ilvl w:val="0"/>
          <w:numId w:val="7"/>
        </w:numPr>
        <w:spacing w:after="0"/>
      </w:pPr>
      <w:r w:rsidRPr="00417D44">
        <w:t>adults aged 18 years or older must demonstrate a failure to achieve an adequate response to intravenous corticosteroid treatment is defined by the Oxford criteria; or</w:t>
      </w:r>
    </w:p>
    <w:p w:rsidR="00187002" w:rsidRPr="00D46C8D" w:rsidRDefault="00187002" w:rsidP="00187002">
      <w:pPr>
        <w:pStyle w:val="ListParagraph"/>
        <w:numPr>
          <w:ilvl w:val="0"/>
          <w:numId w:val="7"/>
        </w:numPr>
        <w:spacing w:after="0"/>
      </w:pPr>
      <w:r w:rsidRPr="00417D44">
        <w:t>for children aged 6 to 17 years, failure to achieve an adequate response to intravenous corticosteroids defined as a PUCAI score greater than 45 at 72 hours.</w:t>
      </w:r>
    </w:p>
    <w:p w:rsidR="00187002" w:rsidRDefault="00187002" w:rsidP="00187002">
      <w:pPr>
        <w:spacing w:after="0"/>
      </w:pPr>
    </w:p>
    <w:p w:rsidR="00187002" w:rsidRDefault="00187002" w:rsidP="00187002">
      <w:pPr>
        <w:spacing w:after="0"/>
      </w:pPr>
      <w:r w:rsidRPr="0007398C">
        <w:t>Prescribers should request the appropriate number of vials, based on the weight of the patient, to provide sufficient for a single infusion at a dose of 5 mg per kg.</w:t>
      </w:r>
    </w:p>
    <w:p w:rsidR="00187002" w:rsidRDefault="00187002" w:rsidP="00187002">
      <w:pPr>
        <w:spacing w:after="0"/>
      </w:pPr>
    </w:p>
    <w:p w:rsidR="00187002" w:rsidRPr="0083431A" w:rsidRDefault="00187002" w:rsidP="00187002">
      <w:pPr>
        <w:rPr>
          <w:u w:val="single"/>
        </w:rPr>
      </w:pPr>
      <w:r w:rsidRPr="0083431A">
        <w:rPr>
          <w:u w:val="single"/>
        </w:rPr>
        <w:t>Moderate to severe ulcerative colitis</w:t>
      </w:r>
    </w:p>
    <w:p w:rsidR="00187002" w:rsidRPr="00FA0B58" w:rsidRDefault="00187002" w:rsidP="00187002">
      <w:pPr>
        <w:spacing w:after="0"/>
      </w:pPr>
      <w:r w:rsidRPr="00FA0B58">
        <w:t>For initial treatment, patients must be 18 years or older who meet the following criteria:</w:t>
      </w:r>
    </w:p>
    <w:p w:rsidR="00187002" w:rsidRPr="00FA0B58" w:rsidRDefault="00187002" w:rsidP="00187002">
      <w:pPr>
        <w:pStyle w:val="ListParagraph"/>
        <w:numPr>
          <w:ilvl w:val="0"/>
          <w:numId w:val="8"/>
        </w:numPr>
        <w:spacing w:after="0"/>
      </w:pPr>
      <w:r w:rsidRPr="00FA0B58">
        <w:t xml:space="preserve">Must have a diagnosis of moderate to severe </w:t>
      </w:r>
      <w:r w:rsidR="006441BC">
        <w:t>UC</w:t>
      </w:r>
      <w:r w:rsidRPr="00FA0B58">
        <w:t xml:space="preserve"> diagnosed by a gastroenterologist or a consultant physician (either internal or general medicine specialising in gastroenterology); and</w:t>
      </w:r>
    </w:p>
    <w:p w:rsidR="00187002" w:rsidRPr="00FA0B58" w:rsidRDefault="00187002" w:rsidP="00187002">
      <w:pPr>
        <w:pStyle w:val="ListParagraph"/>
        <w:numPr>
          <w:ilvl w:val="0"/>
          <w:numId w:val="8"/>
        </w:numPr>
        <w:spacing w:after="0"/>
      </w:pPr>
      <w:r w:rsidRPr="00FA0B58">
        <w:t>Must have either failed a prior course or be intolerant to azathioprine or 6-mercaptopurine; or</w:t>
      </w:r>
    </w:p>
    <w:p w:rsidR="00187002" w:rsidRPr="00FA0B58" w:rsidRDefault="00187002" w:rsidP="00187002">
      <w:pPr>
        <w:pStyle w:val="ListParagraph"/>
        <w:numPr>
          <w:ilvl w:val="0"/>
          <w:numId w:val="8"/>
        </w:numPr>
        <w:spacing w:after="0"/>
      </w:pPr>
      <w:r w:rsidRPr="00FA0B58">
        <w:t>Must have failed a prior course or be intolerant to oral corticosteroids; and</w:t>
      </w:r>
    </w:p>
    <w:p w:rsidR="00187002" w:rsidRPr="00D46C8D" w:rsidRDefault="00187002" w:rsidP="00187002">
      <w:pPr>
        <w:pStyle w:val="ListParagraph"/>
        <w:numPr>
          <w:ilvl w:val="0"/>
          <w:numId w:val="8"/>
        </w:numPr>
        <w:spacing w:after="0"/>
      </w:pPr>
      <w:r w:rsidRPr="00FA0B58">
        <w:t>a Mayo clinic score greater than or equal to 6 if an adult patient; or</w:t>
      </w:r>
    </w:p>
    <w:p w:rsidR="00187002" w:rsidRDefault="00187002" w:rsidP="00187002">
      <w:pPr>
        <w:pStyle w:val="ListParagraph"/>
        <w:numPr>
          <w:ilvl w:val="0"/>
          <w:numId w:val="8"/>
        </w:numPr>
        <w:spacing w:after="0"/>
      </w:pPr>
      <w:r>
        <w:t>a p</w:t>
      </w:r>
      <w:r w:rsidRPr="00B7796A">
        <w:t>atient must have a Paediatric Ulcerative Colitis Activity Index (PUCAI) Score greater than or equal to 30 if aged 6 to 17 years;</w:t>
      </w:r>
    </w:p>
    <w:p w:rsidR="00187002" w:rsidRPr="00FA0B58" w:rsidRDefault="00187002" w:rsidP="00187002">
      <w:pPr>
        <w:pStyle w:val="ListParagraph"/>
        <w:numPr>
          <w:ilvl w:val="0"/>
          <w:numId w:val="8"/>
        </w:numPr>
        <w:spacing w:after="0"/>
      </w:pPr>
      <w:r w:rsidRPr="00FA0B58">
        <w:t>a partial Mayo clinic score greater than or equal to 6, provided the rectal bleeding and stool frequency subscores are both greater than or equal to 2.</w:t>
      </w:r>
    </w:p>
    <w:p w:rsidR="00187002" w:rsidRDefault="00187002" w:rsidP="00187002">
      <w:pPr>
        <w:spacing w:after="0"/>
      </w:pPr>
    </w:p>
    <w:p w:rsidR="00187002" w:rsidRDefault="00187002" w:rsidP="00187002">
      <w:pPr>
        <w:spacing w:after="0"/>
      </w:pPr>
      <w:r w:rsidRPr="005E47E2">
        <w:t>For infliximab, a maximum quantity and number of repeats to provide for an initial course of this drug consisting of 3 doses at 5 mg per kg body weight per dose to be administered at weeks 0, 2 and 6, or to be administered at 8-weekly intervals for patients who have received prior treatment for an acute severe episode, will be authorised.</w:t>
      </w:r>
    </w:p>
    <w:p w:rsidR="00187002" w:rsidRDefault="00187002" w:rsidP="00187002">
      <w:pPr>
        <w:spacing w:after="0"/>
      </w:pPr>
    </w:p>
    <w:p w:rsidR="00187002" w:rsidRDefault="00187002" w:rsidP="00187002">
      <w:r w:rsidRPr="00AD46CF">
        <w:t>For vedolizumab, a maximum quantity and number of repeats to provide for an initial course of this drug consisting of one vial of 300 mg per dose, with one dose to be administered at weeks 0, 2 and 6, will be authorised.</w:t>
      </w:r>
    </w:p>
    <w:p w:rsidR="00187002" w:rsidRPr="007D7605" w:rsidRDefault="00187002" w:rsidP="00187002">
      <w:r w:rsidRPr="007D7605">
        <w:t>For adult patients, to receive continuing treatment a p</w:t>
      </w:r>
      <w:r w:rsidRPr="00FA0B58">
        <w:t>atient must have demonstrated or sustained an adequate response to treatment by having a partial Mayo clinic score less than or equal to 2, with no subscore greater than 1</w:t>
      </w:r>
      <w:r w:rsidRPr="007D7605">
        <w:t xml:space="preserve">. </w:t>
      </w:r>
      <w:r>
        <w:t>Paediatric patients aged 6 to 17 years</w:t>
      </w:r>
      <w:r w:rsidRPr="007D7605">
        <w:t xml:space="preserve"> must have demonstrated or sustained an adequate response to treatment by having a Paediatric Ulcerative Colitis Activity Index (PUCAI) score of less than 10.</w:t>
      </w:r>
    </w:p>
    <w:p w:rsidR="00187002" w:rsidRDefault="00187002" w:rsidP="00187002">
      <w:r>
        <w:lastRenderedPageBreak/>
        <w:t>A maximum of 24 weeks of treatment can be authorised for each application for continuing treatment.</w:t>
      </w:r>
    </w:p>
    <w:p w:rsidR="00187002" w:rsidRDefault="00187002" w:rsidP="00187002">
      <w:r>
        <w:t>Patients switching between treatments receive the same initial treatment duration and assessment to response as new patients.</w:t>
      </w:r>
    </w:p>
    <w:p w:rsidR="006775F1" w:rsidRPr="006775F1" w:rsidDel="00EE2BBB" w:rsidRDefault="006775F1" w:rsidP="00187002">
      <w:r w:rsidRPr="006775F1" w:rsidDel="00EE2BBB">
        <w:t>For</w:t>
      </w:r>
      <w:r w:rsidR="00877AB5" w:rsidRPr="00877AB5">
        <w:t xml:space="preserve"> </w:t>
      </w:r>
      <w:r w:rsidR="00877AB5" w:rsidRPr="00FA0B58">
        <w:t>full</w:t>
      </w:r>
      <w:r w:rsidRPr="006775F1" w:rsidDel="00EE2BBB">
        <w:t xml:space="preserve"> </w:t>
      </w:r>
      <w:r w:rsidR="00835337" w:rsidDel="00EE2BBB">
        <w:t>details of the current PBS listing</w:t>
      </w:r>
      <w:r w:rsidR="00C9031C">
        <w:t>s</w:t>
      </w:r>
      <w:r w:rsidR="00835337" w:rsidDel="00EE2BBB">
        <w:t xml:space="preserve"> refer to the </w:t>
      </w:r>
      <w:r w:rsidR="00835337" w:rsidRPr="00470C46" w:rsidDel="00EE2BBB">
        <w:t>PBS website</w:t>
      </w:r>
      <w:r w:rsidR="00835337" w:rsidDel="00EE2BBB">
        <w:rPr>
          <w:rStyle w:val="Hyperlink"/>
        </w:rPr>
        <w:t>.</w:t>
      </w:r>
    </w:p>
    <w:p w:rsidR="00863CFC" w:rsidRDefault="00863CFC">
      <w:pPr>
        <w:spacing w:line="276" w:lineRule="auto"/>
        <w:rPr>
          <w:b/>
          <w:i/>
          <w:szCs w:val="28"/>
        </w:rPr>
      </w:pPr>
      <w:r>
        <w:br w:type="page"/>
      </w:r>
    </w:p>
    <w:p w:rsidR="00675BB1" w:rsidRDefault="00453B9C" w:rsidP="00CF5E22">
      <w:pPr>
        <w:pStyle w:val="Heading3"/>
      </w:pPr>
      <w:r w:rsidRPr="00675BB1" w:rsidDel="00EE2BBB">
        <w:lastRenderedPageBreak/>
        <w:t>Date of listing on PBS</w:t>
      </w:r>
      <w:r w:rsidR="00DE56A3">
        <w:t xml:space="preserve"> and c</w:t>
      </w:r>
      <w:r w:rsidR="00675BB1" w:rsidRPr="00675BB1" w:rsidDel="00EE2BBB">
        <w:t>hanges to listing</w:t>
      </w:r>
    </w:p>
    <w:p w:rsidR="006441BC" w:rsidRPr="00863CFC" w:rsidRDefault="00187002" w:rsidP="00863CFC">
      <w:r>
        <w:t>Some medicines used to treat UC (hydrocortisone, mercaptopurine, methotrexate, prednisone, prednisolone and sulfasalazine) have been PBS listed since before the beginning of the item history table on 1 May 1964</w:t>
      </w:r>
      <w:r w:rsidR="006441BC">
        <w:t>.</w:t>
      </w:r>
      <w:r>
        <w:t xml:space="preserve"> </w:t>
      </w:r>
    </w:p>
    <w:p w:rsidR="00245624" w:rsidRPr="005C3DC7" w:rsidRDefault="00245624" w:rsidP="005C3DC7">
      <w:pPr>
        <w:pStyle w:val="Tabletitle"/>
        <w:rPr>
          <w:i w:val="0"/>
        </w:rPr>
      </w:pPr>
      <w:r w:rsidRPr="005C3DC7">
        <w:rPr>
          <w:i w:val="0"/>
        </w:rPr>
        <w:t>Table 2: PBS listing dates</w:t>
      </w:r>
    </w:p>
    <w:tbl>
      <w:tblPr>
        <w:tblW w:w="86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BS listing dates"/>
        <w:tblDescription w:val="PBS listing dates for medicines for ulcerative colitis"/>
      </w:tblPr>
      <w:tblGrid>
        <w:gridCol w:w="2140"/>
        <w:gridCol w:w="2030"/>
        <w:gridCol w:w="4490"/>
      </w:tblGrid>
      <w:tr w:rsidR="00187002" w:rsidRPr="007032DB" w:rsidTr="00F55E25">
        <w:trPr>
          <w:trHeight w:val="300"/>
        </w:trPr>
        <w:tc>
          <w:tcPr>
            <w:tcW w:w="2140" w:type="dxa"/>
            <w:shd w:val="clear" w:color="auto" w:fill="BFBFBF" w:themeFill="background1" w:themeFillShade="BF"/>
            <w:noWrap/>
            <w:vAlign w:val="center"/>
            <w:hideMark/>
          </w:tcPr>
          <w:p w:rsidR="00187002" w:rsidRPr="007032DB" w:rsidRDefault="00187002" w:rsidP="00F55E25">
            <w:pPr>
              <w:spacing w:after="0"/>
              <w:jc w:val="center"/>
              <w:rPr>
                <w:rFonts w:ascii="Calibri" w:eastAsia="Times New Roman" w:hAnsi="Calibri" w:cs="Times New Roman"/>
                <w:b/>
                <w:color w:val="000000"/>
                <w:sz w:val="20"/>
                <w:szCs w:val="20"/>
              </w:rPr>
            </w:pPr>
            <w:r w:rsidRPr="007032DB">
              <w:rPr>
                <w:rFonts w:ascii="Calibri" w:eastAsia="Times New Roman" w:hAnsi="Calibri" w:cs="Times New Roman"/>
                <w:b/>
                <w:color w:val="000000"/>
                <w:sz w:val="20"/>
                <w:szCs w:val="20"/>
              </w:rPr>
              <w:t>Date</w:t>
            </w:r>
          </w:p>
        </w:tc>
        <w:tc>
          <w:tcPr>
            <w:tcW w:w="2030" w:type="dxa"/>
            <w:shd w:val="clear" w:color="auto" w:fill="BFBFBF" w:themeFill="background1" w:themeFillShade="BF"/>
            <w:noWrap/>
            <w:vAlign w:val="center"/>
            <w:hideMark/>
          </w:tcPr>
          <w:p w:rsidR="00187002" w:rsidRPr="007032DB" w:rsidRDefault="00187002" w:rsidP="00F55E25">
            <w:pPr>
              <w:spacing w:after="0"/>
              <w:jc w:val="center"/>
              <w:rPr>
                <w:rFonts w:ascii="Calibri" w:eastAsia="Times New Roman" w:hAnsi="Calibri" w:cs="Times New Roman"/>
                <w:b/>
                <w:color w:val="000000"/>
                <w:sz w:val="20"/>
                <w:szCs w:val="20"/>
              </w:rPr>
            </w:pPr>
            <w:r w:rsidRPr="007032DB">
              <w:rPr>
                <w:rFonts w:ascii="Calibri" w:eastAsia="Times New Roman" w:hAnsi="Calibri" w:cs="Times New Roman"/>
                <w:b/>
                <w:color w:val="000000"/>
                <w:sz w:val="20"/>
                <w:szCs w:val="20"/>
              </w:rPr>
              <w:t>Medicine name</w:t>
            </w:r>
          </w:p>
        </w:tc>
        <w:tc>
          <w:tcPr>
            <w:tcW w:w="4490" w:type="dxa"/>
            <w:shd w:val="clear" w:color="auto" w:fill="BFBFBF" w:themeFill="background1" w:themeFillShade="BF"/>
            <w:vAlign w:val="center"/>
            <w:hideMark/>
          </w:tcPr>
          <w:p w:rsidR="00187002" w:rsidRPr="007032DB" w:rsidRDefault="00187002" w:rsidP="00F55E25">
            <w:pPr>
              <w:spacing w:after="0"/>
              <w:jc w:val="center"/>
              <w:rPr>
                <w:rFonts w:ascii="Calibri" w:eastAsia="Times New Roman" w:hAnsi="Calibri" w:cs="Times New Roman"/>
                <w:b/>
                <w:color w:val="000000"/>
                <w:sz w:val="20"/>
                <w:szCs w:val="20"/>
              </w:rPr>
            </w:pPr>
            <w:r w:rsidRPr="007032DB">
              <w:rPr>
                <w:rFonts w:ascii="Calibri" w:eastAsia="Times New Roman" w:hAnsi="Calibri" w:cs="Times New Roman"/>
                <w:b/>
                <w:color w:val="000000"/>
                <w:sz w:val="20"/>
                <w:szCs w:val="20"/>
              </w:rPr>
              <w:t>Change</w:t>
            </w:r>
          </w:p>
        </w:tc>
      </w:tr>
      <w:tr w:rsidR="00187002" w:rsidRPr="007032DB" w:rsidTr="00F55E25">
        <w:trPr>
          <w:trHeight w:val="300"/>
        </w:trPr>
        <w:tc>
          <w:tcPr>
            <w:tcW w:w="2140" w:type="dxa"/>
            <w:shd w:val="clear" w:color="auto" w:fill="auto"/>
            <w:noWrap/>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1 November 1966</w:t>
            </w:r>
          </w:p>
        </w:tc>
        <w:tc>
          <w:tcPr>
            <w:tcW w:w="2030" w:type="dxa"/>
            <w:shd w:val="clear" w:color="auto" w:fill="auto"/>
            <w:noWrap/>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Prednisolone</w:t>
            </w:r>
          </w:p>
        </w:tc>
        <w:tc>
          <w:tcPr>
            <w:tcW w:w="4490" w:type="dxa"/>
            <w:shd w:val="clear" w:color="auto" w:fill="auto"/>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Suppositories listed</w:t>
            </w:r>
          </w:p>
        </w:tc>
      </w:tr>
      <w:tr w:rsidR="00187002" w:rsidRPr="007032DB" w:rsidTr="00F55E25">
        <w:trPr>
          <w:trHeight w:val="300"/>
        </w:trPr>
        <w:tc>
          <w:tcPr>
            <w:tcW w:w="2140" w:type="dxa"/>
            <w:shd w:val="clear" w:color="auto" w:fill="auto"/>
            <w:noWrap/>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1 December 1968</w:t>
            </w:r>
          </w:p>
        </w:tc>
        <w:tc>
          <w:tcPr>
            <w:tcW w:w="2030" w:type="dxa"/>
            <w:shd w:val="clear" w:color="auto" w:fill="auto"/>
            <w:noWrap/>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Azathioprine</w:t>
            </w:r>
          </w:p>
        </w:tc>
        <w:tc>
          <w:tcPr>
            <w:tcW w:w="4490" w:type="dxa"/>
            <w:shd w:val="clear" w:color="auto" w:fill="auto"/>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First listed for hospital use only</w:t>
            </w:r>
          </w:p>
        </w:tc>
      </w:tr>
      <w:tr w:rsidR="00187002" w:rsidRPr="007032DB" w:rsidTr="002B71FF">
        <w:trPr>
          <w:trHeight w:val="300"/>
        </w:trPr>
        <w:tc>
          <w:tcPr>
            <w:tcW w:w="2140" w:type="dxa"/>
            <w:shd w:val="clear" w:color="auto" w:fill="auto"/>
            <w:noWrap/>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1 August 1984</w:t>
            </w:r>
          </w:p>
        </w:tc>
        <w:tc>
          <w:tcPr>
            <w:tcW w:w="2030" w:type="dxa"/>
            <w:shd w:val="clear" w:color="auto" w:fill="auto"/>
            <w:noWrap/>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Hydrocortisone</w:t>
            </w:r>
          </w:p>
        </w:tc>
        <w:tc>
          <w:tcPr>
            <w:tcW w:w="4490" w:type="dxa"/>
            <w:shd w:val="clear" w:color="auto" w:fill="auto"/>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Rectal foam listed for proctitis and ulcerative colitis</w:t>
            </w:r>
          </w:p>
        </w:tc>
      </w:tr>
      <w:tr w:rsidR="00187002" w:rsidRPr="007032DB" w:rsidTr="002B71FF">
        <w:trPr>
          <w:trHeight w:val="760"/>
        </w:trPr>
        <w:tc>
          <w:tcPr>
            <w:tcW w:w="2140" w:type="dxa"/>
            <w:shd w:val="clear" w:color="auto" w:fill="auto"/>
            <w:noWrap/>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1 August 1988</w:t>
            </w:r>
          </w:p>
        </w:tc>
        <w:tc>
          <w:tcPr>
            <w:tcW w:w="2030" w:type="dxa"/>
            <w:shd w:val="clear" w:color="auto" w:fill="auto"/>
            <w:noWrap/>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Olsalazine</w:t>
            </w:r>
          </w:p>
        </w:tc>
        <w:tc>
          <w:tcPr>
            <w:tcW w:w="4490" w:type="dxa"/>
            <w:shd w:val="clear" w:color="auto" w:fill="auto"/>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 xml:space="preserve">First listed as a capsule for inflammatory bowel disease involving the colon in patients with proven hypersensitivity to sulfonamides </w:t>
            </w:r>
          </w:p>
        </w:tc>
      </w:tr>
      <w:tr w:rsidR="00187002" w:rsidRPr="007032DB" w:rsidTr="002B71FF">
        <w:trPr>
          <w:trHeight w:val="984"/>
        </w:trPr>
        <w:tc>
          <w:tcPr>
            <w:tcW w:w="2140" w:type="dxa"/>
            <w:shd w:val="clear" w:color="auto" w:fill="auto"/>
            <w:noWrap/>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1 December 1989</w:t>
            </w:r>
          </w:p>
        </w:tc>
        <w:tc>
          <w:tcPr>
            <w:tcW w:w="2030" w:type="dxa"/>
            <w:shd w:val="clear" w:color="auto" w:fill="auto"/>
            <w:noWrap/>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Mesalazine</w:t>
            </w:r>
          </w:p>
        </w:tc>
        <w:tc>
          <w:tcPr>
            <w:tcW w:w="4490" w:type="dxa"/>
            <w:shd w:val="clear" w:color="auto" w:fill="auto"/>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First listed as a tablet for inflammatory bowel disease involving the colon in patients with proven hypersensitivity to sulfonamides or sustained intolerance to sulfasalazine exists</w:t>
            </w:r>
          </w:p>
        </w:tc>
      </w:tr>
      <w:tr w:rsidR="00187002" w:rsidRPr="007032DB" w:rsidTr="002B71FF">
        <w:trPr>
          <w:trHeight w:val="558"/>
        </w:trPr>
        <w:tc>
          <w:tcPr>
            <w:tcW w:w="2140" w:type="dxa"/>
            <w:shd w:val="clear" w:color="auto" w:fill="auto"/>
            <w:noWrap/>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1 November 1996</w:t>
            </w:r>
          </w:p>
        </w:tc>
        <w:tc>
          <w:tcPr>
            <w:tcW w:w="2030" w:type="dxa"/>
            <w:shd w:val="clear" w:color="auto" w:fill="auto"/>
            <w:noWrap/>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Olsalazine</w:t>
            </w:r>
          </w:p>
        </w:tc>
        <w:tc>
          <w:tcPr>
            <w:tcW w:w="4490" w:type="dxa"/>
            <w:shd w:val="clear" w:color="auto" w:fill="auto"/>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Tablet listed for colitis where hypersensitivity to sulfonamides or intolerance to sulfasalazine exists</w:t>
            </w:r>
          </w:p>
        </w:tc>
      </w:tr>
      <w:tr w:rsidR="00187002" w:rsidRPr="007032DB" w:rsidTr="002B71FF">
        <w:trPr>
          <w:trHeight w:val="905"/>
        </w:trPr>
        <w:tc>
          <w:tcPr>
            <w:tcW w:w="2140" w:type="dxa"/>
            <w:shd w:val="clear" w:color="auto" w:fill="auto"/>
            <w:noWrap/>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1 August 2002</w:t>
            </w:r>
          </w:p>
        </w:tc>
        <w:tc>
          <w:tcPr>
            <w:tcW w:w="2030" w:type="dxa"/>
            <w:shd w:val="clear" w:color="auto" w:fill="auto"/>
            <w:noWrap/>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Mesalazine</w:t>
            </w:r>
          </w:p>
        </w:tc>
        <w:tc>
          <w:tcPr>
            <w:tcW w:w="4490" w:type="dxa"/>
            <w:shd w:val="clear" w:color="auto" w:fill="auto"/>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Sachet containing granules listed for acute mild to moderate ulcerative colitis where hypersensitivity to sulfonamides or intolerance to sulfasalazine exists</w:t>
            </w:r>
          </w:p>
        </w:tc>
      </w:tr>
      <w:tr w:rsidR="00187002" w:rsidRPr="007032DB" w:rsidTr="002B71FF">
        <w:trPr>
          <w:trHeight w:val="454"/>
        </w:trPr>
        <w:tc>
          <w:tcPr>
            <w:tcW w:w="2140" w:type="dxa"/>
            <w:shd w:val="clear" w:color="auto" w:fill="auto"/>
            <w:noWrap/>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1 November 2002</w:t>
            </w:r>
          </w:p>
        </w:tc>
        <w:tc>
          <w:tcPr>
            <w:tcW w:w="2030" w:type="dxa"/>
            <w:shd w:val="clear" w:color="auto" w:fill="auto"/>
            <w:noWrap/>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Mesalazine</w:t>
            </w:r>
          </w:p>
        </w:tc>
        <w:tc>
          <w:tcPr>
            <w:tcW w:w="4490" w:type="dxa"/>
            <w:shd w:val="clear" w:color="auto" w:fill="auto"/>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Enema listed for acute episodes of mild to moderate ulcerative colitis</w:t>
            </w:r>
          </w:p>
        </w:tc>
      </w:tr>
      <w:tr w:rsidR="00187002" w:rsidRPr="007032DB" w:rsidTr="00F55E25">
        <w:trPr>
          <w:trHeight w:val="600"/>
        </w:trPr>
        <w:tc>
          <w:tcPr>
            <w:tcW w:w="2140" w:type="dxa"/>
            <w:shd w:val="clear" w:color="auto" w:fill="auto"/>
            <w:noWrap/>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1 August 2004</w:t>
            </w:r>
          </w:p>
        </w:tc>
        <w:tc>
          <w:tcPr>
            <w:tcW w:w="2030" w:type="dxa"/>
            <w:shd w:val="clear" w:color="auto" w:fill="auto"/>
            <w:noWrap/>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Mesalazine</w:t>
            </w:r>
          </w:p>
        </w:tc>
        <w:tc>
          <w:tcPr>
            <w:tcW w:w="4490" w:type="dxa"/>
            <w:shd w:val="clear" w:color="auto" w:fill="auto"/>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Suppositories listed for acute episode of mild to moderate ulcerative proctitis (not for the treatment of Crohn's disease)</w:t>
            </w:r>
          </w:p>
        </w:tc>
      </w:tr>
      <w:tr w:rsidR="00187002" w:rsidRPr="007032DB" w:rsidTr="00F55E25">
        <w:trPr>
          <w:trHeight w:val="776"/>
        </w:trPr>
        <w:tc>
          <w:tcPr>
            <w:tcW w:w="2140" w:type="dxa"/>
            <w:shd w:val="clear" w:color="auto" w:fill="auto"/>
            <w:noWrap/>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1 December 2004</w:t>
            </w:r>
          </w:p>
        </w:tc>
        <w:tc>
          <w:tcPr>
            <w:tcW w:w="2030" w:type="dxa"/>
            <w:shd w:val="clear" w:color="auto" w:fill="auto"/>
            <w:noWrap/>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Mesalazine</w:t>
            </w:r>
          </w:p>
        </w:tc>
        <w:tc>
          <w:tcPr>
            <w:tcW w:w="4490" w:type="dxa"/>
            <w:shd w:val="clear" w:color="auto" w:fill="auto"/>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Rectal foam listed for acute episode of mild to moderate ulcerative proctitis (not for the treatment of Crohn's disease)</w:t>
            </w:r>
          </w:p>
        </w:tc>
      </w:tr>
      <w:tr w:rsidR="00187002" w:rsidRPr="007032DB" w:rsidTr="002B71FF">
        <w:trPr>
          <w:trHeight w:val="454"/>
        </w:trPr>
        <w:tc>
          <w:tcPr>
            <w:tcW w:w="2140" w:type="dxa"/>
            <w:shd w:val="clear" w:color="auto" w:fill="auto"/>
            <w:noWrap/>
            <w:vAlign w:val="center"/>
            <w:hideMark/>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1 August 2005</w:t>
            </w:r>
          </w:p>
        </w:tc>
        <w:tc>
          <w:tcPr>
            <w:tcW w:w="2030" w:type="dxa"/>
            <w:shd w:val="clear" w:color="auto" w:fill="auto"/>
            <w:noWrap/>
            <w:vAlign w:val="center"/>
            <w:hideMark/>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Balsalazide</w:t>
            </w:r>
          </w:p>
        </w:tc>
        <w:tc>
          <w:tcPr>
            <w:tcW w:w="4490" w:type="dxa"/>
            <w:shd w:val="clear" w:color="auto" w:fill="auto"/>
            <w:vAlign w:val="center"/>
            <w:hideMark/>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Listed for mild to moderate ulcerative colitis where hypersensitivity to sulfonamides exists</w:t>
            </w:r>
          </w:p>
        </w:tc>
      </w:tr>
      <w:tr w:rsidR="00187002" w:rsidRPr="007032DB" w:rsidTr="00F55E25">
        <w:trPr>
          <w:trHeight w:val="300"/>
        </w:trPr>
        <w:tc>
          <w:tcPr>
            <w:tcW w:w="2140" w:type="dxa"/>
            <w:shd w:val="clear" w:color="auto" w:fill="auto"/>
            <w:noWrap/>
            <w:vAlign w:val="center"/>
            <w:hideMark/>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1 October 2007</w:t>
            </w:r>
          </w:p>
        </w:tc>
        <w:tc>
          <w:tcPr>
            <w:tcW w:w="2030" w:type="dxa"/>
            <w:shd w:val="clear" w:color="auto" w:fill="auto"/>
            <w:noWrap/>
            <w:vAlign w:val="center"/>
            <w:hideMark/>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Infliximab</w:t>
            </w:r>
          </w:p>
        </w:tc>
        <w:tc>
          <w:tcPr>
            <w:tcW w:w="4490" w:type="dxa"/>
            <w:shd w:val="clear" w:color="auto" w:fill="auto"/>
            <w:vAlign w:val="center"/>
            <w:hideMark/>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 xml:space="preserve">Listed for Crohn disease </w:t>
            </w:r>
          </w:p>
        </w:tc>
      </w:tr>
      <w:tr w:rsidR="00187002" w:rsidRPr="007032DB" w:rsidTr="00F55E25">
        <w:trPr>
          <w:trHeight w:val="600"/>
        </w:trPr>
        <w:tc>
          <w:tcPr>
            <w:tcW w:w="2140" w:type="dxa"/>
            <w:shd w:val="clear" w:color="auto" w:fill="auto"/>
            <w:noWrap/>
            <w:vAlign w:val="center"/>
            <w:hideMark/>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1 April 2008</w:t>
            </w:r>
          </w:p>
        </w:tc>
        <w:tc>
          <w:tcPr>
            <w:tcW w:w="2030" w:type="dxa"/>
            <w:shd w:val="clear" w:color="auto" w:fill="auto"/>
            <w:noWrap/>
            <w:vAlign w:val="center"/>
            <w:hideMark/>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Methotrexate</w:t>
            </w:r>
          </w:p>
        </w:tc>
        <w:tc>
          <w:tcPr>
            <w:tcW w:w="4490" w:type="dxa"/>
            <w:shd w:val="clear" w:color="auto" w:fill="auto"/>
            <w:vAlign w:val="center"/>
            <w:hideMark/>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Restriction for patients requiring doses greater than 20 mg per week</w:t>
            </w:r>
          </w:p>
        </w:tc>
      </w:tr>
      <w:tr w:rsidR="00187002" w:rsidRPr="007032DB" w:rsidTr="00F55E25">
        <w:trPr>
          <w:trHeight w:val="300"/>
        </w:trPr>
        <w:tc>
          <w:tcPr>
            <w:tcW w:w="2140" w:type="dxa"/>
            <w:shd w:val="clear" w:color="auto" w:fill="auto"/>
            <w:noWrap/>
            <w:vAlign w:val="center"/>
            <w:hideMark/>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1 August 2008</w:t>
            </w:r>
          </w:p>
        </w:tc>
        <w:tc>
          <w:tcPr>
            <w:tcW w:w="2030" w:type="dxa"/>
            <w:shd w:val="clear" w:color="auto" w:fill="auto"/>
            <w:noWrap/>
            <w:vAlign w:val="center"/>
            <w:hideMark/>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Adalimumab</w:t>
            </w:r>
          </w:p>
        </w:tc>
        <w:tc>
          <w:tcPr>
            <w:tcW w:w="4490" w:type="dxa"/>
            <w:shd w:val="clear" w:color="auto" w:fill="auto"/>
            <w:vAlign w:val="center"/>
            <w:hideMark/>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Listed for Crohn disease</w:t>
            </w:r>
          </w:p>
        </w:tc>
      </w:tr>
      <w:tr w:rsidR="00187002" w:rsidRPr="007032DB" w:rsidTr="002B71FF">
        <w:trPr>
          <w:trHeight w:val="300"/>
        </w:trPr>
        <w:tc>
          <w:tcPr>
            <w:tcW w:w="2140" w:type="dxa"/>
            <w:shd w:val="clear" w:color="auto" w:fill="auto"/>
            <w:noWrap/>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1 February 2014</w:t>
            </w:r>
          </w:p>
        </w:tc>
        <w:tc>
          <w:tcPr>
            <w:tcW w:w="2030" w:type="dxa"/>
            <w:shd w:val="clear" w:color="auto" w:fill="auto"/>
            <w:noWrap/>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Budesonide</w:t>
            </w:r>
          </w:p>
        </w:tc>
        <w:tc>
          <w:tcPr>
            <w:tcW w:w="4490" w:type="dxa"/>
            <w:shd w:val="clear" w:color="auto" w:fill="auto"/>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Rectal foam listed as an unrestricted listing</w:t>
            </w:r>
          </w:p>
        </w:tc>
      </w:tr>
      <w:tr w:rsidR="00187002" w:rsidRPr="007032DB" w:rsidTr="002B71FF">
        <w:trPr>
          <w:trHeight w:val="300"/>
        </w:trPr>
        <w:tc>
          <w:tcPr>
            <w:tcW w:w="2140" w:type="dxa"/>
            <w:shd w:val="clear" w:color="auto" w:fill="auto"/>
            <w:noWrap/>
            <w:vAlign w:val="center"/>
            <w:hideMark/>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1 April 2014</w:t>
            </w:r>
          </w:p>
        </w:tc>
        <w:tc>
          <w:tcPr>
            <w:tcW w:w="2030" w:type="dxa"/>
            <w:shd w:val="clear" w:color="auto" w:fill="auto"/>
            <w:noWrap/>
            <w:vAlign w:val="center"/>
            <w:hideMark/>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Infliximab</w:t>
            </w:r>
          </w:p>
        </w:tc>
        <w:tc>
          <w:tcPr>
            <w:tcW w:w="4490" w:type="dxa"/>
            <w:shd w:val="clear" w:color="auto" w:fill="auto"/>
            <w:vAlign w:val="center"/>
            <w:hideMark/>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Listed for acute severe ulcerative colitis</w:t>
            </w:r>
          </w:p>
        </w:tc>
      </w:tr>
      <w:tr w:rsidR="00187002" w:rsidRPr="007032DB" w:rsidTr="002B71FF">
        <w:trPr>
          <w:trHeight w:val="300"/>
        </w:trPr>
        <w:tc>
          <w:tcPr>
            <w:tcW w:w="2140" w:type="dxa"/>
            <w:shd w:val="clear" w:color="auto" w:fill="auto"/>
            <w:noWrap/>
            <w:vAlign w:val="center"/>
            <w:hideMark/>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1 December 2014</w:t>
            </w:r>
          </w:p>
        </w:tc>
        <w:tc>
          <w:tcPr>
            <w:tcW w:w="2030" w:type="dxa"/>
            <w:shd w:val="clear" w:color="auto" w:fill="auto"/>
            <w:noWrap/>
            <w:vAlign w:val="center"/>
            <w:hideMark/>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Infliximab</w:t>
            </w:r>
          </w:p>
        </w:tc>
        <w:tc>
          <w:tcPr>
            <w:tcW w:w="4490" w:type="dxa"/>
            <w:shd w:val="clear" w:color="auto" w:fill="auto"/>
            <w:vAlign w:val="center"/>
            <w:hideMark/>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Listed for moderate to severe ulcerative colitis</w:t>
            </w:r>
          </w:p>
        </w:tc>
      </w:tr>
      <w:tr w:rsidR="00187002" w:rsidRPr="007032DB" w:rsidTr="00F55E25">
        <w:trPr>
          <w:trHeight w:val="300"/>
        </w:trPr>
        <w:tc>
          <w:tcPr>
            <w:tcW w:w="2140" w:type="dxa"/>
            <w:shd w:val="clear" w:color="auto" w:fill="auto"/>
            <w:noWrap/>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1 May 2015</w:t>
            </w:r>
          </w:p>
        </w:tc>
        <w:tc>
          <w:tcPr>
            <w:tcW w:w="2030" w:type="dxa"/>
            <w:shd w:val="clear" w:color="auto" w:fill="auto"/>
            <w:noWrap/>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Cyclosporin</w:t>
            </w:r>
          </w:p>
        </w:tc>
        <w:tc>
          <w:tcPr>
            <w:tcW w:w="4490" w:type="dxa"/>
            <w:shd w:val="clear" w:color="auto" w:fill="auto"/>
            <w:vAlign w:val="center"/>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Restriction was changed from Authority Required to unrestricted listing, prior to this it was not listed for Crohn disease or ulcerative colitis</w:t>
            </w:r>
          </w:p>
        </w:tc>
      </w:tr>
      <w:tr w:rsidR="00187002" w:rsidRPr="007032DB" w:rsidTr="002B71FF">
        <w:trPr>
          <w:trHeight w:val="300"/>
        </w:trPr>
        <w:tc>
          <w:tcPr>
            <w:tcW w:w="2140" w:type="dxa"/>
            <w:shd w:val="clear" w:color="auto" w:fill="auto"/>
            <w:noWrap/>
            <w:vAlign w:val="center"/>
            <w:hideMark/>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1 August 2015</w:t>
            </w:r>
          </w:p>
        </w:tc>
        <w:tc>
          <w:tcPr>
            <w:tcW w:w="2030" w:type="dxa"/>
            <w:shd w:val="clear" w:color="auto" w:fill="auto"/>
            <w:noWrap/>
            <w:vAlign w:val="center"/>
            <w:hideMark/>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Vedolizumab</w:t>
            </w:r>
          </w:p>
        </w:tc>
        <w:tc>
          <w:tcPr>
            <w:tcW w:w="4490" w:type="dxa"/>
            <w:shd w:val="clear" w:color="auto" w:fill="auto"/>
            <w:vAlign w:val="center"/>
            <w:hideMark/>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Listed for severe Crohn disease</w:t>
            </w:r>
          </w:p>
        </w:tc>
      </w:tr>
      <w:tr w:rsidR="00187002" w:rsidRPr="007032DB" w:rsidTr="002B71FF">
        <w:trPr>
          <w:trHeight w:val="300"/>
        </w:trPr>
        <w:tc>
          <w:tcPr>
            <w:tcW w:w="2140" w:type="dxa"/>
            <w:shd w:val="clear" w:color="auto" w:fill="auto"/>
            <w:noWrap/>
            <w:vAlign w:val="center"/>
            <w:hideMark/>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1 August 2015</w:t>
            </w:r>
          </w:p>
        </w:tc>
        <w:tc>
          <w:tcPr>
            <w:tcW w:w="2030" w:type="dxa"/>
            <w:shd w:val="clear" w:color="auto" w:fill="auto"/>
            <w:noWrap/>
            <w:vAlign w:val="center"/>
            <w:hideMark/>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Vedolizumab</w:t>
            </w:r>
          </w:p>
        </w:tc>
        <w:tc>
          <w:tcPr>
            <w:tcW w:w="4490" w:type="dxa"/>
            <w:shd w:val="clear" w:color="auto" w:fill="auto"/>
            <w:vAlign w:val="center"/>
            <w:hideMark/>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Listed for moderate to severe ulcerative colitis</w:t>
            </w:r>
          </w:p>
        </w:tc>
      </w:tr>
      <w:tr w:rsidR="00187002" w:rsidRPr="007032DB" w:rsidTr="002B71FF">
        <w:trPr>
          <w:trHeight w:val="300"/>
        </w:trPr>
        <w:tc>
          <w:tcPr>
            <w:tcW w:w="2140" w:type="dxa"/>
            <w:shd w:val="clear" w:color="auto" w:fill="auto"/>
            <w:noWrap/>
            <w:vAlign w:val="center"/>
            <w:hideMark/>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1 December 2016</w:t>
            </w:r>
          </w:p>
        </w:tc>
        <w:tc>
          <w:tcPr>
            <w:tcW w:w="2030" w:type="dxa"/>
            <w:shd w:val="clear" w:color="auto" w:fill="auto"/>
            <w:noWrap/>
            <w:vAlign w:val="center"/>
            <w:hideMark/>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Adalimumab</w:t>
            </w:r>
          </w:p>
        </w:tc>
        <w:tc>
          <w:tcPr>
            <w:tcW w:w="4490" w:type="dxa"/>
            <w:shd w:val="clear" w:color="auto" w:fill="auto"/>
            <w:vAlign w:val="center"/>
            <w:hideMark/>
          </w:tcPr>
          <w:p w:rsidR="00187002" w:rsidRPr="007032DB" w:rsidRDefault="00187002" w:rsidP="00F55E25">
            <w:pPr>
              <w:spacing w:after="0"/>
              <w:rPr>
                <w:rFonts w:ascii="Calibri" w:eastAsia="Times New Roman" w:hAnsi="Calibri" w:cs="Times New Roman"/>
                <w:color w:val="000000"/>
                <w:sz w:val="20"/>
                <w:szCs w:val="20"/>
              </w:rPr>
            </w:pPr>
            <w:r w:rsidRPr="007032DB">
              <w:rPr>
                <w:rFonts w:ascii="Calibri" w:eastAsia="Times New Roman" w:hAnsi="Calibri" w:cs="Times New Roman"/>
                <w:color w:val="000000"/>
                <w:sz w:val="20"/>
                <w:szCs w:val="20"/>
              </w:rPr>
              <w:t>Listed for moderate to severe ulcerative colitis</w:t>
            </w:r>
          </w:p>
        </w:tc>
      </w:tr>
    </w:tbl>
    <w:p w:rsidR="006441BC" w:rsidRDefault="006441BC" w:rsidP="00863CFC">
      <w:pPr>
        <w:rPr>
          <w:b/>
          <w:i/>
          <w:sz w:val="28"/>
        </w:rPr>
      </w:pPr>
      <w:r>
        <w:br w:type="page"/>
      </w:r>
    </w:p>
    <w:p w:rsidR="00736041" w:rsidRPr="005E22C2" w:rsidRDefault="00394AEE" w:rsidP="00346DA0">
      <w:pPr>
        <w:pStyle w:val="Heading2"/>
      </w:pPr>
      <w:r>
        <w:lastRenderedPageBreak/>
        <w:t>Relevant aspects of</w:t>
      </w:r>
      <w:r w:rsidR="00736041" w:rsidRPr="005E22C2">
        <w:t xml:space="preserve"> consideration</w:t>
      </w:r>
      <w:r>
        <w:t xml:space="preserve"> by the Pharmaceutical Benefits Advisory Committee (PBAC)</w:t>
      </w:r>
    </w:p>
    <w:p w:rsidR="00C91BAC" w:rsidRPr="00E57C64" w:rsidRDefault="00C91BAC" w:rsidP="00E57C64">
      <w:pPr>
        <w:pStyle w:val="Heading3"/>
      </w:pPr>
      <w:r w:rsidRPr="00E57C64">
        <w:t>Budesonide July 2013</w:t>
      </w:r>
    </w:p>
    <w:p w:rsidR="008956A0" w:rsidRDefault="008956A0" w:rsidP="00C91BAC">
      <w:r w:rsidRPr="008956A0">
        <w:t xml:space="preserve">The PBAC recommended listing of budesonide foam enema as an Unrestricted benefit for treatment of </w:t>
      </w:r>
      <w:r w:rsidR="006441BC">
        <w:t>UC</w:t>
      </w:r>
      <w:r w:rsidRPr="008956A0">
        <w:t xml:space="preserve"> on a cost-minimisation basis with prednisolone enema. The accepted equi-effective doses are budesonide 2 mg and prednisolone 20 mg. </w:t>
      </w:r>
    </w:p>
    <w:p w:rsidR="00C91BAC" w:rsidRDefault="008956A0" w:rsidP="00C91BAC">
      <w:r w:rsidRPr="008956A0">
        <w:t>The PBAC considered that the submission’s estimates of usage were quite low as budesonide was assumed to displace 100% of prednisolone market, and only 10% of the current 5-aminosalycilic acid and hydrocortisone market. The PBAC considered that this was a possible underestimation as it is likely that a higher displacement rate will occur with hydrocortisone because of budesonide’s better safety profile.</w:t>
      </w:r>
    </w:p>
    <w:p w:rsidR="00C9031C" w:rsidRPr="00F65F0D" w:rsidRDefault="00C9031C" w:rsidP="00C9031C">
      <w:r>
        <w:t xml:space="preserve">For further details refer to </w:t>
      </w:r>
      <w:r w:rsidRPr="00F65F0D">
        <w:t xml:space="preserve">the </w:t>
      </w:r>
      <w:r w:rsidRPr="00470C46">
        <w:t>Public Summary Document</w:t>
      </w:r>
      <w:r>
        <w:t xml:space="preserve"> </w:t>
      </w:r>
      <w:r w:rsidRPr="00F65F0D">
        <w:t xml:space="preserve">from the </w:t>
      </w:r>
      <w:r>
        <w:t>July 2013 PBAC meeting.</w:t>
      </w:r>
    </w:p>
    <w:p w:rsidR="00843E59" w:rsidRDefault="00843E59" w:rsidP="00E57C64">
      <w:pPr>
        <w:pStyle w:val="Heading3"/>
      </w:pPr>
      <w:r w:rsidRPr="00E57C64">
        <w:t>Infliximab Nov</w:t>
      </w:r>
      <w:r w:rsidR="00877AB5">
        <w:t>ember</w:t>
      </w:r>
      <w:r w:rsidRPr="00E57C64">
        <w:t xml:space="preserve"> 2013</w:t>
      </w:r>
    </w:p>
    <w:p w:rsidR="00843E59" w:rsidRPr="00C665B2" w:rsidRDefault="00843E59" w:rsidP="00C91BAC">
      <w:pPr>
        <w:rPr>
          <w:highlight w:val="green"/>
        </w:rPr>
      </w:pPr>
      <w:r w:rsidRPr="00843E59">
        <w:t>The PBAC recommended extending the listing of infliximab on the PBS under the Section 100 Highly Specialised Drugs Program to include treatment of acute severe ulcerative colitis not responding to IV corticosteroids in a patient aged 6 years or greater, on a cost-minimisation basis compared with cyclosporin.  The equi-effective doses estimated are infliximab: 3 infusions at days 0, 14 and 42 of 5 mg/kg and cyclosporin: 7 days intravenously 2 mg/kg followed by 90 days of oral 4 mg/kg.</w:t>
      </w:r>
    </w:p>
    <w:p w:rsidR="00C9031C" w:rsidRPr="00F65F0D" w:rsidRDefault="00C9031C" w:rsidP="00C9031C">
      <w:r>
        <w:t xml:space="preserve">For further details refer to </w:t>
      </w:r>
      <w:r w:rsidRPr="00F65F0D">
        <w:t xml:space="preserve">the </w:t>
      </w:r>
      <w:r w:rsidRPr="00470C46">
        <w:t>Public Summary Document</w:t>
      </w:r>
      <w:r>
        <w:t xml:space="preserve"> </w:t>
      </w:r>
      <w:r w:rsidRPr="00F65F0D">
        <w:t xml:space="preserve">from the </w:t>
      </w:r>
      <w:r>
        <w:t>November 2013 PBAC meeting.</w:t>
      </w:r>
    </w:p>
    <w:p w:rsidR="00A204EB" w:rsidRDefault="00A204EB" w:rsidP="00E57C64">
      <w:pPr>
        <w:pStyle w:val="Heading3"/>
      </w:pPr>
      <w:r w:rsidRPr="00E57C64">
        <w:t>Infliximab March 2014</w:t>
      </w:r>
    </w:p>
    <w:p w:rsidR="00A204EB" w:rsidRDefault="00A204EB" w:rsidP="00A204EB">
      <w:r w:rsidRPr="00A204EB">
        <w:t>The PBAC recommended the listing of infliximab available as a Section 100 (Highly Specialised Drugs Program) Authority required benefit for the treatment of moderate to severe ulcerative colitis in adults and children.</w:t>
      </w:r>
    </w:p>
    <w:p w:rsidR="009C2DB8" w:rsidRDefault="009C2DB8" w:rsidP="00A204EB">
      <w:r w:rsidRPr="009C2DB8">
        <w:t>Infliximab was proposed to be used in patients aged 6 or above with moderate to severe ulcerative colitis, who have failed to achieve an adequate response or have intolerance necessitating permanent treatment withdrawal to conventional therapy such as 5 aminosalicylate and azathioprine/6-mercaptopurine ± corticosteroids.</w:t>
      </w:r>
    </w:p>
    <w:p w:rsidR="00A204EB" w:rsidRDefault="00A204EB" w:rsidP="00A204EB">
      <w:r w:rsidRPr="00A204EB">
        <w:t>The submission described infliximab 5 mg/kg as superior in terms of comparative effectiveness and equivalent in terms of comparative safety and tolerability over BSC in the treatment of patients with moderate to severe ulcerative colitis.</w:t>
      </w:r>
    </w:p>
    <w:p w:rsidR="00A204EB" w:rsidRPr="00F65F0D" w:rsidRDefault="00A204EB" w:rsidP="00A204EB">
      <w:r>
        <w:t xml:space="preserve">For further details refer to </w:t>
      </w:r>
      <w:r w:rsidRPr="00F65F0D">
        <w:t xml:space="preserve">the </w:t>
      </w:r>
      <w:r w:rsidRPr="00470C46">
        <w:t>Public Summary Document</w:t>
      </w:r>
      <w:r>
        <w:t xml:space="preserve"> </w:t>
      </w:r>
      <w:r w:rsidRPr="00F65F0D">
        <w:t xml:space="preserve">from the </w:t>
      </w:r>
      <w:r>
        <w:t>March 2014 PBAC meeting.</w:t>
      </w:r>
    </w:p>
    <w:p w:rsidR="00843E59" w:rsidRDefault="00843E59" w:rsidP="00877AB5">
      <w:pPr>
        <w:pStyle w:val="Heading3"/>
        <w:keepNext/>
      </w:pPr>
      <w:r w:rsidRPr="00E57C64">
        <w:lastRenderedPageBreak/>
        <w:t>Vedolizumab March 2015</w:t>
      </w:r>
    </w:p>
    <w:p w:rsidR="00843E59" w:rsidRDefault="00843E59" w:rsidP="00843E59">
      <w:r>
        <w:t>The PBAC recommended listing of vedolizumab on a cost-minimisation basis with infliximab for the treatment of moderate to severe ulcerative colitis in adult patients, on the basis that it should be available only as Authority required under the Section 100 Highly Specialised Drugs Program.</w:t>
      </w:r>
    </w:p>
    <w:p w:rsidR="00843E59" w:rsidRDefault="00843E59" w:rsidP="00843E59">
      <w:r>
        <w:t xml:space="preserve">The PBAC noted the proposed clinical place for vedolizumab in the re-submission was after failure of the conventional agents (5-ASAs, corticosteroids, and immunomodulators), as for infliximab. The PBAC agreed that switching rules (swapping criteria) within a single treatment cycle must be put in place for infliximab and vedolizumab. The Committee agreed that the restriction should allow a total of 3 trials, where a patient cannot trial and fail or, cease to respond to, the same PBS-subsidised </w:t>
      </w:r>
      <w:r w:rsidR="009E168A">
        <w:t>biologic</w:t>
      </w:r>
      <w:r>
        <w:t>s (TNF-α antagonist or α4-integrin inhibitor) more than twice.</w:t>
      </w:r>
    </w:p>
    <w:p w:rsidR="00C9031C" w:rsidRPr="00F65F0D" w:rsidRDefault="00C9031C" w:rsidP="00C9031C">
      <w:r>
        <w:t xml:space="preserve">For further details refer to </w:t>
      </w:r>
      <w:r w:rsidRPr="00F65F0D">
        <w:t xml:space="preserve">the </w:t>
      </w:r>
      <w:r w:rsidRPr="00470C46">
        <w:t>Public Summary Document</w:t>
      </w:r>
      <w:r>
        <w:t xml:space="preserve"> </w:t>
      </w:r>
      <w:r w:rsidRPr="00F65F0D">
        <w:t xml:space="preserve">from the </w:t>
      </w:r>
      <w:r>
        <w:t>March 2015 PBAC meeting.</w:t>
      </w:r>
    </w:p>
    <w:p w:rsidR="00C665B2" w:rsidRPr="00E57C64" w:rsidRDefault="007A5748" w:rsidP="00E57C64">
      <w:pPr>
        <w:pStyle w:val="Heading3"/>
      </w:pPr>
      <w:r w:rsidRPr="00E57C64">
        <w:t xml:space="preserve">Mesalazine </w:t>
      </w:r>
      <w:r w:rsidR="00C665B2" w:rsidRPr="00E57C64">
        <w:t>Nov</w:t>
      </w:r>
      <w:r w:rsidR="00877AB5">
        <w:t>ember</w:t>
      </w:r>
      <w:r w:rsidR="00C665B2" w:rsidRPr="00E57C64">
        <w:t xml:space="preserve"> 2015</w:t>
      </w:r>
    </w:p>
    <w:p w:rsidR="008956A0" w:rsidRDefault="008956A0" w:rsidP="008956A0">
      <w:r>
        <w:t>A minor submission to increase the current maximum quantity from 1 pack of 60 tablets to 2 packs of 60 tablets for mesalazine 1.2g modified released tablets for the treatment of ulcerative colitis.</w:t>
      </w:r>
    </w:p>
    <w:p w:rsidR="008956A0" w:rsidRDefault="008956A0" w:rsidP="008956A0">
      <w:r>
        <w:t>The PBAC accepted the submission’s request for the same price per mg (ex-man) noting that this methodology has been accepted for other items in this class. However PBAC considered that there may be grounds to confirm the cost effectiveness of use at higher doses, and asked that Department consider this in any future Post Market Reviews of colitis treatments.</w:t>
      </w:r>
    </w:p>
    <w:p w:rsidR="00C9031C" w:rsidRPr="00F65F0D" w:rsidRDefault="00C9031C" w:rsidP="00C9031C">
      <w:r>
        <w:t xml:space="preserve">For further details refer to </w:t>
      </w:r>
      <w:r w:rsidRPr="00F65F0D">
        <w:t xml:space="preserve">the </w:t>
      </w:r>
      <w:r w:rsidRPr="00470C46">
        <w:t>Public Summary Document</w:t>
      </w:r>
      <w:r>
        <w:t xml:space="preserve"> </w:t>
      </w:r>
      <w:r w:rsidRPr="00F65F0D">
        <w:t xml:space="preserve">from the </w:t>
      </w:r>
      <w:r>
        <w:t>November 2015 PBAC meeting.</w:t>
      </w:r>
    </w:p>
    <w:p w:rsidR="00843E59" w:rsidRDefault="00843E59" w:rsidP="00E57C64">
      <w:pPr>
        <w:pStyle w:val="Heading3"/>
      </w:pPr>
      <w:r w:rsidRPr="00E57C64">
        <w:t>Adalimumab March 2016</w:t>
      </w:r>
    </w:p>
    <w:p w:rsidR="00843E59" w:rsidRDefault="00843E59" w:rsidP="00843E59">
      <w:r>
        <w:t xml:space="preserve">The PBAC recommended the listing of adalimumab on the General Schedule for the treatment of moderate to severe ulcerative colitis on the basis of a clinical need for subcutaneous therapy for this condition. In making this recommendation, the PBAC considered that while adalimumab is inferior to infliximab for this indication, listing will allow clinicians to choose from a range of </w:t>
      </w:r>
      <w:r w:rsidR="009E168A">
        <w:t>biologic</w:t>
      </w:r>
      <w:r>
        <w:t>s with different modes of administration for the treatment of individual patients. The PBAC considered that the inferiority should be reflected in the pricing of adalimumab.</w:t>
      </w:r>
    </w:p>
    <w:p w:rsidR="008956A0" w:rsidRDefault="00843E59" w:rsidP="00843E59">
      <w:pPr>
        <w:rPr>
          <w:highlight w:val="green"/>
        </w:rPr>
      </w:pPr>
      <w:r>
        <w:t>The PBAC also recommended a flow on change to the current Note for treatment of adult patients with moderate to severe ulcerative to reflect the addition of adalimumab to the PBS-subsidised therapies for this condition. Currently, within the same treatment cycle a patient cannot trial and fail, or cease to respond to, the same PBS-subsidised infliximab or vedolizumab more than twice. As a consequence of the listing of ad</w:t>
      </w:r>
      <w:r w:rsidR="007032DB">
        <w:t xml:space="preserve">alimumab, it should be </w:t>
      </w:r>
      <w:r w:rsidR="007032DB">
        <w:lastRenderedPageBreak/>
        <w:t>read as w</w:t>
      </w:r>
      <w:r>
        <w:t xml:space="preserve">ithin the same treatment cycle, a patient cannot trial and fail, or cease to respond to, the same PBS-subsidised </w:t>
      </w:r>
      <w:r w:rsidR="007032DB">
        <w:t>drug (</w:t>
      </w:r>
      <w:r>
        <w:t>infliximab, vedolizum</w:t>
      </w:r>
      <w:r w:rsidR="007032DB">
        <w:t>ab or adalimumab) more than once</w:t>
      </w:r>
      <w:r>
        <w:t>.</w:t>
      </w:r>
    </w:p>
    <w:p w:rsidR="00D94863" w:rsidRPr="00F65F0D" w:rsidRDefault="00D94863" w:rsidP="00D94863">
      <w:r>
        <w:t xml:space="preserve">For further details refer to </w:t>
      </w:r>
      <w:r w:rsidRPr="00F65F0D">
        <w:t xml:space="preserve">the </w:t>
      </w:r>
      <w:r w:rsidRPr="00470C46">
        <w:t>Public Summary Document</w:t>
      </w:r>
      <w:r w:rsidRPr="00F65F0D">
        <w:t xml:space="preserve"> from the </w:t>
      </w:r>
      <w:r w:rsidR="00C9031C">
        <w:t xml:space="preserve">March 2016 </w:t>
      </w:r>
      <w:r>
        <w:t>PBAC meeting.</w:t>
      </w:r>
    </w:p>
    <w:p w:rsidR="00400AF5" w:rsidRDefault="00400AF5" w:rsidP="00400AF5">
      <w:pPr>
        <w:pStyle w:val="Heading3"/>
      </w:pPr>
      <w:r>
        <w:t>Mesalazine March 2017</w:t>
      </w:r>
    </w:p>
    <w:p w:rsidR="00400AF5" w:rsidRDefault="00400AF5" w:rsidP="00400AF5">
      <w:r>
        <w:t>The PBAC recommended the General Schedule Authority Required (STREAMLINED) listing of Asacol (800 mg mesalazine enteric coated tablet) for the treatment of ulcerative colitis on a cost-minimisation basis against the oral formulation of mesalazine on the PBS with the lowest per mg price.</w:t>
      </w:r>
    </w:p>
    <w:p w:rsidR="00400AF5" w:rsidRPr="00F65F0D" w:rsidRDefault="00400AF5" w:rsidP="00400AF5">
      <w:r>
        <w:t xml:space="preserve">For further details refer to </w:t>
      </w:r>
      <w:r w:rsidRPr="00F65F0D">
        <w:t xml:space="preserve">the </w:t>
      </w:r>
      <w:r w:rsidRPr="00470C46">
        <w:t>PBAC outcomes</w:t>
      </w:r>
      <w:r w:rsidRPr="00F65F0D">
        <w:t xml:space="preserve"> from the </w:t>
      </w:r>
      <w:r>
        <w:t>March 2017 PBAC meeting.</w:t>
      </w:r>
    </w:p>
    <w:p w:rsidR="00E677DD" w:rsidRPr="005E22C2" w:rsidRDefault="00E677DD" w:rsidP="00CF5E22">
      <w:pPr>
        <w:pStyle w:val="Heading1"/>
      </w:pPr>
      <w:r w:rsidRPr="005E22C2">
        <w:t>Method</w:t>
      </w:r>
      <w:r w:rsidR="001B5D37" w:rsidRPr="005E22C2">
        <w:t>s</w:t>
      </w:r>
    </w:p>
    <w:p w:rsidR="00FB324C" w:rsidRDefault="00FB324C" w:rsidP="00FB324C">
      <w:r>
        <w:t xml:space="preserve">The analyses use data from </w:t>
      </w:r>
      <w:r w:rsidRPr="00130B7B">
        <w:t xml:space="preserve">the Department of Human Services (DHS) </w:t>
      </w:r>
      <w:r>
        <w:t xml:space="preserve">Authority approvals database and the DHS </w:t>
      </w:r>
      <w:r w:rsidRPr="00130B7B">
        <w:t>Medicare Supplied prescriptions database</w:t>
      </w:r>
      <w:r>
        <w:t xml:space="preserve">. Authorities data were extracted from January 2012 to </w:t>
      </w:r>
      <w:r w:rsidR="00214017">
        <w:t>March 2017</w:t>
      </w:r>
      <w:r>
        <w:t xml:space="preserve">. Prescription data were extracted from January 2012 to December 2016. </w:t>
      </w:r>
    </w:p>
    <w:p w:rsidR="00B47957" w:rsidRDefault="002A03F3" w:rsidP="00B47957">
      <w:r>
        <w:t xml:space="preserve">The item codes were </w:t>
      </w:r>
      <w:r w:rsidR="00B47957">
        <w:t>determined</w:t>
      </w:r>
      <w:r>
        <w:t xml:space="preserve"> from the </w:t>
      </w:r>
      <w:r w:rsidR="00B47957">
        <w:t xml:space="preserve">Item History file using ATCs. Respiratory ATCs were excluded. Item codes with form and strength descriptions containing the words "Ointment", "Cream", "Fatty ointment" and "Lotion" were excluded. </w:t>
      </w:r>
    </w:p>
    <w:p w:rsidR="00B47957" w:rsidRDefault="00B47957" w:rsidP="00B47957">
      <w:r>
        <w:t xml:space="preserve">The remaining item codes were used to determine the related restriction numbers. The item codes were divided into a group with related restriction numbers, and a group which were only unrestricted items. </w:t>
      </w:r>
    </w:p>
    <w:p w:rsidR="002A03F3" w:rsidRDefault="009B7EF0" w:rsidP="00B47957">
      <w:r>
        <w:t>Restriction numbers</w:t>
      </w:r>
      <w:r w:rsidR="00B47957">
        <w:t xml:space="preserve"> containing the words 'arthritis', 'transplant', 'psoriasis', 'dermatitis', 'proctitis', 'ankylosing', 'nephrotic', 'proctosigmoiditis', and 'infiltration' were excluded. The remaining restriction numbers were determined to </w:t>
      </w:r>
      <w:r>
        <w:t>relate</w:t>
      </w:r>
      <w:r w:rsidR="00B47957">
        <w:t xml:space="preserve"> to listings for Crohn disease, </w:t>
      </w:r>
      <w:r w:rsidR="006441BC">
        <w:t>UC</w:t>
      </w:r>
      <w:r w:rsidR="00B47957">
        <w:t>, or either.</w:t>
      </w:r>
      <w:r w:rsidR="00585AC5">
        <w:t xml:space="preserve"> The remaining restriction numbers were then used to determine the required item codes, and the item codes with only unrestricted items were also included.</w:t>
      </w:r>
      <w:r w:rsidR="00787367">
        <w:t xml:space="preserve"> Item codes were identified as rectal items if the form and strength field included the words </w:t>
      </w:r>
      <w:r w:rsidR="00787367" w:rsidRPr="00787367">
        <w:t>'enema'</w:t>
      </w:r>
      <w:r w:rsidR="00787367">
        <w:t>,</w:t>
      </w:r>
      <w:r w:rsidR="00787367" w:rsidRPr="00787367">
        <w:t xml:space="preserve"> 'rectal'</w:t>
      </w:r>
      <w:r w:rsidR="00787367">
        <w:t>,</w:t>
      </w:r>
      <w:r w:rsidR="00787367" w:rsidRPr="00787367">
        <w:t xml:space="preserve"> 'suppositories'</w:t>
      </w:r>
      <w:r w:rsidR="00787367">
        <w:t>, or</w:t>
      </w:r>
      <w:r w:rsidR="00787367" w:rsidRPr="00787367">
        <w:t xml:space="preserve"> 'suppository'</w:t>
      </w:r>
      <w:r w:rsidR="00787367">
        <w:t>.</w:t>
      </w:r>
    </w:p>
    <w:p w:rsidR="002A03F3" w:rsidRDefault="00FB324C" w:rsidP="00524D13">
      <w:r>
        <w:t>Using this list of item codes, prescription data were extracted from January 2012 to December 2016. This extraction included many patients who had received systemic steroid treatment for an undetermined condition. Using the lists of relevant restriction numbers, a patient analysis was undertaken to identify patients who had received an authority approval for Crohn disease</w:t>
      </w:r>
      <w:r w:rsidR="00955710">
        <w:t xml:space="preserve"> or</w:t>
      </w:r>
      <w:r>
        <w:t xml:space="preserve"> </w:t>
      </w:r>
      <w:r w:rsidR="006441BC">
        <w:t>UC</w:t>
      </w:r>
      <w:r>
        <w:t>. Patients were also included in the dataset if they had received a rectal steroid</w:t>
      </w:r>
      <w:r w:rsidR="00787367">
        <w:t xml:space="preserve"> using the item list </w:t>
      </w:r>
      <w:r w:rsidR="00195C94">
        <w:t xml:space="preserve">described </w:t>
      </w:r>
      <w:r w:rsidR="00787367">
        <w:t>above</w:t>
      </w:r>
      <w:r w:rsidR="00DE56A3">
        <w:t xml:space="preserve"> or received b</w:t>
      </w:r>
      <w:r w:rsidR="00DE56A3" w:rsidRPr="00DE56A3">
        <w:t xml:space="preserve">alsalazide, </w:t>
      </w:r>
      <w:r w:rsidR="00DE56A3">
        <w:t>mesalazine, or olsalazine</w:t>
      </w:r>
      <w:r w:rsidR="00787367">
        <w:t xml:space="preserve">. </w:t>
      </w:r>
    </w:p>
    <w:p w:rsidR="00787367" w:rsidRDefault="00787367" w:rsidP="00524D13">
      <w:r w:rsidRPr="00787367">
        <w:t xml:space="preserve">This data set was then analysed to determine if patients were being treated for </w:t>
      </w:r>
      <w:r w:rsidR="006441BC">
        <w:t>UC</w:t>
      </w:r>
      <w:r w:rsidRPr="00787367">
        <w:t xml:space="preserve"> or Crohn disease.</w:t>
      </w:r>
      <w:r>
        <w:t xml:space="preserve"> </w:t>
      </w:r>
      <w:r w:rsidR="00F87FD5">
        <w:t>Patients with 100% of authority codes</w:t>
      </w:r>
      <w:r w:rsidR="00955710">
        <w:t xml:space="preserve"> or</w:t>
      </w:r>
      <w:r w:rsidR="00F87FD5">
        <w:t xml:space="preserve"> streamlined codes</w:t>
      </w:r>
      <w:r w:rsidR="00955710">
        <w:t xml:space="preserve"> for UC were </w:t>
      </w:r>
      <w:r w:rsidR="00955710">
        <w:lastRenderedPageBreak/>
        <w:t>used for patient level analyses.</w:t>
      </w:r>
      <w:r w:rsidR="00612200">
        <w:t xml:space="preserve"> This method may underestimate the number of patients with UC, but </w:t>
      </w:r>
      <w:r w:rsidR="00DC57F0">
        <w:t>ensures analysis of prior therapy is not affected by patients with Crohn disease.</w:t>
      </w:r>
      <w:r w:rsidR="00672450">
        <w:t xml:space="preserve"> This method may also make it appear that the number of initiators is decreasing over time, as patients who initiated</w:t>
      </w:r>
      <w:r w:rsidR="00005A4E">
        <w:t xml:space="preserve"> in later years are less likely to have received an authority code which relates to UC.</w:t>
      </w:r>
    </w:p>
    <w:p w:rsidR="00524D13" w:rsidRDefault="00E7594B" w:rsidP="00524D13">
      <w:r>
        <w:t xml:space="preserve">As this analysis uses date of supply </w:t>
      </w:r>
      <w:r w:rsidR="005E085C">
        <w:t xml:space="preserve">prescription </w:t>
      </w:r>
      <w:r>
        <w:t>data, there may be small differences compared with publicly available Department of Human Services (DHS) Medicare date of processing data.</w:t>
      </w:r>
      <w:r w:rsidR="00576B18">
        <w:rPr>
          <w:rStyle w:val="FootnoteReference"/>
        </w:rPr>
        <w:footnoteReference w:id="3"/>
      </w:r>
      <w:r w:rsidR="00576B18">
        <w:t xml:space="preserve">  </w:t>
      </w:r>
      <w:r w:rsidR="0090691F">
        <w:t xml:space="preserve">The </w:t>
      </w:r>
      <w:r w:rsidR="00AC5054">
        <w:t xml:space="preserve">publicly available </w:t>
      </w:r>
      <w:r w:rsidR="0090691F">
        <w:t xml:space="preserve">DHS Medicare data </w:t>
      </w:r>
      <w:r w:rsidR="008E3F8C">
        <w:t xml:space="preserve">only </w:t>
      </w:r>
      <w:r w:rsidR="0090691F">
        <w:t xml:space="preserve">includes </w:t>
      </w:r>
      <w:r w:rsidR="00524D13">
        <w:t xml:space="preserve">subsidised R/PBS prescriptions </w:t>
      </w:r>
      <w:r w:rsidR="008E3F8C">
        <w:t xml:space="preserve">with prescriptions </w:t>
      </w:r>
      <w:r w:rsidR="00524D13">
        <w:t xml:space="preserve">under </w:t>
      </w:r>
      <w:r w:rsidR="00DD29A3">
        <w:t xml:space="preserve">the </w:t>
      </w:r>
      <w:r w:rsidR="00524D13">
        <w:t xml:space="preserve">patient co-payment </w:t>
      </w:r>
      <w:r w:rsidR="008E3F8C">
        <w:t>not included</w:t>
      </w:r>
      <w:r w:rsidR="00524D13">
        <w:t>.</w:t>
      </w:r>
      <w:r w:rsidR="00DD29A3">
        <w:t xml:space="preserve">  The DHS Medicare data used in this report includes under co-payment prescriptions from 1 April 2012.</w:t>
      </w:r>
    </w:p>
    <w:p w:rsidR="009C7782" w:rsidRDefault="00FC7F0D" w:rsidP="00A35800">
      <w:r w:rsidRPr="00CF7365">
        <w:t>The DUSC database combines data on PBS prescriptions submitted to the Department of Human Services (DHS) for payment of a PBS/RPBS subsidy by the Govern</w:t>
      </w:r>
      <w:r>
        <w:t>ment with an estimate of under</w:t>
      </w:r>
      <w:r w:rsidRPr="00CF7365">
        <w:t xml:space="preserve"> </w:t>
      </w:r>
      <w:r>
        <w:t xml:space="preserve">patient </w:t>
      </w:r>
      <w:r w:rsidRPr="00CF7365">
        <w:t>co-payment prescriptions based on dispensing data from a sample of pharmacies to the end of August 2012</w:t>
      </w:r>
      <w:r w:rsidR="001E42C7">
        <w:t>.  This was</w:t>
      </w:r>
      <w:r w:rsidRPr="00CF7365">
        <w:t xml:space="preserve"> replaced by actual under </w:t>
      </w:r>
      <w:r w:rsidR="00F23139">
        <w:t xml:space="preserve">patient </w:t>
      </w:r>
      <w:r w:rsidRPr="00CF7365">
        <w:t xml:space="preserve">co-payment </w:t>
      </w:r>
      <w:r w:rsidR="001E42C7">
        <w:t xml:space="preserve">prescription </w:t>
      </w:r>
      <w:r w:rsidRPr="00CF7365">
        <w:t>data from 1 April 2012.  The DUSC database includes an estimate of private prescriptions based on dispensing data from a sample of pharmacies to the end of August 2012</w:t>
      </w:r>
      <w:r>
        <w:t>.</w:t>
      </w:r>
      <w:r w:rsidR="00463731">
        <w:t xml:space="preserve">  An estimate of private prescriptions is not included from 1 September 2012.</w:t>
      </w:r>
    </w:p>
    <w:p w:rsidR="002A03F3" w:rsidRDefault="00AC5054" w:rsidP="002A03F3">
      <w:pPr>
        <w:rPr>
          <w:rFonts w:eastAsia="Calibri" w:cs="Times New Roman"/>
        </w:rPr>
      </w:pPr>
      <w:r>
        <w:rPr>
          <w:rFonts w:eastAsia="Calibri" w:cs="Times New Roman"/>
        </w:rPr>
        <w:t>From 1 July 2013 there was complete prescription data capture for HSD prescriptions dispensed by public and private hospital pharmacies.</w:t>
      </w:r>
      <w:r w:rsidR="00495473">
        <w:rPr>
          <w:rFonts w:eastAsia="Calibri" w:cs="Times New Roman"/>
        </w:rPr>
        <w:t xml:space="preserve"> </w:t>
      </w:r>
      <w:r w:rsidR="002A03F3">
        <w:rPr>
          <w:rFonts w:eastAsia="Calibri" w:cs="Times New Roman"/>
        </w:rPr>
        <w:t xml:space="preserve">The s100 medicines listed for </w:t>
      </w:r>
      <w:r w:rsidR="006441BC">
        <w:rPr>
          <w:rFonts w:eastAsia="Calibri" w:cs="Times New Roman"/>
        </w:rPr>
        <w:t>UC</w:t>
      </w:r>
      <w:r w:rsidR="002A03F3">
        <w:rPr>
          <w:rFonts w:eastAsia="Calibri" w:cs="Times New Roman"/>
        </w:rPr>
        <w:t xml:space="preserve">, infliximab and vedolizumab, were listed for </w:t>
      </w:r>
      <w:r w:rsidR="005C57BA">
        <w:rPr>
          <w:rFonts w:eastAsia="Calibri" w:cs="Times New Roman"/>
        </w:rPr>
        <w:t>this indication</w:t>
      </w:r>
      <w:r w:rsidR="002A03F3">
        <w:rPr>
          <w:rFonts w:eastAsia="Calibri" w:cs="Times New Roman"/>
        </w:rPr>
        <w:t xml:space="preserve"> on </w:t>
      </w:r>
      <w:r w:rsidR="002A03F3" w:rsidRPr="002A03F3">
        <w:rPr>
          <w:rFonts w:eastAsia="Calibri" w:cs="Times New Roman"/>
        </w:rPr>
        <w:t>1 April 2014</w:t>
      </w:r>
      <w:r w:rsidR="002A03F3">
        <w:rPr>
          <w:rFonts w:eastAsia="Calibri" w:cs="Times New Roman"/>
        </w:rPr>
        <w:t xml:space="preserve"> and </w:t>
      </w:r>
      <w:r w:rsidR="002A03F3" w:rsidRPr="002A03F3">
        <w:rPr>
          <w:rFonts w:eastAsia="Calibri" w:cs="Times New Roman"/>
        </w:rPr>
        <w:t>1 August 2015</w:t>
      </w:r>
      <w:r w:rsidR="002A03F3">
        <w:rPr>
          <w:rFonts w:eastAsia="Calibri" w:cs="Times New Roman"/>
        </w:rPr>
        <w:t xml:space="preserve"> respectively.</w:t>
      </w:r>
    </w:p>
    <w:p w:rsidR="002A03F3" w:rsidRPr="000226B3" w:rsidRDefault="002A03F3" w:rsidP="002A03F3">
      <w:pPr>
        <w:rPr>
          <w:rFonts w:eastAsia="Calibri" w:cs="Times New Roman"/>
        </w:rPr>
      </w:pPr>
      <w:r>
        <w:rPr>
          <w:rFonts w:eastAsia="Calibri" w:cs="Times New Roman"/>
        </w:rPr>
        <w:t>Analyses were undertaken in SAS.</w:t>
      </w:r>
    </w:p>
    <w:p w:rsidR="006441BC" w:rsidRDefault="006441BC">
      <w:pPr>
        <w:spacing w:line="276" w:lineRule="auto"/>
        <w:rPr>
          <w:rFonts w:eastAsiaTheme="majorEastAsia" w:cstheme="majorBidi"/>
          <w:b/>
          <w:bCs/>
          <w:sz w:val="32"/>
          <w:szCs w:val="32"/>
        </w:rPr>
      </w:pPr>
      <w:r>
        <w:br w:type="page"/>
      </w:r>
    </w:p>
    <w:p w:rsidR="00C714D0" w:rsidRPr="005E22C2" w:rsidRDefault="00C714D0" w:rsidP="00CF5E22">
      <w:pPr>
        <w:pStyle w:val="Heading1"/>
      </w:pPr>
      <w:r w:rsidRPr="005E22C2">
        <w:lastRenderedPageBreak/>
        <w:t>Results</w:t>
      </w:r>
    </w:p>
    <w:p w:rsidR="00736041" w:rsidRPr="005E22C2" w:rsidRDefault="001B5D37" w:rsidP="00346DA0">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rsidR="000735C5" w:rsidRDefault="000735C5" w:rsidP="000735C5">
      <w:pPr>
        <w:pStyle w:val="Heading3"/>
      </w:pPr>
      <w:r>
        <w:t>Patient cohort</w:t>
      </w:r>
    </w:p>
    <w:p w:rsidR="00D8779D" w:rsidRDefault="001F757B" w:rsidP="00D8779D">
      <w:r>
        <w:t>All patients who h</w:t>
      </w:r>
      <w:r w:rsidR="00195C94">
        <w:t>ad a prescription for UC or C</w:t>
      </w:r>
      <w:r>
        <w:t xml:space="preserve">rohn </w:t>
      </w:r>
      <w:r w:rsidR="00195C94">
        <w:t xml:space="preserve">disease </w:t>
      </w:r>
      <w:r w:rsidR="002E3A48">
        <w:t>between 2012 and</w:t>
      </w:r>
      <w:r>
        <w:t xml:space="preserve"> 2016 were identified. </w:t>
      </w:r>
      <w:r w:rsidR="00CD4540">
        <w:t>Within this group of patients it was identified some patients had prescriptions with Authority codes for rheumatoid arthritis or psoriatic arthritis. These prescriptions were excluded from the dataset. Then, all</w:t>
      </w:r>
      <w:r w:rsidR="00C34866">
        <w:t xml:space="preserve"> Authority codes or streamlined restriction codes for either UC or </w:t>
      </w:r>
      <w:r w:rsidR="00195C94">
        <w:t xml:space="preserve">Crohn disease </w:t>
      </w:r>
      <w:r w:rsidR="00CD4540">
        <w:t>were identified</w:t>
      </w:r>
      <w:r w:rsidR="00C34866">
        <w:t>.</w:t>
      </w:r>
      <w:r w:rsidR="000F653D">
        <w:t xml:space="preserve"> </w:t>
      </w:r>
      <w:r w:rsidR="00F410EC">
        <w:t xml:space="preserve">This report </w:t>
      </w:r>
      <w:r w:rsidR="00F410EC" w:rsidRPr="00414BFD">
        <w:t xml:space="preserve">analyses the medicine use of the cohort of </w:t>
      </w:r>
      <w:r w:rsidR="000641DC" w:rsidRPr="000641DC">
        <w:t>54,785</w:t>
      </w:r>
      <w:r w:rsidR="000641DC">
        <w:t xml:space="preserve"> </w:t>
      </w:r>
      <w:r w:rsidR="00F410EC" w:rsidRPr="00414BFD">
        <w:t>patients with 100% of restriction codes</w:t>
      </w:r>
      <w:r w:rsidR="00F410EC">
        <w:t xml:space="preserve"> indicating use is for UC. </w:t>
      </w:r>
    </w:p>
    <w:p w:rsidR="00195C94" w:rsidRPr="005C3DC7" w:rsidRDefault="00245624" w:rsidP="005C3DC7">
      <w:pPr>
        <w:pStyle w:val="Tabletitle"/>
        <w:rPr>
          <w:i w:val="0"/>
        </w:rPr>
      </w:pPr>
      <w:r w:rsidRPr="005C3DC7">
        <w:rPr>
          <w:i w:val="0"/>
        </w:rPr>
        <w:t>Table 3</w:t>
      </w:r>
      <w:r w:rsidR="00195C94" w:rsidRPr="005C3DC7">
        <w:rPr>
          <w:i w:val="0"/>
        </w:rPr>
        <w:t xml:space="preserve">: </w:t>
      </w:r>
      <w:r w:rsidRPr="005C3DC7">
        <w:rPr>
          <w:i w:val="0"/>
        </w:rPr>
        <w:t>Determination of UC cohort</w:t>
      </w:r>
    </w:p>
    <w:tbl>
      <w:tblPr>
        <w:tblW w:w="8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etermination of UC cohort"/>
        <w:tblDescription w:val="Number of patients in each group of the UC cohort"/>
      </w:tblPr>
      <w:tblGrid>
        <w:gridCol w:w="4540"/>
        <w:gridCol w:w="3555"/>
      </w:tblGrid>
      <w:tr w:rsidR="001F757B" w:rsidRPr="002E3A48" w:rsidTr="00E32996">
        <w:trPr>
          <w:trHeight w:val="300"/>
        </w:trPr>
        <w:tc>
          <w:tcPr>
            <w:tcW w:w="4540" w:type="dxa"/>
            <w:shd w:val="clear" w:color="auto" w:fill="BFBFBF" w:themeFill="background1" w:themeFillShade="BF"/>
            <w:noWrap/>
            <w:vAlign w:val="bottom"/>
          </w:tcPr>
          <w:p w:rsidR="001F757B" w:rsidRPr="002E3A48" w:rsidRDefault="001F757B" w:rsidP="001F757B">
            <w:pPr>
              <w:spacing w:after="0"/>
              <w:rPr>
                <w:rFonts w:ascii="Calibri" w:eastAsia="Times New Roman" w:hAnsi="Calibri" w:cs="Times New Roman"/>
                <w:b/>
                <w:color w:val="000000"/>
                <w:sz w:val="20"/>
                <w:szCs w:val="20"/>
              </w:rPr>
            </w:pPr>
            <w:r w:rsidRPr="002E3A48">
              <w:rPr>
                <w:rFonts w:ascii="Calibri" w:eastAsia="Times New Roman" w:hAnsi="Calibri" w:cs="Times New Roman"/>
                <w:b/>
                <w:color w:val="000000"/>
                <w:sz w:val="20"/>
                <w:szCs w:val="20"/>
              </w:rPr>
              <w:t>Patient group</w:t>
            </w:r>
          </w:p>
        </w:tc>
        <w:tc>
          <w:tcPr>
            <w:tcW w:w="3555" w:type="dxa"/>
            <w:shd w:val="clear" w:color="auto" w:fill="BFBFBF" w:themeFill="background1" w:themeFillShade="BF"/>
            <w:noWrap/>
            <w:vAlign w:val="center"/>
          </w:tcPr>
          <w:p w:rsidR="001F757B" w:rsidRPr="002E3A48" w:rsidRDefault="001F757B" w:rsidP="002E3A48">
            <w:pPr>
              <w:spacing w:after="0"/>
              <w:jc w:val="right"/>
              <w:rPr>
                <w:rFonts w:ascii="Calibri" w:eastAsia="Times New Roman" w:hAnsi="Calibri" w:cs="Times New Roman"/>
                <w:b/>
                <w:color w:val="000000"/>
                <w:sz w:val="20"/>
                <w:szCs w:val="20"/>
              </w:rPr>
            </w:pPr>
            <w:r w:rsidRPr="002E3A48">
              <w:rPr>
                <w:rFonts w:ascii="Calibri" w:eastAsia="Times New Roman" w:hAnsi="Calibri" w:cs="Times New Roman"/>
                <w:b/>
                <w:color w:val="000000"/>
                <w:sz w:val="20"/>
                <w:szCs w:val="20"/>
              </w:rPr>
              <w:t>Number</w:t>
            </w:r>
          </w:p>
        </w:tc>
      </w:tr>
      <w:tr w:rsidR="001F757B" w:rsidRPr="002E3A48" w:rsidTr="00E57C64">
        <w:trPr>
          <w:trHeight w:val="300"/>
        </w:trPr>
        <w:tc>
          <w:tcPr>
            <w:tcW w:w="4540" w:type="dxa"/>
            <w:shd w:val="clear" w:color="auto" w:fill="auto"/>
            <w:noWrap/>
            <w:vAlign w:val="center"/>
            <w:hideMark/>
          </w:tcPr>
          <w:p w:rsidR="001F757B" w:rsidRPr="002E3A48" w:rsidRDefault="001F757B" w:rsidP="00E57C64">
            <w:pPr>
              <w:spacing w:after="0"/>
              <w:rPr>
                <w:rFonts w:ascii="Calibri" w:eastAsia="Times New Roman" w:hAnsi="Calibri" w:cs="Times New Roman"/>
                <w:color w:val="000000"/>
                <w:sz w:val="20"/>
                <w:szCs w:val="20"/>
              </w:rPr>
            </w:pPr>
            <w:r w:rsidRPr="002E3A48">
              <w:rPr>
                <w:rFonts w:ascii="Calibri" w:eastAsia="Times New Roman" w:hAnsi="Calibri" w:cs="Times New Roman"/>
                <w:color w:val="000000"/>
                <w:sz w:val="20"/>
                <w:szCs w:val="20"/>
              </w:rPr>
              <w:t>Patients without an identifying authority or restriction code</w:t>
            </w:r>
          </w:p>
        </w:tc>
        <w:tc>
          <w:tcPr>
            <w:tcW w:w="3555" w:type="dxa"/>
            <w:shd w:val="clear" w:color="auto" w:fill="auto"/>
            <w:noWrap/>
            <w:vAlign w:val="center"/>
            <w:hideMark/>
          </w:tcPr>
          <w:p w:rsidR="001F757B" w:rsidRPr="002E3A48" w:rsidRDefault="002E3A48" w:rsidP="000641DC">
            <w:pPr>
              <w:spacing w:after="0"/>
              <w:jc w:val="right"/>
              <w:rPr>
                <w:rFonts w:ascii="Calibri" w:eastAsia="Times New Roman" w:hAnsi="Calibri" w:cs="Times New Roman"/>
                <w:color w:val="000000"/>
                <w:sz w:val="20"/>
                <w:szCs w:val="20"/>
              </w:rPr>
            </w:pPr>
            <w:r w:rsidRPr="002E3A48">
              <w:rPr>
                <w:sz w:val="20"/>
                <w:szCs w:val="20"/>
              </w:rPr>
              <w:t>22</w:t>
            </w:r>
            <w:r>
              <w:rPr>
                <w:sz w:val="20"/>
                <w:szCs w:val="20"/>
              </w:rPr>
              <w:t>,</w:t>
            </w:r>
            <w:r w:rsidR="000641DC">
              <w:rPr>
                <w:sz w:val="20"/>
                <w:szCs w:val="20"/>
              </w:rPr>
              <w:t>719</w:t>
            </w:r>
          </w:p>
        </w:tc>
      </w:tr>
      <w:tr w:rsidR="001F757B" w:rsidRPr="002E3A48" w:rsidTr="00E57C64">
        <w:trPr>
          <w:trHeight w:val="300"/>
        </w:trPr>
        <w:tc>
          <w:tcPr>
            <w:tcW w:w="4540" w:type="dxa"/>
            <w:shd w:val="clear" w:color="auto" w:fill="auto"/>
            <w:noWrap/>
            <w:vAlign w:val="center"/>
            <w:hideMark/>
          </w:tcPr>
          <w:p w:rsidR="001F757B" w:rsidRPr="002E3A48" w:rsidRDefault="001F757B" w:rsidP="00E57C64">
            <w:pPr>
              <w:spacing w:after="0"/>
              <w:rPr>
                <w:rFonts w:ascii="Calibri" w:eastAsia="Times New Roman" w:hAnsi="Calibri" w:cs="Times New Roman"/>
                <w:color w:val="000000"/>
                <w:sz w:val="20"/>
                <w:szCs w:val="20"/>
              </w:rPr>
            </w:pPr>
            <w:r w:rsidRPr="002E3A48">
              <w:rPr>
                <w:rFonts w:ascii="Calibri" w:eastAsia="Times New Roman" w:hAnsi="Calibri" w:cs="Times New Roman"/>
                <w:color w:val="000000"/>
                <w:sz w:val="20"/>
                <w:szCs w:val="20"/>
              </w:rPr>
              <w:t>All codes were for UC</w:t>
            </w:r>
          </w:p>
        </w:tc>
        <w:tc>
          <w:tcPr>
            <w:tcW w:w="3555" w:type="dxa"/>
            <w:shd w:val="clear" w:color="auto" w:fill="auto"/>
            <w:noWrap/>
            <w:vAlign w:val="center"/>
            <w:hideMark/>
          </w:tcPr>
          <w:p w:rsidR="001F757B" w:rsidRPr="002E3A48" w:rsidRDefault="002E3A48" w:rsidP="000641DC">
            <w:pPr>
              <w:spacing w:after="0"/>
              <w:jc w:val="right"/>
              <w:rPr>
                <w:rFonts w:ascii="Calibri" w:eastAsia="Times New Roman" w:hAnsi="Calibri" w:cs="Times New Roman"/>
                <w:color w:val="000000"/>
                <w:sz w:val="20"/>
                <w:szCs w:val="20"/>
              </w:rPr>
            </w:pPr>
            <w:r w:rsidRPr="002E3A48">
              <w:rPr>
                <w:sz w:val="20"/>
                <w:szCs w:val="20"/>
              </w:rPr>
              <w:t>54</w:t>
            </w:r>
            <w:r>
              <w:rPr>
                <w:sz w:val="20"/>
                <w:szCs w:val="20"/>
              </w:rPr>
              <w:t>,</w:t>
            </w:r>
            <w:r w:rsidRPr="002E3A48">
              <w:rPr>
                <w:sz w:val="20"/>
                <w:szCs w:val="20"/>
              </w:rPr>
              <w:t>7</w:t>
            </w:r>
            <w:r w:rsidR="000641DC">
              <w:rPr>
                <w:sz w:val="20"/>
                <w:szCs w:val="20"/>
              </w:rPr>
              <w:t>85</w:t>
            </w:r>
          </w:p>
        </w:tc>
      </w:tr>
      <w:tr w:rsidR="001F757B" w:rsidRPr="002E3A48" w:rsidTr="00E57C64">
        <w:trPr>
          <w:trHeight w:val="300"/>
        </w:trPr>
        <w:tc>
          <w:tcPr>
            <w:tcW w:w="4540" w:type="dxa"/>
            <w:shd w:val="clear" w:color="auto" w:fill="auto"/>
            <w:noWrap/>
            <w:vAlign w:val="center"/>
            <w:hideMark/>
          </w:tcPr>
          <w:p w:rsidR="001F757B" w:rsidRPr="002E3A48" w:rsidRDefault="001F757B" w:rsidP="00E57C64">
            <w:pPr>
              <w:spacing w:after="0"/>
              <w:rPr>
                <w:rFonts w:ascii="Calibri" w:eastAsia="Times New Roman" w:hAnsi="Calibri" w:cs="Times New Roman"/>
                <w:color w:val="000000"/>
                <w:sz w:val="20"/>
                <w:szCs w:val="20"/>
              </w:rPr>
            </w:pPr>
            <w:r w:rsidRPr="002E3A48">
              <w:rPr>
                <w:rFonts w:ascii="Calibri" w:eastAsia="Times New Roman" w:hAnsi="Calibri" w:cs="Times New Roman"/>
                <w:color w:val="000000"/>
                <w:sz w:val="20"/>
                <w:szCs w:val="20"/>
              </w:rPr>
              <w:t xml:space="preserve">All codes were for </w:t>
            </w:r>
            <w:r w:rsidR="00195C94" w:rsidRPr="00195C94">
              <w:rPr>
                <w:rFonts w:ascii="Calibri" w:eastAsia="Times New Roman" w:hAnsi="Calibri" w:cs="Times New Roman"/>
                <w:color w:val="000000"/>
                <w:sz w:val="20"/>
                <w:szCs w:val="20"/>
              </w:rPr>
              <w:t>Crohn disease</w:t>
            </w:r>
          </w:p>
        </w:tc>
        <w:tc>
          <w:tcPr>
            <w:tcW w:w="3555" w:type="dxa"/>
            <w:shd w:val="clear" w:color="auto" w:fill="auto"/>
            <w:noWrap/>
            <w:vAlign w:val="center"/>
            <w:hideMark/>
          </w:tcPr>
          <w:p w:rsidR="001F757B" w:rsidRPr="002E3A48" w:rsidRDefault="002E3A48" w:rsidP="000641DC">
            <w:pPr>
              <w:spacing w:after="0"/>
              <w:jc w:val="right"/>
              <w:rPr>
                <w:rFonts w:ascii="Calibri" w:eastAsia="Times New Roman" w:hAnsi="Calibri" w:cs="Times New Roman"/>
                <w:color w:val="000000"/>
                <w:sz w:val="20"/>
                <w:szCs w:val="20"/>
              </w:rPr>
            </w:pPr>
            <w:r w:rsidRPr="002E3A48">
              <w:rPr>
                <w:sz w:val="20"/>
                <w:szCs w:val="20"/>
              </w:rPr>
              <w:t>15</w:t>
            </w:r>
            <w:r>
              <w:rPr>
                <w:sz w:val="20"/>
                <w:szCs w:val="20"/>
              </w:rPr>
              <w:t>,</w:t>
            </w:r>
            <w:r w:rsidRPr="002E3A48">
              <w:rPr>
                <w:sz w:val="20"/>
                <w:szCs w:val="20"/>
              </w:rPr>
              <w:t>3</w:t>
            </w:r>
            <w:r w:rsidR="000641DC">
              <w:rPr>
                <w:sz w:val="20"/>
                <w:szCs w:val="20"/>
              </w:rPr>
              <w:t>94</w:t>
            </w:r>
          </w:p>
        </w:tc>
      </w:tr>
      <w:tr w:rsidR="001F757B" w:rsidRPr="002E3A48" w:rsidTr="00E57C64">
        <w:trPr>
          <w:trHeight w:val="300"/>
        </w:trPr>
        <w:tc>
          <w:tcPr>
            <w:tcW w:w="4540" w:type="dxa"/>
            <w:shd w:val="clear" w:color="auto" w:fill="auto"/>
            <w:noWrap/>
            <w:vAlign w:val="center"/>
            <w:hideMark/>
          </w:tcPr>
          <w:p w:rsidR="001F757B" w:rsidRPr="002E3A48" w:rsidRDefault="001F757B" w:rsidP="00E57C64">
            <w:pPr>
              <w:spacing w:after="0"/>
              <w:rPr>
                <w:rFonts w:ascii="Calibri" w:eastAsia="Times New Roman" w:hAnsi="Calibri" w:cs="Times New Roman"/>
                <w:color w:val="000000"/>
                <w:sz w:val="20"/>
                <w:szCs w:val="20"/>
              </w:rPr>
            </w:pPr>
            <w:r w:rsidRPr="002E3A48">
              <w:rPr>
                <w:rFonts w:ascii="Calibri" w:eastAsia="Times New Roman" w:hAnsi="Calibri" w:cs="Times New Roman"/>
                <w:color w:val="000000"/>
                <w:sz w:val="20"/>
                <w:szCs w:val="20"/>
              </w:rPr>
              <w:t xml:space="preserve">Codes were a mixture of UC and </w:t>
            </w:r>
            <w:r w:rsidR="00195C94" w:rsidRPr="00195C94">
              <w:rPr>
                <w:rFonts w:ascii="Calibri" w:eastAsia="Times New Roman" w:hAnsi="Calibri" w:cs="Times New Roman"/>
                <w:color w:val="000000"/>
                <w:sz w:val="20"/>
                <w:szCs w:val="20"/>
              </w:rPr>
              <w:t xml:space="preserve">Crohn disease </w:t>
            </w:r>
          </w:p>
        </w:tc>
        <w:tc>
          <w:tcPr>
            <w:tcW w:w="3555" w:type="dxa"/>
            <w:shd w:val="clear" w:color="auto" w:fill="auto"/>
            <w:noWrap/>
            <w:vAlign w:val="center"/>
            <w:hideMark/>
          </w:tcPr>
          <w:p w:rsidR="001F757B" w:rsidRPr="002E3A48" w:rsidRDefault="002E3A48" w:rsidP="000641DC">
            <w:pPr>
              <w:spacing w:after="0"/>
              <w:jc w:val="right"/>
              <w:rPr>
                <w:rFonts w:ascii="Calibri" w:eastAsia="Times New Roman" w:hAnsi="Calibri" w:cs="Times New Roman"/>
                <w:color w:val="000000"/>
                <w:sz w:val="20"/>
                <w:szCs w:val="20"/>
              </w:rPr>
            </w:pPr>
            <w:r w:rsidRPr="002E3A48">
              <w:rPr>
                <w:sz w:val="20"/>
                <w:szCs w:val="20"/>
              </w:rPr>
              <w:t>13</w:t>
            </w:r>
            <w:r>
              <w:rPr>
                <w:sz w:val="20"/>
                <w:szCs w:val="20"/>
              </w:rPr>
              <w:t>,</w:t>
            </w:r>
            <w:r w:rsidRPr="002E3A48">
              <w:rPr>
                <w:sz w:val="20"/>
                <w:szCs w:val="20"/>
              </w:rPr>
              <w:t>8</w:t>
            </w:r>
            <w:r w:rsidR="000641DC">
              <w:rPr>
                <w:sz w:val="20"/>
                <w:szCs w:val="20"/>
              </w:rPr>
              <w:t>79</w:t>
            </w:r>
          </w:p>
        </w:tc>
      </w:tr>
      <w:tr w:rsidR="00E57C64" w:rsidRPr="002E3A48" w:rsidTr="00E57C64">
        <w:trPr>
          <w:trHeight w:val="300"/>
        </w:trPr>
        <w:tc>
          <w:tcPr>
            <w:tcW w:w="4540" w:type="dxa"/>
            <w:shd w:val="clear" w:color="auto" w:fill="auto"/>
            <w:noWrap/>
            <w:vAlign w:val="center"/>
          </w:tcPr>
          <w:p w:rsidR="00E57C64" w:rsidRPr="002E3A48" w:rsidRDefault="00E57C64" w:rsidP="00E57C64">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Total patients</w:t>
            </w:r>
          </w:p>
        </w:tc>
        <w:tc>
          <w:tcPr>
            <w:tcW w:w="3555" w:type="dxa"/>
            <w:shd w:val="clear" w:color="auto" w:fill="auto"/>
            <w:noWrap/>
            <w:vAlign w:val="center"/>
          </w:tcPr>
          <w:p w:rsidR="00E57C64" w:rsidRPr="002E3A48" w:rsidRDefault="000641DC" w:rsidP="00233C66">
            <w:pPr>
              <w:spacing w:after="0"/>
              <w:jc w:val="right"/>
              <w:rPr>
                <w:sz w:val="20"/>
                <w:szCs w:val="20"/>
              </w:rPr>
            </w:pPr>
            <w:r>
              <w:rPr>
                <w:sz w:val="20"/>
                <w:szCs w:val="20"/>
              </w:rPr>
              <w:t>106,777</w:t>
            </w:r>
          </w:p>
        </w:tc>
      </w:tr>
    </w:tbl>
    <w:p w:rsidR="002E3A48" w:rsidRDefault="002E3A48" w:rsidP="00D8779D">
      <w:pPr>
        <w:rPr>
          <w:highlight w:val="green"/>
        </w:rPr>
      </w:pPr>
    </w:p>
    <w:p w:rsidR="000735C5" w:rsidRDefault="000735C5" w:rsidP="000735C5">
      <w:pPr>
        <w:pStyle w:val="Heading3"/>
      </w:pPr>
      <w:r w:rsidRPr="005E22C2">
        <w:t>Overall utilisation</w:t>
      </w:r>
    </w:p>
    <w:p w:rsidR="000735C5" w:rsidRDefault="000735C5" w:rsidP="00D8779D">
      <w:r>
        <w:t xml:space="preserve">Medicine use </w:t>
      </w:r>
      <w:r w:rsidR="002E3A48">
        <w:t xml:space="preserve">for the </w:t>
      </w:r>
      <w:r w:rsidR="002B71FF" w:rsidRPr="00414BFD">
        <w:t xml:space="preserve">cohort of </w:t>
      </w:r>
      <w:r w:rsidR="002B71FF" w:rsidRPr="000641DC">
        <w:t>54,785</w:t>
      </w:r>
      <w:r w:rsidR="002B71FF">
        <w:t xml:space="preserve"> </w:t>
      </w:r>
      <w:r w:rsidR="002B71FF" w:rsidRPr="00414BFD">
        <w:t>patients with 100% of restriction codes</w:t>
      </w:r>
      <w:r w:rsidR="002B71FF">
        <w:t xml:space="preserve"> for UC </w:t>
      </w:r>
      <w:r>
        <w:t xml:space="preserve">is </w:t>
      </w:r>
      <w:r w:rsidRPr="006441BC">
        <w:t>shown in Figure</w:t>
      </w:r>
      <w:r w:rsidR="00803694" w:rsidRPr="006441BC">
        <w:t>s</w:t>
      </w:r>
      <w:r w:rsidR="006441BC" w:rsidRPr="006441BC">
        <w:t xml:space="preserve"> 1 to 5</w:t>
      </w:r>
      <w:r w:rsidRPr="006441BC">
        <w:t>.</w:t>
      </w:r>
      <w:r w:rsidR="00E34F17" w:rsidRPr="006441BC">
        <w:t xml:space="preserve"> As there are</w:t>
      </w:r>
      <w:r w:rsidR="00E34F17">
        <w:t xml:space="preserve"> many medicines which can be administered by different methods to treat UC, </w:t>
      </w:r>
      <w:r w:rsidR="00F55E25">
        <w:t>the medicines have been grouped and presented according to their</w:t>
      </w:r>
      <w:r w:rsidR="0038509A">
        <w:t xml:space="preserve"> </w:t>
      </w:r>
      <w:r w:rsidR="00F55E25">
        <w:t>place in therapy</w:t>
      </w:r>
      <w:r w:rsidR="0038509A">
        <w:t>.</w:t>
      </w:r>
    </w:p>
    <w:p w:rsidR="00E34F17" w:rsidRDefault="00E34F17" w:rsidP="00D8779D"/>
    <w:p w:rsidR="00D8779D" w:rsidRDefault="00E34F17" w:rsidP="00A35800">
      <w:pPr>
        <w:rPr>
          <w:highlight w:val="yellow"/>
        </w:rPr>
      </w:pPr>
      <w:r>
        <w:rPr>
          <w:noProof/>
        </w:rPr>
        <w:lastRenderedPageBreak/>
        <w:drawing>
          <wp:inline distT="0" distB="0" distL="0" distR="0" wp14:anchorId="7CE2CE0D" wp14:editId="2407BE24">
            <wp:extent cx="5687695" cy="3709763"/>
            <wp:effectExtent l="0" t="0" r="27305" b="24130"/>
            <wp:docPr id="1" name="Chart 1" descr="Prescriptions for UC patients of 5-ASAs administered orally" title="Prescriptions for UC patients of 5-ASAs administered orally"/>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95EE5" w:rsidRPr="005C3DC7" w:rsidRDefault="00E34F17" w:rsidP="00346DA0">
      <w:pPr>
        <w:pStyle w:val="Figuretitle"/>
        <w:rPr>
          <w:i w:val="0"/>
        </w:rPr>
      </w:pPr>
      <w:r w:rsidRPr="005C3DC7">
        <w:rPr>
          <w:i w:val="0"/>
        </w:rPr>
        <w:t xml:space="preserve">Figure </w:t>
      </w:r>
      <w:r w:rsidR="00245624" w:rsidRPr="005C3DC7">
        <w:rPr>
          <w:i w:val="0"/>
        </w:rPr>
        <w:t>1</w:t>
      </w:r>
      <w:r w:rsidRPr="005C3DC7">
        <w:rPr>
          <w:i w:val="0"/>
        </w:rPr>
        <w:t>: Prescriptions for</w:t>
      </w:r>
      <w:r w:rsidR="00972436" w:rsidRPr="005C3DC7">
        <w:rPr>
          <w:i w:val="0"/>
        </w:rPr>
        <w:t xml:space="preserve"> UC patients of</w:t>
      </w:r>
      <w:r w:rsidRPr="005C3DC7">
        <w:rPr>
          <w:i w:val="0"/>
        </w:rPr>
        <w:t xml:space="preserve"> 5-ASAs administered orally</w:t>
      </w:r>
    </w:p>
    <w:p w:rsidR="00E34F17" w:rsidRDefault="00E34F17" w:rsidP="00E34F17"/>
    <w:p w:rsidR="00E34F17" w:rsidRDefault="00E34F17" w:rsidP="00E34F17">
      <w:r>
        <w:t xml:space="preserve">Use of mesalazine dominates the oral 5-ASA market in the treatment of UC. </w:t>
      </w:r>
      <w:r w:rsidR="00265F9E">
        <w:t xml:space="preserve">The </w:t>
      </w:r>
      <w:r>
        <w:t>PBS restrictions state oral mesalazine, balsalazine and olsalazine should be tried after failure of sulfasalazine.</w:t>
      </w:r>
    </w:p>
    <w:p w:rsidR="00E34F17" w:rsidRPr="00985CFD" w:rsidRDefault="00853F28" w:rsidP="00E34F17">
      <w:r>
        <w:t>Across all forms, m</w:t>
      </w:r>
      <w:r w:rsidR="00E34F17">
        <w:t>esalazine is the highest use medicine by at least a factor of 5.</w:t>
      </w:r>
    </w:p>
    <w:p w:rsidR="00F55E25" w:rsidRDefault="00F55E25" w:rsidP="00F55E25">
      <w:pPr>
        <w:keepNext/>
        <w:rPr>
          <w:highlight w:val="yellow"/>
        </w:rPr>
      </w:pPr>
      <w:r>
        <w:rPr>
          <w:noProof/>
        </w:rPr>
        <w:lastRenderedPageBreak/>
        <w:drawing>
          <wp:inline distT="0" distB="0" distL="0" distR="0" wp14:anchorId="58161EB4" wp14:editId="63A4BEFF">
            <wp:extent cx="5687695" cy="3709763"/>
            <wp:effectExtent l="0" t="0" r="27305" b="24130"/>
            <wp:docPr id="13" name="Chart 13" descr="Prescriptions for medicines for UC administered rectally, by month" title="Prescriptions for medicines for UC administered rectally, by month"/>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55E25" w:rsidRPr="005C3DC7" w:rsidRDefault="00F55E25" w:rsidP="00346DA0">
      <w:pPr>
        <w:pStyle w:val="Figuretitle"/>
        <w:rPr>
          <w:i w:val="0"/>
        </w:rPr>
      </w:pPr>
      <w:r w:rsidRPr="005C3DC7">
        <w:rPr>
          <w:i w:val="0"/>
        </w:rPr>
        <w:t xml:space="preserve">Figure </w:t>
      </w:r>
      <w:r w:rsidR="00245624" w:rsidRPr="005C3DC7">
        <w:rPr>
          <w:i w:val="0"/>
        </w:rPr>
        <w:t>2</w:t>
      </w:r>
      <w:r w:rsidRPr="005C3DC7">
        <w:rPr>
          <w:i w:val="0"/>
        </w:rPr>
        <w:t>: Prescriptions for medicines for UC administered rectally, by month</w:t>
      </w:r>
    </w:p>
    <w:p w:rsidR="00F55E25" w:rsidRDefault="00F55E25" w:rsidP="00F55E25"/>
    <w:p w:rsidR="00F55E25" w:rsidRDefault="00F55E25" w:rsidP="00F55E25">
      <w:r>
        <w:t>The 5-ASA mesalazine has the highest use of the rectal preparations.</w:t>
      </w:r>
    </w:p>
    <w:p w:rsidR="00F55E25" w:rsidRPr="007E258F" w:rsidRDefault="00F55E25" w:rsidP="00F55E25">
      <w:r>
        <w:t>The introduction of the budesonide</w:t>
      </w:r>
      <w:r w:rsidRPr="001239E2">
        <w:t xml:space="preserve"> foam enema</w:t>
      </w:r>
      <w:r>
        <w:t xml:space="preserve"> does not appear to have affected the overall market. It was predicted that the listing of the budesonide</w:t>
      </w:r>
      <w:r w:rsidRPr="001239E2">
        <w:t xml:space="preserve"> foam enema</w:t>
      </w:r>
      <w:r>
        <w:t xml:space="preserve"> would displace 100% of the </w:t>
      </w:r>
      <w:r w:rsidRPr="008956A0">
        <w:t>prednisolone market</w:t>
      </w:r>
      <w:r>
        <w:t xml:space="preserve">, and </w:t>
      </w:r>
      <w:r w:rsidRPr="00516DCA">
        <w:t>10% of the current 5-</w:t>
      </w:r>
      <w:r w:rsidR="00877AB5">
        <w:t>ASA</w:t>
      </w:r>
      <w:r w:rsidRPr="00516DCA">
        <w:t xml:space="preserve"> and hydrocortisone market</w:t>
      </w:r>
      <w:r>
        <w:t>. It appears that the use of the prednisolone and hydrocortisone rectal items has decreased, slightly, with hydrocortisone decreasing more than prednisolone. The prednisolone and hydrocortisone rectal items continue to be supplied more than the budesonide foam enema.</w:t>
      </w:r>
    </w:p>
    <w:p w:rsidR="00AC08B5" w:rsidRDefault="00AC08B5" w:rsidP="00AC08B5"/>
    <w:p w:rsidR="00E34F17" w:rsidRDefault="00E34F17" w:rsidP="00AC08B5">
      <w:r>
        <w:rPr>
          <w:noProof/>
        </w:rPr>
        <w:lastRenderedPageBreak/>
        <w:drawing>
          <wp:inline distT="0" distB="0" distL="0" distR="0" wp14:anchorId="42403426" wp14:editId="341D64C8">
            <wp:extent cx="5687695" cy="3709763"/>
            <wp:effectExtent l="0" t="0" r="27305" b="24130"/>
            <wp:docPr id="3" name="Chart 3" descr="Prescriptions for medicines for UC administered rectally, by month" title="Prescriptions for medicines for UC administered rectally, by month"/>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34F17" w:rsidRPr="005C3DC7" w:rsidRDefault="00E34F17" w:rsidP="00346DA0">
      <w:pPr>
        <w:pStyle w:val="Figuretitle"/>
        <w:rPr>
          <w:i w:val="0"/>
        </w:rPr>
      </w:pPr>
      <w:r w:rsidRPr="005C3DC7">
        <w:rPr>
          <w:i w:val="0"/>
        </w:rPr>
        <w:t xml:space="preserve">Figure </w:t>
      </w:r>
      <w:r w:rsidR="00245624" w:rsidRPr="005C3DC7">
        <w:rPr>
          <w:i w:val="0"/>
        </w:rPr>
        <w:t>3</w:t>
      </w:r>
      <w:r w:rsidRPr="005C3DC7">
        <w:rPr>
          <w:i w:val="0"/>
        </w:rPr>
        <w:t xml:space="preserve">: </w:t>
      </w:r>
      <w:r w:rsidR="00853F28" w:rsidRPr="005C3DC7">
        <w:rPr>
          <w:i w:val="0"/>
        </w:rPr>
        <w:t xml:space="preserve">Prescriptions for UC patients of </w:t>
      </w:r>
      <w:r w:rsidRPr="005C3DC7">
        <w:rPr>
          <w:i w:val="0"/>
        </w:rPr>
        <w:t>oral corticosteroids and immunomodulatory medicines</w:t>
      </w:r>
    </w:p>
    <w:p w:rsidR="00E34F17" w:rsidRDefault="00E34F17" w:rsidP="00A35800"/>
    <w:p w:rsidR="00516DCA" w:rsidRDefault="00853F28" w:rsidP="00516DCA">
      <w:r>
        <w:t xml:space="preserve">Figure </w:t>
      </w:r>
      <w:r w:rsidR="00245624">
        <w:t>3</w:t>
      </w:r>
      <w:r>
        <w:t xml:space="preserve"> shows prescriptions of </w:t>
      </w:r>
      <w:r w:rsidRPr="00853F28">
        <w:t>oral corticosteroids and immunomodulatory medicines</w:t>
      </w:r>
      <w:r>
        <w:t xml:space="preserve">. Azathioprine is the </w:t>
      </w:r>
      <w:r w:rsidR="00F55E25">
        <w:t>most commonly used</w:t>
      </w:r>
      <w:r>
        <w:t xml:space="preserve"> oral </w:t>
      </w:r>
      <w:r w:rsidRPr="00853F28">
        <w:t>immunomodulatory</w:t>
      </w:r>
      <w:r>
        <w:t xml:space="preserve"> medicines, and prednisolone is the </w:t>
      </w:r>
      <w:r w:rsidR="00F55E25">
        <w:t xml:space="preserve">most commonly used </w:t>
      </w:r>
      <w:r>
        <w:t xml:space="preserve">oral </w:t>
      </w:r>
      <w:r w:rsidRPr="00853F28">
        <w:t>corticosteroids</w:t>
      </w:r>
      <w:r>
        <w:t xml:space="preserve"> within the market of UC patients.</w:t>
      </w:r>
    </w:p>
    <w:p w:rsidR="001563B1" w:rsidRDefault="001563B1" w:rsidP="00A35800">
      <w:pPr>
        <w:rPr>
          <w:highlight w:val="yellow"/>
        </w:rPr>
      </w:pPr>
    </w:p>
    <w:p w:rsidR="00516DCA" w:rsidRDefault="00516DCA" w:rsidP="00516DCA">
      <w:pPr>
        <w:rPr>
          <w:highlight w:val="yellow"/>
        </w:rPr>
      </w:pPr>
    </w:p>
    <w:p w:rsidR="00516DCA" w:rsidRDefault="00516DCA" w:rsidP="00516DCA">
      <w:pPr>
        <w:keepNext/>
        <w:rPr>
          <w:highlight w:val="yellow"/>
        </w:rPr>
      </w:pPr>
      <w:r>
        <w:rPr>
          <w:noProof/>
        </w:rPr>
        <w:lastRenderedPageBreak/>
        <w:drawing>
          <wp:inline distT="0" distB="0" distL="0" distR="0" wp14:anchorId="66B0115D" wp14:editId="0B970C48">
            <wp:extent cx="5687695" cy="3709763"/>
            <wp:effectExtent l="0" t="0" r="27305" b="24130"/>
            <wp:docPr id="16" name="Chart 16" descr="Use of mesalazine by form with the UC cohort of patients" title="Use of mesalazine by form with the UC cohort of patients"/>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16DCA" w:rsidRPr="005C3DC7" w:rsidRDefault="00516DCA" w:rsidP="00346DA0">
      <w:pPr>
        <w:pStyle w:val="Figuretitle"/>
        <w:rPr>
          <w:i w:val="0"/>
        </w:rPr>
      </w:pPr>
      <w:r w:rsidRPr="005C3DC7">
        <w:rPr>
          <w:i w:val="0"/>
        </w:rPr>
        <w:t xml:space="preserve">Figure </w:t>
      </w:r>
      <w:r w:rsidR="00245624" w:rsidRPr="005C3DC7">
        <w:rPr>
          <w:i w:val="0"/>
        </w:rPr>
        <w:t>4</w:t>
      </w:r>
      <w:r w:rsidRPr="005C3DC7">
        <w:rPr>
          <w:i w:val="0"/>
        </w:rPr>
        <w:t>: Use of mesalazine by form</w:t>
      </w:r>
      <w:r w:rsidR="00F55E25" w:rsidRPr="005C3DC7">
        <w:rPr>
          <w:i w:val="0"/>
        </w:rPr>
        <w:t xml:space="preserve"> with the UC cohort of patients</w:t>
      </w:r>
    </w:p>
    <w:p w:rsidR="00516DCA" w:rsidRDefault="00516DCA" w:rsidP="00516DCA">
      <w:pPr>
        <w:rPr>
          <w:highlight w:val="yellow"/>
        </w:rPr>
      </w:pPr>
    </w:p>
    <w:p w:rsidR="002908A6" w:rsidRPr="002908A6" w:rsidRDefault="002908A6" w:rsidP="00516DCA">
      <w:r>
        <w:t xml:space="preserve">The high use of oral mesalazine (tablets and granules) reflects the use of mesalazine for maintenance treatment. </w:t>
      </w:r>
      <w:r w:rsidRPr="002908A6">
        <w:t xml:space="preserve">The patient </w:t>
      </w:r>
      <w:r>
        <w:t xml:space="preserve">or clinician </w:t>
      </w:r>
      <w:r w:rsidRPr="002908A6">
        <w:t xml:space="preserve">choice of </w:t>
      </w:r>
      <w:r>
        <w:t>the form</w:t>
      </w:r>
      <w:r w:rsidRPr="002908A6">
        <w:t xml:space="preserve"> of </w:t>
      </w:r>
      <w:r>
        <w:t xml:space="preserve">rectal </w:t>
      </w:r>
      <w:r w:rsidRPr="002908A6">
        <w:t>mesalazine</w:t>
      </w:r>
      <w:r>
        <w:t xml:space="preserve"> to prescribe will most likely depend on the location of the inflammation.</w:t>
      </w:r>
    </w:p>
    <w:p w:rsidR="00066064" w:rsidRDefault="00D0692C" w:rsidP="00346DA0">
      <w:pPr>
        <w:pStyle w:val="Figuretitle"/>
        <w:rPr>
          <w:i w:val="0"/>
        </w:rPr>
      </w:pPr>
      <w:r>
        <w:rPr>
          <w:noProof/>
          <w:lang w:val="en-AU"/>
        </w:rPr>
        <w:lastRenderedPageBreak/>
        <w:drawing>
          <wp:inline distT="0" distB="0" distL="0" distR="0" wp14:anchorId="3CBEE46C" wp14:editId="024DDAE8">
            <wp:extent cx="5687695" cy="3707332"/>
            <wp:effectExtent l="0" t="0" r="27305" b="26670"/>
            <wp:docPr id="2" name="Chart 2" descr="Prescriptions for medicines for UC administered as IV infusions or injections, by month" title="Prescriptions for medicines for UC administered as IV infusions or injections, by month"/>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34F17" w:rsidRPr="005C3DC7" w:rsidRDefault="00E34F17" w:rsidP="00346DA0">
      <w:pPr>
        <w:pStyle w:val="Figuretitle"/>
        <w:rPr>
          <w:i w:val="0"/>
        </w:rPr>
      </w:pPr>
      <w:r w:rsidRPr="005C3DC7">
        <w:rPr>
          <w:i w:val="0"/>
        </w:rPr>
        <w:t xml:space="preserve">Figure </w:t>
      </w:r>
      <w:r w:rsidR="00245624" w:rsidRPr="005C3DC7">
        <w:rPr>
          <w:i w:val="0"/>
        </w:rPr>
        <w:t>5</w:t>
      </w:r>
      <w:r w:rsidRPr="005C3DC7">
        <w:rPr>
          <w:i w:val="0"/>
        </w:rPr>
        <w:t>: Prescriptions for medicines for UC administered as IV infusions or injections, by month</w:t>
      </w:r>
    </w:p>
    <w:p w:rsidR="001563B1" w:rsidRDefault="001563B1" w:rsidP="00A35800">
      <w:pPr>
        <w:rPr>
          <w:highlight w:val="yellow"/>
        </w:rPr>
      </w:pPr>
    </w:p>
    <w:p w:rsidR="00B02B17" w:rsidRDefault="00B02B17" w:rsidP="00A35800">
      <w:r>
        <w:t xml:space="preserve">Use of the parenteral corticosteroids appears to be low and stable, but </w:t>
      </w:r>
      <w:r w:rsidR="00F07E2D">
        <w:t>much of the use of</w:t>
      </w:r>
      <w:r>
        <w:t xml:space="preserve"> these medicines would be for hospital inpatients, </w:t>
      </w:r>
      <w:r w:rsidR="00F07E2D">
        <w:t xml:space="preserve">so </w:t>
      </w:r>
      <w:r>
        <w:t>this is likely to only represent a subset of overall use.</w:t>
      </w:r>
    </w:p>
    <w:p w:rsidR="00B02B17" w:rsidRDefault="00B02B17" w:rsidP="00B02B17">
      <w:r>
        <w:t xml:space="preserve">The uptake of infliximab and vedolizumab for acute </w:t>
      </w:r>
      <w:r w:rsidR="00F07E2D">
        <w:t xml:space="preserve">severe </w:t>
      </w:r>
      <w:r>
        <w:t>and moderate to severe UC</w:t>
      </w:r>
      <w:r w:rsidR="00165AA0">
        <w:t>,</w:t>
      </w:r>
      <w:r>
        <w:t xml:space="preserve"> which is </w:t>
      </w:r>
      <w:r w:rsidR="00165AA0">
        <w:t>discussed further</w:t>
      </w:r>
      <w:r>
        <w:t xml:space="preserve"> in the analysis of predicted versus actual utilisation.</w:t>
      </w:r>
      <w:r w:rsidR="00D0692C">
        <w:t xml:space="preserve"> Only one month of adalimumab utilisation was captured in the data as it was PBS listed on 1 December 2016.</w:t>
      </w:r>
    </w:p>
    <w:p w:rsidR="00B02B17" w:rsidRDefault="00B02B17" w:rsidP="00A35800"/>
    <w:p w:rsidR="00C772AD" w:rsidRDefault="00A6276C" w:rsidP="00A35800">
      <w:pPr>
        <w:rPr>
          <w:highlight w:val="yellow"/>
        </w:rPr>
      </w:pPr>
      <w:r>
        <w:rPr>
          <w:noProof/>
        </w:rPr>
        <w:lastRenderedPageBreak/>
        <w:drawing>
          <wp:inline distT="0" distB="0" distL="0" distR="0" wp14:anchorId="7FD39752" wp14:editId="736128F6">
            <wp:extent cx="5687695" cy="3706117"/>
            <wp:effectExtent l="0" t="0" r="27305" b="27940"/>
            <wp:docPr id="5" name="Chart 5" descr="Initiating and treated patients over time" title="Initiating and treated patients over ti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735C5" w:rsidRPr="005C3DC7" w:rsidRDefault="000735C5" w:rsidP="00346DA0">
      <w:pPr>
        <w:pStyle w:val="Figuretitle"/>
        <w:rPr>
          <w:i w:val="0"/>
        </w:rPr>
      </w:pPr>
      <w:r w:rsidRPr="005C3DC7">
        <w:rPr>
          <w:i w:val="0"/>
        </w:rPr>
        <w:t xml:space="preserve">Figure </w:t>
      </w:r>
      <w:r w:rsidR="00245624" w:rsidRPr="005C3DC7">
        <w:rPr>
          <w:i w:val="0"/>
        </w:rPr>
        <w:t>6</w:t>
      </w:r>
      <w:r w:rsidRPr="005C3DC7">
        <w:rPr>
          <w:i w:val="0"/>
        </w:rPr>
        <w:t xml:space="preserve">: </w:t>
      </w:r>
      <w:r w:rsidR="009C05E2" w:rsidRPr="005C3DC7">
        <w:rPr>
          <w:i w:val="0"/>
        </w:rPr>
        <w:t>Initiating and treated patients over time</w:t>
      </w:r>
    </w:p>
    <w:p w:rsidR="006441BC" w:rsidRDefault="006441BC" w:rsidP="006441BC">
      <w:pPr>
        <w:pStyle w:val="Notes"/>
        <w:spacing w:after="0"/>
      </w:pPr>
    </w:p>
    <w:p w:rsidR="000735C5" w:rsidRPr="00B67A32" w:rsidRDefault="00B67A32" w:rsidP="00A35800">
      <w:r w:rsidRPr="00B67A32">
        <w:t xml:space="preserve">The number of initiating patients from </w:t>
      </w:r>
      <w:r>
        <w:t xml:space="preserve">the beginning of 2013, with a one year look back, </w:t>
      </w:r>
      <w:r w:rsidR="002B71FF">
        <w:t xml:space="preserve">appears stable. This </w:t>
      </w:r>
      <w:r w:rsidR="00B20258">
        <w:t>likely reflects</w:t>
      </w:r>
      <w:r w:rsidR="002E3A48">
        <w:t xml:space="preserve"> the chronic nature of the disease. </w:t>
      </w:r>
      <w:r w:rsidR="00B20258">
        <w:t xml:space="preserve">The slight downward trend of initiating patients is likely due to the selected cohort biasing towards more recently initiated patients not being included in </w:t>
      </w:r>
      <w:r w:rsidR="00EC2E78">
        <w:t>the cohort as they have not received an authority (either for an Authority Required or Streamlined Authority prescription) for UC.</w:t>
      </w:r>
    </w:p>
    <w:p w:rsidR="00195C94" w:rsidRPr="00093096" w:rsidRDefault="00195C94" w:rsidP="00195C94">
      <w:pPr>
        <w:pStyle w:val="Heading3"/>
      </w:pPr>
      <w:r w:rsidRPr="00093096">
        <w:t>Prescriber type</w:t>
      </w:r>
    </w:p>
    <w:p w:rsidR="003C6968" w:rsidRDefault="00195C94" w:rsidP="00195C94">
      <w:r w:rsidRPr="00093096">
        <w:t xml:space="preserve">The </w:t>
      </w:r>
      <w:r>
        <w:t xml:space="preserve">10 most common </w:t>
      </w:r>
      <w:r w:rsidRPr="00093096">
        <w:t>prescriber type</w:t>
      </w:r>
      <w:r>
        <w:t>s</w:t>
      </w:r>
      <w:r w:rsidRPr="00093096">
        <w:t xml:space="preserve"> for the </w:t>
      </w:r>
      <w:r>
        <w:t xml:space="preserve">first prescription of patients who initiated in 2016 is shown in Table </w:t>
      </w:r>
      <w:r w:rsidR="00245624">
        <w:t>4</w:t>
      </w:r>
      <w:r>
        <w:t>.</w:t>
      </w:r>
    </w:p>
    <w:p w:rsidR="00195C94" w:rsidRPr="005C3DC7" w:rsidRDefault="00195C94" w:rsidP="00346DA0">
      <w:pPr>
        <w:pStyle w:val="Tabletitle"/>
        <w:rPr>
          <w:i w:val="0"/>
        </w:rPr>
      </w:pPr>
      <w:r w:rsidRPr="005C3DC7">
        <w:rPr>
          <w:i w:val="0"/>
        </w:rPr>
        <w:t xml:space="preserve">Table </w:t>
      </w:r>
      <w:r w:rsidR="00245624" w:rsidRPr="005C3DC7">
        <w:rPr>
          <w:i w:val="0"/>
        </w:rPr>
        <w:t>4</w:t>
      </w:r>
      <w:r w:rsidRPr="005C3DC7">
        <w:rPr>
          <w:i w:val="0"/>
        </w:rPr>
        <w:t xml:space="preserve">: </w:t>
      </w:r>
      <w:r w:rsidR="0038228F" w:rsidRPr="005C3DC7">
        <w:rPr>
          <w:i w:val="0"/>
        </w:rPr>
        <w:t>10 most common prescriber types for initiators in 2016</w:t>
      </w:r>
    </w:p>
    <w:tbl>
      <w:tblPr>
        <w:tblStyle w:val="TableGrid"/>
        <w:tblW w:w="0" w:type="auto"/>
        <w:tblLook w:val="04A0" w:firstRow="1" w:lastRow="0" w:firstColumn="1" w:lastColumn="0" w:noHBand="0" w:noVBand="1"/>
        <w:tblCaption w:val="10 most common prescriber types for initiators in 2016"/>
        <w:tblDescription w:val="Gastroenterology and Hepatology, 2169&#10;VRGP, 817&#10;NONVRGP, 342&#10;Internal Medicine, 216&#10;Surgery, 206&#10;GP Unclassified, 131&#10;GP Trainee, 46&#10;Paediatric Medicine, 39&#10;Not reported, 25&#10;Rheumatology, 12&#10;"/>
      </w:tblPr>
      <w:tblGrid>
        <w:gridCol w:w="6912"/>
        <w:gridCol w:w="2127"/>
      </w:tblGrid>
      <w:tr w:rsidR="00195C94" w:rsidRPr="00A6276C" w:rsidTr="006033BE">
        <w:trPr>
          <w:trHeight w:val="300"/>
          <w:tblHeader/>
        </w:trPr>
        <w:tc>
          <w:tcPr>
            <w:tcW w:w="6912" w:type="dxa"/>
            <w:shd w:val="clear" w:color="auto" w:fill="BFBFBF" w:themeFill="background1" w:themeFillShade="BF"/>
            <w:noWrap/>
            <w:vAlign w:val="center"/>
            <w:hideMark/>
          </w:tcPr>
          <w:p w:rsidR="00195C94" w:rsidRPr="00A6276C" w:rsidRDefault="00195C94" w:rsidP="00A6276C">
            <w:pPr>
              <w:rPr>
                <w:b/>
                <w:sz w:val="20"/>
                <w:szCs w:val="20"/>
              </w:rPr>
            </w:pPr>
            <w:r w:rsidRPr="00A6276C">
              <w:rPr>
                <w:b/>
                <w:sz w:val="20"/>
                <w:szCs w:val="20"/>
              </w:rPr>
              <w:t>Prescriber type</w:t>
            </w:r>
          </w:p>
        </w:tc>
        <w:tc>
          <w:tcPr>
            <w:tcW w:w="2127" w:type="dxa"/>
            <w:shd w:val="clear" w:color="auto" w:fill="BFBFBF" w:themeFill="background1" w:themeFillShade="BF"/>
            <w:noWrap/>
            <w:vAlign w:val="center"/>
            <w:hideMark/>
          </w:tcPr>
          <w:p w:rsidR="00195C94" w:rsidRPr="00A6276C" w:rsidRDefault="00195C94" w:rsidP="00A6276C">
            <w:pPr>
              <w:jc w:val="right"/>
              <w:rPr>
                <w:b/>
                <w:sz w:val="20"/>
                <w:szCs w:val="20"/>
              </w:rPr>
            </w:pPr>
            <w:r w:rsidRPr="00A6276C">
              <w:rPr>
                <w:b/>
                <w:sz w:val="20"/>
                <w:szCs w:val="20"/>
              </w:rPr>
              <w:t>Number of Patients</w:t>
            </w:r>
          </w:p>
        </w:tc>
      </w:tr>
      <w:tr w:rsidR="00A6276C" w:rsidRPr="00A6276C" w:rsidTr="00A6276C">
        <w:trPr>
          <w:trHeight w:val="300"/>
        </w:trPr>
        <w:tc>
          <w:tcPr>
            <w:tcW w:w="6912" w:type="dxa"/>
            <w:noWrap/>
            <w:vAlign w:val="center"/>
            <w:hideMark/>
          </w:tcPr>
          <w:p w:rsidR="00A6276C" w:rsidRPr="00A6276C" w:rsidRDefault="00A6276C" w:rsidP="00A6276C">
            <w:pPr>
              <w:rPr>
                <w:sz w:val="20"/>
                <w:szCs w:val="20"/>
              </w:rPr>
            </w:pPr>
            <w:r w:rsidRPr="00A6276C">
              <w:rPr>
                <w:sz w:val="20"/>
                <w:szCs w:val="20"/>
              </w:rPr>
              <w:t>Gastroenterology and Hepatology</w:t>
            </w:r>
          </w:p>
        </w:tc>
        <w:tc>
          <w:tcPr>
            <w:tcW w:w="2127" w:type="dxa"/>
            <w:noWrap/>
            <w:vAlign w:val="center"/>
            <w:hideMark/>
          </w:tcPr>
          <w:p w:rsidR="00A6276C" w:rsidRPr="00A6276C" w:rsidRDefault="00A6276C" w:rsidP="00A6276C">
            <w:pPr>
              <w:jc w:val="right"/>
              <w:rPr>
                <w:sz w:val="20"/>
                <w:szCs w:val="20"/>
              </w:rPr>
            </w:pPr>
            <w:r w:rsidRPr="00A6276C">
              <w:rPr>
                <w:sz w:val="20"/>
                <w:szCs w:val="20"/>
              </w:rPr>
              <w:t>2169</w:t>
            </w:r>
          </w:p>
        </w:tc>
      </w:tr>
      <w:tr w:rsidR="00A6276C" w:rsidRPr="00A6276C" w:rsidTr="00A6276C">
        <w:trPr>
          <w:trHeight w:val="300"/>
        </w:trPr>
        <w:tc>
          <w:tcPr>
            <w:tcW w:w="6912" w:type="dxa"/>
            <w:noWrap/>
            <w:vAlign w:val="center"/>
            <w:hideMark/>
          </w:tcPr>
          <w:p w:rsidR="00A6276C" w:rsidRPr="00A6276C" w:rsidRDefault="00A6276C" w:rsidP="00A6276C">
            <w:pPr>
              <w:rPr>
                <w:sz w:val="20"/>
                <w:szCs w:val="20"/>
              </w:rPr>
            </w:pPr>
            <w:r w:rsidRPr="00A6276C">
              <w:rPr>
                <w:sz w:val="20"/>
                <w:szCs w:val="20"/>
              </w:rPr>
              <w:t>VRGP</w:t>
            </w:r>
          </w:p>
        </w:tc>
        <w:tc>
          <w:tcPr>
            <w:tcW w:w="2127" w:type="dxa"/>
            <w:noWrap/>
            <w:vAlign w:val="center"/>
            <w:hideMark/>
          </w:tcPr>
          <w:p w:rsidR="00A6276C" w:rsidRPr="00A6276C" w:rsidRDefault="00A6276C" w:rsidP="00A6276C">
            <w:pPr>
              <w:jc w:val="right"/>
              <w:rPr>
                <w:sz w:val="20"/>
                <w:szCs w:val="20"/>
              </w:rPr>
            </w:pPr>
            <w:r w:rsidRPr="00A6276C">
              <w:rPr>
                <w:sz w:val="20"/>
                <w:szCs w:val="20"/>
              </w:rPr>
              <w:t>817</w:t>
            </w:r>
          </w:p>
        </w:tc>
      </w:tr>
      <w:tr w:rsidR="00A6276C" w:rsidRPr="00A6276C" w:rsidTr="00A6276C">
        <w:trPr>
          <w:trHeight w:val="300"/>
        </w:trPr>
        <w:tc>
          <w:tcPr>
            <w:tcW w:w="6912" w:type="dxa"/>
            <w:noWrap/>
            <w:vAlign w:val="center"/>
            <w:hideMark/>
          </w:tcPr>
          <w:p w:rsidR="00A6276C" w:rsidRPr="00A6276C" w:rsidRDefault="00A6276C" w:rsidP="00A6276C">
            <w:pPr>
              <w:rPr>
                <w:sz w:val="20"/>
                <w:szCs w:val="20"/>
              </w:rPr>
            </w:pPr>
            <w:r w:rsidRPr="00A6276C">
              <w:rPr>
                <w:sz w:val="20"/>
                <w:szCs w:val="20"/>
              </w:rPr>
              <w:t>NONVRGP</w:t>
            </w:r>
          </w:p>
        </w:tc>
        <w:tc>
          <w:tcPr>
            <w:tcW w:w="2127" w:type="dxa"/>
            <w:noWrap/>
            <w:vAlign w:val="center"/>
            <w:hideMark/>
          </w:tcPr>
          <w:p w:rsidR="00A6276C" w:rsidRPr="00A6276C" w:rsidRDefault="00A6276C" w:rsidP="00A6276C">
            <w:pPr>
              <w:jc w:val="right"/>
              <w:rPr>
                <w:sz w:val="20"/>
                <w:szCs w:val="20"/>
              </w:rPr>
            </w:pPr>
            <w:r w:rsidRPr="00A6276C">
              <w:rPr>
                <w:sz w:val="20"/>
                <w:szCs w:val="20"/>
              </w:rPr>
              <w:t>342</w:t>
            </w:r>
          </w:p>
        </w:tc>
      </w:tr>
      <w:tr w:rsidR="00A6276C" w:rsidRPr="00A6276C" w:rsidTr="00A6276C">
        <w:trPr>
          <w:trHeight w:val="300"/>
        </w:trPr>
        <w:tc>
          <w:tcPr>
            <w:tcW w:w="6912" w:type="dxa"/>
            <w:noWrap/>
            <w:vAlign w:val="center"/>
            <w:hideMark/>
          </w:tcPr>
          <w:p w:rsidR="00A6276C" w:rsidRPr="00A6276C" w:rsidRDefault="00A6276C" w:rsidP="00A6276C">
            <w:pPr>
              <w:rPr>
                <w:sz w:val="20"/>
                <w:szCs w:val="20"/>
              </w:rPr>
            </w:pPr>
            <w:r w:rsidRPr="00A6276C">
              <w:rPr>
                <w:sz w:val="20"/>
                <w:szCs w:val="20"/>
              </w:rPr>
              <w:t>Internal Medicine</w:t>
            </w:r>
          </w:p>
        </w:tc>
        <w:tc>
          <w:tcPr>
            <w:tcW w:w="2127" w:type="dxa"/>
            <w:noWrap/>
            <w:vAlign w:val="center"/>
            <w:hideMark/>
          </w:tcPr>
          <w:p w:rsidR="00A6276C" w:rsidRPr="00A6276C" w:rsidRDefault="00A6276C" w:rsidP="00A6276C">
            <w:pPr>
              <w:jc w:val="right"/>
              <w:rPr>
                <w:sz w:val="20"/>
                <w:szCs w:val="20"/>
              </w:rPr>
            </w:pPr>
            <w:r w:rsidRPr="00A6276C">
              <w:rPr>
                <w:sz w:val="20"/>
                <w:szCs w:val="20"/>
              </w:rPr>
              <w:t>216</w:t>
            </w:r>
          </w:p>
        </w:tc>
      </w:tr>
      <w:tr w:rsidR="00A6276C" w:rsidRPr="00A6276C" w:rsidTr="00A6276C">
        <w:trPr>
          <w:trHeight w:val="300"/>
        </w:trPr>
        <w:tc>
          <w:tcPr>
            <w:tcW w:w="6912" w:type="dxa"/>
            <w:noWrap/>
            <w:vAlign w:val="center"/>
            <w:hideMark/>
          </w:tcPr>
          <w:p w:rsidR="00A6276C" w:rsidRPr="00A6276C" w:rsidRDefault="00A6276C" w:rsidP="00A6276C">
            <w:pPr>
              <w:rPr>
                <w:sz w:val="20"/>
                <w:szCs w:val="20"/>
              </w:rPr>
            </w:pPr>
            <w:r w:rsidRPr="00A6276C">
              <w:rPr>
                <w:sz w:val="20"/>
                <w:szCs w:val="20"/>
              </w:rPr>
              <w:t>Surgery</w:t>
            </w:r>
          </w:p>
        </w:tc>
        <w:tc>
          <w:tcPr>
            <w:tcW w:w="2127" w:type="dxa"/>
            <w:noWrap/>
            <w:vAlign w:val="center"/>
            <w:hideMark/>
          </w:tcPr>
          <w:p w:rsidR="00A6276C" w:rsidRPr="00A6276C" w:rsidRDefault="00A6276C" w:rsidP="00A6276C">
            <w:pPr>
              <w:jc w:val="right"/>
              <w:rPr>
                <w:sz w:val="20"/>
                <w:szCs w:val="20"/>
              </w:rPr>
            </w:pPr>
            <w:r w:rsidRPr="00A6276C">
              <w:rPr>
                <w:sz w:val="20"/>
                <w:szCs w:val="20"/>
              </w:rPr>
              <w:t>206</w:t>
            </w:r>
          </w:p>
        </w:tc>
      </w:tr>
      <w:tr w:rsidR="00A6276C" w:rsidRPr="00A6276C" w:rsidTr="00A6276C">
        <w:trPr>
          <w:trHeight w:val="300"/>
        </w:trPr>
        <w:tc>
          <w:tcPr>
            <w:tcW w:w="6912" w:type="dxa"/>
            <w:noWrap/>
            <w:vAlign w:val="center"/>
            <w:hideMark/>
          </w:tcPr>
          <w:p w:rsidR="00A6276C" w:rsidRPr="00A6276C" w:rsidRDefault="00A6276C" w:rsidP="00A6276C">
            <w:pPr>
              <w:rPr>
                <w:sz w:val="20"/>
                <w:szCs w:val="20"/>
              </w:rPr>
            </w:pPr>
            <w:r w:rsidRPr="00A6276C">
              <w:rPr>
                <w:sz w:val="20"/>
                <w:szCs w:val="20"/>
              </w:rPr>
              <w:t>GP Unclassified</w:t>
            </w:r>
          </w:p>
        </w:tc>
        <w:tc>
          <w:tcPr>
            <w:tcW w:w="2127" w:type="dxa"/>
            <w:noWrap/>
            <w:vAlign w:val="center"/>
            <w:hideMark/>
          </w:tcPr>
          <w:p w:rsidR="00A6276C" w:rsidRPr="00A6276C" w:rsidRDefault="00A6276C" w:rsidP="00A6276C">
            <w:pPr>
              <w:jc w:val="right"/>
              <w:rPr>
                <w:sz w:val="20"/>
                <w:szCs w:val="20"/>
              </w:rPr>
            </w:pPr>
            <w:r w:rsidRPr="00A6276C">
              <w:rPr>
                <w:sz w:val="20"/>
                <w:szCs w:val="20"/>
              </w:rPr>
              <w:t>131</w:t>
            </w:r>
          </w:p>
        </w:tc>
      </w:tr>
      <w:tr w:rsidR="00A6276C" w:rsidRPr="00A6276C" w:rsidTr="00A6276C">
        <w:trPr>
          <w:trHeight w:val="300"/>
        </w:trPr>
        <w:tc>
          <w:tcPr>
            <w:tcW w:w="6912" w:type="dxa"/>
            <w:noWrap/>
            <w:vAlign w:val="center"/>
            <w:hideMark/>
          </w:tcPr>
          <w:p w:rsidR="00A6276C" w:rsidRPr="00A6276C" w:rsidRDefault="00A6276C" w:rsidP="00A6276C">
            <w:pPr>
              <w:rPr>
                <w:sz w:val="20"/>
                <w:szCs w:val="20"/>
              </w:rPr>
            </w:pPr>
            <w:r w:rsidRPr="00A6276C">
              <w:rPr>
                <w:sz w:val="20"/>
                <w:szCs w:val="20"/>
              </w:rPr>
              <w:t>GP Trainee</w:t>
            </w:r>
          </w:p>
        </w:tc>
        <w:tc>
          <w:tcPr>
            <w:tcW w:w="2127" w:type="dxa"/>
            <w:noWrap/>
            <w:vAlign w:val="center"/>
            <w:hideMark/>
          </w:tcPr>
          <w:p w:rsidR="00A6276C" w:rsidRPr="00A6276C" w:rsidRDefault="00A6276C" w:rsidP="00A6276C">
            <w:pPr>
              <w:jc w:val="right"/>
              <w:rPr>
                <w:sz w:val="20"/>
                <w:szCs w:val="20"/>
              </w:rPr>
            </w:pPr>
            <w:r w:rsidRPr="00A6276C">
              <w:rPr>
                <w:sz w:val="20"/>
                <w:szCs w:val="20"/>
              </w:rPr>
              <w:t>46</w:t>
            </w:r>
          </w:p>
        </w:tc>
      </w:tr>
      <w:tr w:rsidR="00A6276C" w:rsidRPr="00A6276C" w:rsidTr="00A6276C">
        <w:trPr>
          <w:trHeight w:val="300"/>
        </w:trPr>
        <w:tc>
          <w:tcPr>
            <w:tcW w:w="6912" w:type="dxa"/>
            <w:noWrap/>
            <w:vAlign w:val="center"/>
            <w:hideMark/>
          </w:tcPr>
          <w:p w:rsidR="00A6276C" w:rsidRPr="00A6276C" w:rsidRDefault="00A6276C" w:rsidP="00A6276C">
            <w:pPr>
              <w:rPr>
                <w:sz w:val="20"/>
                <w:szCs w:val="20"/>
              </w:rPr>
            </w:pPr>
            <w:r w:rsidRPr="00A6276C">
              <w:rPr>
                <w:sz w:val="20"/>
                <w:szCs w:val="20"/>
              </w:rPr>
              <w:t>Paediatric Medicine</w:t>
            </w:r>
          </w:p>
        </w:tc>
        <w:tc>
          <w:tcPr>
            <w:tcW w:w="2127" w:type="dxa"/>
            <w:noWrap/>
            <w:vAlign w:val="center"/>
            <w:hideMark/>
          </w:tcPr>
          <w:p w:rsidR="00A6276C" w:rsidRPr="00A6276C" w:rsidRDefault="00A6276C" w:rsidP="00A6276C">
            <w:pPr>
              <w:jc w:val="right"/>
              <w:rPr>
                <w:sz w:val="20"/>
                <w:szCs w:val="20"/>
              </w:rPr>
            </w:pPr>
            <w:r w:rsidRPr="00A6276C">
              <w:rPr>
                <w:sz w:val="20"/>
                <w:szCs w:val="20"/>
              </w:rPr>
              <w:t>39</w:t>
            </w:r>
          </w:p>
        </w:tc>
      </w:tr>
      <w:tr w:rsidR="00A6276C" w:rsidRPr="00A6276C" w:rsidTr="00A6276C">
        <w:trPr>
          <w:trHeight w:val="300"/>
        </w:trPr>
        <w:tc>
          <w:tcPr>
            <w:tcW w:w="6912" w:type="dxa"/>
            <w:noWrap/>
            <w:vAlign w:val="center"/>
            <w:hideMark/>
          </w:tcPr>
          <w:p w:rsidR="00A6276C" w:rsidRPr="00A6276C" w:rsidRDefault="00A6276C" w:rsidP="00A6276C">
            <w:pPr>
              <w:rPr>
                <w:sz w:val="20"/>
                <w:szCs w:val="20"/>
              </w:rPr>
            </w:pPr>
            <w:r w:rsidRPr="00A6276C">
              <w:rPr>
                <w:sz w:val="20"/>
                <w:szCs w:val="20"/>
              </w:rPr>
              <w:t>Not reported</w:t>
            </w:r>
          </w:p>
        </w:tc>
        <w:tc>
          <w:tcPr>
            <w:tcW w:w="2127" w:type="dxa"/>
            <w:noWrap/>
            <w:vAlign w:val="center"/>
            <w:hideMark/>
          </w:tcPr>
          <w:p w:rsidR="00A6276C" w:rsidRPr="00A6276C" w:rsidRDefault="00A6276C" w:rsidP="00A6276C">
            <w:pPr>
              <w:jc w:val="right"/>
              <w:rPr>
                <w:sz w:val="20"/>
                <w:szCs w:val="20"/>
              </w:rPr>
            </w:pPr>
            <w:r w:rsidRPr="00A6276C">
              <w:rPr>
                <w:sz w:val="20"/>
                <w:szCs w:val="20"/>
              </w:rPr>
              <w:t>25</w:t>
            </w:r>
          </w:p>
        </w:tc>
      </w:tr>
      <w:tr w:rsidR="00A6276C" w:rsidRPr="00A6276C" w:rsidTr="00A6276C">
        <w:trPr>
          <w:trHeight w:val="300"/>
        </w:trPr>
        <w:tc>
          <w:tcPr>
            <w:tcW w:w="6912" w:type="dxa"/>
            <w:noWrap/>
            <w:vAlign w:val="center"/>
            <w:hideMark/>
          </w:tcPr>
          <w:p w:rsidR="00A6276C" w:rsidRPr="00A6276C" w:rsidRDefault="00A6276C" w:rsidP="00A6276C">
            <w:pPr>
              <w:rPr>
                <w:sz w:val="20"/>
                <w:szCs w:val="20"/>
              </w:rPr>
            </w:pPr>
            <w:r w:rsidRPr="00A6276C">
              <w:rPr>
                <w:sz w:val="20"/>
                <w:szCs w:val="20"/>
              </w:rPr>
              <w:t>Rheumatology</w:t>
            </w:r>
          </w:p>
        </w:tc>
        <w:tc>
          <w:tcPr>
            <w:tcW w:w="2127" w:type="dxa"/>
            <w:noWrap/>
            <w:vAlign w:val="center"/>
            <w:hideMark/>
          </w:tcPr>
          <w:p w:rsidR="00A6276C" w:rsidRPr="00A6276C" w:rsidRDefault="00A6276C" w:rsidP="00A6276C">
            <w:pPr>
              <w:jc w:val="right"/>
              <w:rPr>
                <w:sz w:val="20"/>
                <w:szCs w:val="20"/>
              </w:rPr>
            </w:pPr>
            <w:r w:rsidRPr="00A6276C">
              <w:rPr>
                <w:sz w:val="20"/>
                <w:szCs w:val="20"/>
              </w:rPr>
              <w:t>12</w:t>
            </w:r>
          </w:p>
        </w:tc>
      </w:tr>
    </w:tbl>
    <w:p w:rsidR="00BC094B" w:rsidRDefault="000619E9" w:rsidP="00BC094B">
      <w:pPr>
        <w:pStyle w:val="Heading3"/>
      </w:pPr>
      <w:r>
        <w:lastRenderedPageBreak/>
        <w:t>Treatment sequence</w:t>
      </w:r>
    </w:p>
    <w:p w:rsidR="0092008D" w:rsidRDefault="00D71513" w:rsidP="00BC094B">
      <w:r>
        <w:t xml:space="preserve">The 10 most </w:t>
      </w:r>
      <w:r w:rsidR="00195C94">
        <w:t>common</w:t>
      </w:r>
      <w:r w:rsidR="00F4748B">
        <w:t xml:space="preserve"> drug sequences</w:t>
      </w:r>
      <w:r>
        <w:t xml:space="preserve"> </w:t>
      </w:r>
      <w:r w:rsidR="00245624">
        <w:t>for</w:t>
      </w:r>
      <w:r>
        <w:t xml:space="preserve"> the cohort who initiated therapy in 2015 is shown in Table </w:t>
      </w:r>
      <w:r w:rsidR="00245624">
        <w:t>5</w:t>
      </w:r>
      <w:r w:rsidR="00B67A32">
        <w:t>, using a 12 month follow up</w:t>
      </w:r>
      <w:r>
        <w:t xml:space="preserve">. </w:t>
      </w:r>
      <w:r w:rsidR="00B67A32">
        <w:t>This analysis excludes switching or coadministration as a sequence and only lists each medicine once in each sequence.</w:t>
      </w:r>
      <w:r w:rsidR="00125440">
        <w:t xml:space="preserve"> Use of non-systemic steroids have not been </w:t>
      </w:r>
      <w:r w:rsidR="00CE2DE3">
        <w:t>included in the analysis</w:t>
      </w:r>
      <w:r w:rsidR="00125440">
        <w:t>.</w:t>
      </w:r>
    </w:p>
    <w:p w:rsidR="00195C94" w:rsidRPr="005C3DC7" w:rsidRDefault="00195C94" w:rsidP="00346DA0">
      <w:pPr>
        <w:pStyle w:val="Tabletitle"/>
        <w:rPr>
          <w:i w:val="0"/>
        </w:rPr>
      </w:pPr>
      <w:r w:rsidRPr="005C3DC7">
        <w:rPr>
          <w:i w:val="0"/>
        </w:rPr>
        <w:t xml:space="preserve">Table </w:t>
      </w:r>
      <w:r w:rsidR="00245624" w:rsidRPr="005C3DC7">
        <w:rPr>
          <w:i w:val="0"/>
        </w:rPr>
        <w:t>5</w:t>
      </w:r>
      <w:r w:rsidRPr="005C3DC7">
        <w:rPr>
          <w:i w:val="0"/>
        </w:rPr>
        <w:t xml:space="preserve">: </w:t>
      </w:r>
      <w:r w:rsidR="00165AA0" w:rsidRPr="005C3DC7">
        <w:rPr>
          <w:i w:val="0"/>
        </w:rPr>
        <w:t xml:space="preserve">The </w:t>
      </w:r>
      <w:r w:rsidR="00245624" w:rsidRPr="005C3DC7">
        <w:rPr>
          <w:i w:val="0"/>
        </w:rPr>
        <w:t xml:space="preserve">10 </w:t>
      </w:r>
      <w:r w:rsidR="0038228F" w:rsidRPr="005C3DC7">
        <w:rPr>
          <w:i w:val="0"/>
        </w:rPr>
        <w:t xml:space="preserve">most common </w:t>
      </w:r>
      <w:r w:rsidR="000619E9" w:rsidRPr="005C3DC7">
        <w:rPr>
          <w:i w:val="0"/>
        </w:rPr>
        <w:t>treatment</w:t>
      </w:r>
      <w:r w:rsidR="0038228F" w:rsidRPr="005C3DC7">
        <w:rPr>
          <w:i w:val="0"/>
        </w:rPr>
        <w:t xml:space="preserve"> sequences for initiators in 2015</w:t>
      </w:r>
    </w:p>
    <w:tbl>
      <w:tblPr>
        <w:tblStyle w:val="TableGrid"/>
        <w:tblW w:w="0" w:type="auto"/>
        <w:tblLook w:val="04A0" w:firstRow="1" w:lastRow="0" w:firstColumn="1" w:lastColumn="0" w:noHBand="0" w:noVBand="1"/>
        <w:tblCaption w:val="The 10 most common treatment sequences for initiators in 2015"/>
        <w:tblDescription w:val="MESALAZINE 1,638&#10;PREDNISONE/PREDNISOLONE -&gt; MESALAZINE 627&#10;MESALAZINE -&gt; PREDNISONE/PREDNISOLONE 315&#10;SULFASALAZINE -&gt; MESALAZINE 290&#10;PREDNISONE/PREDNISOLONE 178&#10;PREDNISONE/PREDNISOLONE -&gt; SULFASALAZINE -&gt; MESALAZINE 176&#10;PREDNISONE/PREDNISOLONE -&gt; MESALAZINE -&gt; AZATHIOPRINE 72&#10;HYDROCORTISONE -&gt; MESALAZINE 71&#10;SULFASALAZINE -&gt; MESALAZINE -&gt; PREDNISONE/PREDNISOLONE 70&#10;MESALAZINE -&gt; PREDNISONE/PREDNISOLONE -&gt; AZATHIOPRINE 64&#10;"/>
      </w:tblPr>
      <w:tblGrid>
        <w:gridCol w:w="6912"/>
        <w:gridCol w:w="2127"/>
      </w:tblGrid>
      <w:tr w:rsidR="00D71513" w:rsidRPr="000641DC" w:rsidTr="006033BE">
        <w:trPr>
          <w:trHeight w:val="300"/>
          <w:tblHeader/>
        </w:trPr>
        <w:tc>
          <w:tcPr>
            <w:tcW w:w="6912" w:type="dxa"/>
            <w:shd w:val="clear" w:color="auto" w:fill="BFBFBF" w:themeFill="background1" w:themeFillShade="BF"/>
            <w:noWrap/>
            <w:vAlign w:val="center"/>
            <w:hideMark/>
          </w:tcPr>
          <w:p w:rsidR="00D71513" w:rsidRPr="000641DC" w:rsidRDefault="00D71513" w:rsidP="000641DC">
            <w:pPr>
              <w:rPr>
                <w:b/>
                <w:sz w:val="20"/>
                <w:szCs w:val="20"/>
              </w:rPr>
            </w:pPr>
            <w:r w:rsidRPr="000641DC">
              <w:rPr>
                <w:b/>
                <w:sz w:val="20"/>
                <w:szCs w:val="20"/>
              </w:rPr>
              <w:t>Drug sequence</w:t>
            </w:r>
          </w:p>
        </w:tc>
        <w:tc>
          <w:tcPr>
            <w:tcW w:w="2127" w:type="dxa"/>
            <w:shd w:val="clear" w:color="auto" w:fill="BFBFBF" w:themeFill="background1" w:themeFillShade="BF"/>
            <w:noWrap/>
            <w:vAlign w:val="center"/>
            <w:hideMark/>
          </w:tcPr>
          <w:p w:rsidR="00D71513" w:rsidRPr="000641DC" w:rsidRDefault="00D71513" w:rsidP="000641DC">
            <w:pPr>
              <w:jc w:val="right"/>
              <w:rPr>
                <w:b/>
                <w:sz w:val="20"/>
                <w:szCs w:val="20"/>
              </w:rPr>
            </w:pPr>
            <w:r w:rsidRPr="000641DC">
              <w:rPr>
                <w:b/>
                <w:sz w:val="20"/>
                <w:szCs w:val="20"/>
              </w:rPr>
              <w:t>Number of Patients</w:t>
            </w:r>
          </w:p>
        </w:tc>
      </w:tr>
      <w:tr w:rsidR="000641DC" w:rsidRPr="000641DC" w:rsidTr="000641DC">
        <w:trPr>
          <w:trHeight w:val="300"/>
        </w:trPr>
        <w:tc>
          <w:tcPr>
            <w:tcW w:w="6912" w:type="dxa"/>
            <w:noWrap/>
            <w:vAlign w:val="center"/>
            <w:hideMark/>
          </w:tcPr>
          <w:p w:rsidR="000641DC" w:rsidRPr="000641DC" w:rsidRDefault="000641DC" w:rsidP="000641DC">
            <w:pPr>
              <w:rPr>
                <w:sz w:val="20"/>
                <w:szCs w:val="20"/>
              </w:rPr>
            </w:pPr>
            <w:r w:rsidRPr="000641DC">
              <w:rPr>
                <w:sz w:val="20"/>
                <w:szCs w:val="20"/>
              </w:rPr>
              <w:t>MESALAZINE</w:t>
            </w:r>
          </w:p>
        </w:tc>
        <w:tc>
          <w:tcPr>
            <w:tcW w:w="2127" w:type="dxa"/>
            <w:noWrap/>
            <w:vAlign w:val="center"/>
            <w:hideMark/>
          </w:tcPr>
          <w:p w:rsidR="000641DC" w:rsidRPr="000641DC" w:rsidRDefault="000641DC" w:rsidP="000641DC">
            <w:pPr>
              <w:jc w:val="right"/>
              <w:rPr>
                <w:sz w:val="20"/>
                <w:szCs w:val="20"/>
              </w:rPr>
            </w:pPr>
            <w:r w:rsidRPr="000641DC">
              <w:rPr>
                <w:sz w:val="20"/>
                <w:szCs w:val="20"/>
              </w:rPr>
              <w:t>1,638</w:t>
            </w:r>
          </w:p>
        </w:tc>
      </w:tr>
      <w:tr w:rsidR="000641DC" w:rsidRPr="000641DC" w:rsidTr="000641DC">
        <w:trPr>
          <w:trHeight w:val="300"/>
        </w:trPr>
        <w:tc>
          <w:tcPr>
            <w:tcW w:w="6912" w:type="dxa"/>
            <w:noWrap/>
            <w:vAlign w:val="center"/>
            <w:hideMark/>
          </w:tcPr>
          <w:p w:rsidR="000641DC" w:rsidRPr="000641DC" w:rsidRDefault="000641DC" w:rsidP="000641DC">
            <w:pPr>
              <w:rPr>
                <w:sz w:val="20"/>
                <w:szCs w:val="20"/>
              </w:rPr>
            </w:pPr>
            <w:r w:rsidRPr="000641DC">
              <w:rPr>
                <w:sz w:val="20"/>
                <w:szCs w:val="20"/>
              </w:rPr>
              <w:t>PREDNISONE/PREDNISOLONE -&gt; MESALAZINE</w:t>
            </w:r>
          </w:p>
        </w:tc>
        <w:tc>
          <w:tcPr>
            <w:tcW w:w="2127" w:type="dxa"/>
            <w:noWrap/>
            <w:vAlign w:val="center"/>
            <w:hideMark/>
          </w:tcPr>
          <w:p w:rsidR="000641DC" w:rsidRPr="000641DC" w:rsidRDefault="000641DC" w:rsidP="000641DC">
            <w:pPr>
              <w:jc w:val="right"/>
              <w:rPr>
                <w:sz w:val="20"/>
                <w:szCs w:val="20"/>
              </w:rPr>
            </w:pPr>
            <w:r w:rsidRPr="000641DC">
              <w:rPr>
                <w:sz w:val="20"/>
                <w:szCs w:val="20"/>
              </w:rPr>
              <w:t>627</w:t>
            </w:r>
          </w:p>
        </w:tc>
      </w:tr>
      <w:tr w:rsidR="000641DC" w:rsidRPr="000641DC" w:rsidTr="000641DC">
        <w:trPr>
          <w:trHeight w:val="300"/>
        </w:trPr>
        <w:tc>
          <w:tcPr>
            <w:tcW w:w="6912" w:type="dxa"/>
            <w:noWrap/>
            <w:vAlign w:val="center"/>
            <w:hideMark/>
          </w:tcPr>
          <w:p w:rsidR="000641DC" w:rsidRPr="000641DC" w:rsidRDefault="000641DC" w:rsidP="000641DC">
            <w:pPr>
              <w:rPr>
                <w:sz w:val="20"/>
                <w:szCs w:val="20"/>
              </w:rPr>
            </w:pPr>
            <w:r w:rsidRPr="000641DC">
              <w:rPr>
                <w:sz w:val="20"/>
                <w:szCs w:val="20"/>
              </w:rPr>
              <w:t>MESALAZINE -&gt; PREDNISONE/PREDNISOLONE</w:t>
            </w:r>
          </w:p>
        </w:tc>
        <w:tc>
          <w:tcPr>
            <w:tcW w:w="2127" w:type="dxa"/>
            <w:noWrap/>
            <w:vAlign w:val="center"/>
            <w:hideMark/>
          </w:tcPr>
          <w:p w:rsidR="000641DC" w:rsidRPr="000641DC" w:rsidRDefault="000641DC" w:rsidP="000641DC">
            <w:pPr>
              <w:jc w:val="right"/>
              <w:rPr>
                <w:sz w:val="20"/>
                <w:szCs w:val="20"/>
              </w:rPr>
            </w:pPr>
            <w:r w:rsidRPr="000641DC">
              <w:rPr>
                <w:sz w:val="20"/>
                <w:szCs w:val="20"/>
              </w:rPr>
              <w:t>315</w:t>
            </w:r>
          </w:p>
        </w:tc>
      </w:tr>
      <w:tr w:rsidR="000641DC" w:rsidRPr="000641DC" w:rsidTr="000641DC">
        <w:trPr>
          <w:trHeight w:val="300"/>
        </w:trPr>
        <w:tc>
          <w:tcPr>
            <w:tcW w:w="6912" w:type="dxa"/>
            <w:noWrap/>
            <w:vAlign w:val="center"/>
            <w:hideMark/>
          </w:tcPr>
          <w:p w:rsidR="000641DC" w:rsidRPr="000641DC" w:rsidRDefault="000641DC" w:rsidP="000641DC">
            <w:pPr>
              <w:rPr>
                <w:sz w:val="20"/>
                <w:szCs w:val="20"/>
              </w:rPr>
            </w:pPr>
            <w:r w:rsidRPr="000641DC">
              <w:rPr>
                <w:sz w:val="20"/>
                <w:szCs w:val="20"/>
              </w:rPr>
              <w:t>SULFASALAZINE -&gt; MESALAZINE</w:t>
            </w:r>
          </w:p>
        </w:tc>
        <w:tc>
          <w:tcPr>
            <w:tcW w:w="2127" w:type="dxa"/>
            <w:noWrap/>
            <w:vAlign w:val="center"/>
            <w:hideMark/>
          </w:tcPr>
          <w:p w:rsidR="000641DC" w:rsidRPr="000641DC" w:rsidRDefault="000641DC" w:rsidP="000641DC">
            <w:pPr>
              <w:jc w:val="right"/>
              <w:rPr>
                <w:sz w:val="20"/>
                <w:szCs w:val="20"/>
              </w:rPr>
            </w:pPr>
            <w:r w:rsidRPr="000641DC">
              <w:rPr>
                <w:sz w:val="20"/>
                <w:szCs w:val="20"/>
              </w:rPr>
              <w:t>290</w:t>
            </w:r>
          </w:p>
        </w:tc>
      </w:tr>
      <w:tr w:rsidR="000641DC" w:rsidRPr="000641DC" w:rsidTr="000641DC">
        <w:trPr>
          <w:trHeight w:val="300"/>
        </w:trPr>
        <w:tc>
          <w:tcPr>
            <w:tcW w:w="6912" w:type="dxa"/>
            <w:noWrap/>
            <w:vAlign w:val="center"/>
            <w:hideMark/>
          </w:tcPr>
          <w:p w:rsidR="000641DC" w:rsidRPr="000641DC" w:rsidRDefault="000641DC" w:rsidP="000641DC">
            <w:pPr>
              <w:rPr>
                <w:sz w:val="20"/>
                <w:szCs w:val="20"/>
              </w:rPr>
            </w:pPr>
            <w:r w:rsidRPr="000641DC">
              <w:rPr>
                <w:sz w:val="20"/>
                <w:szCs w:val="20"/>
              </w:rPr>
              <w:t>PREDNISONE/PREDNISOLONE</w:t>
            </w:r>
          </w:p>
        </w:tc>
        <w:tc>
          <w:tcPr>
            <w:tcW w:w="2127" w:type="dxa"/>
            <w:noWrap/>
            <w:vAlign w:val="center"/>
            <w:hideMark/>
          </w:tcPr>
          <w:p w:rsidR="000641DC" w:rsidRPr="000641DC" w:rsidRDefault="000641DC" w:rsidP="000641DC">
            <w:pPr>
              <w:jc w:val="right"/>
              <w:rPr>
                <w:sz w:val="20"/>
                <w:szCs w:val="20"/>
              </w:rPr>
            </w:pPr>
            <w:r w:rsidRPr="000641DC">
              <w:rPr>
                <w:sz w:val="20"/>
                <w:szCs w:val="20"/>
              </w:rPr>
              <w:t>178</w:t>
            </w:r>
          </w:p>
        </w:tc>
      </w:tr>
      <w:tr w:rsidR="000641DC" w:rsidRPr="000641DC" w:rsidTr="000641DC">
        <w:trPr>
          <w:trHeight w:val="300"/>
        </w:trPr>
        <w:tc>
          <w:tcPr>
            <w:tcW w:w="6912" w:type="dxa"/>
            <w:noWrap/>
            <w:vAlign w:val="center"/>
            <w:hideMark/>
          </w:tcPr>
          <w:p w:rsidR="000641DC" w:rsidRPr="000641DC" w:rsidRDefault="000641DC" w:rsidP="000641DC">
            <w:pPr>
              <w:rPr>
                <w:sz w:val="20"/>
                <w:szCs w:val="20"/>
              </w:rPr>
            </w:pPr>
            <w:r w:rsidRPr="000641DC">
              <w:rPr>
                <w:sz w:val="20"/>
                <w:szCs w:val="20"/>
              </w:rPr>
              <w:t>PREDNISONE/PREDNISOLONE -&gt; SULFASALAZINE -&gt; MESALAZINE</w:t>
            </w:r>
          </w:p>
        </w:tc>
        <w:tc>
          <w:tcPr>
            <w:tcW w:w="2127" w:type="dxa"/>
            <w:noWrap/>
            <w:vAlign w:val="center"/>
            <w:hideMark/>
          </w:tcPr>
          <w:p w:rsidR="000641DC" w:rsidRPr="000641DC" w:rsidRDefault="000641DC" w:rsidP="000641DC">
            <w:pPr>
              <w:jc w:val="right"/>
              <w:rPr>
                <w:sz w:val="20"/>
                <w:szCs w:val="20"/>
              </w:rPr>
            </w:pPr>
            <w:r w:rsidRPr="000641DC">
              <w:rPr>
                <w:sz w:val="20"/>
                <w:szCs w:val="20"/>
              </w:rPr>
              <w:t>176</w:t>
            </w:r>
          </w:p>
        </w:tc>
      </w:tr>
      <w:tr w:rsidR="000641DC" w:rsidRPr="000641DC" w:rsidTr="000641DC">
        <w:trPr>
          <w:trHeight w:val="300"/>
        </w:trPr>
        <w:tc>
          <w:tcPr>
            <w:tcW w:w="6912" w:type="dxa"/>
            <w:noWrap/>
            <w:vAlign w:val="center"/>
            <w:hideMark/>
          </w:tcPr>
          <w:p w:rsidR="000641DC" w:rsidRPr="000641DC" w:rsidRDefault="000641DC" w:rsidP="000641DC">
            <w:pPr>
              <w:rPr>
                <w:sz w:val="20"/>
                <w:szCs w:val="20"/>
              </w:rPr>
            </w:pPr>
            <w:r w:rsidRPr="000641DC">
              <w:rPr>
                <w:sz w:val="20"/>
                <w:szCs w:val="20"/>
              </w:rPr>
              <w:t>PREDNISONE/PREDNISOLONE -&gt; MESALAZINE -&gt; AZATHIOPRINE</w:t>
            </w:r>
          </w:p>
        </w:tc>
        <w:tc>
          <w:tcPr>
            <w:tcW w:w="2127" w:type="dxa"/>
            <w:noWrap/>
            <w:vAlign w:val="center"/>
            <w:hideMark/>
          </w:tcPr>
          <w:p w:rsidR="000641DC" w:rsidRPr="000641DC" w:rsidRDefault="000641DC" w:rsidP="000641DC">
            <w:pPr>
              <w:jc w:val="right"/>
              <w:rPr>
                <w:sz w:val="20"/>
                <w:szCs w:val="20"/>
              </w:rPr>
            </w:pPr>
            <w:r w:rsidRPr="000641DC">
              <w:rPr>
                <w:sz w:val="20"/>
                <w:szCs w:val="20"/>
              </w:rPr>
              <w:t>72</w:t>
            </w:r>
          </w:p>
        </w:tc>
      </w:tr>
      <w:tr w:rsidR="000641DC" w:rsidRPr="000641DC" w:rsidTr="000641DC">
        <w:trPr>
          <w:trHeight w:val="300"/>
        </w:trPr>
        <w:tc>
          <w:tcPr>
            <w:tcW w:w="6912" w:type="dxa"/>
            <w:noWrap/>
            <w:vAlign w:val="center"/>
            <w:hideMark/>
          </w:tcPr>
          <w:p w:rsidR="000641DC" w:rsidRPr="000641DC" w:rsidRDefault="000641DC" w:rsidP="000641DC">
            <w:pPr>
              <w:rPr>
                <w:sz w:val="20"/>
                <w:szCs w:val="20"/>
              </w:rPr>
            </w:pPr>
            <w:r w:rsidRPr="000641DC">
              <w:rPr>
                <w:sz w:val="20"/>
                <w:szCs w:val="20"/>
              </w:rPr>
              <w:t>HYDROCORTISONE -&gt; MESALAZINE</w:t>
            </w:r>
          </w:p>
        </w:tc>
        <w:tc>
          <w:tcPr>
            <w:tcW w:w="2127" w:type="dxa"/>
            <w:noWrap/>
            <w:vAlign w:val="center"/>
            <w:hideMark/>
          </w:tcPr>
          <w:p w:rsidR="000641DC" w:rsidRPr="000641DC" w:rsidRDefault="000641DC" w:rsidP="000641DC">
            <w:pPr>
              <w:jc w:val="right"/>
              <w:rPr>
                <w:sz w:val="20"/>
                <w:szCs w:val="20"/>
              </w:rPr>
            </w:pPr>
            <w:r w:rsidRPr="000641DC">
              <w:rPr>
                <w:sz w:val="20"/>
                <w:szCs w:val="20"/>
              </w:rPr>
              <w:t>71</w:t>
            </w:r>
          </w:p>
        </w:tc>
      </w:tr>
      <w:tr w:rsidR="000641DC" w:rsidRPr="000641DC" w:rsidTr="000641DC">
        <w:trPr>
          <w:trHeight w:val="300"/>
        </w:trPr>
        <w:tc>
          <w:tcPr>
            <w:tcW w:w="6912" w:type="dxa"/>
            <w:noWrap/>
            <w:vAlign w:val="center"/>
            <w:hideMark/>
          </w:tcPr>
          <w:p w:rsidR="000641DC" w:rsidRPr="000641DC" w:rsidRDefault="000641DC" w:rsidP="000641DC">
            <w:pPr>
              <w:rPr>
                <w:sz w:val="20"/>
                <w:szCs w:val="20"/>
              </w:rPr>
            </w:pPr>
            <w:r w:rsidRPr="000641DC">
              <w:rPr>
                <w:sz w:val="20"/>
                <w:szCs w:val="20"/>
              </w:rPr>
              <w:t>SULFASALAZINE -&gt; MESALAZINE -&gt; PREDNISONE/PREDNISOLONE</w:t>
            </w:r>
          </w:p>
        </w:tc>
        <w:tc>
          <w:tcPr>
            <w:tcW w:w="2127" w:type="dxa"/>
            <w:noWrap/>
            <w:vAlign w:val="center"/>
            <w:hideMark/>
          </w:tcPr>
          <w:p w:rsidR="000641DC" w:rsidRPr="000641DC" w:rsidRDefault="000641DC" w:rsidP="000641DC">
            <w:pPr>
              <w:jc w:val="right"/>
              <w:rPr>
                <w:sz w:val="20"/>
                <w:szCs w:val="20"/>
              </w:rPr>
            </w:pPr>
            <w:r w:rsidRPr="000641DC">
              <w:rPr>
                <w:sz w:val="20"/>
                <w:szCs w:val="20"/>
              </w:rPr>
              <w:t>70</w:t>
            </w:r>
          </w:p>
        </w:tc>
      </w:tr>
      <w:tr w:rsidR="000641DC" w:rsidRPr="000641DC" w:rsidTr="000641DC">
        <w:trPr>
          <w:trHeight w:val="300"/>
        </w:trPr>
        <w:tc>
          <w:tcPr>
            <w:tcW w:w="6912" w:type="dxa"/>
            <w:noWrap/>
            <w:vAlign w:val="center"/>
            <w:hideMark/>
          </w:tcPr>
          <w:p w:rsidR="000641DC" w:rsidRPr="000641DC" w:rsidRDefault="000641DC" w:rsidP="000641DC">
            <w:pPr>
              <w:rPr>
                <w:sz w:val="20"/>
                <w:szCs w:val="20"/>
              </w:rPr>
            </w:pPr>
            <w:r w:rsidRPr="000641DC">
              <w:rPr>
                <w:sz w:val="20"/>
                <w:szCs w:val="20"/>
              </w:rPr>
              <w:t>MESALAZINE -&gt; PREDNISONE/PREDNISOLONE -&gt; AZATHIOPRINE</w:t>
            </w:r>
          </w:p>
        </w:tc>
        <w:tc>
          <w:tcPr>
            <w:tcW w:w="2127" w:type="dxa"/>
            <w:noWrap/>
            <w:vAlign w:val="center"/>
            <w:hideMark/>
          </w:tcPr>
          <w:p w:rsidR="000641DC" w:rsidRPr="000641DC" w:rsidRDefault="000641DC" w:rsidP="000641DC">
            <w:pPr>
              <w:jc w:val="right"/>
              <w:rPr>
                <w:sz w:val="20"/>
                <w:szCs w:val="20"/>
              </w:rPr>
            </w:pPr>
            <w:r w:rsidRPr="000641DC">
              <w:rPr>
                <w:sz w:val="20"/>
                <w:szCs w:val="20"/>
              </w:rPr>
              <w:t>64</w:t>
            </w:r>
          </w:p>
        </w:tc>
      </w:tr>
    </w:tbl>
    <w:p w:rsidR="00F4748B" w:rsidRDefault="00F4748B" w:rsidP="00BC094B"/>
    <w:p w:rsidR="005910EF" w:rsidRDefault="005910EF" w:rsidP="00BC094B">
      <w:r>
        <w:t>The majority of patients in this cohort who use a 5-ASA in their first 12 months of treatment use mesalazine. A smaller proportion of patients initiate on sulfasalazine and subsequently use mesalazine. Patients only using sulfasalazine are not presented because sulfasalazine is unrestricted and these patients would be identified as “</w:t>
      </w:r>
      <w:r w:rsidRPr="005910EF">
        <w:t>Patients without an identifying authority or restriction code</w:t>
      </w:r>
      <w:r>
        <w:t xml:space="preserve">.” </w:t>
      </w:r>
    </w:p>
    <w:p w:rsidR="006441BC" w:rsidRDefault="006441BC">
      <w:pPr>
        <w:spacing w:line="276" w:lineRule="auto"/>
        <w:rPr>
          <w:b/>
          <w:i/>
          <w:sz w:val="28"/>
        </w:rPr>
      </w:pPr>
      <w:r>
        <w:br w:type="page"/>
      </w:r>
    </w:p>
    <w:p w:rsidR="00736041" w:rsidRDefault="001B5D37" w:rsidP="00346DA0">
      <w:pPr>
        <w:pStyle w:val="Heading2"/>
      </w:pPr>
      <w:r w:rsidRPr="005E22C2">
        <w:lastRenderedPageBreak/>
        <w:t xml:space="preserve">Analysis </w:t>
      </w:r>
      <w:r w:rsidR="00481108" w:rsidRPr="005E22C2">
        <w:t xml:space="preserve">of </w:t>
      </w:r>
      <w:r w:rsidR="0063631C">
        <w:t>e</w:t>
      </w:r>
      <w:r w:rsidR="00736041" w:rsidRPr="005E22C2">
        <w:t>xpenditure</w:t>
      </w:r>
    </w:p>
    <w:p w:rsidR="006B216D" w:rsidRPr="006B216D" w:rsidRDefault="006B216D" w:rsidP="006B216D">
      <w:r>
        <w:t xml:space="preserve">Table </w:t>
      </w:r>
      <w:r w:rsidR="00245624">
        <w:t>6</w:t>
      </w:r>
      <w:r w:rsidR="006D3000">
        <w:t xml:space="preserve"> shows expenditure for medicines for UC</w:t>
      </w:r>
      <w:r w:rsidR="003A47FF">
        <w:t xml:space="preserve"> using the cohort of </w:t>
      </w:r>
      <w:r w:rsidR="000641DC" w:rsidRPr="000641DC">
        <w:t>54,785</w:t>
      </w:r>
      <w:r w:rsidR="000641DC">
        <w:t xml:space="preserve"> </w:t>
      </w:r>
      <w:r w:rsidR="003A47FF">
        <w:t>UC patients</w:t>
      </w:r>
      <w:r w:rsidR="009B4B38">
        <w:t xml:space="preserve">. </w:t>
      </w:r>
    </w:p>
    <w:p w:rsidR="00195C94" w:rsidRPr="005C3DC7" w:rsidRDefault="00233C66" w:rsidP="00346DA0">
      <w:pPr>
        <w:pStyle w:val="Tabletitle"/>
        <w:rPr>
          <w:i w:val="0"/>
        </w:rPr>
      </w:pPr>
      <w:r w:rsidRPr="005C3DC7">
        <w:rPr>
          <w:i w:val="0"/>
        </w:rPr>
        <w:t xml:space="preserve">Table </w:t>
      </w:r>
      <w:r w:rsidR="00245624" w:rsidRPr="005C3DC7">
        <w:rPr>
          <w:i w:val="0"/>
        </w:rPr>
        <w:t>6</w:t>
      </w:r>
      <w:r w:rsidRPr="005C3DC7">
        <w:rPr>
          <w:i w:val="0"/>
        </w:rPr>
        <w:t>: Expenditure of medicines for UC</w:t>
      </w:r>
      <w:r w:rsidR="00836254" w:rsidRPr="005C3DC7">
        <w:rPr>
          <w:i w:val="0"/>
        </w:rPr>
        <w:t xml:space="preserve"> using UC cohort</w:t>
      </w:r>
    </w:p>
    <w:tbl>
      <w:tblPr>
        <w:tblStyle w:val="TableGrid"/>
        <w:tblW w:w="0" w:type="auto"/>
        <w:tblLook w:val="04A0" w:firstRow="1" w:lastRow="0" w:firstColumn="1" w:lastColumn="0" w:noHBand="0" w:noVBand="1"/>
        <w:tblCaption w:val="Expenditure of medicines for UC using UC cohort"/>
        <w:tblDescription w:val="Expenditure of medicines for UC using UC cohort"/>
      </w:tblPr>
      <w:tblGrid>
        <w:gridCol w:w="2643"/>
        <w:gridCol w:w="1482"/>
        <w:gridCol w:w="1262"/>
        <w:gridCol w:w="1262"/>
        <w:gridCol w:w="1262"/>
        <w:gridCol w:w="1262"/>
      </w:tblGrid>
      <w:tr w:rsidR="00162080" w:rsidRPr="00672450" w:rsidTr="006033BE">
        <w:trPr>
          <w:trHeight w:val="300"/>
          <w:tblHeader/>
        </w:trPr>
        <w:tc>
          <w:tcPr>
            <w:tcW w:w="2643" w:type="dxa"/>
            <w:shd w:val="clear" w:color="auto" w:fill="BFBFBF" w:themeFill="background1" w:themeFillShade="BF"/>
            <w:noWrap/>
            <w:vAlign w:val="center"/>
            <w:hideMark/>
          </w:tcPr>
          <w:p w:rsidR="00162080" w:rsidRPr="00672450" w:rsidRDefault="00162080" w:rsidP="00162080">
            <w:pPr>
              <w:rPr>
                <w:b/>
                <w:bCs/>
                <w:sz w:val="20"/>
                <w:szCs w:val="20"/>
              </w:rPr>
            </w:pPr>
          </w:p>
        </w:tc>
        <w:tc>
          <w:tcPr>
            <w:tcW w:w="1482" w:type="dxa"/>
            <w:shd w:val="clear" w:color="auto" w:fill="BFBFBF" w:themeFill="background1" w:themeFillShade="BF"/>
            <w:noWrap/>
            <w:vAlign w:val="center"/>
            <w:hideMark/>
          </w:tcPr>
          <w:p w:rsidR="00162080" w:rsidRPr="00672450" w:rsidRDefault="00162080" w:rsidP="00672450">
            <w:pPr>
              <w:jc w:val="right"/>
              <w:rPr>
                <w:b/>
                <w:bCs/>
                <w:sz w:val="20"/>
                <w:szCs w:val="20"/>
              </w:rPr>
            </w:pPr>
            <w:r w:rsidRPr="00672450">
              <w:rPr>
                <w:b/>
                <w:bCs/>
                <w:sz w:val="20"/>
                <w:szCs w:val="20"/>
              </w:rPr>
              <w:t>2012</w:t>
            </w:r>
          </w:p>
        </w:tc>
        <w:tc>
          <w:tcPr>
            <w:tcW w:w="1262" w:type="dxa"/>
            <w:shd w:val="clear" w:color="auto" w:fill="BFBFBF" w:themeFill="background1" w:themeFillShade="BF"/>
            <w:noWrap/>
            <w:vAlign w:val="center"/>
            <w:hideMark/>
          </w:tcPr>
          <w:p w:rsidR="00162080" w:rsidRPr="00672450" w:rsidRDefault="00162080" w:rsidP="00672450">
            <w:pPr>
              <w:jc w:val="right"/>
              <w:rPr>
                <w:b/>
                <w:bCs/>
                <w:sz w:val="20"/>
                <w:szCs w:val="20"/>
              </w:rPr>
            </w:pPr>
            <w:r w:rsidRPr="00672450">
              <w:rPr>
                <w:b/>
                <w:bCs/>
                <w:sz w:val="20"/>
                <w:szCs w:val="20"/>
              </w:rPr>
              <w:t>2013</w:t>
            </w:r>
          </w:p>
        </w:tc>
        <w:tc>
          <w:tcPr>
            <w:tcW w:w="1262" w:type="dxa"/>
            <w:shd w:val="clear" w:color="auto" w:fill="BFBFBF" w:themeFill="background1" w:themeFillShade="BF"/>
            <w:noWrap/>
            <w:vAlign w:val="center"/>
            <w:hideMark/>
          </w:tcPr>
          <w:p w:rsidR="00162080" w:rsidRPr="00672450" w:rsidRDefault="00162080" w:rsidP="00672450">
            <w:pPr>
              <w:jc w:val="right"/>
              <w:rPr>
                <w:b/>
                <w:bCs/>
                <w:sz w:val="20"/>
                <w:szCs w:val="20"/>
              </w:rPr>
            </w:pPr>
            <w:r w:rsidRPr="00672450">
              <w:rPr>
                <w:b/>
                <w:bCs/>
                <w:sz w:val="20"/>
                <w:szCs w:val="20"/>
              </w:rPr>
              <w:t>2014</w:t>
            </w:r>
          </w:p>
        </w:tc>
        <w:tc>
          <w:tcPr>
            <w:tcW w:w="1262" w:type="dxa"/>
            <w:shd w:val="clear" w:color="auto" w:fill="BFBFBF" w:themeFill="background1" w:themeFillShade="BF"/>
            <w:noWrap/>
            <w:vAlign w:val="center"/>
            <w:hideMark/>
          </w:tcPr>
          <w:p w:rsidR="00162080" w:rsidRPr="00672450" w:rsidRDefault="00162080" w:rsidP="00672450">
            <w:pPr>
              <w:jc w:val="right"/>
              <w:rPr>
                <w:b/>
                <w:bCs/>
                <w:sz w:val="20"/>
                <w:szCs w:val="20"/>
              </w:rPr>
            </w:pPr>
            <w:r w:rsidRPr="00672450">
              <w:rPr>
                <w:b/>
                <w:bCs/>
                <w:sz w:val="20"/>
                <w:szCs w:val="20"/>
              </w:rPr>
              <w:t>2015</w:t>
            </w:r>
          </w:p>
        </w:tc>
        <w:tc>
          <w:tcPr>
            <w:tcW w:w="1262" w:type="dxa"/>
            <w:shd w:val="clear" w:color="auto" w:fill="BFBFBF" w:themeFill="background1" w:themeFillShade="BF"/>
            <w:noWrap/>
            <w:vAlign w:val="center"/>
            <w:hideMark/>
          </w:tcPr>
          <w:p w:rsidR="00162080" w:rsidRPr="00672450" w:rsidRDefault="00162080" w:rsidP="00672450">
            <w:pPr>
              <w:jc w:val="right"/>
              <w:rPr>
                <w:b/>
                <w:bCs/>
                <w:sz w:val="20"/>
                <w:szCs w:val="20"/>
              </w:rPr>
            </w:pPr>
            <w:r w:rsidRPr="00672450">
              <w:rPr>
                <w:b/>
                <w:bCs/>
                <w:sz w:val="20"/>
                <w:szCs w:val="20"/>
              </w:rPr>
              <w:t>2016</w:t>
            </w:r>
          </w:p>
        </w:tc>
      </w:tr>
      <w:tr w:rsidR="00672450" w:rsidRPr="00672450" w:rsidTr="00022B93">
        <w:trPr>
          <w:trHeight w:val="300"/>
        </w:trPr>
        <w:tc>
          <w:tcPr>
            <w:tcW w:w="2643" w:type="dxa"/>
            <w:noWrap/>
            <w:vAlign w:val="center"/>
            <w:hideMark/>
          </w:tcPr>
          <w:p w:rsidR="00672450" w:rsidRPr="00672450" w:rsidRDefault="00672450" w:rsidP="00162080">
            <w:pPr>
              <w:rPr>
                <w:sz w:val="20"/>
                <w:szCs w:val="20"/>
              </w:rPr>
            </w:pPr>
            <w:r w:rsidRPr="00672450">
              <w:rPr>
                <w:sz w:val="20"/>
                <w:szCs w:val="20"/>
              </w:rPr>
              <w:t>ADALIMUMAB</w:t>
            </w:r>
          </w:p>
        </w:tc>
        <w:tc>
          <w:tcPr>
            <w:tcW w:w="1482" w:type="dxa"/>
            <w:noWrap/>
            <w:vAlign w:val="center"/>
          </w:tcPr>
          <w:p w:rsidR="00672450" w:rsidRPr="00672450" w:rsidRDefault="00672450" w:rsidP="00672450">
            <w:pPr>
              <w:jc w:val="right"/>
              <w:rPr>
                <w:sz w:val="20"/>
                <w:szCs w:val="20"/>
              </w:rPr>
            </w:pPr>
          </w:p>
        </w:tc>
        <w:tc>
          <w:tcPr>
            <w:tcW w:w="1262" w:type="dxa"/>
            <w:noWrap/>
            <w:vAlign w:val="center"/>
          </w:tcPr>
          <w:p w:rsidR="00672450" w:rsidRPr="00672450" w:rsidRDefault="00672450" w:rsidP="00672450">
            <w:pPr>
              <w:jc w:val="right"/>
              <w:rPr>
                <w:sz w:val="20"/>
                <w:szCs w:val="20"/>
              </w:rPr>
            </w:pPr>
          </w:p>
        </w:tc>
        <w:tc>
          <w:tcPr>
            <w:tcW w:w="1262" w:type="dxa"/>
            <w:noWrap/>
            <w:vAlign w:val="center"/>
          </w:tcPr>
          <w:p w:rsidR="00672450" w:rsidRPr="00672450" w:rsidRDefault="00672450" w:rsidP="00672450">
            <w:pPr>
              <w:jc w:val="right"/>
              <w:rPr>
                <w:sz w:val="20"/>
                <w:szCs w:val="20"/>
              </w:rPr>
            </w:pPr>
          </w:p>
        </w:tc>
        <w:tc>
          <w:tcPr>
            <w:tcW w:w="1262" w:type="dxa"/>
            <w:noWrap/>
            <w:vAlign w:val="center"/>
          </w:tcPr>
          <w:p w:rsidR="00672450" w:rsidRPr="00672450" w:rsidRDefault="00672450" w:rsidP="00672450">
            <w:pPr>
              <w:jc w:val="right"/>
              <w:rPr>
                <w:sz w:val="20"/>
                <w:szCs w:val="20"/>
              </w:rPr>
            </w:pPr>
          </w:p>
        </w:tc>
        <w:tc>
          <w:tcPr>
            <w:tcW w:w="1262" w:type="dxa"/>
            <w:noWrap/>
            <w:vAlign w:val="center"/>
            <w:hideMark/>
          </w:tcPr>
          <w:p w:rsidR="00672450" w:rsidRPr="00672450" w:rsidRDefault="003F3FC5" w:rsidP="00672450">
            <w:pPr>
              <w:jc w:val="right"/>
              <w:rPr>
                <w:sz w:val="20"/>
                <w:szCs w:val="20"/>
              </w:rPr>
            </w:pPr>
            <w:r w:rsidRPr="003F3FC5">
              <w:rPr>
                <w:sz w:val="20"/>
                <w:szCs w:val="20"/>
              </w:rPr>
              <w:t>$39,073</w:t>
            </w:r>
            <w:r w:rsidRPr="003F3FC5">
              <w:rPr>
                <w:sz w:val="20"/>
                <w:szCs w:val="20"/>
                <w:vertAlign w:val="superscript"/>
              </w:rPr>
              <w:t>a</w:t>
            </w:r>
          </w:p>
        </w:tc>
      </w:tr>
      <w:tr w:rsidR="00672450" w:rsidRPr="00672450" w:rsidTr="00672450">
        <w:trPr>
          <w:trHeight w:val="300"/>
        </w:trPr>
        <w:tc>
          <w:tcPr>
            <w:tcW w:w="2643" w:type="dxa"/>
            <w:noWrap/>
            <w:vAlign w:val="center"/>
            <w:hideMark/>
          </w:tcPr>
          <w:p w:rsidR="00672450" w:rsidRPr="00672450" w:rsidRDefault="00672450" w:rsidP="00162080">
            <w:pPr>
              <w:rPr>
                <w:sz w:val="20"/>
                <w:szCs w:val="20"/>
              </w:rPr>
            </w:pPr>
            <w:r w:rsidRPr="00672450">
              <w:rPr>
                <w:sz w:val="20"/>
                <w:szCs w:val="20"/>
              </w:rPr>
              <w:t>AZATHIOPRINE</w:t>
            </w:r>
          </w:p>
        </w:tc>
        <w:tc>
          <w:tcPr>
            <w:tcW w:w="1482" w:type="dxa"/>
            <w:noWrap/>
            <w:vAlign w:val="center"/>
            <w:hideMark/>
          </w:tcPr>
          <w:p w:rsidR="00672450" w:rsidRPr="00672450" w:rsidRDefault="00672450" w:rsidP="00672450">
            <w:pPr>
              <w:jc w:val="right"/>
              <w:rPr>
                <w:sz w:val="20"/>
                <w:szCs w:val="20"/>
              </w:rPr>
            </w:pPr>
            <w:r w:rsidRPr="00672450">
              <w:rPr>
                <w:sz w:val="20"/>
                <w:szCs w:val="20"/>
              </w:rPr>
              <w:t>$700,555</w:t>
            </w:r>
          </w:p>
        </w:tc>
        <w:tc>
          <w:tcPr>
            <w:tcW w:w="1262" w:type="dxa"/>
            <w:noWrap/>
            <w:vAlign w:val="center"/>
            <w:hideMark/>
          </w:tcPr>
          <w:p w:rsidR="00672450" w:rsidRPr="00672450" w:rsidRDefault="00672450" w:rsidP="00672450">
            <w:pPr>
              <w:jc w:val="right"/>
              <w:rPr>
                <w:sz w:val="20"/>
                <w:szCs w:val="20"/>
              </w:rPr>
            </w:pPr>
            <w:r w:rsidRPr="00672450">
              <w:rPr>
                <w:sz w:val="20"/>
                <w:szCs w:val="20"/>
              </w:rPr>
              <w:t>$599,335</w:t>
            </w:r>
          </w:p>
        </w:tc>
        <w:tc>
          <w:tcPr>
            <w:tcW w:w="1262" w:type="dxa"/>
            <w:noWrap/>
            <w:vAlign w:val="center"/>
            <w:hideMark/>
          </w:tcPr>
          <w:p w:rsidR="00672450" w:rsidRPr="00672450" w:rsidRDefault="00672450" w:rsidP="00672450">
            <w:pPr>
              <w:jc w:val="right"/>
              <w:rPr>
                <w:sz w:val="20"/>
                <w:szCs w:val="20"/>
              </w:rPr>
            </w:pPr>
            <w:r w:rsidRPr="00672450">
              <w:rPr>
                <w:sz w:val="20"/>
                <w:szCs w:val="20"/>
              </w:rPr>
              <w:t>$557,639</w:t>
            </w:r>
          </w:p>
        </w:tc>
        <w:tc>
          <w:tcPr>
            <w:tcW w:w="1262" w:type="dxa"/>
            <w:noWrap/>
            <w:vAlign w:val="center"/>
            <w:hideMark/>
          </w:tcPr>
          <w:p w:rsidR="00672450" w:rsidRPr="00672450" w:rsidRDefault="00672450" w:rsidP="00672450">
            <w:pPr>
              <w:jc w:val="right"/>
              <w:rPr>
                <w:sz w:val="20"/>
                <w:szCs w:val="20"/>
              </w:rPr>
            </w:pPr>
            <w:r w:rsidRPr="00672450">
              <w:rPr>
                <w:sz w:val="20"/>
                <w:szCs w:val="20"/>
              </w:rPr>
              <w:t>$450,017</w:t>
            </w:r>
          </w:p>
        </w:tc>
        <w:tc>
          <w:tcPr>
            <w:tcW w:w="1262" w:type="dxa"/>
            <w:noWrap/>
            <w:vAlign w:val="center"/>
            <w:hideMark/>
          </w:tcPr>
          <w:p w:rsidR="00672450" w:rsidRPr="00672450" w:rsidRDefault="00672450" w:rsidP="00672450">
            <w:pPr>
              <w:jc w:val="right"/>
              <w:rPr>
                <w:sz w:val="20"/>
                <w:szCs w:val="20"/>
              </w:rPr>
            </w:pPr>
            <w:r w:rsidRPr="00672450">
              <w:rPr>
                <w:sz w:val="20"/>
                <w:szCs w:val="20"/>
              </w:rPr>
              <w:t>$377,631</w:t>
            </w:r>
          </w:p>
        </w:tc>
      </w:tr>
      <w:tr w:rsidR="00672450" w:rsidRPr="00672450" w:rsidTr="00672450">
        <w:trPr>
          <w:trHeight w:val="300"/>
        </w:trPr>
        <w:tc>
          <w:tcPr>
            <w:tcW w:w="2643" w:type="dxa"/>
            <w:noWrap/>
            <w:vAlign w:val="center"/>
            <w:hideMark/>
          </w:tcPr>
          <w:p w:rsidR="00672450" w:rsidRPr="00672450" w:rsidRDefault="00672450" w:rsidP="00162080">
            <w:pPr>
              <w:rPr>
                <w:sz w:val="20"/>
                <w:szCs w:val="20"/>
              </w:rPr>
            </w:pPr>
            <w:r w:rsidRPr="00672450">
              <w:rPr>
                <w:sz w:val="20"/>
                <w:szCs w:val="20"/>
              </w:rPr>
              <w:t>BALSALAZIDE</w:t>
            </w:r>
          </w:p>
        </w:tc>
        <w:tc>
          <w:tcPr>
            <w:tcW w:w="1482" w:type="dxa"/>
            <w:noWrap/>
            <w:vAlign w:val="center"/>
            <w:hideMark/>
          </w:tcPr>
          <w:p w:rsidR="00672450" w:rsidRPr="00672450" w:rsidRDefault="00672450" w:rsidP="00672450">
            <w:pPr>
              <w:jc w:val="right"/>
              <w:rPr>
                <w:sz w:val="20"/>
                <w:szCs w:val="20"/>
              </w:rPr>
            </w:pPr>
            <w:r w:rsidRPr="00672450">
              <w:rPr>
                <w:sz w:val="20"/>
                <w:szCs w:val="20"/>
              </w:rPr>
              <w:t>$2,186,599</w:t>
            </w:r>
          </w:p>
        </w:tc>
        <w:tc>
          <w:tcPr>
            <w:tcW w:w="1262" w:type="dxa"/>
            <w:noWrap/>
            <w:vAlign w:val="center"/>
            <w:hideMark/>
          </w:tcPr>
          <w:p w:rsidR="00672450" w:rsidRPr="00672450" w:rsidRDefault="00672450" w:rsidP="00672450">
            <w:pPr>
              <w:jc w:val="right"/>
              <w:rPr>
                <w:sz w:val="20"/>
                <w:szCs w:val="20"/>
              </w:rPr>
            </w:pPr>
            <w:r w:rsidRPr="00672450">
              <w:rPr>
                <w:sz w:val="20"/>
                <w:szCs w:val="20"/>
              </w:rPr>
              <w:t>$1,548,258</w:t>
            </w:r>
          </w:p>
        </w:tc>
        <w:tc>
          <w:tcPr>
            <w:tcW w:w="1262" w:type="dxa"/>
            <w:noWrap/>
            <w:vAlign w:val="center"/>
            <w:hideMark/>
          </w:tcPr>
          <w:p w:rsidR="00672450" w:rsidRPr="00672450" w:rsidRDefault="00672450" w:rsidP="00672450">
            <w:pPr>
              <w:jc w:val="right"/>
              <w:rPr>
                <w:sz w:val="20"/>
                <w:szCs w:val="20"/>
              </w:rPr>
            </w:pPr>
            <w:r w:rsidRPr="00672450">
              <w:rPr>
                <w:sz w:val="20"/>
                <w:szCs w:val="20"/>
              </w:rPr>
              <w:t>$1,617,045</w:t>
            </w:r>
          </w:p>
        </w:tc>
        <w:tc>
          <w:tcPr>
            <w:tcW w:w="1262" w:type="dxa"/>
            <w:noWrap/>
            <w:vAlign w:val="center"/>
            <w:hideMark/>
          </w:tcPr>
          <w:p w:rsidR="00672450" w:rsidRPr="00672450" w:rsidRDefault="00672450" w:rsidP="00672450">
            <w:pPr>
              <w:jc w:val="right"/>
              <w:rPr>
                <w:sz w:val="20"/>
                <w:szCs w:val="20"/>
              </w:rPr>
            </w:pPr>
            <w:r w:rsidRPr="00672450">
              <w:rPr>
                <w:sz w:val="20"/>
                <w:szCs w:val="20"/>
              </w:rPr>
              <w:t>$1,528,082</w:t>
            </w:r>
          </w:p>
        </w:tc>
        <w:tc>
          <w:tcPr>
            <w:tcW w:w="1262" w:type="dxa"/>
            <w:noWrap/>
            <w:vAlign w:val="center"/>
            <w:hideMark/>
          </w:tcPr>
          <w:p w:rsidR="00672450" w:rsidRPr="00672450" w:rsidRDefault="00672450" w:rsidP="00672450">
            <w:pPr>
              <w:jc w:val="right"/>
              <w:rPr>
                <w:sz w:val="20"/>
                <w:szCs w:val="20"/>
              </w:rPr>
            </w:pPr>
            <w:r w:rsidRPr="00672450">
              <w:rPr>
                <w:sz w:val="20"/>
                <w:szCs w:val="20"/>
              </w:rPr>
              <w:t>$1,386,081</w:t>
            </w:r>
          </w:p>
        </w:tc>
      </w:tr>
      <w:tr w:rsidR="00672450" w:rsidRPr="00672450" w:rsidTr="00672450">
        <w:trPr>
          <w:trHeight w:val="300"/>
        </w:trPr>
        <w:tc>
          <w:tcPr>
            <w:tcW w:w="2643" w:type="dxa"/>
            <w:noWrap/>
            <w:vAlign w:val="center"/>
            <w:hideMark/>
          </w:tcPr>
          <w:p w:rsidR="00672450" w:rsidRPr="00672450" w:rsidRDefault="00672450" w:rsidP="00162080">
            <w:pPr>
              <w:rPr>
                <w:sz w:val="20"/>
                <w:szCs w:val="20"/>
              </w:rPr>
            </w:pPr>
            <w:r w:rsidRPr="00672450">
              <w:rPr>
                <w:sz w:val="20"/>
                <w:szCs w:val="20"/>
              </w:rPr>
              <w:t>BUDESONIDE</w:t>
            </w:r>
          </w:p>
        </w:tc>
        <w:tc>
          <w:tcPr>
            <w:tcW w:w="1482" w:type="dxa"/>
            <w:noWrap/>
            <w:vAlign w:val="center"/>
            <w:hideMark/>
          </w:tcPr>
          <w:p w:rsidR="00672450" w:rsidRPr="00672450" w:rsidRDefault="00672450" w:rsidP="00672450">
            <w:pPr>
              <w:jc w:val="right"/>
              <w:rPr>
                <w:sz w:val="20"/>
                <w:szCs w:val="20"/>
              </w:rPr>
            </w:pPr>
          </w:p>
        </w:tc>
        <w:tc>
          <w:tcPr>
            <w:tcW w:w="1262" w:type="dxa"/>
            <w:noWrap/>
            <w:vAlign w:val="center"/>
            <w:hideMark/>
          </w:tcPr>
          <w:p w:rsidR="00672450" w:rsidRPr="00672450" w:rsidRDefault="00672450" w:rsidP="00672450">
            <w:pPr>
              <w:jc w:val="right"/>
              <w:rPr>
                <w:sz w:val="20"/>
                <w:szCs w:val="20"/>
              </w:rPr>
            </w:pPr>
          </w:p>
        </w:tc>
        <w:tc>
          <w:tcPr>
            <w:tcW w:w="1262" w:type="dxa"/>
            <w:noWrap/>
            <w:vAlign w:val="center"/>
            <w:hideMark/>
          </w:tcPr>
          <w:p w:rsidR="00672450" w:rsidRPr="00672450" w:rsidRDefault="00672450" w:rsidP="00672450">
            <w:pPr>
              <w:jc w:val="right"/>
              <w:rPr>
                <w:sz w:val="20"/>
                <w:szCs w:val="20"/>
              </w:rPr>
            </w:pPr>
            <w:r w:rsidRPr="00672450">
              <w:rPr>
                <w:sz w:val="20"/>
                <w:szCs w:val="20"/>
              </w:rPr>
              <w:t>$73,996</w:t>
            </w:r>
          </w:p>
        </w:tc>
        <w:tc>
          <w:tcPr>
            <w:tcW w:w="1262" w:type="dxa"/>
            <w:noWrap/>
            <w:vAlign w:val="center"/>
            <w:hideMark/>
          </w:tcPr>
          <w:p w:rsidR="00672450" w:rsidRPr="00672450" w:rsidRDefault="00672450" w:rsidP="00672450">
            <w:pPr>
              <w:jc w:val="right"/>
              <w:rPr>
                <w:sz w:val="20"/>
                <w:szCs w:val="20"/>
              </w:rPr>
            </w:pPr>
            <w:r w:rsidRPr="00672450">
              <w:rPr>
                <w:sz w:val="20"/>
                <w:szCs w:val="20"/>
              </w:rPr>
              <w:t>$227,914</w:t>
            </w:r>
          </w:p>
        </w:tc>
        <w:tc>
          <w:tcPr>
            <w:tcW w:w="1262" w:type="dxa"/>
            <w:noWrap/>
            <w:vAlign w:val="center"/>
            <w:hideMark/>
          </w:tcPr>
          <w:p w:rsidR="00672450" w:rsidRPr="00672450" w:rsidRDefault="00672450" w:rsidP="00672450">
            <w:pPr>
              <w:jc w:val="right"/>
              <w:rPr>
                <w:sz w:val="20"/>
                <w:szCs w:val="20"/>
              </w:rPr>
            </w:pPr>
            <w:r w:rsidRPr="00672450">
              <w:rPr>
                <w:sz w:val="20"/>
                <w:szCs w:val="20"/>
              </w:rPr>
              <w:t>$315,304</w:t>
            </w:r>
          </w:p>
        </w:tc>
      </w:tr>
      <w:tr w:rsidR="00672450" w:rsidRPr="00672450" w:rsidTr="00672450">
        <w:trPr>
          <w:trHeight w:val="300"/>
        </w:trPr>
        <w:tc>
          <w:tcPr>
            <w:tcW w:w="2643" w:type="dxa"/>
            <w:noWrap/>
            <w:vAlign w:val="center"/>
            <w:hideMark/>
          </w:tcPr>
          <w:p w:rsidR="00672450" w:rsidRPr="00672450" w:rsidRDefault="00672450" w:rsidP="00162080">
            <w:pPr>
              <w:rPr>
                <w:sz w:val="20"/>
                <w:szCs w:val="20"/>
              </w:rPr>
            </w:pPr>
            <w:r w:rsidRPr="00672450">
              <w:rPr>
                <w:sz w:val="20"/>
                <w:szCs w:val="20"/>
              </w:rPr>
              <w:t>CYCLOSPORIN</w:t>
            </w:r>
          </w:p>
        </w:tc>
        <w:tc>
          <w:tcPr>
            <w:tcW w:w="1482" w:type="dxa"/>
            <w:noWrap/>
            <w:vAlign w:val="center"/>
            <w:hideMark/>
          </w:tcPr>
          <w:p w:rsidR="00672450" w:rsidRPr="00672450" w:rsidRDefault="00672450" w:rsidP="00672450">
            <w:pPr>
              <w:jc w:val="right"/>
              <w:rPr>
                <w:sz w:val="20"/>
                <w:szCs w:val="20"/>
              </w:rPr>
            </w:pPr>
            <w:r w:rsidRPr="00672450">
              <w:rPr>
                <w:sz w:val="20"/>
                <w:szCs w:val="20"/>
              </w:rPr>
              <w:t>$10,393</w:t>
            </w:r>
          </w:p>
        </w:tc>
        <w:tc>
          <w:tcPr>
            <w:tcW w:w="1262" w:type="dxa"/>
            <w:noWrap/>
            <w:vAlign w:val="center"/>
            <w:hideMark/>
          </w:tcPr>
          <w:p w:rsidR="00672450" w:rsidRPr="00672450" w:rsidRDefault="00672450" w:rsidP="00672450">
            <w:pPr>
              <w:jc w:val="right"/>
              <w:rPr>
                <w:sz w:val="20"/>
                <w:szCs w:val="20"/>
              </w:rPr>
            </w:pPr>
            <w:r w:rsidRPr="00672450">
              <w:rPr>
                <w:sz w:val="20"/>
                <w:szCs w:val="20"/>
              </w:rPr>
              <w:t>$31,712</w:t>
            </w:r>
          </w:p>
        </w:tc>
        <w:tc>
          <w:tcPr>
            <w:tcW w:w="1262" w:type="dxa"/>
            <w:noWrap/>
            <w:vAlign w:val="center"/>
            <w:hideMark/>
          </w:tcPr>
          <w:p w:rsidR="00672450" w:rsidRPr="00672450" w:rsidRDefault="00672450" w:rsidP="00672450">
            <w:pPr>
              <w:jc w:val="right"/>
              <w:rPr>
                <w:sz w:val="20"/>
                <w:szCs w:val="20"/>
              </w:rPr>
            </w:pPr>
            <w:r w:rsidRPr="00672450">
              <w:rPr>
                <w:sz w:val="20"/>
                <w:szCs w:val="20"/>
              </w:rPr>
              <w:t>$19,819</w:t>
            </w:r>
          </w:p>
        </w:tc>
        <w:tc>
          <w:tcPr>
            <w:tcW w:w="1262" w:type="dxa"/>
            <w:noWrap/>
            <w:vAlign w:val="center"/>
            <w:hideMark/>
          </w:tcPr>
          <w:p w:rsidR="00672450" w:rsidRPr="00672450" w:rsidRDefault="00672450" w:rsidP="00672450">
            <w:pPr>
              <w:jc w:val="right"/>
              <w:rPr>
                <w:sz w:val="20"/>
                <w:szCs w:val="20"/>
              </w:rPr>
            </w:pPr>
            <w:r w:rsidRPr="00672450">
              <w:rPr>
                <w:sz w:val="20"/>
                <w:szCs w:val="20"/>
              </w:rPr>
              <w:t>$53,229</w:t>
            </w:r>
          </w:p>
        </w:tc>
        <w:tc>
          <w:tcPr>
            <w:tcW w:w="1262" w:type="dxa"/>
            <w:noWrap/>
            <w:vAlign w:val="center"/>
            <w:hideMark/>
          </w:tcPr>
          <w:p w:rsidR="00672450" w:rsidRPr="00672450" w:rsidRDefault="00672450" w:rsidP="00672450">
            <w:pPr>
              <w:jc w:val="right"/>
              <w:rPr>
                <w:sz w:val="20"/>
                <w:szCs w:val="20"/>
              </w:rPr>
            </w:pPr>
            <w:r w:rsidRPr="00672450">
              <w:rPr>
                <w:sz w:val="20"/>
                <w:szCs w:val="20"/>
              </w:rPr>
              <w:t>$114,082</w:t>
            </w:r>
          </w:p>
        </w:tc>
      </w:tr>
      <w:tr w:rsidR="00672450" w:rsidRPr="00672450" w:rsidTr="00672450">
        <w:trPr>
          <w:trHeight w:val="300"/>
        </w:trPr>
        <w:tc>
          <w:tcPr>
            <w:tcW w:w="2643" w:type="dxa"/>
            <w:noWrap/>
            <w:vAlign w:val="center"/>
            <w:hideMark/>
          </w:tcPr>
          <w:p w:rsidR="00672450" w:rsidRPr="00672450" w:rsidRDefault="00672450" w:rsidP="00162080">
            <w:pPr>
              <w:rPr>
                <w:sz w:val="20"/>
                <w:szCs w:val="20"/>
              </w:rPr>
            </w:pPr>
            <w:r w:rsidRPr="00672450">
              <w:rPr>
                <w:sz w:val="20"/>
                <w:szCs w:val="20"/>
              </w:rPr>
              <w:t>HYDROCORTISONE</w:t>
            </w:r>
          </w:p>
        </w:tc>
        <w:tc>
          <w:tcPr>
            <w:tcW w:w="1482" w:type="dxa"/>
            <w:noWrap/>
            <w:vAlign w:val="center"/>
            <w:hideMark/>
          </w:tcPr>
          <w:p w:rsidR="00672450" w:rsidRPr="00672450" w:rsidRDefault="00672450" w:rsidP="00672450">
            <w:pPr>
              <w:jc w:val="right"/>
              <w:rPr>
                <w:sz w:val="20"/>
                <w:szCs w:val="20"/>
              </w:rPr>
            </w:pPr>
            <w:r w:rsidRPr="00672450">
              <w:rPr>
                <w:sz w:val="20"/>
                <w:szCs w:val="20"/>
              </w:rPr>
              <w:t>$8,212</w:t>
            </w:r>
          </w:p>
        </w:tc>
        <w:tc>
          <w:tcPr>
            <w:tcW w:w="1262" w:type="dxa"/>
            <w:noWrap/>
            <w:vAlign w:val="center"/>
            <w:hideMark/>
          </w:tcPr>
          <w:p w:rsidR="00672450" w:rsidRPr="00672450" w:rsidRDefault="00672450" w:rsidP="00672450">
            <w:pPr>
              <w:jc w:val="right"/>
              <w:rPr>
                <w:sz w:val="20"/>
                <w:szCs w:val="20"/>
              </w:rPr>
            </w:pPr>
            <w:r w:rsidRPr="00672450">
              <w:rPr>
                <w:sz w:val="20"/>
                <w:szCs w:val="20"/>
              </w:rPr>
              <w:t>$9,758</w:t>
            </w:r>
          </w:p>
        </w:tc>
        <w:tc>
          <w:tcPr>
            <w:tcW w:w="1262" w:type="dxa"/>
            <w:noWrap/>
            <w:vAlign w:val="center"/>
            <w:hideMark/>
          </w:tcPr>
          <w:p w:rsidR="00672450" w:rsidRPr="00672450" w:rsidRDefault="00672450" w:rsidP="00672450">
            <w:pPr>
              <w:jc w:val="right"/>
              <w:rPr>
                <w:sz w:val="20"/>
                <w:szCs w:val="20"/>
              </w:rPr>
            </w:pPr>
            <w:r w:rsidRPr="00672450">
              <w:rPr>
                <w:sz w:val="20"/>
                <w:szCs w:val="20"/>
              </w:rPr>
              <w:t>$12,351</w:t>
            </w:r>
          </w:p>
        </w:tc>
        <w:tc>
          <w:tcPr>
            <w:tcW w:w="1262" w:type="dxa"/>
            <w:noWrap/>
            <w:vAlign w:val="center"/>
            <w:hideMark/>
          </w:tcPr>
          <w:p w:rsidR="00672450" w:rsidRPr="00672450" w:rsidRDefault="00672450" w:rsidP="00672450">
            <w:pPr>
              <w:jc w:val="right"/>
              <w:rPr>
                <w:sz w:val="20"/>
                <w:szCs w:val="20"/>
              </w:rPr>
            </w:pPr>
            <w:r w:rsidRPr="00672450">
              <w:rPr>
                <w:sz w:val="20"/>
                <w:szCs w:val="20"/>
              </w:rPr>
              <w:t>$12,079</w:t>
            </w:r>
          </w:p>
        </w:tc>
        <w:tc>
          <w:tcPr>
            <w:tcW w:w="1262" w:type="dxa"/>
            <w:noWrap/>
            <w:vAlign w:val="center"/>
            <w:hideMark/>
          </w:tcPr>
          <w:p w:rsidR="00672450" w:rsidRPr="00672450" w:rsidRDefault="00672450" w:rsidP="00672450">
            <w:pPr>
              <w:jc w:val="right"/>
              <w:rPr>
                <w:sz w:val="20"/>
                <w:szCs w:val="20"/>
              </w:rPr>
            </w:pPr>
            <w:r w:rsidRPr="00672450">
              <w:rPr>
                <w:sz w:val="20"/>
                <w:szCs w:val="20"/>
              </w:rPr>
              <w:t>$14,149</w:t>
            </w:r>
          </w:p>
        </w:tc>
      </w:tr>
      <w:tr w:rsidR="00672450" w:rsidRPr="00672450" w:rsidTr="00672450">
        <w:trPr>
          <w:trHeight w:val="300"/>
        </w:trPr>
        <w:tc>
          <w:tcPr>
            <w:tcW w:w="2643" w:type="dxa"/>
            <w:noWrap/>
            <w:vAlign w:val="center"/>
            <w:hideMark/>
          </w:tcPr>
          <w:p w:rsidR="00672450" w:rsidRPr="00672450" w:rsidRDefault="00672450" w:rsidP="00162080">
            <w:pPr>
              <w:rPr>
                <w:sz w:val="20"/>
                <w:szCs w:val="20"/>
              </w:rPr>
            </w:pPr>
            <w:r w:rsidRPr="00672450">
              <w:rPr>
                <w:sz w:val="20"/>
                <w:szCs w:val="20"/>
              </w:rPr>
              <w:t>HYDROCORTISONE + CINCHOCAINE</w:t>
            </w:r>
          </w:p>
        </w:tc>
        <w:tc>
          <w:tcPr>
            <w:tcW w:w="1482" w:type="dxa"/>
            <w:noWrap/>
            <w:vAlign w:val="center"/>
            <w:hideMark/>
          </w:tcPr>
          <w:p w:rsidR="00672450" w:rsidRPr="00672450" w:rsidRDefault="00672450" w:rsidP="00672450">
            <w:pPr>
              <w:jc w:val="right"/>
              <w:rPr>
                <w:sz w:val="20"/>
                <w:szCs w:val="20"/>
              </w:rPr>
            </w:pPr>
            <w:r w:rsidRPr="00672450">
              <w:rPr>
                <w:sz w:val="20"/>
                <w:szCs w:val="20"/>
              </w:rPr>
              <w:t>$157</w:t>
            </w:r>
          </w:p>
        </w:tc>
        <w:tc>
          <w:tcPr>
            <w:tcW w:w="1262" w:type="dxa"/>
            <w:noWrap/>
            <w:vAlign w:val="center"/>
            <w:hideMark/>
          </w:tcPr>
          <w:p w:rsidR="00672450" w:rsidRPr="00672450" w:rsidRDefault="00672450" w:rsidP="00672450">
            <w:pPr>
              <w:jc w:val="right"/>
              <w:rPr>
                <w:sz w:val="20"/>
                <w:szCs w:val="20"/>
              </w:rPr>
            </w:pPr>
            <w:r w:rsidRPr="00672450">
              <w:rPr>
                <w:sz w:val="20"/>
                <w:szCs w:val="20"/>
              </w:rPr>
              <w:t>$46</w:t>
            </w:r>
          </w:p>
        </w:tc>
        <w:tc>
          <w:tcPr>
            <w:tcW w:w="1262" w:type="dxa"/>
            <w:noWrap/>
            <w:vAlign w:val="center"/>
            <w:hideMark/>
          </w:tcPr>
          <w:p w:rsidR="00672450" w:rsidRPr="00672450" w:rsidRDefault="00672450" w:rsidP="00672450">
            <w:pPr>
              <w:jc w:val="right"/>
              <w:rPr>
                <w:sz w:val="20"/>
                <w:szCs w:val="20"/>
              </w:rPr>
            </w:pPr>
          </w:p>
        </w:tc>
        <w:tc>
          <w:tcPr>
            <w:tcW w:w="1262" w:type="dxa"/>
            <w:noWrap/>
            <w:vAlign w:val="center"/>
            <w:hideMark/>
          </w:tcPr>
          <w:p w:rsidR="00672450" w:rsidRPr="00672450" w:rsidRDefault="00672450" w:rsidP="00672450">
            <w:pPr>
              <w:jc w:val="right"/>
              <w:rPr>
                <w:sz w:val="20"/>
                <w:szCs w:val="20"/>
              </w:rPr>
            </w:pPr>
          </w:p>
        </w:tc>
        <w:tc>
          <w:tcPr>
            <w:tcW w:w="1262" w:type="dxa"/>
            <w:noWrap/>
            <w:vAlign w:val="center"/>
            <w:hideMark/>
          </w:tcPr>
          <w:p w:rsidR="00672450" w:rsidRPr="00672450" w:rsidRDefault="00672450" w:rsidP="00672450">
            <w:pPr>
              <w:jc w:val="right"/>
              <w:rPr>
                <w:sz w:val="20"/>
                <w:szCs w:val="20"/>
              </w:rPr>
            </w:pPr>
          </w:p>
        </w:tc>
      </w:tr>
      <w:tr w:rsidR="00672450" w:rsidRPr="00672450" w:rsidTr="00672450">
        <w:trPr>
          <w:trHeight w:val="300"/>
        </w:trPr>
        <w:tc>
          <w:tcPr>
            <w:tcW w:w="2643" w:type="dxa"/>
            <w:noWrap/>
            <w:vAlign w:val="center"/>
            <w:hideMark/>
          </w:tcPr>
          <w:p w:rsidR="00672450" w:rsidRPr="00672450" w:rsidRDefault="00672450" w:rsidP="00162080">
            <w:pPr>
              <w:rPr>
                <w:sz w:val="20"/>
                <w:szCs w:val="20"/>
              </w:rPr>
            </w:pPr>
            <w:r w:rsidRPr="00672450">
              <w:rPr>
                <w:sz w:val="20"/>
                <w:szCs w:val="20"/>
              </w:rPr>
              <w:t>HYDROCORTISONE ACETATE</w:t>
            </w:r>
          </w:p>
        </w:tc>
        <w:tc>
          <w:tcPr>
            <w:tcW w:w="1482" w:type="dxa"/>
            <w:noWrap/>
            <w:vAlign w:val="center"/>
            <w:hideMark/>
          </w:tcPr>
          <w:p w:rsidR="00672450" w:rsidRPr="00672450" w:rsidRDefault="00672450" w:rsidP="00672450">
            <w:pPr>
              <w:jc w:val="right"/>
              <w:rPr>
                <w:sz w:val="20"/>
                <w:szCs w:val="20"/>
              </w:rPr>
            </w:pPr>
            <w:r w:rsidRPr="00672450">
              <w:rPr>
                <w:sz w:val="20"/>
                <w:szCs w:val="20"/>
              </w:rPr>
              <w:t>$83,736</w:t>
            </w:r>
          </w:p>
        </w:tc>
        <w:tc>
          <w:tcPr>
            <w:tcW w:w="1262" w:type="dxa"/>
            <w:noWrap/>
            <w:vAlign w:val="center"/>
            <w:hideMark/>
          </w:tcPr>
          <w:p w:rsidR="00672450" w:rsidRPr="00672450" w:rsidRDefault="00672450" w:rsidP="00672450">
            <w:pPr>
              <w:jc w:val="right"/>
              <w:rPr>
                <w:sz w:val="20"/>
                <w:szCs w:val="20"/>
              </w:rPr>
            </w:pPr>
            <w:r w:rsidRPr="00672450">
              <w:rPr>
                <w:sz w:val="20"/>
                <w:szCs w:val="20"/>
              </w:rPr>
              <w:t>$113,881</w:t>
            </w:r>
          </w:p>
        </w:tc>
        <w:tc>
          <w:tcPr>
            <w:tcW w:w="1262" w:type="dxa"/>
            <w:noWrap/>
            <w:vAlign w:val="center"/>
            <w:hideMark/>
          </w:tcPr>
          <w:p w:rsidR="00672450" w:rsidRPr="00672450" w:rsidRDefault="00672450" w:rsidP="00672450">
            <w:pPr>
              <w:jc w:val="right"/>
              <w:rPr>
                <w:sz w:val="20"/>
                <w:szCs w:val="20"/>
              </w:rPr>
            </w:pPr>
            <w:r w:rsidRPr="00672450">
              <w:rPr>
                <w:sz w:val="20"/>
                <w:szCs w:val="20"/>
              </w:rPr>
              <w:t>$91,685</w:t>
            </w:r>
          </w:p>
        </w:tc>
        <w:tc>
          <w:tcPr>
            <w:tcW w:w="1262" w:type="dxa"/>
            <w:noWrap/>
            <w:vAlign w:val="center"/>
            <w:hideMark/>
          </w:tcPr>
          <w:p w:rsidR="00672450" w:rsidRPr="00672450" w:rsidRDefault="00672450" w:rsidP="00672450">
            <w:pPr>
              <w:jc w:val="right"/>
              <w:rPr>
                <w:sz w:val="20"/>
                <w:szCs w:val="20"/>
              </w:rPr>
            </w:pPr>
            <w:r w:rsidRPr="00672450">
              <w:rPr>
                <w:sz w:val="20"/>
                <w:szCs w:val="20"/>
              </w:rPr>
              <w:t>$83,985</w:t>
            </w:r>
          </w:p>
        </w:tc>
        <w:tc>
          <w:tcPr>
            <w:tcW w:w="1262" w:type="dxa"/>
            <w:noWrap/>
            <w:vAlign w:val="center"/>
            <w:hideMark/>
          </w:tcPr>
          <w:p w:rsidR="00672450" w:rsidRPr="00672450" w:rsidRDefault="00672450" w:rsidP="00672450">
            <w:pPr>
              <w:jc w:val="right"/>
              <w:rPr>
                <w:sz w:val="20"/>
                <w:szCs w:val="20"/>
              </w:rPr>
            </w:pPr>
            <w:r w:rsidRPr="00672450">
              <w:rPr>
                <w:sz w:val="20"/>
                <w:szCs w:val="20"/>
              </w:rPr>
              <w:t>$67,863</w:t>
            </w:r>
          </w:p>
        </w:tc>
      </w:tr>
      <w:tr w:rsidR="00672450" w:rsidRPr="00672450" w:rsidTr="00672450">
        <w:trPr>
          <w:trHeight w:val="300"/>
        </w:trPr>
        <w:tc>
          <w:tcPr>
            <w:tcW w:w="2643" w:type="dxa"/>
            <w:noWrap/>
            <w:vAlign w:val="center"/>
            <w:hideMark/>
          </w:tcPr>
          <w:p w:rsidR="00672450" w:rsidRPr="00672450" w:rsidRDefault="00672450" w:rsidP="00162080">
            <w:pPr>
              <w:rPr>
                <w:sz w:val="20"/>
                <w:szCs w:val="20"/>
              </w:rPr>
            </w:pPr>
            <w:r w:rsidRPr="00672450">
              <w:rPr>
                <w:sz w:val="20"/>
                <w:szCs w:val="20"/>
              </w:rPr>
              <w:t>HYDROCORTISONE SODIUM SUCCINATE</w:t>
            </w:r>
          </w:p>
        </w:tc>
        <w:tc>
          <w:tcPr>
            <w:tcW w:w="1482" w:type="dxa"/>
            <w:noWrap/>
            <w:vAlign w:val="center"/>
            <w:hideMark/>
          </w:tcPr>
          <w:p w:rsidR="00672450" w:rsidRPr="00672450" w:rsidRDefault="00672450" w:rsidP="00672450">
            <w:pPr>
              <w:jc w:val="right"/>
              <w:rPr>
                <w:sz w:val="20"/>
                <w:szCs w:val="20"/>
              </w:rPr>
            </w:pPr>
            <w:r w:rsidRPr="00672450">
              <w:rPr>
                <w:sz w:val="20"/>
                <w:szCs w:val="20"/>
              </w:rPr>
              <w:t>$6,964</w:t>
            </w:r>
          </w:p>
        </w:tc>
        <w:tc>
          <w:tcPr>
            <w:tcW w:w="1262" w:type="dxa"/>
            <w:noWrap/>
            <w:vAlign w:val="center"/>
            <w:hideMark/>
          </w:tcPr>
          <w:p w:rsidR="00672450" w:rsidRPr="00672450" w:rsidRDefault="00672450" w:rsidP="00672450">
            <w:pPr>
              <w:jc w:val="right"/>
              <w:rPr>
                <w:sz w:val="20"/>
                <w:szCs w:val="20"/>
              </w:rPr>
            </w:pPr>
            <w:r w:rsidRPr="00672450">
              <w:rPr>
                <w:sz w:val="20"/>
                <w:szCs w:val="20"/>
              </w:rPr>
              <w:t>$6,169</w:t>
            </w:r>
          </w:p>
        </w:tc>
        <w:tc>
          <w:tcPr>
            <w:tcW w:w="1262" w:type="dxa"/>
            <w:noWrap/>
            <w:vAlign w:val="center"/>
            <w:hideMark/>
          </w:tcPr>
          <w:p w:rsidR="00672450" w:rsidRPr="00672450" w:rsidRDefault="00672450" w:rsidP="00672450">
            <w:pPr>
              <w:jc w:val="right"/>
              <w:rPr>
                <w:sz w:val="20"/>
                <w:szCs w:val="20"/>
              </w:rPr>
            </w:pPr>
            <w:r w:rsidRPr="00672450">
              <w:rPr>
                <w:sz w:val="20"/>
                <w:szCs w:val="20"/>
              </w:rPr>
              <w:t>$4,826</w:t>
            </w:r>
          </w:p>
        </w:tc>
        <w:tc>
          <w:tcPr>
            <w:tcW w:w="1262" w:type="dxa"/>
            <w:noWrap/>
            <w:vAlign w:val="center"/>
            <w:hideMark/>
          </w:tcPr>
          <w:p w:rsidR="00672450" w:rsidRPr="00672450" w:rsidRDefault="00672450" w:rsidP="00672450">
            <w:pPr>
              <w:jc w:val="right"/>
              <w:rPr>
                <w:sz w:val="20"/>
                <w:szCs w:val="20"/>
              </w:rPr>
            </w:pPr>
            <w:r w:rsidRPr="00672450">
              <w:rPr>
                <w:sz w:val="20"/>
                <w:szCs w:val="20"/>
              </w:rPr>
              <w:t>$5,511</w:t>
            </w:r>
          </w:p>
        </w:tc>
        <w:tc>
          <w:tcPr>
            <w:tcW w:w="1262" w:type="dxa"/>
            <w:noWrap/>
            <w:vAlign w:val="center"/>
            <w:hideMark/>
          </w:tcPr>
          <w:p w:rsidR="00672450" w:rsidRPr="00672450" w:rsidRDefault="00672450" w:rsidP="00672450">
            <w:pPr>
              <w:jc w:val="right"/>
              <w:rPr>
                <w:sz w:val="20"/>
                <w:szCs w:val="20"/>
              </w:rPr>
            </w:pPr>
            <w:r w:rsidRPr="00672450">
              <w:rPr>
                <w:sz w:val="20"/>
                <w:szCs w:val="20"/>
              </w:rPr>
              <w:t>$4,624</w:t>
            </w:r>
          </w:p>
        </w:tc>
      </w:tr>
      <w:tr w:rsidR="00672450" w:rsidRPr="00672450" w:rsidTr="00672450">
        <w:trPr>
          <w:trHeight w:val="300"/>
        </w:trPr>
        <w:tc>
          <w:tcPr>
            <w:tcW w:w="2643" w:type="dxa"/>
            <w:noWrap/>
            <w:vAlign w:val="center"/>
            <w:hideMark/>
          </w:tcPr>
          <w:p w:rsidR="00672450" w:rsidRPr="00672450" w:rsidRDefault="00672450" w:rsidP="00162080">
            <w:pPr>
              <w:rPr>
                <w:sz w:val="20"/>
                <w:szCs w:val="20"/>
              </w:rPr>
            </w:pPr>
            <w:r w:rsidRPr="00672450">
              <w:rPr>
                <w:sz w:val="20"/>
                <w:szCs w:val="20"/>
              </w:rPr>
              <w:t>INFLIXIMAB</w:t>
            </w:r>
          </w:p>
        </w:tc>
        <w:tc>
          <w:tcPr>
            <w:tcW w:w="1482" w:type="dxa"/>
            <w:noWrap/>
            <w:vAlign w:val="center"/>
            <w:hideMark/>
          </w:tcPr>
          <w:p w:rsidR="00672450" w:rsidRPr="00672450" w:rsidRDefault="00672450" w:rsidP="00672450">
            <w:pPr>
              <w:jc w:val="right"/>
              <w:rPr>
                <w:sz w:val="20"/>
                <w:szCs w:val="20"/>
              </w:rPr>
            </w:pPr>
          </w:p>
        </w:tc>
        <w:tc>
          <w:tcPr>
            <w:tcW w:w="1262" w:type="dxa"/>
            <w:noWrap/>
            <w:vAlign w:val="center"/>
            <w:hideMark/>
          </w:tcPr>
          <w:p w:rsidR="00672450" w:rsidRPr="00672450" w:rsidRDefault="00672450" w:rsidP="00672450">
            <w:pPr>
              <w:jc w:val="right"/>
              <w:rPr>
                <w:sz w:val="20"/>
                <w:szCs w:val="20"/>
              </w:rPr>
            </w:pPr>
          </w:p>
        </w:tc>
        <w:tc>
          <w:tcPr>
            <w:tcW w:w="1262" w:type="dxa"/>
            <w:noWrap/>
            <w:vAlign w:val="center"/>
            <w:hideMark/>
          </w:tcPr>
          <w:p w:rsidR="00672450" w:rsidRPr="00672450" w:rsidRDefault="00672450" w:rsidP="00672450">
            <w:pPr>
              <w:jc w:val="right"/>
              <w:rPr>
                <w:sz w:val="20"/>
                <w:szCs w:val="20"/>
              </w:rPr>
            </w:pPr>
            <w:r w:rsidRPr="00672450">
              <w:rPr>
                <w:sz w:val="20"/>
                <w:szCs w:val="20"/>
              </w:rPr>
              <w:t>$1,120,177</w:t>
            </w:r>
          </w:p>
        </w:tc>
        <w:tc>
          <w:tcPr>
            <w:tcW w:w="1262" w:type="dxa"/>
            <w:noWrap/>
            <w:vAlign w:val="center"/>
            <w:hideMark/>
          </w:tcPr>
          <w:p w:rsidR="00672450" w:rsidRPr="00672450" w:rsidRDefault="00672450" w:rsidP="00672450">
            <w:pPr>
              <w:jc w:val="right"/>
              <w:rPr>
                <w:sz w:val="20"/>
                <w:szCs w:val="20"/>
              </w:rPr>
            </w:pPr>
            <w:r w:rsidRPr="00672450">
              <w:rPr>
                <w:sz w:val="20"/>
                <w:szCs w:val="20"/>
              </w:rPr>
              <w:t>$14,012,592</w:t>
            </w:r>
          </w:p>
        </w:tc>
        <w:tc>
          <w:tcPr>
            <w:tcW w:w="1262" w:type="dxa"/>
            <w:noWrap/>
            <w:vAlign w:val="center"/>
            <w:hideMark/>
          </w:tcPr>
          <w:p w:rsidR="00672450" w:rsidRPr="00672450" w:rsidRDefault="00672450" w:rsidP="00672450">
            <w:pPr>
              <w:jc w:val="right"/>
              <w:rPr>
                <w:sz w:val="20"/>
                <w:szCs w:val="20"/>
              </w:rPr>
            </w:pPr>
            <w:r w:rsidRPr="00672450">
              <w:rPr>
                <w:sz w:val="20"/>
                <w:szCs w:val="20"/>
              </w:rPr>
              <w:t>$16,729,389</w:t>
            </w:r>
          </w:p>
        </w:tc>
      </w:tr>
      <w:tr w:rsidR="00672450" w:rsidRPr="00672450" w:rsidTr="00672450">
        <w:trPr>
          <w:trHeight w:val="300"/>
        </w:trPr>
        <w:tc>
          <w:tcPr>
            <w:tcW w:w="2643" w:type="dxa"/>
            <w:noWrap/>
            <w:vAlign w:val="center"/>
            <w:hideMark/>
          </w:tcPr>
          <w:p w:rsidR="00672450" w:rsidRPr="00672450" w:rsidRDefault="00672450" w:rsidP="00162080">
            <w:pPr>
              <w:rPr>
                <w:sz w:val="20"/>
                <w:szCs w:val="20"/>
              </w:rPr>
            </w:pPr>
            <w:r w:rsidRPr="00672450">
              <w:rPr>
                <w:sz w:val="20"/>
                <w:szCs w:val="20"/>
              </w:rPr>
              <w:t>MERCAPTOPURINE</w:t>
            </w:r>
          </w:p>
        </w:tc>
        <w:tc>
          <w:tcPr>
            <w:tcW w:w="1482" w:type="dxa"/>
            <w:noWrap/>
            <w:vAlign w:val="center"/>
            <w:hideMark/>
          </w:tcPr>
          <w:p w:rsidR="00672450" w:rsidRPr="00672450" w:rsidRDefault="00672450" w:rsidP="00672450">
            <w:pPr>
              <w:jc w:val="right"/>
              <w:rPr>
                <w:sz w:val="20"/>
                <w:szCs w:val="20"/>
              </w:rPr>
            </w:pPr>
            <w:r w:rsidRPr="00672450">
              <w:rPr>
                <w:sz w:val="20"/>
                <w:szCs w:val="20"/>
              </w:rPr>
              <w:t>$1,401,134</w:t>
            </w:r>
          </w:p>
        </w:tc>
        <w:tc>
          <w:tcPr>
            <w:tcW w:w="1262" w:type="dxa"/>
            <w:noWrap/>
            <w:vAlign w:val="center"/>
            <w:hideMark/>
          </w:tcPr>
          <w:p w:rsidR="00672450" w:rsidRPr="00672450" w:rsidRDefault="00672450" w:rsidP="00672450">
            <w:pPr>
              <w:jc w:val="right"/>
              <w:rPr>
                <w:sz w:val="20"/>
                <w:szCs w:val="20"/>
              </w:rPr>
            </w:pPr>
            <w:r w:rsidRPr="00672450">
              <w:rPr>
                <w:sz w:val="20"/>
                <w:szCs w:val="20"/>
              </w:rPr>
              <w:t>$1,565,405</w:t>
            </w:r>
          </w:p>
        </w:tc>
        <w:tc>
          <w:tcPr>
            <w:tcW w:w="1262" w:type="dxa"/>
            <w:noWrap/>
            <w:vAlign w:val="center"/>
            <w:hideMark/>
          </w:tcPr>
          <w:p w:rsidR="00672450" w:rsidRPr="00672450" w:rsidRDefault="00672450" w:rsidP="00672450">
            <w:pPr>
              <w:jc w:val="right"/>
              <w:rPr>
                <w:sz w:val="20"/>
                <w:szCs w:val="20"/>
              </w:rPr>
            </w:pPr>
            <w:r w:rsidRPr="00672450">
              <w:rPr>
                <w:sz w:val="20"/>
                <w:szCs w:val="20"/>
              </w:rPr>
              <w:t>$1,803,757</w:t>
            </w:r>
          </w:p>
        </w:tc>
        <w:tc>
          <w:tcPr>
            <w:tcW w:w="1262" w:type="dxa"/>
            <w:noWrap/>
            <w:vAlign w:val="center"/>
            <w:hideMark/>
          </w:tcPr>
          <w:p w:rsidR="00672450" w:rsidRPr="00672450" w:rsidRDefault="00672450" w:rsidP="00672450">
            <w:pPr>
              <w:jc w:val="right"/>
              <w:rPr>
                <w:sz w:val="20"/>
                <w:szCs w:val="20"/>
              </w:rPr>
            </w:pPr>
            <w:r w:rsidRPr="00672450">
              <w:rPr>
                <w:sz w:val="20"/>
                <w:szCs w:val="20"/>
              </w:rPr>
              <w:t>$1,966,778</w:t>
            </w:r>
          </w:p>
        </w:tc>
        <w:tc>
          <w:tcPr>
            <w:tcW w:w="1262" w:type="dxa"/>
            <w:noWrap/>
            <w:vAlign w:val="center"/>
            <w:hideMark/>
          </w:tcPr>
          <w:p w:rsidR="00672450" w:rsidRPr="00672450" w:rsidRDefault="00672450" w:rsidP="00672450">
            <w:pPr>
              <w:jc w:val="right"/>
              <w:rPr>
                <w:sz w:val="20"/>
                <w:szCs w:val="20"/>
              </w:rPr>
            </w:pPr>
            <w:r w:rsidRPr="00672450">
              <w:rPr>
                <w:sz w:val="20"/>
                <w:szCs w:val="20"/>
              </w:rPr>
              <w:t>$1,911,431</w:t>
            </w:r>
          </w:p>
        </w:tc>
      </w:tr>
      <w:tr w:rsidR="00672450" w:rsidRPr="00672450" w:rsidTr="00672450">
        <w:trPr>
          <w:trHeight w:val="300"/>
        </w:trPr>
        <w:tc>
          <w:tcPr>
            <w:tcW w:w="2643" w:type="dxa"/>
            <w:noWrap/>
            <w:vAlign w:val="center"/>
            <w:hideMark/>
          </w:tcPr>
          <w:p w:rsidR="00672450" w:rsidRPr="00672450" w:rsidRDefault="00672450" w:rsidP="00162080">
            <w:pPr>
              <w:rPr>
                <w:sz w:val="20"/>
                <w:szCs w:val="20"/>
              </w:rPr>
            </w:pPr>
            <w:r w:rsidRPr="00672450">
              <w:rPr>
                <w:sz w:val="20"/>
                <w:szCs w:val="20"/>
              </w:rPr>
              <w:t>MESALAZINE</w:t>
            </w:r>
          </w:p>
        </w:tc>
        <w:tc>
          <w:tcPr>
            <w:tcW w:w="1482" w:type="dxa"/>
            <w:noWrap/>
            <w:vAlign w:val="center"/>
            <w:hideMark/>
          </w:tcPr>
          <w:p w:rsidR="00672450" w:rsidRPr="00672450" w:rsidRDefault="00672450" w:rsidP="00672450">
            <w:pPr>
              <w:jc w:val="right"/>
              <w:rPr>
                <w:sz w:val="20"/>
                <w:szCs w:val="20"/>
              </w:rPr>
            </w:pPr>
            <w:r w:rsidRPr="00672450">
              <w:rPr>
                <w:sz w:val="20"/>
                <w:szCs w:val="20"/>
              </w:rPr>
              <w:t>$34,186,713</w:t>
            </w:r>
          </w:p>
        </w:tc>
        <w:tc>
          <w:tcPr>
            <w:tcW w:w="1262" w:type="dxa"/>
            <w:noWrap/>
            <w:vAlign w:val="center"/>
            <w:hideMark/>
          </w:tcPr>
          <w:p w:rsidR="00672450" w:rsidRPr="00672450" w:rsidRDefault="00672450" w:rsidP="00672450">
            <w:pPr>
              <w:jc w:val="right"/>
              <w:rPr>
                <w:sz w:val="20"/>
                <w:szCs w:val="20"/>
              </w:rPr>
            </w:pPr>
            <w:r w:rsidRPr="00672450">
              <w:rPr>
                <w:sz w:val="20"/>
                <w:szCs w:val="20"/>
              </w:rPr>
              <w:t>$40,125,113</w:t>
            </w:r>
          </w:p>
        </w:tc>
        <w:tc>
          <w:tcPr>
            <w:tcW w:w="1262" w:type="dxa"/>
            <w:noWrap/>
            <w:vAlign w:val="center"/>
            <w:hideMark/>
          </w:tcPr>
          <w:p w:rsidR="00672450" w:rsidRPr="00672450" w:rsidRDefault="00672450" w:rsidP="00672450">
            <w:pPr>
              <w:jc w:val="right"/>
              <w:rPr>
                <w:sz w:val="20"/>
                <w:szCs w:val="20"/>
              </w:rPr>
            </w:pPr>
            <w:r w:rsidRPr="00672450">
              <w:rPr>
                <w:sz w:val="20"/>
                <w:szCs w:val="20"/>
              </w:rPr>
              <w:t>$44,413,259</w:t>
            </w:r>
          </w:p>
        </w:tc>
        <w:tc>
          <w:tcPr>
            <w:tcW w:w="1262" w:type="dxa"/>
            <w:noWrap/>
            <w:vAlign w:val="center"/>
            <w:hideMark/>
          </w:tcPr>
          <w:p w:rsidR="00672450" w:rsidRPr="00672450" w:rsidRDefault="00672450" w:rsidP="00672450">
            <w:pPr>
              <w:jc w:val="right"/>
              <w:rPr>
                <w:sz w:val="20"/>
                <w:szCs w:val="20"/>
              </w:rPr>
            </w:pPr>
            <w:r w:rsidRPr="00672450">
              <w:rPr>
                <w:sz w:val="20"/>
                <w:szCs w:val="20"/>
              </w:rPr>
              <w:t>$48,204,995</w:t>
            </w:r>
          </w:p>
        </w:tc>
        <w:tc>
          <w:tcPr>
            <w:tcW w:w="1262" w:type="dxa"/>
            <w:noWrap/>
            <w:vAlign w:val="center"/>
            <w:hideMark/>
          </w:tcPr>
          <w:p w:rsidR="00672450" w:rsidRPr="00672450" w:rsidRDefault="00672450" w:rsidP="00672450">
            <w:pPr>
              <w:jc w:val="right"/>
              <w:rPr>
                <w:sz w:val="20"/>
                <w:szCs w:val="20"/>
              </w:rPr>
            </w:pPr>
            <w:r w:rsidRPr="00672450">
              <w:rPr>
                <w:sz w:val="20"/>
                <w:szCs w:val="20"/>
              </w:rPr>
              <w:t>$51,203,949</w:t>
            </w:r>
          </w:p>
        </w:tc>
      </w:tr>
      <w:tr w:rsidR="00672450" w:rsidRPr="00672450" w:rsidTr="00672450">
        <w:trPr>
          <w:trHeight w:val="300"/>
        </w:trPr>
        <w:tc>
          <w:tcPr>
            <w:tcW w:w="2643" w:type="dxa"/>
            <w:noWrap/>
            <w:vAlign w:val="center"/>
            <w:hideMark/>
          </w:tcPr>
          <w:p w:rsidR="00672450" w:rsidRPr="00672450" w:rsidRDefault="00672450" w:rsidP="00162080">
            <w:pPr>
              <w:rPr>
                <w:sz w:val="20"/>
                <w:szCs w:val="20"/>
              </w:rPr>
            </w:pPr>
            <w:r w:rsidRPr="00672450">
              <w:rPr>
                <w:sz w:val="20"/>
                <w:szCs w:val="20"/>
              </w:rPr>
              <w:t>METHOTREXATE</w:t>
            </w:r>
          </w:p>
        </w:tc>
        <w:tc>
          <w:tcPr>
            <w:tcW w:w="1482" w:type="dxa"/>
            <w:noWrap/>
            <w:vAlign w:val="center"/>
            <w:hideMark/>
          </w:tcPr>
          <w:p w:rsidR="00672450" w:rsidRPr="00672450" w:rsidRDefault="00672450" w:rsidP="00672450">
            <w:pPr>
              <w:jc w:val="right"/>
              <w:rPr>
                <w:sz w:val="20"/>
                <w:szCs w:val="20"/>
              </w:rPr>
            </w:pPr>
            <w:r w:rsidRPr="00672450">
              <w:rPr>
                <w:sz w:val="20"/>
                <w:szCs w:val="20"/>
              </w:rPr>
              <w:t>$60,821</w:t>
            </w:r>
          </w:p>
        </w:tc>
        <w:tc>
          <w:tcPr>
            <w:tcW w:w="1262" w:type="dxa"/>
            <w:noWrap/>
            <w:vAlign w:val="center"/>
            <w:hideMark/>
          </w:tcPr>
          <w:p w:rsidR="00672450" w:rsidRPr="00672450" w:rsidRDefault="00672450" w:rsidP="00672450">
            <w:pPr>
              <w:jc w:val="right"/>
              <w:rPr>
                <w:sz w:val="20"/>
                <w:szCs w:val="20"/>
              </w:rPr>
            </w:pPr>
            <w:r w:rsidRPr="00672450">
              <w:rPr>
                <w:sz w:val="20"/>
                <w:szCs w:val="20"/>
              </w:rPr>
              <w:t>$76,651</w:t>
            </w:r>
          </w:p>
        </w:tc>
        <w:tc>
          <w:tcPr>
            <w:tcW w:w="1262" w:type="dxa"/>
            <w:noWrap/>
            <w:vAlign w:val="center"/>
            <w:hideMark/>
          </w:tcPr>
          <w:p w:rsidR="00672450" w:rsidRPr="00672450" w:rsidRDefault="00672450" w:rsidP="00672450">
            <w:pPr>
              <w:jc w:val="right"/>
              <w:rPr>
                <w:sz w:val="20"/>
                <w:szCs w:val="20"/>
              </w:rPr>
            </w:pPr>
            <w:r w:rsidRPr="00672450">
              <w:rPr>
                <w:sz w:val="20"/>
                <w:szCs w:val="20"/>
              </w:rPr>
              <w:t>$90,097</w:t>
            </w:r>
          </w:p>
        </w:tc>
        <w:tc>
          <w:tcPr>
            <w:tcW w:w="1262" w:type="dxa"/>
            <w:noWrap/>
            <w:vAlign w:val="center"/>
            <w:hideMark/>
          </w:tcPr>
          <w:p w:rsidR="00672450" w:rsidRPr="00672450" w:rsidRDefault="00672450" w:rsidP="00672450">
            <w:pPr>
              <w:jc w:val="right"/>
              <w:rPr>
                <w:sz w:val="20"/>
                <w:szCs w:val="20"/>
              </w:rPr>
            </w:pPr>
            <w:r w:rsidRPr="00672450">
              <w:rPr>
                <w:sz w:val="20"/>
                <w:szCs w:val="20"/>
              </w:rPr>
              <w:t>$110,514</w:t>
            </w:r>
          </w:p>
        </w:tc>
        <w:tc>
          <w:tcPr>
            <w:tcW w:w="1262" w:type="dxa"/>
            <w:noWrap/>
            <w:vAlign w:val="center"/>
            <w:hideMark/>
          </w:tcPr>
          <w:p w:rsidR="00672450" w:rsidRPr="00672450" w:rsidRDefault="00672450" w:rsidP="00672450">
            <w:pPr>
              <w:jc w:val="right"/>
              <w:rPr>
                <w:sz w:val="20"/>
                <w:szCs w:val="20"/>
              </w:rPr>
            </w:pPr>
            <w:r w:rsidRPr="00672450">
              <w:rPr>
                <w:sz w:val="20"/>
                <w:szCs w:val="20"/>
              </w:rPr>
              <w:t>$131,755</w:t>
            </w:r>
          </w:p>
        </w:tc>
      </w:tr>
      <w:tr w:rsidR="00672450" w:rsidRPr="00672450" w:rsidTr="00672450">
        <w:trPr>
          <w:trHeight w:val="300"/>
        </w:trPr>
        <w:tc>
          <w:tcPr>
            <w:tcW w:w="2643" w:type="dxa"/>
            <w:noWrap/>
            <w:vAlign w:val="center"/>
            <w:hideMark/>
          </w:tcPr>
          <w:p w:rsidR="00672450" w:rsidRPr="00672450" w:rsidRDefault="00672450" w:rsidP="00162080">
            <w:pPr>
              <w:rPr>
                <w:sz w:val="20"/>
                <w:szCs w:val="20"/>
              </w:rPr>
            </w:pPr>
            <w:r w:rsidRPr="00672450">
              <w:rPr>
                <w:sz w:val="20"/>
                <w:szCs w:val="20"/>
              </w:rPr>
              <w:t>METHYLPREDNISOLONE</w:t>
            </w:r>
          </w:p>
        </w:tc>
        <w:tc>
          <w:tcPr>
            <w:tcW w:w="1482" w:type="dxa"/>
            <w:noWrap/>
            <w:vAlign w:val="center"/>
            <w:hideMark/>
          </w:tcPr>
          <w:p w:rsidR="00672450" w:rsidRPr="00672450" w:rsidRDefault="00672450" w:rsidP="00672450">
            <w:pPr>
              <w:jc w:val="right"/>
              <w:rPr>
                <w:sz w:val="20"/>
                <w:szCs w:val="20"/>
              </w:rPr>
            </w:pPr>
            <w:r w:rsidRPr="00672450">
              <w:rPr>
                <w:sz w:val="20"/>
                <w:szCs w:val="20"/>
              </w:rPr>
              <w:t>$4,413</w:t>
            </w:r>
          </w:p>
        </w:tc>
        <w:tc>
          <w:tcPr>
            <w:tcW w:w="1262" w:type="dxa"/>
            <w:noWrap/>
            <w:vAlign w:val="center"/>
            <w:hideMark/>
          </w:tcPr>
          <w:p w:rsidR="00672450" w:rsidRPr="00672450" w:rsidRDefault="00672450" w:rsidP="00672450">
            <w:pPr>
              <w:jc w:val="right"/>
              <w:rPr>
                <w:sz w:val="20"/>
                <w:szCs w:val="20"/>
              </w:rPr>
            </w:pPr>
            <w:r w:rsidRPr="00672450">
              <w:rPr>
                <w:sz w:val="20"/>
                <w:szCs w:val="20"/>
              </w:rPr>
              <w:t>$3,793</w:t>
            </w:r>
          </w:p>
        </w:tc>
        <w:tc>
          <w:tcPr>
            <w:tcW w:w="1262" w:type="dxa"/>
            <w:noWrap/>
            <w:vAlign w:val="center"/>
            <w:hideMark/>
          </w:tcPr>
          <w:p w:rsidR="00672450" w:rsidRPr="00672450" w:rsidRDefault="00672450" w:rsidP="00672450">
            <w:pPr>
              <w:jc w:val="right"/>
              <w:rPr>
                <w:sz w:val="20"/>
                <w:szCs w:val="20"/>
              </w:rPr>
            </w:pPr>
            <w:r w:rsidRPr="00672450">
              <w:rPr>
                <w:sz w:val="20"/>
                <w:szCs w:val="20"/>
              </w:rPr>
              <w:t>$3,563</w:t>
            </w:r>
          </w:p>
        </w:tc>
        <w:tc>
          <w:tcPr>
            <w:tcW w:w="1262" w:type="dxa"/>
            <w:noWrap/>
            <w:vAlign w:val="center"/>
            <w:hideMark/>
          </w:tcPr>
          <w:p w:rsidR="00672450" w:rsidRPr="00672450" w:rsidRDefault="00672450" w:rsidP="00672450">
            <w:pPr>
              <w:jc w:val="right"/>
              <w:rPr>
                <w:sz w:val="20"/>
                <w:szCs w:val="20"/>
              </w:rPr>
            </w:pPr>
            <w:r w:rsidRPr="00672450">
              <w:rPr>
                <w:sz w:val="20"/>
                <w:szCs w:val="20"/>
              </w:rPr>
              <w:t>$3,194</w:t>
            </w:r>
          </w:p>
        </w:tc>
        <w:tc>
          <w:tcPr>
            <w:tcW w:w="1262" w:type="dxa"/>
            <w:noWrap/>
            <w:vAlign w:val="center"/>
            <w:hideMark/>
          </w:tcPr>
          <w:p w:rsidR="00672450" w:rsidRPr="00672450" w:rsidRDefault="00672450" w:rsidP="00672450">
            <w:pPr>
              <w:jc w:val="right"/>
              <w:rPr>
                <w:sz w:val="20"/>
                <w:szCs w:val="20"/>
              </w:rPr>
            </w:pPr>
            <w:r w:rsidRPr="00672450">
              <w:rPr>
                <w:sz w:val="20"/>
                <w:szCs w:val="20"/>
              </w:rPr>
              <w:t>$2,985</w:t>
            </w:r>
          </w:p>
        </w:tc>
      </w:tr>
      <w:tr w:rsidR="00672450" w:rsidRPr="00672450" w:rsidTr="00672450">
        <w:trPr>
          <w:trHeight w:val="300"/>
        </w:trPr>
        <w:tc>
          <w:tcPr>
            <w:tcW w:w="2643" w:type="dxa"/>
            <w:noWrap/>
            <w:vAlign w:val="center"/>
            <w:hideMark/>
          </w:tcPr>
          <w:p w:rsidR="00672450" w:rsidRPr="00672450" w:rsidRDefault="00672450" w:rsidP="00162080">
            <w:pPr>
              <w:rPr>
                <w:sz w:val="20"/>
                <w:szCs w:val="20"/>
              </w:rPr>
            </w:pPr>
            <w:r w:rsidRPr="00672450">
              <w:rPr>
                <w:sz w:val="20"/>
                <w:szCs w:val="20"/>
              </w:rPr>
              <w:t>OLSALAZINE</w:t>
            </w:r>
          </w:p>
        </w:tc>
        <w:tc>
          <w:tcPr>
            <w:tcW w:w="1482" w:type="dxa"/>
            <w:noWrap/>
            <w:vAlign w:val="center"/>
            <w:hideMark/>
          </w:tcPr>
          <w:p w:rsidR="00672450" w:rsidRPr="00672450" w:rsidRDefault="00672450" w:rsidP="00672450">
            <w:pPr>
              <w:jc w:val="right"/>
              <w:rPr>
                <w:sz w:val="20"/>
                <w:szCs w:val="20"/>
              </w:rPr>
            </w:pPr>
            <w:r w:rsidRPr="00672450">
              <w:rPr>
                <w:sz w:val="20"/>
                <w:szCs w:val="20"/>
              </w:rPr>
              <w:t>$1,553,530</w:t>
            </w:r>
          </w:p>
        </w:tc>
        <w:tc>
          <w:tcPr>
            <w:tcW w:w="1262" w:type="dxa"/>
            <w:noWrap/>
            <w:vAlign w:val="center"/>
            <w:hideMark/>
          </w:tcPr>
          <w:p w:rsidR="00672450" w:rsidRPr="00672450" w:rsidRDefault="00672450" w:rsidP="00672450">
            <w:pPr>
              <w:jc w:val="right"/>
              <w:rPr>
                <w:sz w:val="20"/>
                <w:szCs w:val="20"/>
              </w:rPr>
            </w:pPr>
            <w:r w:rsidRPr="00672450">
              <w:rPr>
                <w:sz w:val="20"/>
                <w:szCs w:val="20"/>
              </w:rPr>
              <w:t>$1,462,589</w:t>
            </w:r>
          </w:p>
        </w:tc>
        <w:tc>
          <w:tcPr>
            <w:tcW w:w="1262" w:type="dxa"/>
            <w:noWrap/>
            <w:vAlign w:val="center"/>
            <w:hideMark/>
          </w:tcPr>
          <w:p w:rsidR="00672450" w:rsidRPr="00672450" w:rsidRDefault="00672450" w:rsidP="00672450">
            <w:pPr>
              <w:jc w:val="right"/>
              <w:rPr>
                <w:sz w:val="20"/>
                <w:szCs w:val="20"/>
              </w:rPr>
            </w:pPr>
            <w:r w:rsidRPr="00672450">
              <w:rPr>
                <w:sz w:val="20"/>
                <w:szCs w:val="20"/>
              </w:rPr>
              <w:t>$1,361,139</w:t>
            </w:r>
          </w:p>
        </w:tc>
        <w:tc>
          <w:tcPr>
            <w:tcW w:w="1262" w:type="dxa"/>
            <w:noWrap/>
            <w:vAlign w:val="center"/>
            <w:hideMark/>
          </w:tcPr>
          <w:p w:rsidR="00672450" w:rsidRPr="00672450" w:rsidRDefault="00672450" w:rsidP="00672450">
            <w:pPr>
              <w:jc w:val="right"/>
              <w:rPr>
                <w:sz w:val="20"/>
                <w:szCs w:val="20"/>
              </w:rPr>
            </w:pPr>
            <w:r w:rsidRPr="00672450">
              <w:rPr>
                <w:sz w:val="20"/>
                <w:szCs w:val="20"/>
              </w:rPr>
              <w:t>$1,250,513</w:t>
            </w:r>
          </w:p>
        </w:tc>
        <w:tc>
          <w:tcPr>
            <w:tcW w:w="1262" w:type="dxa"/>
            <w:noWrap/>
            <w:vAlign w:val="center"/>
            <w:hideMark/>
          </w:tcPr>
          <w:p w:rsidR="00672450" w:rsidRPr="00672450" w:rsidRDefault="00672450" w:rsidP="00672450">
            <w:pPr>
              <w:jc w:val="right"/>
              <w:rPr>
                <w:sz w:val="20"/>
                <w:szCs w:val="20"/>
              </w:rPr>
            </w:pPr>
            <w:r w:rsidRPr="00672450">
              <w:rPr>
                <w:sz w:val="20"/>
                <w:szCs w:val="20"/>
              </w:rPr>
              <w:t>$1,093,325</w:t>
            </w:r>
          </w:p>
        </w:tc>
      </w:tr>
      <w:tr w:rsidR="00672450" w:rsidRPr="00672450" w:rsidTr="00672450">
        <w:trPr>
          <w:trHeight w:val="300"/>
        </w:trPr>
        <w:tc>
          <w:tcPr>
            <w:tcW w:w="2643" w:type="dxa"/>
            <w:noWrap/>
            <w:vAlign w:val="center"/>
            <w:hideMark/>
          </w:tcPr>
          <w:p w:rsidR="00672450" w:rsidRPr="00672450" w:rsidRDefault="00672450" w:rsidP="00162080">
            <w:pPr>
              <w:rPr>
                <w:sz w:val="20"/>
                <w:szCs w:val="20"/>
              </w:rPr>
            </w:pPr>
            <w:r w:rsidRPr="00672450">
              <w:rPr>
                <w:sz w:val="20"/>
                <w:szCs w:val="20"/>
              </w:rPr>
              <w:t>PREDNISOLONE</w:t>
            </w:r>
          </w:p>
        </w:tc>
        <w:tc>
          <w:tcPr>
            <w:tcW w:w="1482" w:type="dxa"/>
            <w:noWrap/>
            <w:vAlign w:val="center"/>
            <w:hideMark/>
          </w:tcPr>
          <w:p w:rsidR="00672450" w:rsidRPr="00672450" w:rsidRDefault="00672450" w:rsidP="00672450">
            <w:pPr>
              <w:jc w:val="right"/>
              <w:rPr>
                <w:sz w:val="20"/>
                <w:szCs w:val="20"/>
              </w:rPr>
            </w:pPr>
            <w:r w:rsidRPr="00672450">
              <w:rPr>
                <w:sz w:val="20"/>
                <w:szCs w:val="20"/>
              </w:rPr>
              <w:t>$65,296</w:t>
            </w:r>
          </w:p>
        </w:tc>
        <w:tc>
          <w:tcPr>
            <w:tcW w:w="1262" w:type="dxa"/>
            <w:noWrap/>
            <w:vAlign w:val="center"/>
            <w:hideMark/>
          </w:tcPr>
          <w:p w:rsidR="00672450" w:rsidRPr="00672450" w:rsidRDefault="00672450" w:rsidP="00672450">
            <w:pPr>
              <w:jc w:val="right"/>
              <w:rPr>
                <w:sz w:val="20"/>
                <w:szCs w:val="20"/>
              </w:rPr>
            </w:pPr>
            <w:r w:rsidRPr="00672450">
              <w:rPr>
                <w:sz w:val="20"/>
                <w:szCs w:val="20"/>
              </w:rPr>
              <w:t>$69,245</w:t>
            </w:r>
          </w:p>
        </w:tc>
        <w:tc>
          <w:tcPr>
            <w:tcW w:w="1262" w:type="dxa"/>
            <w:noWrap/>
            <w:vAlign w:val="center"/>
            <w:hideMark/>
          </w:tcPr>
          <w:p w:rsidR="00672450" w:rsidRPr="00672450" w:rsidRDefault="00672450" w:rsidP="00672450">
            <w:pPr>
              <w:jc w:val="right"/>
              <w:rPr>
                <w:sz w:val="20"/>
                <w:szCs w:val="20"/>
              </w:rPr>
            </w:pPr>
            <w:r w:rsidRPr="00672450">
              <w:rPr>
                <w:sz w:val="20"/>
                <w:szCs w:val="20"/>
              </w:rPr>
              <w:t>$68,084</w:t>
            </w:r>
          </w:p>
        </w:tc>
        <w:tc>
          <w:tcPr>
            <w:tcW w:w="1262" w:type="dxa"/>
            <w:noWrap/>
            <w:vAlign w:val="center"/>
            <w:hideMark/>
          </w:tcPr>
          <w:p w:rsidR="00672450" w:rsidRPr="00672450" w:rsidRDefault="00672450" w:rsidP="00672450">
            <w:pPr>
              <w:jc w:val="right"/>
              <w:rPr>
                <w:sz w:val="20"/>
                <w:szCs w:val="20"/>
              </w:rPr>
            </w:pPr>
            <w:r w:rsidRPr="00672450">
              <w:rPr>
                <w:sz w:val="20"/>
                <w:szCs w:val="20"/>
              </w:rPr>
              <w:t>$102,177</w:t>
            </w:r>
          </w:p>
        </w:tc>
        <w:tc>
          <w:tcPr>
            <w:tcW w:w="1262" w:type="dxa"/>
            <w:noWrap/>
            <w:vAlign w:val="center"/>
            <w:hideMark/>
          </w:tcPr>
          <w:p w:rsidR="00672450" w:rsidRPr="00672450" w:rsidRDefault="00672450" w:rsidP="00672450">
            <w:pPr>
              <w:jc w:val="right"/>
              <w:rPr>
                <w:sz w:val="20"/>
                <w:szCs w:val="20"/>
              </w:rPr>
            </w:pPr>
            <w:r w:rsidRPr="00672450">
              <w:rPr>
                <w:sz w:val="20"/>
                <w:szCs w:val="20"/>
              </w:rPr>
              <w:t>$116,533</w:t>
            </w:r>
          </w:p>
        </w:tc>
      </w:tr>
      <w:tr w:rsidR="00672450" w:rsidRPr="00672450" w:rsidTr="00672450">
        <w:trPr>
          <w:trHeight w:val="300"/>
        </w:trPr>
        <w:tc>
          <w:tcPr>
            <w:tcW w:w="2643" w:type="dxa"/>
            <w:noWrap/>
            <w:vAlign w:val="center"/>
            <w:hideMark/>
          </w:tcPr>
          <w:p w:rsidR="00672450" w:rsidRPr="00672450" w:rsidRDefault="00672450" w:rsidP="00162080">
            <w:pPr>
              <w:rPr>
                <w:sz w:val="20"/>
                <w:szCs w:val="20"/>
              </w:rPr>
            </w:pPr>
            <w:r w:rsidRPr="00672450">
              <w:rPr>
                <w:sz w:val="20"/>
                <w:szCs w:val="20"/>
              </w:rPr>
              <w:t>PREDNISOLONE SODIUM PHOSPHATE</w:t>
            </w:r>
          </w:p>
        </w:tc>
        <w:tc>
          <w:tcPr>
            <w:tcW w:w="1482" w:type="dxa"/>
            <w:noWrap/>
            <w:vAlign w:val="center"/>
            <w:hideMark/>
          </w:tcPr>
          <w:p w:rsidR="00672450" w:rsidRPr="00672450" w:rsidRDefault="00672450" w:rsidP="00672450">
            <w:pPr>
              <w:jc w:val="right"/>
              <w:rPr>
                <w:sz w:val="20"/>
                <w:szCs w:val="20"/>
              </w:rPr>
            </w:pPr>
            <w:r w:rsidRPr="00672450">
              <w:rPr>
                <w:sz w:val="20"/>
                <w:szCs w:val="20"/>
              </w:rPr>
              <w:t>$548,458</w:t>
            </w:r>
          </w:p>
        </w:tc>
        <w:tc>
          <w:tcPr>
            <w:tcW w:w="1262" w:type="dxa"/>
            <w:noWrap/>
            <w:vAlign w:val="center"/>
            <w:hideMark/>
          </w:tcPr>
          <w:p w:rsidR="00672450" w:rsidRPr="00672450" w:rsidRDefault="00672450" w:rsidP="00672450">
            <w:pPr>
              <w:jc w:val="right"/>
              <w:rPr>
                <w:sz w:val="20"/>
                <w:szCs w:val="20"/>
              </w:rPr>
            </w:pPr>
            <w:r w:rsidRPr="00672450">
              <w:rPr>
                <w:sz w:val="20"/>
                <w:szCs w:val="20"/>
              </w:rPr>
              <w:t>$560,047</w:t>
            </w:r>
          </w:p>
        </w:tc>
        <w:tc>
          <w:tcPr>
            <w:tcW w:w="1262" w:type="dxa"/>
            <w:noWrap/>
            <w:vAlign w:val="center"/>
            <w:hideMark/>
          </w:tcPr>
          <w:p w:rsidR="00672450" w:rsidRPr="00672450" w:rsidRDefault="00672450" w:rsidP="00672450">
            <w:pPr>
              <w:jc w:val="right"/>
              <w:rPr>
                <w:sz w:val="20"/>
                <w:szCs w:val="20"/>
              </w:rPr>
            </w:pPr>
            <w:r w:rsidRPr="00672450">
              <w:rPr>
                <w:sz w:val="20"/>
                <w:szCs w:val="20"/>
              </w:rPr>
              <w:t>$520,144</w:t>
            </w:r>
          </w:p>
        </w:tc>
        <w:tc>
          <w:tcPr>
            <w:tcW w:w="1262" w:type="dxa"/>
            <w:noWrap/>
            <w:vAlign w:val="center"/>
            <w:hideMark/>
          </w:tcPr>
          <w:p w:rsidR="00672450" w:rsidRPr="00672450" w:rsidRDefault="00672450" w:rsidP="00672450">
            <w:pPr>
              <w:jc w:val="right"/>
              <w:rPr>
                <w:sz w:val="20"/>
                <w:szCs w:val="20"/>
              </w:rPr>
            </w:pPr>
            <w:r w:rsidRPr="00672450">
              <w:rPr>
                <w:sz w:val="20"/>
                <w:szCs w:val="20"/>
              </w:rPr>
              <w:t>$476,082</w:t>
            </w:r>
          </w:p>
        </w:tc>
        <w:tc>
          <w:tcPr>
            <w:tcW w:w="1262" w:type="dxa"/>
            <w:noWrap/>
            <w:vAlign w:val="center"/>
            <w:hideMark/>
          </w:tcPr>
          <w:p w:rsidR="00672450" w:rsidRPr="00672450" w:rsidRDefault="00672450" w:rsidP="00672450">
            <w:pPr>
              <w:jc w:val="right"/>
              <w:rPr>
                <w:sz w:val="20"/>
                <w:szCs w:val="20"/>
              </w:rPr>
            </w:pPr>
            <w:r w:rsidRPr="00672450">
              <w:rPr>
                <w:sz w:val="20"/>
                <w:szCs w:val="20"/>
              </w:rPr>
              <w:t>$417,183</w:t>
            </w:r>
          </w:p>
        </w:tc>
      </w:tr>
      <w:tr w:rsidR="00672450" w:rsidRPr="00672450" w:rsidTr="00672450">
        <w:trPr>
          <w:trHeight w:val="300"/>
        </w:trPr>
        <w:tc>
          <w:tcPr>
            <w:tcW w:w="2643" w:type="dxa"/>
            <w:noWrap/>
            <w:vAlign w:val="center"/>
            <w:hideMark/>
          </w:tcPr>
          <w:p w:rsidR="00672450" w:rsidRPr="00672450" w:rsidRDefault="00672450" w:rsidP="00162080">
            <w:pPr>
              <w:rPr>
                <w:sz w:val="20"/>
                <w:szCs w:val="20"/>
              </w:rPr>
            </w:pPr>
            <w:r w:rsidRPr="00672450">
              <w:rPr>
                <w:sz w:val="20"/>
                <w:szCs w:val="20"/>
              </w:rPr>
              <w:t>PREDNISONE</w:t>
            </w:r>
          </w:p>
        </w:tc>
        <w:tc>
          <w:tcPr>
            <w:tcW w:w="1482" w:type="dxa"/>
            <w:noWrap/>
            <w:vAlign w:val="center"/>
            <w:hideMark/>
          </w:tcPr>
          <w:p w:rsidR="00672450" w:rsidRPr="00672450" w:rsidRDefault="00672450" w:rsidP="00672450">
            <w:pPr>
              <w:jc w:val="right"/>
              <w:rPr>
                <w:sz w:val="20"/>
                <w:szCs w:val="20"/>
              </w:rPr>
            </w:pPr>
            <w:r w:rsidRPr="00672450">
              <w:rPr>
                <w:sz w:val="20"/>
                <w:szCs w:val="20"/>
              </w:rPr>
              <w:t>$30,284</w:t>
            </w:r>
          </w:p>
        </w:tc>
        <w:tc>
          <w:tcPr>
            <w:tcW w:w="1262" w:type="dxa"/>
            <w:noWrap/>
            <w:vAlign w:val="center"/>
            <w:hideMark/>
          </w:tcPr>
          <w:p w:rsidR="00672450" w:rsidRPr="00672450" w:rsidRDefault="00672450" w:rsidP="00672450">
            <w:pPr>
              <w:jc w:val="right"/>
              <w:rPr>
                <w:sz w:val="20"/>
                <w:szCs w:val="20"/>
              </w:rPr>
            </w:pPr>
            <w:r w:rsidRPr="00672450">
              <w:rPr>
                <w:sz w:val="20"/>
                <w:szCs w:val="20"/>
              </w:rPr>
              <w:t>$29,077</w:t>
            </w:r>
          </w:p>
        </w:tc>
        <w:tc>
          <w:tcPr>
            <w:tcW w:w="1262" w:type="dxa"/>
            <w:noWrap/>
            <w:vAlign w:val="center"/>
            <w:hideMark/>
          </w:tcPr>
          <w:p w:rsidR="00672450" w:rsidRPr="00672450" w:rsidRDefault="00672450" w:rsidP="00672450">
            <w:pPr>
              <w:jc w:val="right"/>
              <w:rPr>
                <w:sz w:val="20"/>
                <w:szCs w:val="20"/>
              </w:rPr>
            </w:pPr>
            <w:r w:rsidRPr="00672450">
              <w:rPr>
                <w:sz w:val="20"/>
                <w:szCs w:val="20"/>
              </w:rPr>
              <w:t>$30,553</w:t>
            </w:r>
          </w:p>
        </w:tc>
        <w:tc>
          <w:tcPr>
            <w:tcW w:w="1262" w:type="dxa"/>
            <w:noWrap/>
            <w:vAlign w:val="center"/>
            <w:hideMark/>
          </w:tcPr>
          <w:p w:rsidR="00672450" w:rsidRPr="00672450" w:rsidRDefault="00672450" w:rsidP="00672450">
            <w:pPr>
              <w:jc w:val="right"/>
              <w:rPr>
                <w:sz w:val="20"/>
                <w:szCs w:val="20"/>
              </w:rPr>
            </w:pPr>
            <w:r w:rsidRPr="00672450">
              <w:rPr>
                <w:sz w:val="20"/>
                <w:szCs w:val="20"/>
              </w:rPr>
              <w:t>$41,340</w:t>
            </w:r>
          </w:p>
        </w:tc>
        <w:tc>
          <w:tcPr>
            <w:tcW w:w="1262" w:type="dxa"/>
            <w:noWrap/>
            <w:vAlign w:val="center"/>
            <w:hideMark/>
          </w:tcPr>
          <w:p w:rsidR="00672450" w:rsidRPr="00672450" w:rsidRDefault="00672450" w:rsidP="00672450">
            <w:pPr>
              <w:jc w:val="right"/>
              <w:rPr>
                <w:sz w:val="20"/>
                <w:szCs w:val="20"/>
              </w:rPr>
            </w:pPr>
            <w:r w:rsidRPr="00672450">
              <w:rPr>
                <w:sz w:val="20"/>
                <w:szCs w:val="20"/>
              </w:rPr>
              <w:t>$46,943</w:t>
            </w:r>
          </w:p>
        </w:tc>
      </w:tr>
      <w:tr w:rsidR="00672450" w:rsidRPr="00672450" w:rsidTr="00672450">
        <w:trPr>
          <w:trHeight w:val="300"/>
        </w:trPr>
        <w:tc>
          <w:tcPr>
            <w:tcW w:w="2643" w:type="dxa"/>
            <w:noWrap/>
            <w:vAlign w:val="center"/>
            <w:hideMark/>
          </w:tcPr>
          <w:p w:rsidR="00672450" w:rsidRPr="00672450" w:rsidRDefault="00672450" w:rsidP="00162080">
            <w:pPr>
              <w:rPr>
                <w:sz w:val="20"/>
                <w:szCs w:val="20"/>
              </w:rPr>
            </w:pPr>
            <w:r w:rsidRPr="00672450">
              <w:rPr>
                <w:sz w:val="20"/>
                <w:szCs w:val="20"/>
              </w:rPr>
              <w:t>SULFASALAZINE</w:t>
            </w:r>
          </w:p>
        </w:tc>
        <w:tc>
          <w:tcPr>
            <w:tcW w:w="1482" w:type="dxa"/>
            <w:noWrap/>
            <w:vAlign w:val="center"/>
            <w:hideMark/>
          </w:tcPr>
          <w:p w:rsidR="00672450" w:rsidRPr="00672450" w:rsidRDefault="00672450" w:rsidP="00672450">
            <w:pPr>
              <w:jc w:val="right"/>
              <w:rPr>
                <w:sz w:val="20"/>
                <w:szCs w:val="20"/>
              </w:rPr>
            </w:pPr>
            <w:r w:rsidRPr="00672450">
              <w:rPr>
                <w:sz w:val="20"/>
                <w:szCs w:val="20"/>
              </w:rPr>
              <w:t>$738,380</w:t>
            </w:r>
          </w:p>
        </w:tc>
        <w:tc>
          <w:tcPr>
            <w:tcW w:w="1262" w:type="dxa"/>
            <w:noWrap/>
            <w:vAlign w:val="center"/>
            <w:hideMark/>
          </w:tcPr>
          <w:p w:rsidR="00672450" w:rsidRPr="00672450" w:rsidRDefault="00672450" w:rsidP="00672450">
            <w:pPr>
              <w:jc w:val="right"/>
              <w:rPr>
                <w:sz w:val="20"/>
                <w:szCs w:val="20"/>
              </w:rPr>
            </w:pPr>
            <w:r w:rsidRPr="00672450">
              <w:rPr>
                <w:sz w:val="20"/>
                <w:szCs w:val="20"/>
              </w:rPr>
              <w:t>$727,272</w:t>
            </w:r>
          </w:p>
        </w:tc>
        <w:tc>
          <w:tcPr>
            <w:tcW w:w="1262" w:type="dxa"/>
            <w:noWrap/>
            <w:vAlign w:val="center"/>
            <w:hideMark/>
          </w:tcPr>
          <w:p w:rsidR="00672450" w:rsidRPr="00672450" w:rsidRDefault="00672450" w:rsidP="00672450">
            <w:pPr>
              <w:jc w:val="right"/>
              <w:rPr>
                <w:sz w:val="20"/>
                <w:szCs w:val="20"/>
              </w:rPr>
            </w:pPr>
            <w:r w:rsidRPr="00672450">
              <w:rPr>
                <w:sz w:val="20"/>
                <w:szCs w:val="20"/>
              </w:rPr>
              <w:t>$709,033</w:t>
            </w:r>
          </w:p>
        </w:tc>
        <w:tc>
          <w:tcPr>
            <w:tcW w:w="1262" w:type="dxa"/>
            <w:noWrap/>
            <w:vAlign w:val="center"/>
            <w:hideMark/>
          </w:tcPr>
          <w:p w:rsidR="00672450" w:rsidRPr="00672450" w:rsidRDefault="00672450" w:rsidP="00672450">
            <w:pPr>
              <w:jc w:val="right"/>
              <w:rPr>
                <w:sz w:val="20"/>
                <w:szCs w:val="20"/>
              </w:rPr>
            </w:pPr>
            <w:r w:rsidRPr="00672450">
              <w:rPr>
                <w:sz w:val="20"/>
                <w:szCs w:val="20"/>
              </w:rPr>
              <w:t>$663,526</w:t>
            </w:r>
          </w:p>
        </w:tc>
        <w:tc>
          <w:tcPr>
            <w:tcW w:w="1262" w:type="dxa"/>
            <w:noWrap/>
            <w:vAlign w:val="center"/>
            <w:hideMark/>
          </w:tcPr>
          <w:p w:rsidR="00672450" w:rsidRPr="00672450" w:rsidRDefault="00672450" w:rsidP="00672450">
            <w:pPr>
              <w:jc w:val="right"/>
              <w:rPr>
                <w:sz w:val="20"/>
                <w:szCs w:val="20"/>
              </w:rPr>
            </w:pPr>
            <w:r w:rsidRPr="00672450">
              <w:rPr>
                <w:sz w:val="20"/>
                <w:szCs w:val="20"/>
              </w:rPr>
              <w:t>$575,420</w:t>
            </w:r>
          </w:p>
        </w:tc>
      </w:tr>
      <w:tr w:rsidR="00672450" w:rsidRPr="00672450" w:rsidTr="00672450">
        <w:trPr>
          <w:trHeight w:val="300"/>
        </w:trPr>
        <w:tc>
          <w:tcPr>
            <w:tcW w:w="2643" w:type="dxa"/>
            <w:noWrap/>
            <w:vAlign w:val="center"/>
            <w:hideMark/>
          </w:tcPr>
          <w:p w:rsidR="00672450" w:rsidRPr="00672450" w:rsidRDefault="00672450" w:rsidP="00162080">
            <w:pPr>
              <w:rPr>
                <w:sz w:val="20"/>
                <w:szCs w:val="20"/>
              </w:rPr>
            </w:pPr>
            <w:r w:rsidRPr="00672450">
              <w:rPr>
                <w:sz w:val="20"/>
                <w:szCs w:val="20"/>
              </w:rPr>
              <w:t>VEDOLIZUMAB</w:t>
            </w:r>
          </w:p>
        </w:tc>
        <w:tc>
          <w:tcPr>
            <w:tcW w:w="1482" w:type="dxa"/>
            <w:noWrap/>
            <w:vAlign w:val="center"/>
            <w:hideMark/>
          </w:tcPr>
          <w:p w:rsidR="00672450" w:rsidRPr="00672450" w:rsidRDefault="00672450" w:rsidP="00672450">
            <w:pPr>
              <w:jc w:val="right"/>
              <w:rPr>
                <w:sz w:val="20"/>
                <w:szCs w:val="20"/>
              </w:rPr>
            </w:pPr>
          </w:p>
        </w:tc>
        <w:tc>
          <w:tcPr>
            <w:tcW w:w="1262" w:type="dxa"/>
            <w:noWrap/>
            <w:vAlign w:val="center"/>
            <w:hideMark/>
          </w:tcPr>
          <w:p w:rsidR="00672450" w:rsidRPr="00672450" w:rsidRDefault="00672450" w:rsidP="00672450">
            <w:pPr>
              <w:jc w:val="right"/>
              <w:rPr>
                <w:sz w:val="20"/>
                <w:szCs w:val="20"/>
              </w:rPr>
            </w:pPr>
          </w:p>
        </w:tc>
        <w:tc>
          <w:tcPr>
            <w:tcW w:w="1262" w:type="dxa"/>
            <w:noWrap/>
            <w:vAlign w:val="center"/>
            <w:hideMark/>
          </w:tcPr>
          <w:p w:rsidR="00672450" w:rsidRPr="00672450" w:rsidRDefault="00672450" w:rsidP="00672450">
            <w:pPr>
              <w:jc w:val="right"/>
              <w:rPr>
                <w:sz w:val="20"/>
                <w:szCs w:val="20"/>
              </w:rPr>
            </w:pPr>
          </w:p>
        </w:tc>
        <w:tc>
          <w:tcPr>
            <w:tcW w:w="1262" w:type="dxa"/>
            <w:noWrap/>
            <w:vAlign w:val="center"/>
            <w:hideMark/>
          </w:tcPr>
          <w:p w:rsidR="00672450" w:rsidRPr="00672450" w:rsidRDefault="00672450" w:rsidP="00672450">
            <w:pPr>
              <w:jc w:val="right"/>
              <w:rPr>
                <w:sz w:val="20"/>
                <w:szCs w:val="20"/>
              </w:rPr>
            </w:pPr>
            <w:r w:rsidRPr="00672450">
              <w:rPr>
                <w:sz w:val="20"/>
                <w:szCs w:val="20"/>
              </w:rPr>
              <w:t>$1,483,942</w:t>
            </w:r>
          </w:p>
        </w:tc>
        <w:tc>
          <w:tcPr>
            <w:tcW w:w="1262" w:type="dxa"/>
            <w:noWrap/>
            <w:vAlign w:val="center"/>
            <w:hideMark/>
          </w:tcPr>
          <w:p w:rsidR="00672450" w:rsidRPr="00672450" w:rsidRDefault="00672450" w:rsidP="00672450">
            <w:pPr>
              <w:jc w:val="right"/>
              <w:rPr>
                <w:sz w:val="20"/>
                <w:szCs w:val="20"/>
              </w:rPr>
            </w:pPr>
            <w:r w:rsidRPr="00672450">
              <w:rPr>
                <w:sz w:val="20"/>
                <w:szCs w:val="20"/>
              </w:rPr>
              <w:t>$10,196,022</w:t>
            </w:r>
          </w:p>
        </w:tc>
      </w:tr>
      <w:tr w:rsidR="00672450" w:rsidRPr="005910EF" w:rsidTr="00672450">
        <w:trPr>
          <w:trHeight w:val="300"/>
        </w:trPr>
        <w:tc>
          <w:tcPr>
            <w:tcW w:w="2643" w:type="dxa"/>
            <w:noWrap/>
            <w:hideMark/>
          </w:tcPr>
          <w:p w:rsidR="00672450" w:rsidRPr="005910EF" w:rsidRDefault="00672450" w:rsidP="00162080">
            <w:pPr>
              <w:rPr>
                <w:rFonts w:ascii="Calibri" w:eastAsia="Times New Roman" w:hAnsi="Calibri" w:cs="Times New Roman"/>
                <w:b/>
                <w:bCs/>
                <w:color w:val="000000"/>
                <w:sz w:val="20"/>
                <w:szCs w:val="20"/>
              </w:rPr>
            </w:pPr>
            <w:r w:rsidRPr="005910EF">
              <w:rPr>
                <w:rFonts w:ascii="Calibri" w:eastAsia="Times New Roman" w:hAnsi="Calibri" w:cs="Times New Roman"/>
                <w:b/>
                <w:bCs/>
                <w:color w:val="000000"/>
                <w:sz w:val="20"/>
                <w:szCs w:val="20"/>
              </w:rPr>
              <w:t>Grand Total</w:t>
            </w:r>
          </w:p>
        </w:tc>
        <w:tc>
          <w:tcPr>
            <w:tcW w:w="1482" w:type="dxa"/>
            <w:noWrap/>
            <w:vAlign w:val="center"/>
            <w:hideMark/>
          </w:tcPr>
          <w:p w:rsidR="00672450" w:rsidRPr="005910EF" w:rsidRDefault="00672450" w:rsidP="00672450">
            <w:pPr>
              <w:jc w:val="right"/>
              <w:rPr>
                <w:rFonts w:ascii="Calibri" w:eastAsia="Times New Roman" w:hAnsi="Calibri" w:cs="Times New Roman"/>
                <w:b/>
                <w:bCs/>
                <w:color w:val="000000"/>
                <w:sz w:val="20"/>
                <w:szCs w:val="20"/>
              </w:rPr>
            </w:pPr>
            <w:r w:rsidRPr="005910EF">
              <w:rPr>
                <w:b/>
                <w:sz w:val="20"/>
                <w:szCs w:val="20"/>
              </w:rPr>
              <w:t>$41,613,574</w:t>
            </w:r>
          </w:p>
        </w:tc>
        <w:tc>
          <w:tcPr>
            <w:tcW w:w="1262" w:type="dxa"/>
            <w:noWrap/>
            <w:vAlign w:val="center"/>
            <w:hideMark/>
          </w:tcPr>
          <w:p w:rsidR="00672450" w:rsidRPr="005910EF" w:rsidRDefault="00672450" w:rsidP="00672450">
            <w:pPr>
              <w:jc w:val="right"/>
              <w:rPr>
                <w:rFonts w:ascii="Calibri" w:eastAsia="Times New Roman" w:hAnsi="Calibri" w:cs="Times New Roman"/>
                <w:b/>
                <w:bCs/>
                <w:color w:val="000000"/>
                <w:sz w:val="20"/>
                <w:szCs w:val="20"/>
              </w:rPr>
            </w:pPr>
            <w:r w:rsidRPr="005910EF">
              <w:rPr>
                <w:b/>
                <w:sz w:val="20"/>
                <w:szCs w:val="20"/>
              </w:rPr>
              <w:t>$46,966,522</w:t>
            </w:r>
          </w:p>
        </w:tc>
        <w:tc>
          <w:tcPr>
            <w:tcW w:w="1262" w:type="dxa"/>
            <w:noWrap/>
            <w:vAlign w:val="center"/>
            <w:hideMark/>
          </w:tcPr>
          <w:p w:rsidR="00672450" w:rsidRPr="005910EF" w:rsidRDefault="00672450" w:rsidP="00672450">
            <w:pPr>
              <w:jc w:val="right"/>
              <w:rPr>
                <w:rFonts w:ascii="Calibri" w:eastAsia="Times New Roman" w:hAnsi="Calibri" w:cs="Times New Roman"/>
                <w:b/>
                <w:bCs/>
                <w:color w:val="000000"/>
                <w:sz w:val="20"/>
                <w:szCs w:val="20"/>
              </w:rPr>
            </w:pPr>
            <w:r w:rsidRPr="005910EF">
              <w:rPr>
                <w:b/>
                <w:sz w:val="20"/>
                <w:szCs w:val="20"/>
              </w:rPr>
              <w:t>$52,521,588</w:t>
            </w:r>
          </w:p>
        </w:tc>
        <w:tc>
          <w:tcPr>
            <w:tcW w:w="1262" w:type="dxa"/>
            <w:noWrap/>
            <w:vAlign w:val="center"/>
            <w:hideMark/>
          </w:tcPr>
          <w:p w:rsidR="00672450" w:rsidRPr="005910EF" w:rsidRDefault="00672450" w:rsidP="00672450">
            <w:pPr>
              <w:jc w:val="right"/>
              <w:rPr>
                <w:rFonts w:ascii="Calibri" w:eastAsia="Times New Roman" w:hAnsi="Calibri" w:cs="Times New Roman"/>
                <w:b/>
                <w:bCs/>
                <w:color w:val="000000"/>
                <w:sz w:val="20"/>
                <w:szCs w:val="20"/>
              </w:rPr>
            </w:pPr>
            <w:r w:rsidRPr="005910EF">
              <w:rPr>
                <w:b/>
                <w:sz w:val="20"/>
                <w:szCs w:val="20"/>
              </w:rPr>
              <w:t>$70,706,105</w:t>
            </w:r>
          </w:p>
        </w:tc>
        <w:tc>
          <w:tcPr>
            <w:tcW w:w="1262" w:type="dxa"/>
            <w:noWrap/>
            <w:vAlign w:val="center"/>
            <w:hideMark/>
          </w:tcPr>
          <w:p w:rsidR="00672450" w:rsidRPr="005910EF" w:rsidRDefault="00672450" w:rsidP="00672450">
            <w:pPr>
              <w:jc w:val="right"/>
              <w:rPr>
                <w:rFonts w:ascii="Calibri" w:eastAsia="Times New Roman" w:hAnsi="Calibri" w:cs="Times New Roman"/>
                <w:b/>
                <w:bCs/>
                <w:color w:val="000000"/>
                <w:sz w:val="20"/>
                <w:szCs w:val="20"/>
              </w:rPr>
            </w:pPr>
            <w:r w:rsidRPr="005910EF">
              <w:rPr>
                <w:b/>
                <w:sz w:val="20"/>
                <w:szCs w:val="20"/>
              </w:rPr>
              <w:t>$84,756,179</w:t>
            </w:r>
          </w:p>
        </w:tc>
      </w:tr>
    </w:tbl>
    <w:p w:rsidR="00162080" w:rsidRDefault="00162080" w:rsidP="00162080">
      <w:pPr>
        <w:pStyle w:val="Notes"/>
      </w:pPr>
      <w:r>
        <w:t>Note: based on published prices</w:t>
      </w:r>
      <w:r w:rsidR="003F3FC5">
        <w:br/>
        <w:t>a: Adalimumab expenditure in 2016 is calculated from the full dataset rather than the cohort.</w:t>
      </w:r>
    </w:p>
    <w:p w:rsidR="00162080" w:rsidRDefault="00162080" w:rsidP="00C20247"/>
    <w:p w:rsidR="00CA31C8" w:rsidRDefault="00E87E1A" w:rsidP="00C20247">
      <w:r>
        <w:t xml:space="preserve">Table </w:t>
      </w:r>
      <w:r w:rsidR="006441BC">
        <w:t>6</w:t>
      </w:r>
      <w:r>
        <w:t xml:space="preserve"> shows e</w:t>
      </w:r>
      <w:r w:rsidR="00EB41EC">
        <w:t>xpenditure for the cohort as treatment for UC includes medicines that are Restricted Benefit and Unrestricted listings.</w:t>
      </w:r>
      <w:r>
        <w:t xml:space="preserve"> In the complete dataset it would not be possible to determine the reason for prescribing the unrestricted medicines.</w:t>
      </w:r>
    </w:p>
    <w:p w:rsidR="00CA31C8" w:rsidRDefault="0009244D" w:rsidP="00C20247">
      <w:r>
        <w:t>Based on the published prices (which are higher than the effective prices paid for drugs subject to special pricing arrangements), t</w:t>
      </w:r>
      <w:r w:rsidR="00E87E1A">
        <w:t xml:space="preserve">he cost of medicines </w:t>
      </w:r>
      <w:r w:rsidR="00F47607">
        <w:t xml:space="preserve">with Authority Required restrictions, </w:t>
      </w:r>
      <w:r w:rsidR="00346DA0">
        <w:t>calculated from the entire dataset,</w:t>
      </w:r>
      <w:r w:rsidR="00F47607">
        <w:t xml:space="preserve"> is</w:t>
      </w:r>
      <w:r w:rsidR="00346DA0" w:rsidRPr="00346DA0">
        <w:t xml:space="preserve"> </w:t>
      </w:r>
      <w:r w:rsidR="00346DA0">
        <w:t>approximately 5% to</w:t>
      </w:r>
      <w:r w:rsidR="00F47607">
        <w:t xml:space="preserve"> </w:t>
      </w:r>
      <w:r w:rsidR="00346DA0">
        <w:t xml:space="preserve">10% </w:t>
      </w:r>
      <w:r w:rsidR="00F47607">
        <w:t xml:space="preserve">higher than </w:t>
      </w:r>
      <w:r w:rsidR="00346DA0">
        <w:t xml:space="preserve">the cost shown in Table </w:t>
      </w:r>
      <w:r w:rsidR="006441BC">
        <w:t>6</w:t>
      </w:r>
      <w:r w:rsidR="00346DA0">
        <w:t xml:space="preserve">. The cost </w:t>
      </w:r>
      <w:r w:rsidR="00F47607">
        <w:t xml:space="preserve">of mesalazine </w:t>
      </w:r>
      <w:r w:rsidR="00346DA0">
        <w:t xml:space="preserve">in 2016 was </w:t>
      </w:r>
      <w:r w:rsidR="00F47607" w:rsidRPr="00F47607">
        <w:t>$59</w:t>
      </w:r>
      <w:r w:rsidR="00346DA0">
        <w:t> </w:t>
      </w:r>
      <w:r w:rsidR="00F47607">
        <w:t xml:space="preserve">million. This represents a difference of </w:t>
      </w:r>
      <w:r w:rsidR="00346DA0">
        <w:t>15%</w:t>
      </w:r>
      <w:r w:rsidR="00EB41EC">
        <w:t>.</w:t>
      </w:r>
    </w:p>
    <w:p w:rsidR="006441BC" w:rsidRDefault="006441BC">
      <w:pPr>
        <w:spacing w:line="276" w:lineRule="auto"/>
        <w:rPr>
          <w:rFonts w:eastAsiaTheme="majorEastAsia" w:cstheme="majorBidi"/>
          <w:b/>
          <w:bCs/>
          <w:sz w:val="32"/>
          <w:szCs w:val="32"/>
        </w:rPr>
      </w:pPr>
      <w:r>
        <w:br w:type="page"/>
      </w:r>
    </w:p>
    <w:p w:rsidR="00A30B1E" w:rsidRDefault="00A30B1E" w:rsidP="00346DA0">
      <w:pPr>
        <w:pStyle w:val="Heading1"/>
      </w:pPr>
      <w:r>
        <w:lastRenderedPageBreak/>
        <w:t xml:space="preserve">Analysis </w:t>
      </w:r>
      <w:r w:rsidRPr="005E22C2">
        <w:t xml:space="preserve">of </w:t>
      </w:r>
      <w:r>
        <w:t>a</w:t>
      </w:r>
      <w:r w:rsidRPr="005E22C2">
        <w:t xml:space="preserve">ctual versus </w:t>
      </w:r>
      <w:r>
        <w:t>p</w:t>
      </w:r>
      <w:r w:rsidRPr="005E22C2">
        <w:t xml:space="preserve">redicted </w:t>
      </w:r>
      <w:r>
        <w:t>u</w:t>
      </w:r>
      <w:r w:rsidRPr="005E22C2">
        <w:t>tilisation</w:t>
      </w:r>
    </w:p>
    <w:p w:rsidR="00F55E25" w:rsidRDefault="00F55E25" w:rsidP="00346DA0">
      <w:pPr>
        <w:pStyle w:val="Heading2"/>
      </w:pPr>
      <w:r>
        <w:t>Approach taken to estimate utilisation</w:t>
      </w:r>
    </w:p>
    <w:p w:rsidR="00F55E25" w:rsidRPr="00346DA0" w:rsidRDefault="00F55E25" w:rsidP="00346DA0">
      <w:pPr>
        <w:pStyle w:val="Heading3"/>
      </w:pPr>
      <w:r w:rsidRPr="00346DA0">
        <w:t>Infliximab</w:t>
      </w:r>
    </w:p>
    <w:p w:rsidR="00F55E25" w:rsidRDefault="00F55E25" w:rsidP="00F55E25">
      <w:r>
        <w:t>Infliximab was listed for acute severe UC in April 2014, and for moderate to severe UC in December 2014. The November 2013 submission for acute severe UC presented a cost minimisation analysis. This submission used an epidemiological approach to estimate the n</w:t>
      </w:r>
      <w:r w:rsidRPr="009C2DB8">
        <w:t xml:space="preserve">umber of hospitalised </w:t>
      </w:r>
      <w:r w:rsidR="006441BC">
        <w:t>UC</w:t>
      </w:r>
      <w:r w:rsidRPr="009C2DB8">
        <w:t xml:space="preserve"> episodes where patie</w:t>
      </w:r>
      <w:r>
        <w:t>nts will fail to respond to IV</w:t>
      </w:r>
      <w:r w:rsidRPr="009C2DB8">
        <w:t xml:space="preserve"> corticosteroids. </w:t>
      </w:r>
    </w:p>
    <w:p w:rsidR="00F55E25" w:rsidRDefault="00F55E25" w:rsidP="00F55E25">
      <w:r>
        <w:t xml:space="preserve">The March 2014 submission for moderate to severe UC submission presented a </w:t>
      </w:r>
      <w:r w:rsidRPr="009C2DB8">
        <w:t>cost utility analysis</w:t>
      </w:r>
      <w:r>
        <w:t>. It used an epidemiological approach to estimate the n</w:t>
      </w:r>
      <w:r w:rsidRPr="009C2DB8">
        <w:t>umber of</w:t>
      </w:r>
      <w:r>
        <w:t xml:space="preserve"> patients with moderate to severe disease. </w:t>
      </w:r>
    </w:p>
    <w:p w:rsidR="00F55E25" w:rsidRDefault="00F55E25" w:rsidP="00346DA0">
      <w:pPr>
        <w:pStyle w:val="Heading3"/>
      </w:pPr>
      <w:r>
        <w:t xml:space="preserve">Vedolizumab </w:t>
      </w:r>
    </w:p>
    <w:p w:rsidR="00F55E25" w:rsidRDefault="00F55E25" w:rsidP="00F55E25">
      <w:r>
        <w:t xml:space="preserve">The March 2015 submission for vedolizumab requested listing on a cost-minimisation basis with infliximab for the treatment of moderate to severe </w:t>
      </w:r>
      <w:r w:rsidR="006441BC">
        <w:t>UC</w:t>
      </w:r>
      <w:r>
        <w:t xml:space="preserve"> in adult patients. It used an epidemiological approach to estimate the n</w:t>
      </w:r>
      <w:r w:rsidRPr="009C2DB8">
        <w:t>umber of</w:t>
      </w:r>
      <w:r>
        <w:t xml:space="preserve"> patients with moderate to severe disease, and calculated cost offsets due to reduced use of infliximab. It applied a prevalent pool of patients in 2014 which it estimated was </w:t>
      </w:r>
      <w:r w:rsidR="00470C46">
        <w:rPr>
          <w:noProof/>
          <w:color w:val="000000"/>
          <w:highlight w:val="black"/>
        </w:rPr>
        <w:t>'''''''''''''</w:t>
      </w:r>
      <w:r>
        <w:t xml:space="preserve"> of the Australian population. It estimated the rate of incidence for UC was </w:t>
      </w:r>
      <w:r w:rsidR="00470C46">
        <w:rPr>
          <w:noProof/>
          <w:color w:val="000000"/>
          <w:highlight w:val="black"/>
        </w:rPr>
        <w:t>'''''''''''''''</w:t>
      </w:r>
      <w:r>
        <w:t xml:space="preserve"> in 2015 and 2016, and </w:t>
      </w:r>
      <w:r w:rsidR="00470C46">
        <w:rPr>
          <w:noProof/>
          <w:color w:val="000000"/>
          <w:highlight w:val="black"/>
        </w:rPr>
        <w:t>'''''''''''''</w:t>
      </w:r>
      <w:r>
        <w:t xml:space="preserve"> thereafter.</w:t>
      </w:r>
    </w:p>
    <w:p w:rsidR="00346DA0" w:rsidRDefault="00346DA0" w:rsidP="00346DA0">
      <w:pPr>
        <w:pStyle w:val="Heading2"/>
      </w:pPr>
      <w:r w:rsidRPr="00346DA0">
        <w:t xml:space="preserve">Analysis of actual versus predicted utilisation </w:t>
      </w:r>
    </w:p>
    <w:p w:rsidR="00A30B1E" w:rsidRPr="0062153F" w:rsidRDefault="00A30B1E" w:rsidP="00A30B1E">
      <w:r w:rsidRPr="0062153F">
        <w:t>Analysis of actual versus predicted utilisation</w:t>
      </w:r>
      <w:r>
        <w:t xml:space="preserve"> was completed using the complete dataset, using PBS item codes to identify prescriptions for UC.</w:t>
      </w:r>
    </w:p>
    <w:p w:rsidR="00A30B1E" w:rsidRDefault="00A30B1E" w:rsidP="00346DA0">
      <w:pPr>
        <w:pStyle w:val="Heading3"/>
      </w:pPr>
      <w:r>
        <w:t xml:space="preserve">Infliximab – acute severe </w:t>
      </w:r>
      <w:r w:rsidRPr="008D1F8B">
        <w:t>ulcerative colitis</w:t>
      </w:r>
    </w:p>
    <w:p w:rsidR="00A30B1E" w:rsidRDefault="00A30B1E" w:rsidP="00A30B1E">
      <w:r>
        <w:t xml:space="preserve">The submission for infliximab for acute severe UC used an epidemiological approach. It applied a prevalence rate of UC of 0.17% to the Australian population aged 6 and over. DUSC had considered the previous submission and recommended </w:t>
      </w:r>
      <w:r w:rsidRPr="0033688E">
        <w:t>using an annualised proportion of patients hospitalised among the prevalent pool</w:t>
      </w:r>
      <w:r>
        <w:t xml:space="preserve">. The submission applied an </w:t>
      </w:r>
      <w:r w:rsidRPr="0033688E">
        <w:t xml:space="preserve">annualised rate for episodes of acute severe </w:t>
      </w:r>
      <w:r w:rsidR="006441BC">
        <w:t>UC</w:t>
      </w:r>
      <w:r>
        <w:t xml:space="preserve"> of </w:t>
      </w:r>
      <w:r w:rsidR="00470C46">
        <w:rPr>
          <w:noProof/>
          <w:color w:val="000000"/>
          <w:highlight w:val="black"/>
        </w:rPr>
        <w:t>''''''''''''</w:t>
      </w:r>
      <w:r>
        <w:t xml:space="preserve"> to the prevalent population and assumed </w:t>
      </w:r>
      <w:r w:rsidR="00470C46">
        <w:rPr>
          <w:noProof/>
          <w:color w:val="000000"/>
          <w:highlight w:val="black"/>
        </w:rPr>
        <w:t>''''''''''''</w:t>
      </w:r>
      <w:r>
        <w:t xml:space="preserve"> vials of infliximab would be required for each infusion.</w:t>
      </w:r>
    </w:p>
    <w:p w:rsidR="00A30B1E" w:rsidRDefault="00A30B1E" w:rsidP="00A30B1E">
      <w:r>
        <w:t xml:space="preserve">The table below counts the number of treated patients and the number of initiating patients. The difference between these counts may suggest the number of patients being treated for subsequent episodes in later years, but will also count patients who suffer a single episode (multiple prescriptions) over the end of one year and beginning of another.  </w:t>
      </w:r>
    </w:p>
    <w:p w:rsidR="00A30B1E" w:rsidRDefault="00A30B1E" w:rsidP="00A30B1E">
      <w:r>
        <w:t xml:space="preserve">The number of prescriptions was lower than expected in early years, and higher than predicted in 2016. </w:t>
      </w:r>
    </w:p>
    <w:p w:rsidR="00A30B1E" w:rsidRPr="008D1F8B" w:rsidRDefault="00A30B1E" w:rsidP="00A30B1E">
      <w:r>
        <w:lastRenderedPageBreak/>
        <w:t xml:space="preserve">The submission estimated </w:t>
      </w:r>
      <w:r w:rsidR="00470C46">
        <w:rPr>
          <w:noProof/>
          <w:color w:val="000000"/>
          <w:highlight w:val="black"/>
        </w:rPr>
        <w:t>''''''''</w:t>
      </w:r>
      <w:r>
        <w:t xml:space="preserve"> of use of i</w:t>
      </w:r>
      <w:r w:rsidRPr="00417FDC">
        <w:t xml:space="preserve">nfliximab </w:t>
      </w:r>
      <w:r>
        <w:t xml:space="preserve">for </w:t>
      </w:r>
      <w:r w:rsidRPr="00417FDC">
        <w:t>acute severe disease</w:t>
      </w:r>
      <w:r>
        <w:t xml:space="preserve"> would occur in public hospitals, and </w:t>
      </w:r>
      <w:r w:rsidR="00470C46">
        <w:rPr>
          <w:noProof/>
          <w:color w:val="000000"/>
          <w:highlight w:val="black"/>
        </w:rPr>
        <w:t>'''''''</w:t>
      </w:r>
      <w:r>
        <w:t xml:space="preserve"> in private hospitals. The actual use has been between 60% and 70% for public, and 30% to 40% for private hospitals. </w:t>
      </w:r>
    </w:p>
    <w:p w:rsidR="00A30B1E" w:rsidRPr="005C3DC7" w:rsidRDefault="00A30B1E" w:rsidP="00346DA0">
      <w:pPr>
        <w:pStyle w:val="Tabletitle"/>
        <w:rPr>
          <w:i w:val="0"/>
        </w:rPr>
      </w:pPr>
      <w:r w:rsidRPr="005C3DC7">
        <w:rPr>
          <w:i w:val="0"/>
        </w:rPr>
        <w:t xml:space="preserve">Table </w:t>
      </w:r>
      <w:r w:rsidR="00245624" w:rsidRPr="005C3DC7">
        <w:rPr>
          <w:i w:val="0"/>
        </w:rPr>
        <w:t>7</w:t>
      </w:r>
      <w:r w:rsidRPr="005C3DC7">
        <w:rPr>
          <w:i w:val="0"/>
        </w:rPr>
        <w:t>: Infliximab acute severe disease predicted versus actual</w:t>
      </w:r>
    </w:p>
    <w:tbl>
      <w:tblPr>
        <w:tblW w:w="8097" w:type="dxa"/>
        <w:tblInd w:w="93" w:type="dxa"/>
        <w:tblLook w:val="04A0" w:firstRow="1" w:lastRow="0" w:firstColumn="1" w:lastColumn="0" w:noHBand="0" w:noVBand="1"/>
        <w:tblCaption w:val="Infliximab acute severe disease predicted versus actual"/>
        <w:tblDescription w:val="Infliximab acute severe disease predicted versus actual with redactions"/>
      </w:tblPr>
      <w:tblGrid>
        <w:gridCol w:w="1397"/>
        <w:gridCol w:w="1065"/>
        <w:gridCol w:w="1127"/>
        <w:gridCol w:w="1127"/>
        <w:gridCol w:w="1127"/>
        <w:gridCol w:w="1127"/>
        <w:gridCol w:w="1127"/>
      </w:tblGrid>
      <w:tr w:rsidR="00A30B1E" w:rsidRPr="003F3FC5" w:rsidTr="00F85E6A">
        <w:trPr>
          <w:trHeight w:val="300"/>
        </w:trPr>
        <w:tc>
          <w:tcPr>
            <w:tcW w:w="139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 </w:t>
            </w:r>
          </w:p>
        </w:tc>
        <w:tc>
          <w:tcPr>
            <w:tcW w:w="1065" w:type="dxa"/>
            <w:tcBorders>
              <w:top w:val="single" w:sz="4" w:space="0" w:color="auto"/>
              <w:left w:val="nil"/>
              <w:bottom w:val="single" w:sz="4" w:space="0" w:color="auto"/>
              <w:right w:val="single" w:sz="4" w:space="0" w:color="auto"/>
            </w:tcBorders>
            <w:shd w:val="clear" w:color="000000" w:fill="BFBFBF"/>
            <w:noWrap/>
            <w:vAlign w:val="center"/>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 </w:t>
            </w:r>
          </w:p>
        </w:tc>
        <w:tc>
          <w:tcPr>
            <w:tcW w:w="1127" w:type="dxa"/>
            <w:tcBorders>
              <w:top w:val="single" w:sz="4" w:space="0" w:color="auto"/>
              <w:left w:val="nil"/>
              <w:bottom w:val="single" w:sz="4" w:space="0" w:color="auto"/>
              <w:right w:val="single" w:sz="4" w:space="0" w:color="auto"/>
            </w:tcBorders>
            <w:shd w:val="clear" w:color="000000" w:fill="BFBFBF"/>
            <w:noWrap/>
            <w:vAlign w:val="center"/>
            <w:hideMark/>
          </w:tcPr>
          <w:p w:rsidR="00A30B1E" w:rsidRPr="003F3FC5" w:rsidRDefault="00A30B1E" w:rsidP="002908A6">
            <w:pPr>
              <w:spacing w:after="0"/>
              <w:jc w:val="center"/>
              <w:rPr>
                <w:rFonts w:ascii="Calibri" w:eastAsia="Times New Roman" w:hAnsi="Calibri" w:cs="Times New Roman"/>
                <w:b/>
                <w:bCs/>
                <w:sz w:val="20"/>
                <w:szCs w:val="20"/>
              </w:rPr>
            </w:pPr>
            <w:r w:rsidRPr="003F3FC5">
              <w:rPr>
                <w:rFonts w:ascii="Calibri" w:eastAsia="Times New Roman" w:hAnsi="Calibri" w:cs="Times New Roman"/>
                <w:b/>
                <w:bCs/>
                <w:sz w:val="20"/>
                <w:szCs w:val="20"/>
              </w:rPr>
              <w:t>2014</w:t>
            </w:r>
          </w:p>
        </w:tc>
        <w:tc>
          <w:tcPr>
            <w:tcW w:w="1127" w:type="dxa"/>
            <w:tcBorders>
              <w:top w:val="single" w:sz="4" w:space="0" w:color="auto"/>
              <w:left w:val="nil"/>
              <w:bottom w:val="single" w:sz="4" w:space="0" w:color="auto"/>
              <w:right w:val="single" w:sz="4" w:space="0" w:color="auto"/>
            </w:tcBorders>
            <w:shd w:val="clear" w:color="000000" w:fill="BFBFBF"/>
            <w:noWrap/>
            <w:vAlign w:val="center"/>
            <w:hideMark/>
          </w:tcPr>
          <w:p w:rsidR="00A30B1E" w:rsidRPr="003F3FC5" w:rsidRDefault="00A30B1E" w:rsidP="002908A6">
            <w:pPr>
              <w:spacing w:after="0"/>
              <w:jc w:val="center"/>
              <w:rPr>
                <w:rFonts w:ascii="Calibri" w:eastAsia="Times New Roman" w:hAnsi="Calibri" w:cs="Times New Roman"/>
                <w:b/>
                <w:bCs/>
                <w:sz w:val="20"/>
                <w:szCs w:val="20"/>
              </w:rPr>
            </w:pPr>
            <w:r w:rsidRPr="003F3FC5">
              <w:rPr>
                <w:rFonts w:ascii="Calibri" w:eastAsia="Times New Roman" w:hAnsi="Calibri" w:cs="Times New Roman"/>
                <w:b/>
                <w:bCs/>
                <w:sz w:val="20"/>
                <w:szCs w:val="20"/>
              </w:rPr>
              <w:t>2015</w:t>
            </w:r>
          </w:p>
        </w:tc>
        <w:tc>
          <w:tcPr>
            <w:tcW w:w="1127" w:type="dxa"/>
            <w:tcBorders>
              <w:top w:val="single" w:sz="4" w:space="0" w:color="auto"/>
              <w:left w:val="nil"/>
              <w:bottom w:val="single" w:sz="4" w:space="0" w:color="auto"/>
              <w:right w:val="single" w:sz="4" w:space="0" w:color="auto"/>
            </w:tcBorders>
            <w:shd w:val="clear" w:color="000000" w:fill="BFBFBF"/>
            <w:noWrap/>
            <w:vAlign w:val="center"/>
            <w:hideMark/>
          </w:tcPr>
          <w:p w:rsidR="00A30B1E" w:rsidRPr="003F3FC5" w:rsidRDefault="00A30B1E" w:rsidP="002908A6">
            <w:pPr>
              <w:spacing w:after="0"/>
              <w:jc w:val="center"/>
              <w:rPr>
                <w:rFonts w:ascii="Calibri" w:eastAsia="Times New Roman" w:hAnsi="Calibri" w:cs="Times New Roman"/>
                <w:b/>
                <w:bCs/>
                <w:sz w:val="20"/>
                <w:szCs w:val="20"/>
              </w:rPr>
            </w:pPr>
            <w:r w:rsidRPr="003F3FC5">
              <w:rPr>
                <w:rFonts w:ascii="Calibri" w:eastAsia="Times New Roman" w:hAnsi="Calibri" w:cs="Times New Roman"/>
                <w:b/>
                <w:bCs/>
                <w:sz w:val="20"/>
                <w:szCs w:val="20"/>
              </w:rPr>
              <w:t>2016</w:t>
            </w:r>
          </w:p>
        </w:tc>
        <w:tc>
          <w:tcPr>
            <w:tcW w:w="1127" w:type="dxa"/>
            <w:tcBorders>
              <w:top w:val="single" w:sz="4" w:space="0" w:color="auto"/>
              <w:left w:val="nil"/>
              <w:bottom w:val="single" w:sz="4" w:space="0" w:color="auto"/>
              <w:right w:val="single" w:sz="4" w:space="0" w:color="auto"/>
            </w:tcBorders>
            <w:shd w:val="clear" w:color="000000" w:fill="BFBFBF"/>
            <w:noWrap/>
            <w:vAlign w:val="center"/>
            <w:hideMark/>
          </w:tcPr>
          <w:p w:rsidR="00A30B1E" w:rsidRPr="003F3FC5" w:rsidRDefault="00A30B1E" w:rsidP="002908A6">
            <w:pPr>
              <w:spacing w:after="0"/>
              <w:jc w:val="center"/>
              <w:rPr>
                <w:rFonts w:ascii="Calibri" w:eastAsia="Times New Roman" w:hAnsi="Calibri" w:cs="Times New Roman"/>
                <w:b/>
                <w:bCs/>
                <w:sz w:val="20"/>
                <w:szCs w:val="20"/>
              </w:rPr>
            </w:pPr>
            <w:r w:rsidRPr="003F3FC5">
              <w:rPr>
                <w:rFonts w:ascii="Calibri" w:eastAsia="Times New Roman" w:hAnsi="Calibri" w:cs="Times New Roman"/>
                <w:b/>
                <w:bCs/>
                <w:sz w:val="20"/>
                <w:szCs w:val="20"/>
              </w:rPr>
              <w:t>2017</w:t>
            </w:r>
          </w:p>
        </w:tc>
        <w:tc>
          <w:tcPr>
            <w:tcW w:w="1127" w:type="dxa"/>
            <w:tcBorders>
              <w:top w:val="single" w:sz="4" w:space="0" w:color="auto"/>
              <w:left w:val="nil"/>
              <w:bottom w:val="single" w:sz="4" w:space="0" w:color="auto"/>
              <w:right w:val="single" w:sz="4" w:space="0" w:color="auto"/>
            </w:tcBorders>
            <w:shd w:val="clear" w:color="000000" w:fill="BFBFBF"/>
            <w:noWrap/>
            <w:vAlign w:val="center"/>
            <w:hideMark/>
          </w:tcPr>
          <w:p w:rsidR="00A30B1E" w:rsidRPr="003F3FC5" w:rsidRDefault="00A30B1E" w:rsidP="002908A6">
            <w:pPr>
              <w:spacing w:after="0"/>
              <w:jc w:val="center"/>
              <w:rPr>
                <w:rFonts w:ascii="Calibri" w:eastAsia="Times New Roman" w:hAnsi="Calibri" w:cs="Times New Roman"/>
                <w:b/>
                <w:bCs/>
                <w:sz w:val="20"/>
                <w:szCs w:val="20"/>
              </w:rPr>
            </w:pPr>
            <w:r w:rsidRPr="003F3FC5">
              <w:rPr>
                <w:rFonts w:ascii="Calibri" w:eastAsia="Times New Roman" w:hAnsi="Calibri" w:cs="Times New Roman"/>
                <w:b/>
                <w:bCs/>
                <w:sz w:val="20"/>
                <w:szCs w:val="20"/>
              </w:rPr>
              <w:t>2018</w:t>
            </w:r>
          </w:p>
        </w:tc>
      </w:tr>
      <w:tr w:rsidR="00A30B1E" w:rsidRPr="003F3FC5" w:rsidTr="00F85E6A">
        <w:trPr>
          <w:trHeight w:val="300"/>
        </w:trPr>
        <w:tc>
          <w:tcPr>
            <w:tcW w:w="1397" w:type="dxa"/>
            <w:tcBorders>
              <w:top w:val="nil"/>
              <w:left w:val="single" w:sz="4" w:space="0" w:color="auto"/>
              <w:bottom w:val="nil"/>
              <w:right w:val="single" w:sz="4" w:space="0" w:color="auto"/>
            </w:tcBorders>
            <w:shd w:val="clear" w:color="auto" w:fill="auto"/>
            <w:noWrap/>
            <w:vAlign w:val="center"/>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Episodes</w:t>
            </w:r>
          </w:p>
        </w:tc>
        <w:tc>
          <w:tcPr>
            <w:tcW w:w="1065" w:type="dxa"/>
            <w:tcBorders>
              <w:top w:val="nil"/>
              <w:left w:val="nil"/>
              <w:bottom w:val="single" w:sz="4" w:space="0" w:color="auto"/>
              <w:right w:val="single" w:sz="4" w:space="0" w:color="auto"/>
            </w:tcBorders>
            <w:shd w:val="clear" w:color="auto" w:fill="auto"/>
            <w:noWrap/>
            <w:vAlign w:val="center"/>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Predicted</w:t>
            </w:r>
          </w:p>
        </w:tc>
        <w:tc>
          <w:tcPr>
            <w:tcW w:w="1127"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127"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127"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127"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127"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r>
      <w:tr w:rsidR="00A30B1E" w:rsidRPr="003F3FC5" w:rsidTr="00F85E6A">
        <w:trPr>
          <w:trHeight w:val="300"/>
        </w:trPr>
        <w:tc>
          <w:tcPr>
            <w:tcW w:w="1397" w:type="dxa"/>
            <w:tcBorders>
              <w:top w:val="single" w:sz="4" w:space="0" w:color="auto"/>
              <w:left w:val="single" w:sz="4" w:space="0" w:color="auto"/>
              <w:bottom w:val="nil"/>
              <w:right w:val="single" w:sz="4" w:space="0" w:color="auto"/>
            </w:tcBorders>
            <w:shd w:val="clear" w:color="auto" w:fill="auto"/>
            <w:noWrap/>
            <w:vAlign w:val="center"/>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Patients</w:t>
            </w:r>
          </w:p>
        </w:tc>
        <w:tc>
          <w:tcPr>
            <w:tcW w:w="1065" w:type="dxa"/>
            <w:tcBorders>
              <w:top w:val="nil"/>
              <w:left w:val="nil"/>
              <w:bottom w:val="single" w:sz="4" w:space="0" w:color="auto"/>
              <w:right w:val="single" w:sz="4" w:space="0" w:color="auto"/>
            </w:tcBorders>
            <w:shd w:val="clear" w:color="auto" w:fill="auto"/>
            <w:noWrap/>
            <w:vAlign w:val="center"/>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Initiating</w:t>
            </w:r>
          </w:p>
        </w:tc>
        <w:tc>
          <w:tcPr>
            <w:tcW w:w="1127" w:type="dxa"/>
            <w:tcBorders>
              <w:top w:val="nil"/>
              <w:left w:val="nil"/>
              <w:bottom w:val="single" w:sz="4" w:space="0" w:color="auto"/>
              <w:right w:val="single" w:sz="4" w:space="0" w:color="auto"/>
            </w:tcBorders>
            <w:shd w:val="clear" w:color="auto" w:fill="auto"/>
            <w:noWrap/>
            <w:vAlign w:val="center"/>
            <w:hideMark/>
          </w:tcPr>
          <w:p w:rsidR="00A30B1E" w:rsidRPr="003F3FC5" w:rsidRDefault="00A30B1E" w:rsidP="002908A6">
            <w:pPr>
              <w:spacing w:after="0"/>
              <w:jc w:val="right"/>
              <w:rPr>
                <w:rFonts w:ascii="Calibri" w:eastAsia="Times New Roman" w:hAnsi="Calibri" w:cs="Times New Roman"/>
                <w:sz w:val="20"/>
                <w:szCs w:val="20"/>
              </w:rPr>
            </w:pPr>
            <w:r w:rsidRPr="003F3FC5">
              <w:rPr>
                <w:rFonts w:ascii="Calibri" w:eastAsia="Times New Roman" w:hAnsi="Calibri" w:cs="Times New Roman"/>
                <w:sz w:val="20"/>
                <w:szCs w:val="20"/>
              </w:rPr>
              <w:t>250</w:t>
            </w:r>
          </w:p>
        </w:tc>
        <w:tc>
          <w:tcPr>
            <w:tcW w:w="1127" w:type="dxa"/>
            <w:tcBorders>
              <w:top w:val="nil"/>
              <w:left w:val="nil"/>
              <w:bottom w:val="single" w:sz="4" w:space="0" w:color="auto"/>
              <w:right w:val="single" w:sz="4" w:space="0" w:color="auto"/>
            </w:tcBorders>
            <w:shd w:val="clear" w:color="auto" w:fill="auto"/>
            <w:noWrap/>
            <w:vAlign w:val="center"/>
            <w:hideMark/>
          </w:tcPr>
          <w:p w:rsidR="00A30B1E" w:rsidRPr="003F3FC5" w:rsidRDefault="00A30B1E" w:rsidP="002908A6">
            <w:pPr>
              <w:spacing w:after="0"/>
              <w:jc w:val="right"/>
              <w:rPr>
                <w:rFonts w:ascii="Calibri" w:eastAsia="Times New Roman" w:hAnsi="Calibri" w:cs="Times New Roman"/>
                <w:sz w:val="20"/>
                <w:szCs w:val="20"/>
              </w:rPr>
            </w:pPr>
            <w:r w:rsidRPr="003F3FC5">
              <w:rPr>
                <w:rFonts w:ascii="Calibri" w:eastAsia="Times New Roman" w:hAnsi="Calibri" w:cs="Times New Roman"/>
                <w:sz w:val="20"/>
                <w:szCs w:val="20"/>
              </w:rPr>
              <w:t>297</w:t>
            </w:r>
          </w:p>
        </w:tc>
        <w:tc>
          <w:tcPr>
            <w:tcW w:w="1127" w:type="dxa"/>
            <w:tcBorders>
              <w:top w:val="nil"/>
              <w:left w:val="nil"/>
              <w:bottom w:val="single" w:sz="4" w:space="0" w:color="auto"/>
              <w:right w:val="single" w:sz="4" w:space="0" w:color="auto"/>
            </w:tcBorders>
            <w:shd w:val="clear" w:color="auto" w:fill="auto"/>
            <w:noWrap/>
            <w:vAlign w:val="center"/>
            <w:hideMark/>
          </w:tcPr>
          <w:p w:rsidR="00A30B1E" w:rsidRPr="003F3FC5" w:rsidRDefault="00A30B1E" w:rsidP="002908A6">
            <w:pPr>
              <w:spacing w:after="0"/>
              <w:jc w:val="right"/>
              <w:rPr>
                <w:rFonts w:ascii="Calibri" w:eastAsia="Times New Roman" w:hAnsi="Calibri" w:cs="Times New Roman"/>
                <w:sz w:val="20"/>
                <w:szCs w:val="20"/>
              </w:rPr>
            </w:pPr>
            <w:r w:rsidRPr="003F3FC5">
              <w:rPr>
                <w:rFonts w:ascii="Calibri" w:eastAsia="Times New Roman" w:hAnsi="Calibri" w:cs="Times New Roman"/>
                <w:sz w:val="20"/>
                <w:szCs w:val="20"/>
              </w:rPr>
              <w:t>423</w:t>
            </w:r>
          </w:p>
        </w:tc>
        <w:tc>
          <w:tcPr>
            <w:tcW w:w="1127" w:type="dxa"/>
            <w:tcBorders>
              <w:top w:val="nil"/>
              <w:left w:val="nil"/>
              <w:bottom w:val="single" w:sz="4" w:space="0" w:color="auto"/>
              <w:right w:val="single" w:sz="4" w:space="0" w:color="auto"/>
            </w:tcBorders>
            <w:shd w:val="clear" w:color="auto" w:fill="auto"/>
            <w:noWrap/>
            <w:vAlign w:val="center"/>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 </w:t>
            </w:r>
          </w:p>
        </w:tc>
        <w:tc>
          <w:tcPr>
            <w:tcW w:w="1127" w:type="dxa"/>
            <w:tcBorders>
              <w:top w:val="nil"/>
              <w:left w:val="nil"/>
              <w:bottom w:val="single" w:sz="4" w:space="0" w:color="auto"/>
              <w:right w:val="single" w:sz="4" w:space="0" w:color="auto"/>
            </w:tcBorders>
            <w:shd w:val="clear" w:color="auto" w:fill="auto"/>
            <w:noWrap/>
            <w:vAlign w:val="center"/>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 </w:t>
            </w:r>
          </w:p>
        </w:tc>
      </w:tr>
      <w:tr w:rsidR="00A30B1E" w:rsidRPr="003F3FC5" w:rsidTr="00F85E6A">
        <w:trPr>
          <w:trHeight w:val="300"/>
        </w:trPr>
        <w:tc>
          <w:tcPr>
            <w:tcW w:w="1397" w:type="dxa"/>
            <w:tcBorders>
              <w:top w:val="nil"/>
              <w:left w:val="single" w:sz="4" w:space="0" w:color="auto"/>
              <w:bottom w:val="nil"/>
              <w:right w:val="single" w:sz="4" w:space="0" w:color="auto"/>
            </w:tcBorders>
            <w:shd w:val="clear" w:color="auto" w:fill="auto"/>
            <w:noWrap/>
            <w:vAlign w:val="center"/>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Treated</w:t>
            </w:r>
          </w:p>
        </w:tc>
        <w:tc>
          <w:tcPr>
            <w:tcW w:w="1127" w:type="dxa"/>
            <w:tcBorders>
              <w:top w:val="nil"/>
              <w:left w:val="nil"/>
              <w:bottom w:val="single" w:sz="4" w:space="0" w:color="auto"/>
              <w:right w:val="single" w:sz="4" w:space="0" w:color="auto"/>
            </w:tcBorders>
            <w:shd w:val="clear" w:color="auto" w:fill="auto"/>
            <w:noWrap/>
            <w:vAlign w:val="center"/>
            <w:hideMark/>
          </w:tcPr>
          <w:p w:rsidR="00A30B1E" w:rsidRPr="003F3FC5" w:rsidRDefault="00A30B1E" w:rsidP="002908A6">
            <w:pPr>
              <w:spacing w:after="0"/>
              <w:jc w:val="right"/>
              <w:rPr>
                <w:rFonts w:ascii="Calibri" w:eastAsia="Times New Roman" w:hAnsi="Calibri" w:cs="Times New Roman"/>
                <w:sz w:val="20"/>
                <w:szCs w:val="20"/>
              </w:rPr>
            </w:pPr>
            <w:r w:rsidRPr="003F3FC5">
              <w:rPr>
                <w:rFonts w:ascii="Calibri" w:eastAsia="Times New Roman" w:hAnsi="Calibri" w:cs="Times New Roman"/>
                <w:sz w:val="20"/>
                <w:szCs w:val="20"/>
              </w:rPr>
              <w:t>250</w:t>
            </w:r>
          </w:p>
        </w:tc>
        <w:tc>
          <w:tcPr>
            <w:tcW w:w="1127" w:type="dxa"/>
            <w:tcBorders>
              <w:top w:val="nil"/>
              <w:left w:val="nil"/>
              <w:bottom w:val="single" w:sz="4" w:space="0" w:color="auto"/>
              <w:right w:val="single" w:sz="4" w:space="0" w:color="auto"/>
            </w:tcBorders>
            <w:shd w:val="clear" w:color="auto" w:fill="auto"/>
            <w:noWrap/>
            <w:vAlign w:val="center"/>
            <w:hideMark/>
          </w:tcPr>
          <w:p w:rsidR="00A30B1E" w:rsidRPr="003F3FC5" w:rsidRDefault="00A30B1E" w:rsidP="002908A6">
            <w:pPr>
              <w:spacing w:after="0"/>
              <w:jc w:val="right"/>
              <w:rPr>
                <w:rFonts w:ascii="Calibri" w:eastAsia="Times New Roman" w:hAnsi="Calibri" w:cs="Times New Roman"/>
                <w:sz w:val="20"/>
                <w:szCs w:val="20"/>
              </w:rPr>
            </w:pPr>
            <w:r w:rsidRPr="003F3FC5">
              <w:rPr>
                <w:rFonts w:ascii="Calibri" w:eastAsia="Times New Roman" w:hAnsi="Calibri" w:cs="Times New Roman"/>
                <w:sz w:val="20"/>
                <w:szCs w:val="20"/>
              </w:rPr>
              <w:t>333</w:t>
            </w:r>
          </w:p>
        </w:tc>
        <w:tc>
          <w:tcPr>
            <w:tcW w:w="1127" w:type="dxa"/>
            <w:tcBorders>
              <w:top w:val="nil"/>
              <w:left w:val="nil"/>
              <w:bottom w:val="single" w:sz="4" w:space="0" w:color="auto"/>
              <w:right w:val="single" w:sz="4" w:space="0" w:color="auto"/>
            </w:tcBorders>
            <w:shd w:val="clear" w:color="auto" w:fill="auto"/>
            <w:noWrap/>
            <w:vAlign w:val="center"/>
            <w:hideMark/>
          </w:tcPr>
          <w:p w:rsidR="00A30B1E" w:rsidRPr="003F3FC5" w:rsidRDefault="00A30B1E" w:rsidP="002908A6">
            <w:pPr>
              <w:spacing w:after="0"/>
              <w:jc w:val="right"/>
              <w:rPr>
                <w:rFonts w:ascii="Calibri" w:eastAsia="Times New Roman" w:hAnsi="Calibri" w:cs="Times New Roman"/>
                <w:sz w:val="20"/>
                <w:szCs w:val="20"/>
              </w:rPr>
            </w:pPr>
            <w:r w:rsidRPr="003F3FC5">
              <w:rPr>
                <w:rFonts w:ascii="Calibri" w:eastAsia="Times New Roman" w:hAnsi="Calibri" w:cs="Times New Roman"/>
                <w:sz w:val="20"/>
                <w:szCs w:val="20"/>
              </w:rPr>
              <w:t>473</w:t>
            </w:r>
          </w:p>
        </w:tc>
        <w:tc>
          <w:tcPr>
            <w:tcW w:w="1127" w:type="dxa"/>
            <w:tcBorders>
              <w:top w:val="nil"/>
              <w:left w:val="nil"/>
              <w:bottom w:val="single" w:sz="4" w:space="0" w:color="auto"/>
              <w:right w:val="single" w:sz="4" w:space="0" w:color="auto"/>
            </w:tcBorders>
            <w:shd w:val="clear" w:color="auto" w:fill="auto"/>
            <w:noWrap/>
            <w:vAlign w:val="center"/>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 </w:t>
            </w:r>
          </w:p>
        </w:tc>
        <w:tc>
          <w:tcPr>
            <w:tcW w:w="1127" w:type="dxa"/>
            <w:tcBorders>
              <w:top w:val="nil"/>
              <w:left w:val="nil"/>
              <w:bottom w:val="single" w:sz="4" w:space="0" w:color="auto"/>
              <w:right w:val="single" w:sz="4" w:space="0" w:color="auto"/>
            </w:tcBorders>
            <w:shd w:val="clear" w:color="auto" w:fill="auto"/>
            <w:noWrap/>
            <w:vAlign w:val="center"/>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 </w:t>
            </w:r>
          </w:p>
        </w:tc>
      </w:tr>
      <w:tr w:rsidR="00A30B1E" w:rsidRPr="003F3FC5" w:rsidTr="00F85E6A">
        <w:trPr>
          <w:trHeight w:val="300"/>
        </w:trPr>
        <w:tc>
          <w:tcPr>
            <w:tcW w:w="1397" w:type="dxa"/>
            <w:tcBorders>
              <w:top w:val="nil"/>
              <w:left w:val="single" w:sz="4" w:space="0" w:color="auto"/>
              <w:bottom w:val="single" w:sz="4" w:space="0" w:color="auto"/>
              <w:right w:val="single" w:sz="4" w:space="0" w:color="auto"/>
            </w:tcBorders>
            <w:shd w:val="clear" w:color="auto" w:fill="auto"/>
            <w:noWrap/>
            <w:vAlign w:val="center"/>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 </w:t>
            </w:r>
          </w:p>
        </w:tc>
        <w:tc>
          <w:tcPr>
            <w:tcW w:w="1065" w:type="dxa"/>
            <w:tcBorders>
              <w:top w:val="nil"/>
              <w:left w:val="nil"/>
              <w:bottom w:val="single" w:sz="4" w:space="0" w:color="auto"/>
              <w:right w:val="single" w:sz="4" w:space="0" w:color="auto"/>
            </w:tcBorders>
            <w:shd w:val="clear" w:color="auto" w:fill="auto"/>
            <w:noWrap/>
            <w:vAlign w:val="center"/>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Difference</w:t>
            </w:r>
          </w:p>
        </w:tc>
        <w:tc>
          <w:tcPr>
            <w:tcW w:w="1127" w:type="dxa"/>
            <w:tcBorders>
              <w:top w:val="nil"/>
              <w:left w:val="nil"/>
              <w:bottom w:val="single" w:sz="4" w:space="0" w:color="auto"/>
              <w:right w:val="single" w:sz="4" w:space="0" w:color="auto"/>
            </w:tcBorders>
            <w:shd w:val="clear" w:color="auto" w:fill="auto"/>
            <w:noWrap/>
            <w:vAlign w:val="bottom"/>
            <w:hideMark/>
          </w:tcPr>
          <w:p w:rsidR="00A30B1E" w:rsidRPr="00470C46" w:rsidRDefault="00470C46" w:rsidP="002908A6">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127" w:type="dxa"/>
            <w:tcBorders>
              <w:top w:val="nil"/>
              <w:left w:val="nil"/>
              <w:bottom w:val="single" w:sz="4" w:space="0" w:color="auto"/>
              <w:right w:val="single" w:sz="4" w:space="0" w:color="auto"/>
            </w:tcBorders>
            <w:shd w:val="clear" w:color="auto" w:fill="auto"/>
            <w:noWrap/>
            <w:vAlign w:val="bottom"/>
            <w:hideMark/>
          </w:tcPr>
          <w:p w:rsidR="00A30B1E" w:rsidRPr="00470C46" w:rsidRDefault="00470C46" w:rsidP="002908A6">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127" w:type="dxa"/>
            <w:tcBorders>
              <w:top w:val="nil"/>
              <w:left w:val="nil"/>
              <w:bottom w:val="single" w:sz="4" w:space="0" w:color="auto"/>
              <w:right w:val="single" w:sz="4" w:space="0" w:color="auto"/>
            </w:tcBorders>
            <w:shd w:val="clear" w:color="auto" w:fill="auto"/>
            <w:noWrap/>
            <w:vAlign w:val="bottom"/>
            <w:hideMark/>
          </w:tcPr>
          <w:p w:rsidR="00A30B1E" w:rsidRPr="00470C46" w:rsidRDefault="00470C46" w:rsidP="002908A6">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127" w:type="dxa"/>
            <w:tcBorders>
              <w:top w:val="nil"/>
              <w:left w:val="nil"/>
              <w:bottom w:val="single" w:sz="4" w:space="0" w:color="auto"/>
              <w:right w:val="single" w:sz="4" w:space="0" w:color="auto"/>
            </w:tcBorders>
            <w:shd w:val="clear" w:color="auto" w:fill="auto"/>
            <w:noWrap/>
            <w:vAlign w:val="center"/>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 </w:t>
            </w:r>
          </w:p>
        </w:tc>
        <w:tc>
          <w:tcPr>
            <w:tcW w:w="1127" w:type="dxa"/>
            <w:tcBorders>
              <w:top w:val="nil"/>
              <w:left w:val="nil"/>
              <w:bottom w:val="single" w:sz="4" w:space="0" w:color="auto"/>
              <w:right w:val="single" w:sz="4" w:space="0" w:color="auto"/>
            </w:tcBorders>
            <w:shd w:val="clear" w:color="auto" w:fill="auto"/>
            <w:noWrap/>
            <w:vAlign w:val="center"/>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 </w:t>
            </w:r>
          </w:p>
        </w:tc>
      </w:tr>
      <w:tr w:rsidR="00A30B1E" w:rsidRPr="003F3FC5" w:rsidTr="00F85E6A">
        <w:trPr>
          <w:trHeight w:val="300"/>
        </w:trPr>
        <w:tc>
          <w:tcPr>
            <w:tcW w:w="13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Prescriptions</w:t>
            </w:r>
          </w:p>
        </w:tc>
        <w:tc>
          <w:tcPr>
            <w:tcW w:w="1065" w:type="dxa"/>
            <w:tcBorders>
              <w:top w:val="nil"/>
              <w:left w:val="nil"/>
              <w:bottom w:val="single" w:sz="4" w:space="0" w:color="auto"/>
              <w:right w:val="single" w:sz="4" w:space="0" w:color="auto"/>
            </w:tcBorders>
            <w:shd w:val="clear" w:color="auto" w:fill="auto"/>
            <w:noWrap/>
            <w:vAlign w:val="center"/>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Predicted</w:t>
            </w:r>
          </w:p>
        </w:tc>
        <w:tc>
          <w:tcPr>
            <w:tcW w:w="1127"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127"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127"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127"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127"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r>
      <w:tr w:rsidR="00A30B1E" w:rsidRPr="003F3FC5" w:rsidTr="00F85E6A">
        <w:trPr>
          <w:trHeight w:val="300"/>
        </w:trPr>
        <w:tc>
          <w:tcPr>
            <w:tcW w:w="1397" w:type="dxa"/>
            <w:vMerge/>
            <w:tcBorders>
              <w:top w:val="nil"/>
              <w:left w:val="single" w:sz="4" w:space="0" w:color="auto"/>
              <w:bottom w:val="single" w:sz="4" w:space="0" w:color="000000"/>
              <w:right w:val="single" w:sz="4" w:space="0" w:color="auto"/>
            </w:tcBorders>
            <w:vAlign w:val="center"/>
            <w:hideMark/>
          </w:tcPr>
          <w:p w:rsidR="00A30B1E" w:rsidRPr="003F3FC5" w:rsidRDefault="00A30B1E" w:rsidP="002908A6">
            <w:pPr>
              <w:spacing w:after="0"/>
              <w:rPr>
                <w:rFonts w:ascii="Calibri" w:eastAsia="Times New Roman" w:hAnsi="Calibri" w:cs="Times New Roman"/>
                <w:sz w:val="20"/>
                <w:szCs w:val="20"/>
              </w:rPr>
            </w:pPr>
          </w:p>
        </w:tc>
        <w:tc>
          <w:tcPr>
            <w:tcW w:w="1065" w:type="dxa"/>
            <w:tcBorders>
              <w:top w:val="nil"/>
              <w:left w:val="nil"/>
              <w:bottom w:val="single" w:sz="4" w:space="0" w:color="auto"/>
              <w:right w:val="single" w:sz="4" w:space="0" w:color="auto"/>
            </w:tcBorders>
            <w:shd w:val="clear" w:color="auto" w:fill="auto"/>
            <w:noWrap/>
            <w:vAlign w:val="center"/>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Actual</w:t>
            </w:r>
          </w:p>
        </w:tc>
        <w:tc>
          <w:tcPr>
            <w:tcW w:w="1127" w:type="dxa"/>
            <w:tcBorders>
              <w:top w:val="nil"/>
              <w:left w:val="nil"/>
              <w:bottom w:val="single" w:sz="4" w:space="0" w:color="auto"/>
              <w:right w:val="single" w:sz="4" w:space="0" w:color="auto"/>
            </w:tcBorders>
            <w:shd w:val="clear" w:color="auto" w:fill="auto"/>
            <w:noWrap/>
            <w:vAlign w:val="center"/>
            <w:hideMark/>
          </w:tcPr>
          <w:p w:rsidR="00A30B1E" w:rsidRPr="003F3FC5" w:rsidRDefault="00A30B1E" w:rsidP="002908A6">
            <w:pPr>
              <w:spacing w:after="0"/>
              <w:jc w:val="right"/>
              <w:rPr>
                <w:rFonts w:ascii="Calibri" w:eastAsia="Times New Roman" w:hAnsi="Calibri" w:cs="Times New Roman"/>
                <w:sz w:val="20"/>
                <w:szCs w:val="20"/>
              </w:rPr>
            </w:pPr>
            <w:r w:rsidRPr="003F3FC5">
              <w:rPr>
                <w:rFonts w:ascii="Calibri" w:eastAsia="Times New Roman" w:hAnsi="Calibri" w:cs="Times New Roman"/>
                <w:sz w:val="20"/>
                <w:szCs w:val="20"/>
              </w:rPr>
              <w:t>440</w:t>
            </w:r>
          </w:p>
        </w:tc>
        <w:tc>
          <w:tcPr>
            <w:tcW w:w="1127" w:type="dxa"/>
            <w:tcBorders>
              <w:top w:val="nil"/>
              <w:left w:val="nil"/>
              <w:bottom w:val="single" w:sz="4" w:space="0" w:color="auto"/>
              <w:right w:val="single" w:sz="4" w:space="0" w:color="auto"/>
            </w:tcBorders>
            <w:shd w:val="clear" w:color="auto" w:fill="auto"/>
            <w:noWrap/>
            <w:vAlign w:val="center"/>
            <w:hideMark/>
          </w:tcPr>
          <w:p w:rsidR="00A30B1E" w:rsidRPr="003F3FC5" w:rsidRDefault="00A30B1E" w:rsidP="002908A6">
            <w:pPr>
              <w:spacing w:after="0"/>
              <w:jc w:val="right"/>
              <w:rPr>
                <w:rFonts w:ascii="Calibri" w:eastAsia="Times New Roman" w:hAnsi="Calibri" w:cs="Times New Roman"/>
                <w:sz w:val="20"/>
                <w:szCs w:val="20"/>
              </w:rPr>
            </w:pPr>
            <w:r w:rsidRPr="003F3FC5">
              <w:rPr>
                <w:rFonts w:ascii="Calibri" w:eastAsia="Times New Roman" w:hAnsi="Calibri" w:cs="Times New Roman"/>
                <w:sz w:val="20"/>
                <w:szCs w:val="20"/>
              </w:rPr>
              <w:t>621</w:t>
            </w:r>
          </w:p>
        </w:tc>
        <w:tc>
          <w:tcPr>
            <w:tcW w:w="1127" w:type="dxa"/>
            <w:tcBorders>
              <w:top w:val="nil"/>
              <w:left w:val="nil"/>
              <w:bottom w:val="single" w:sz="4" w:space="0" w:color="auto"/>
              <w:right w:val="single" w:sz="4" w:space="0" w:color="auto"/>
            </w:tcBorders>
            <w:shd w:val="clear" w:color="auto" w:fill="auto"/>
            <w:noWrap/>
            <w:vAlign w:val="center"/>
            <w:hideMark/>
          </w:tcPr>
          <w:p w:rsidR="00A30B1E" w:rsidRPr="003F3FC5" w:rsidRDefault="00A30B1E" w:rsidP="002908A6">
            <w:pPr>
              <w:spacing w:after="0"/>
              <w:jc w:val="right"/>
              <w:rPr>
                <w:rFonts w:ascii="Calibri" w:eastAsia="Times New Roman" w:hAnsi="Calibri" w:cs="Times New Roman"/>
                <w:sz w:val="20"/>
                <w:szCs w:val="20"/>
              </w:rPr>
            </w:pPr>
            <w:r w:rsidRPr="003F3FC5">
              <w:rPr>
                <w:rFonts w:ascii="Calibri" w:eastAsia="Times New Roman" w:hAnsi="Calibri" w:cs="Times New Roman"/>
                <w:sz w:val="20"/>
                <w:szCs w:val="20"/>
              </w:rPr>
              <w:t>905</w:t>
            </w:r>
          </w:p>
        </w:tc>
        <w:tc>
          <w:tcPr>
            <w:tcW w:w="1127" w:type="dxa"/>
            <w:tcBorders>
              <w:top w:val="nil"/>
              <w:left w:val="nil"/>
              <w:bottom w:val="single" w:sz="4" w:space="0" w:color="auto"/>
              <w:right w:val="single" w:sz="4" w:space="0" w:color="auto"/>
            </w:tcBorders>
            <w:shd w:val="clear" w:color="auto" w:fill="auto"/>
            <w:noWrap/>
            <w:vAlign w:val="center"/>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 </w:t>
            </w:r>
          </w:p>
        </w:tc>
        <w:tc>
          <w:tcPr>
            <w:tcW w:w="1127" w:type="dxa"/>
            <w:tcBorders>
              <w:top w:val="nil"/>
              <w:left w:val="nil"/>
              <w:bottom w:val="single" w:sz="4" w:space="0" w:color="auto"/>
              <w:right w:val="single" w:sz="4" w:space="0" w:color="auto"/>
            </w:tcBorders>
            <w:shd w:val="clear" w:color="auto" w:fill="auto"/>
            <w:noWrap/>
            <w:vAlign w:val="center"/>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 </w:t>
            </w:r>
          </w:p>
        </w:tc>
      </w:tr>
      <w:tr w:rsidR="00A30B1E" w:rsidRPr="003F3FC5" w:rsidTr="00F85E6A">
        <w:trPr>
          <w:trHeight w:val="300"/>
        </w:trPr>
        <w:tc>
          <w:tcPr>
            <w:tcW w:w="1397" w:type="dxa"/>
            <w:vMerge/>
            <w:tcBorders>
              <w:top w:val="nil"/>
              <w:left w:val="single" w:sz="4" w:space="0" w:color="auto"/>
              <w:bottom w:val="single" w:sz="4" w:space="0" w:color="000000"/>
              <w:right w:val="single" w:sz="4" w:space="0" w:color="auto"/>
            </w:tcBorders>
            <w:vAlign w:val="center"/>
            <w:hideMark/>
          </w:tcPr>
          <w:p w:rsidR="00A30B1E" w:rsidRPr="003F3FC5" w:rsidRDefault="00A30B1E" w:rsidP="002908A6">
            <w:pPr>
              <w:spacing w:after="0"/>
              <w:rPr>
                <w:rFonts w:ascii="Calibri" w:eastAsia="Times New Roman" w:hAnsi="Calibri" w:cs="Times New Roman"/>
                <w:sz w:val="20"/>
                <w:szCs w:val="20"/>
              </w:rPr>
            </w:pPr>
          </w:p>
        </w:tc>
        <w:tc>
          <w:tcPr>
            <w:tcW w:w="1065" w:type="dxa"/>
            <w:tcBorders>
              <w:top w:val="nil"/>
              <w:left w:val="nil"/>
              <w:bottom w:val="single" w:sz="4" w:space="0" w:color="auto"/>
              <w:right w:val="single" w:sz="4" w:space="0" w:color="auto"/>
            </w:tcBorders>
            <w:shd w:val="clear" w:color="auto" w:fill="auto"/>
            <w:noWrap/>
            <w:vAlign w:val="center"/>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Difference</w:t>
            </w:r>
          </w:p>
        </w:tc>
        <w:tc>
          <w:tcPr>
            <w:tcW w:w="1127" w:type="dxa"/>
            <w:tcBorders>
              <w:top w:val="nil"/>
              <w:left w:val="nil"/>
              <w:bottom w:val="single" w:sz="4" w:space="0" w:color="auto"/>
              <w:right w:val="single" w:sz="4" w:space="0" w:color="auto"/>
            </w:tcBorders>
            <w:shd w:val="clear" w:color="auto" w:fill="auto"/>
            <w:noWrap/>
            <w:vAlign w:val="bottom"/>
            <w:hideMark/>
          </w:tcPr>
          <w:p w:rsidR="00A30B1E" w:rsidRPr="00470C46" w:rsidRDefault="00470C46" w:rsidP="002908A6">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127" w:type="dxa"/>
            <w:tcBorders>
              <w:top w:val="nil"/>
              <w:left w:val="nil"/>
              <w:bottom w:val="single" w:sz="4" w:space="0" w:color="auto"/>
              <w:right w:val="single" w:sz="4" w:space="0" w:color="auto"/>
            </w:tcBorders>
            <w:shd w:val="clear" w:color="auto" w:fill="auto"/>
            <w:noWrap/>
            <w:vAlign w:val="bottom"/>
            <w:hideMark/>
          </w:tcPr>
          <w:p w:rsidR="00A30B1E" w:rsidRPr="00470C46" w:rsidRDefault="00470C46" w:rsidP="002908A6">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127" w:type="dxa"/>
            <w:tcBorders>
              <w:top w:val="nil"/>
              <w:left w:val="nil"/>
              <w:bottom w:val="single" w:sz="4" w:space="0" w:color="auto"/>
              <w:right w:val="single" w:sz="4" w:space="0" w:color="auto"/>
            </w:tcBorders>
            <w:shd w:val="clear" w:color="auto" w:fill="auto"/>
            <w:noWrap/>
            <w:vAlign w:val="bottom"/>
            <w:hideMark/>
          </w:tcPr>
          <w:p w:rsidR="00A30B1E" w:rsidRPr="00470C46" w:rsidRDefault="00470C46" w:rsidP="002908A6">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127" w:type="dxa"/>
            <w:tcBorders>
              <w:top w:val="nil"/>
              <w:left w:val="nil"/>
              <w:bottom w:val="single" w:sz="4" w:space="0" w:color="auto"/>
              <w:right w:val="single" w:sz="4" w:space="0" w:color="auto"/>
            </w:tcBorders>
            <w:shd w:val="clear" w:color="auto" w:fill="auto"/>
            <w:noWrap/>
            <w:vAlign w:val="center"/>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 </w:t>
            </w:r>
          </w:p>
        </w:tc>
        <w:tc>
          <w:tcPr>
            <w:tcW w:w="1127" w:type="dxa"/>
            <w:tcBorders>
              <w:top w:val="nil"/>
              <w:left w:val="nil"/>
              <w:bottom w:val="single" w:sz="4" w:space="0" w:color="auto"/>
              <w:right w:val="single" w:sz="4" w:space="0" w:color="auto"/>
            </w:tcBorders>
            <w:shd w:val="clear" w:color="auto" w:fill="auto"/>
            <w:noWrap/>
            <w:vAlign w:val="center"/>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 </w:t>
            </w:r>
          </w:p>
        </w:tc>
      </w:tr>
      <w:tr w:rsidR="00A30B1E" w:rsidRPr="003F3FC5" w:rsidTr="00F85E6A">
        <w:trPr>
          <w:trHeight w:val="300"/>
        </w:trPr>
        <w:tc>
          <w:tcPr>
            <w:tcW w:w="1397" w:type="dxa"/>
            <w:vMerge w:val="restart"/>
            <w:tcBorders>
              <w:top w:val="nil"/>
              <w:left w:val="single" w:sz="4" w:space="0" w:color="auto"/>
              <w:bottom w:val="single" w:sz="4" w:space="0" w:color="000000"/>
              <w:right w:val="single" w:sz="4" w:space="0" w:color="auto"/>
            </w:tcBorders>
            <w:shd w:val="clear" w:color="auto" w:fill="auto"/>
            <w:vAlign w:val="center"/>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 xml:space="preserve">Average number of vials per infusion </w:t>
            </w:r>
          </w:p>
        </w:tc>
        <w:tc>
          <w:tcPr>
            <w:tcW w:w="1065" w:type="dxa"/>
            <w:tcBorders>
              <w:top w:val="nil"/>
              <w:left w:val="nil"/>
              <w:bottom w:val="single" w:sz="4" w:space="0" w:color="auto"/>
              <w:right w:val="single" w:sz="4" w:space="0" w:color="auto"/>
            </w:tcBorders>
            <w:shd w:val="clear" w:color="auto" w:fill="auto"/>
            <w:noWrap/>
            <w:vAlign w:val="center"/>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Predicted</w:t>
            </w:r>
          </w:p>
        </w:tc>
        <w:tc>
          <w:tcPr>
            <w:tcW w:w="1127" w:type="dxa"/>
            <w:tcBorders>
              <w:top w:val="nil"/>
              <w:left w:val="nil"/>
              <w:bottom w:val="single" w:sz="4" w:space="0" w:color="auto"/>
              <w:right w:val="single" w:sz="4" w:space="0" w:color="auto"/>
            </w:tcBorders>
            <w:shd w:val="clear" w:color="auto" w:fill="auto"/>
            <w:noWrap/>
            <w:vAlign w:val="bottom"/>
            <w:hideMark/>
          </w:tcPr>
          <w:p w:rsidR="00A30B1E" w:rsidRPr="00470C46" w:rsidRDefault="00470C46" w:rsidP="002908A6">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127" w:type="dxa"/>
            <w:tcBorders>
              <w:top w:val="nil"/>
              <w:left w:val="nil"/>
              <w:bottom w:val="single" w:sz="4" w:space="0" w:color="auto"/>
              <w:right w:val="single" w:sz="4" w:space="0" w:color="auto"/>
            </w:tcBorders>
            <w:shd w:val="clear" w:color="auto" w:fill="auto"/>
            <w:noWrap/>
            <w:vAlign w:val="bottom"/>
            <w:hideMark/>
          </w:tcPr>
          <w:p w:rsidR="00A30B1E" w:rsidRPr="00470C46" w:rsidRDefault="00470C46" w:rsidP="002908A6">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127" w:type="dxa"/>
            <w:tcBorders>
              <w:top w:val="nil"/>
              <w:left w:val="nil"/>
              <w:bottom w:val="single" w:sz="4" w:space="0" w:color="auto"/>
              <w:right w:val="single" w:sz="4" w:space="0" w:color="auto"/>
            </w:tcBorders>
            <w:shd w:val="clear" w:color="auto" w:fill="auto"/>
            <w:noWrap/>
            <w:vAlign w:val="bottom"/>
            <w:hideMark/>
          </w:tcPr>
          <w:p w:rsidR="00A30B1E" w:rsidRPr="00470C46" w:rsidRDefault="00470C46" w:rsidP="002908A6">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127" w:type="dxa"/>
            <w:tcBorders>
              <w:top w:val="nil"/>
              <w:left w:val="nil"/>
              <w:bottom w:val="single" w:sz="4" w:space="0" w:color="auto"/>
              <w:right w:val="single" w:sz="4" w:space="0" w:color="auto"/>
            </w:tcBorders>
            <w:shd w:val="clear" w:color="auto" w:fill="auto"/>
            <w:noWrap/>
            <w:vAlign w:val="bottom"/>
            <w:hideMark/>
          </w:tcPr>
          <w:p w:rsidR="00A30B1E" w:rsidRPr="00470C46" w:rsidRDefault="00470C46" w:rsidP="002908A6">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127" w:type="dxa"/>
            <w:tcBorders>
              <w:top w:val="nil"/>
              <w:left w:val="nil"/>
              <w:bottom w:val="single" w:sz="4" w:space="0" w:color="auto"/>
              <w:right w:val="single" w:sz="4" w:space="0" w:color="auto"/>
            </w:tcBorders>
            <w:shd w:val="clear" w:color="auto" w:fill="auto"/>
            <w:noWrap/>
            <w:vAlign w:val="bottom"/>
            <w:hideMark/>
          </w:tcPr>
          <w:p w:rsidR="00A30B1E" w:rsidRPr="00470C46" w:rsidRDefault="00470C46" w:rsidP="002908A6">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r>
      <w:tr w:rsidR="00A30B1E" w:rsidRPr="003F3FC5" w:rsidTr="00F85E6A">
        <w:trPr>
          <w:trHeight w:val="300"/>
        </w:trPr>
        <w:tc>
          <w:tcPr>
            <w:tcW w:w="1397" w:type="dxa"/>
            <w:vMerge/>
            <w:tcBorders>
              <w:top w:val="nil"/>
              <w:left w:val="single" w:sz="4" w:space="0" w:color="auto"/>
              <w:bottom w:val="single" w:sz="4" w:space="0" w:color="000000"/>
              <w:right w:val="single" w:sz="4" w:space="0" w:color="auto"/>
            </w:tcBorders>
            <w:vAlign w:val="center"/>
            <w:hideMark/>
          </w:tcPr>
          <w:p w:rsidR="00A30B1E" w:rsidRPr="003F3FC5" w:rsidRDefault="00A30B1E" w:rsidP="002908A6">
            <w:pPr>
              <w:spacing w:after="0"/>
              <w:rPr>
                <w:rFonts w:ascii="Calibri" w:eastAsia="Times New Roman" w:hAnsi="Calibri" w:cs="Times New Roman"/>
                <w:sz w:val="20"/>
                <w:szCs w:val="20"/>
              </w:rPr>
            </w:pPr>
          </w:p>
        </w:tc>
        <w:tc>
          <w:tcPr>
            <w:tcW w:w="1065" w:type="dxa"/>
            <w:tcBorders>
              <w:top w:val="nil"/>
              <w:left w:val="nil"/>
              <w:bottom w:val="single" w:sz="4" w:space="0" w:color="auto"/>
              <w:right w:val="single" w:sz="4" w:space="0" w:color="auto"/>
            </w:tcBorders>
            <w:shd w:val="clear" w:color="auto" w:fill="auto"/>
            <w:noWrap/>
            <w:vAlign w:val="center"/>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Actual</w:t>
            </w:r>
          </w:p>
        </w:tc>
        <w:tc>
          <w:tcPr>
            <w:tcW w:w="1127" w:type="dxa"/>
            <w:tcBorders>
              <w:top w:val="nil"/>
              <w:left w:val="nil"/>
              <w:bottom w:val="single" w:sz="4" w:space="0" w:color="auto"/>
              <w:right w:val="single" w:sz="4" w:space="0" w:color="auto"/>
            </w:tcBorders>
            <w:shd w:val="clear" w:color="auto" w:fill="auto"/>
            <w:noWrap/>
            <w:vAlign w:val="bottom"/>
            <w:hideMark/>
          </w:tcPr>
          <w:p w:rsidR="00A30B1E" w:rsidRPr="003F3FC5" w:rsidRDefault="00A30B1E" w:rsidP="002908A6">
            <w:pPr>
              <w:spacing w:after="0"/>
              <w:jc w:val="right"/>
              <w:rPr>
                <w:rFonts w:ascii="Calibri" w:eastAsia="Times New Roman" w:hAnsi="Calibri" w:cs="Times New Roman"/>
                <w:sz w:val="20"/>
                <w:szCs w:val="20"/>
              </w:rPr>
            </w:pPr>
            <w:r w:rsidRPr="003F3FC5">
              <w:rPr>
                <w:rFonts w:ascii="Calibri" w:eastAsia="Times New Roman" w:hAnsi="Calibri" w:cs="Times New Roman"/>
                <w:sz w:val="20"/>
                <w:szCs w:val="20"/>
              </w:rPr>
              <w:t>4.107</w:t>
            </w:r>
          </w:p>
        </w:tc>
        <w:tc>
          <w:tcPr>
            <w:tcW w:w="1127" w:type="dxa"/>
            <w:tcBorders>
              <w:top w:val="nil"/>
              <w:left w:val="nil"/>
              <w:bottom w:val="single" w:sz="4" w:space="0" w:color="auto"/>
              <w:right w:val="single" w:sz="4" w:space="0" w:color="auto"/>
            </w:tcBorders>
            <w:shd w:val="clear" w:color="auto" w:fill="auto"/>
            <w:noWrap/>
            <w:vAlign w:val="bottom"/>
            <w:hideMark/>
          </w:tcPr>
          <w:p w:rsidR="00A30B1E" w:rsidRPr="003F3FC5" w:rsidRDefault="00A30B1E" w:rsidP="002908A6">
            <w:pPr>
              <w:spacing w:after="0"/>
              <w:jc w:val="right"/>
              <w:rPr>
                <w:rFonts w:ascii="Calibri" w:eastAsia="Times New Roman" w:hAnsi="Calibri" w:cs="Times New Roman"/>
                <w:sz w:val="20"/>
                <w:szCs w:val="20"/>
              </w:rPr>
            </w:pPr>
            <w:r w:rsidRPr="003F3FC5">
              <w:rPr>
                <w:rFonts w:ascii="Calibri" w:eastAsia="Times New Roman" w:hAnsi="Calibri" w:cs="Times New Roman"/>
                <w:sz w:val="20"/>
                <w:szCs w:val="20"/>
              </w:rPr>
              <w:t>4.137</w:t>
            </w:r>
          </w:p>
        </w:tc>
        <w:tc>
          <w:tcPr>
            <w:tcW w:w="1127" w:type="dxa"/>
            <w:tcBorders>
              <w:top w:val="nil"/>
              <w:left w:val="nil"/>
              <w:bottom w:val="single" w:sz="4" w:space="0" w:color="auto"/>
              <w:right w:val="single" w:sz="4" w:space="0" w:color="auto"/>
            </w:tcBorders>
            <w:shd w:val="clear" w:color="auto" w:fill="auto"/>
            <w:noWrap/>
            <w:vAlign w:val="bottom"/>
            <w:hideMark/>
          </w:tcPr>
          <w:p w:rsidR="00A30B1E" w:rsidRPr="003F3FC5" w:rsidRDefault="00A30B1E" w:rsidP="002908A6">
            <w:pPr>
              <w:spacing w:after="0"/>
              <w:jc w:val="right"/>
              <w:rPr>
                <w:rFonts w:ascii="Calibri" w:eastAsia="Times New Roman" w:hAnsi="Calibri" w:cs="Times New Roman"/>
                <w:sz w:val="20"/>
                <w:szCs w:val="20"/>
              </w:rPr>
            </w:pPr>
            <w:r w:rsidRPr="003F3FC5">
              <w:rPr>
                <w:rFonts w:ascii="Calibri" w:eastAsia="Times New Roman" w:hAnsi="Calibri" w:cs="Times New Roman"/>
                <w:sz w:val="20"/>
                <w:szCs w:val="20"/>
              </w:rPr>
              <w:t>4.219</w:t>
            </w:r>
          </w:p>
        </w:tc>
        <w:tc>
          <w:tcPr>
            <w:tcW w:w="1127" w:type="dxa"/>
            <w:tcBorders>
              <w:top w:val="nil"/>
              <w:left w:val="nil"/>
              <w:bottom w:val="single" w:sz="4" w:space="0" w:color="auto"/>
              <w:right w:val="single" w:sz="4" w:space="0" w:color="auto"/>
            </w:tcBorders>
            <w:shd w:val="clear" w:color="auto" w:fill="auto"/>
            <w:noWrap/>
            <w:vAlign w:val="bottom"/>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 </w:t>
            </w:r>
          </w:p>
        </w:tc>
      </w:tr>
      <w:tr w:rsidR="00A30B1E" w:rsidRPr="003F3FC5" w:rsidTr="00F85E6A">
        <w:trPr>
          <w:trHeight w:val="300"/>
        </w:trPr>
        <w:tc>
          <w:tcPr>
            <w:tcW w:w="1397" w:type="dxa"/>
            <w:vMerge/>
            <w:tcBorders>
              <w:top w:val="nil"/>
              <w:left w:val="single" w:sz="4" w:space="0" w:color="auto"/>
              <w:bottom w:val="single" w:sz="4" w:space="0" w:color="000000"/>
              <w:right w:val="single" w:sz="4" w:space="0" w:color="auto"/>
            </w:tcBorders>
            <w:vAlign w:val="center"/>
            <w:hideMark/>
          </w:tcPr>
          <w:p w:rsidR="00A30B1E" w:rsidRPr="003F3FC5" w:rsidRDefault="00A30B1E" w:rsidP="002908A6">
            <w:pPr>
              <w:spacing w:after="0"/>
              <w:rPr>
                <w:rFonts w:ascii="Calibri" w:eastAsia="Times New Roman" w:hAnsi="Calibri" w:cs="Times New Roman"/>
                <w:sz w:val="20"/>
                <w:szCs w:val="20"/>
              </w:rPr>
            </w:pPr>
          </w:p>
        </w:tc>
        <w:tc>
          <w:tcPr>
            <w:tcW w:w="1065" w:type="dxa"/>
            <w:tcBorders>
              <w:top w:val="nil"/>
              <w:left w:val="nil"/>
              <w:bottom w:val="single" w:sz="4" w:space="0" w:color="auto"/>
              <w:right w:val="single" w:sz="4" w:space="0" w:color="auto"/>
            </w:tcBorders>
            <w:shd w:val="clear" w:color="auto" w:fill="auto"/>
            <w:noWrap/>
            <w:vAlign w:val="center"/>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Difference</w:t>
            </w:r>
          </w:p>
        </w:tc>
        <w:tc>
          <w:tcPr>
            <w:tcW w:w="1127" w:type="dxa"/>
            <w:tcBorders>
              <w:top w:val="nil"/>
              <w:left w:val="nil"/>
              <w:bottom w:val="single" w:sz="4" w:space="0" w:color="auto"/>
              <w:right w:val="single" w:sz="4" w:space="0" w:color="auto"/>
            </w:tcBorders>
            <w:shd w:val="clear" w:color="auto" w:fill="auto"/>
            <w:noWrap/>
            <w:vAlign w:val="bottom"/>
            <w:hideMark/>
          </w:tcPr>
          <w:p w:rsidR="00A30B1E" w:rsidRPr="00470C46" w:rsidRDefault="00470C46" w:rsidP="002908A6">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127" w:type="dxa"/>
            <w:tcBorders>
              <w:top w:val="nil"/>
              <w:left w:val="nil"/>
              <w:bottom w:val="single" w:sz="4" w:space="0" w:color="auto"/>
              <w:right w:val="single" w:sz="4" w:space="0" w:color="auto"/>
            </w:tcBorders>
            <w:shd w:val="clear" w:color="auto" w:fill="auto"/>
            <w:noWrap/>
            <w:vAlign w:val="bottom"/>
            <w:hideMark/>
          </w:tcPr>
          <w:p w:rsidR="00A30B1E" w:rsidRPr="00470C46" w:rsidRDefault="00470C46" w:rsidP="002908A6">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127" w:type="dxa"/>
            <w:tcBorders>
              <w:top w:val="nil"/>
              <w:left w:val="nil"/>
              <w:bottom w:val="single" w:sz="4" w:space="0" w:color="auto"/>
              <w:right w:val="single" w:sz="4" w:space="0" w:color="auto"/>
            </w:tcBorders>
            <w:shd w:val="clear" w:color="auto" w:fill="auto"/>
            <w:noWrap/>
            <w:vAlign w:val="bottom"/>
            <w:hideMark/>
          </w:tcPr>
          <w:p w:rsidR="00A30B1E" w:rsidRPr="00470C46" w:rsidRDefault="00470C46" w:rsidP="002908A6">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127" w:type="dxa"/>
            <w:tcBorders>
              <w:top w:val="nil"/>
              <w:left w:val="nil"/>
              <w:bottom w:val="single" w:sz="4" w:space="0" w:color="auto"/>
              <w:right w:val="single" w:sz="4" w:space="0" w:color="auto"/>
            </w:tcBorders>
            <w:shd w:val="clear" w:color="auto" w:fill="auto"/>
            <w:noWrap/>
            <w:vAlign w:val="bottom"/>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 </w:t>
            </w:r>
          </w:p>
        </w:tc>
      </w:tr>
      <w:tr w:rsidR="00A30B1E" w:rsidRPr="003F3FC5" w:rsidTr="00F85E6A">
        <w:trPr>
          <w:trHeight w:val="405"/>
        </w:trPr>
        <w:tc>
          <w:tcPr>
            <w:tcW w:w="1397" w:type="dxa"/>
            <w:vMerge w:val="restart"/>
            <w:tcBorders>
              <w:top w:val="nil"/>
              <w:left w:val="single" w:sz="4" w:space="0" w:color="auto"/>
              <w:bottom w:val="single" w:sz="4" w:space="0" w:color="000000"/>
              <w:right w:val="single" w:sz="4" w:space="0" w:color="auto"/>
            </w:tcBorders>
            <w:shd w:val="clear" w:color="auto" w:fill="auto"/>
            <w:vAlign w:val="center"/>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Public/private split (prescriptions)</w:t>
            </w:r>
          </w:p>
        </w:tc>
        <w:tc>
          <w:tcPr>
            <w:tcW w:w="1065" w:type="dxa"/>
            <w:tcBorders>
              <w:top w:val="nil"/>
              <w:left w:val="nil"/>
              <w:bottom w:val="single" w:sz="4" w:space="0" w:color="auto"/>
              <w:right w:val="single" w:sz="4" w:space="0" w:color="auto"/>
            </w:tcBorders>
            <w:shd w:val="clear" w:color="auto" w:fill="auto"/>
            <w:noWrap/>
            <w:vAlign w:val="center"/>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Public</w:t>
            </w:r>
          </w:p>
        </w:tc>
        <w:tc>
          <w:tcPr>
            <w:tcW w:w="1127" w:type="dxa"/>
            <w:tcBorders>
              <w:top w:val="nil"/>
              <w:left w:val="nil"/>
              <w:bottom w:val="single" w:sz="4" w:space="0" w:color="auto"/>
              <w:right w:val="single" w:sz="4" w:space="0" w:color="auto"/>
            </w:tcBorders>
            <w:shd w:val="clear" w:color="auto" w:fill="auto"/>
            <w:noWrap/>
            <w:vAlign w:val="bottom"/>
            <w:hideMark/>
          </w:tcPr>
          <w:p w:rsidR="00A30B1E" w:rsidRPr="003F3FC5" w:rsidRDefault="00A30B1E" w:rsidP="002908A6">
            <w:pPr>
              <w:spacing w:after="0"/>
              <w:jc w:val="right"/>
              <w:rPr>
                <w:rFonts w:ascii="Calibri" w:eastAsia="Times New Roman" w:hAnsi="Calibri" w:cs="Times New Roman"/>
                <w:sz w:val="20"/>
                <w:szCs w:val="20"/>
              </w:rPr>
            </w:pPr>
            <w:r w:rsidRPr="003F3FC5">
              <w:rPr>
                <w:rFonts w:ascii="Calibri" w:eastAsia="Times New Roman" w:hAnsi="Calibri" w:cs="Times New Roman"/>
                <w:sz w:val="20"/>
                <w:szCs w:val="20"/>
              </w:rPr>
              <w:t>297 (67.5%)</w:t>
            </w:r>
          </w:p>
        </w:tc>
        <w:tc>
          <w:tcPr>
            <w:tcW w:w="1127" w:type="dxa"/>
            <w:tcBorders>
              <w:top w:val="nil"/>
              <w:left w:val="nil"/>
              <w:bottom w:val="single" w:sz="4" w:space="0" w:color="auto"/>
              <w:right w:val="single" w:sz="4" w:space="0" w:color="auto"/>
            </w:tcBorders>
            <w:shd w:val="clear" w:color="auto" w:fill="auto"/>
            <w:noWrap/>
            <w:vAlign w:val="bottom"/>
            <w:hideMark/>
          </w:tcPr>
          <w:p w:rsidR="00A30B1E" w:rsidRPr="003F3FC5" w:rsidRDefault="00A30B1E" w:rsidP="002908A6">
            <w:pPr>
              <w:spacing w:after="0"/>
              <w:jc w:val="right"/>
              <w:rPr>
                <w:rFonts w:ascii="Calibri" w:eastAsia="Times New Roman" w:hAnsi="Calibri" w:cs="Times New Roman"/>
                <w:sz w:val="20"/>
                <w:szCs w:val="20"/>
              </w:rPr>
            </w:pPr>
            <w:r w:rsidRPr="003F3FC5">
              <w:rPr>
                <w:rFonts w:ascii="Calibri" w:eastAsia="Times New Roman" w:hAnsi="Calibri" w:cs="Times New Roman"/>
                <w:sz w:val="20"/>
                <w:szCs w:val="20"/>
              </w:rPr>
              <w:t>432 (69.57%)</w:t>
            </w:r>
          </w:p>
        </w:tc>
        <w:tc>
          <w:tcPr>
            <w:tcW w:w="1127" w:type="dxa"/>
            <w:tcBorders>
              <w:top w:val="nil"/>
              <w:left w:val="nil"/>
              <w:bottom w:val="single" w:sz="4" w:space="0" w:color="auto"/>
              <w:right w:val="single" w:sz="4" w:space="0" w:color="auto"/>
            </w:tcBorders>
            <w:shd w:val="clear" w:color="auto" w:fill="auto"/>
            <w:noWrap/>
            <w:vAlign w:val="bottom"/>
            <w:hideMark/>
          </w:tcPr>
          <w:p w:rsidR="00A30B1E" w:rsidRPr="003F3FC5" w:rsidRDefault="00A30B1E" w:rsidP="002908A6">
            <w:pPr>
              <w:spacing w:after="0"/>
              <w:jc w:val="right"/>
              <w:rPr>
                <w:rFonts w:ascii="Calibri" w:eastAsia="Times New Roman" w:hAnsi="Calibri" w:cs="Times New Roman"/>
                <w:sz w:val="20"/>
                <w:szCs w:val="20"/>
              </w:rPr>
            </w:pPr>
            <w:r w:rsidRPr="003F3FC5">
              <w:rPr>
                <w:rFonts w:ascii="Calibri" w:eastAsia="Times New Roman" w:hAnsi="Calibri" w:cs="Times New Roman"/>
                <w:sz w:val="20"/>
                <w:szCs w:val="20"/>
              </w:rPr>
              <w:t>567 (62.65%)</w:t>
            </w:r>
          </w:p>
        </w:tc>
        <w:tc>
          <w:tcPr>
            <w:tcW w:w="1127" w:type="dxa"/>
            <w:tcBorders>
              <w:top w:val="nil"/>
              <w:left w:val="nil"/>
              <w:bottom w:val="single" w:sz="4" w:space="0" w:color="auto"/>
              <w:right w:val="single" w:sz="4" w:space="0" w:color="auto"/>
            </w:tcBorders>
            <w:shd w:val="clear" w:color="auto" w:fill="auto"/>
            <w:noWrap/>
            <w:vAlign w:val="bottom"/>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A30B1E" w:rsidRPr="003F3FC5" w:rsidRDefault="00A30B1E" w:rsidP="002908A6">
            <w:pPr>
              <w:spacing w:after="0"/>
              <w:rPr>
                <w:rFonts w:ascii="Calibri" w:eastAsia="Times New Roman" w:hAnsi="Calibri" w:cs="Times New Roman"/>
                <w:sz w:val="22"/>
                <w:szCs w:val="22"/>
              </w:rPr>
            </w:pPr>
            <w:r w:rsidRPr="003F3FC5">
              <w:rPr>
                <w:rFonts w:ascii="Calibri" w:eastAsia="Times New Roman" w:hAnsi="Calibri" w:cs="Times New Roman"/>
                <w:sz w:val="22"/>
                <w:szCs w:val="22"/>
              </w:rPr>
              <w:t> </w:t>
            </w:r>
          </w:p>
        </w:tc>
      </w:tr>
      <w:tr w:rsidR="00A30B1E" w:rsidRPr="003F3FC5" w:rsidTr="00F85E6A">
        <w:trPr>
          <w:trHeight w:val="405"/>
        </w:trPr>
        <w:tc>
          <w:tcPr>
            <w:tcW w:w="1397" w:type="dxa"/>
            <w:vMerge/>
            <w:tcBorders>
              <w:top w:val="nil"/>
              <w:left w:val="single" w:sz="4" w:space="0" w:color="auto"/>
              <w:bottom w:val="single" w:sz="4" w:space="0" w:color="000000"/>
              <w:right w:val="single" w:sz="4" w:space="0" w:color="auto"/>
            </w:tcBorders>
            <w:vAlign w:val="center"/>
            <w:hideMark/>
          </w:tcPr>
          <w:p w:rsidR="00A30B1E" w:rsidRPr="003F3FC5" w:rsidRDefault="00A30B1E" w:rsidP="002908A6">
            <w:pPr>
              <w:spacing w:after="0"/>
              <w:rPr>
                <w:rFonts w:ascii="Calibri" w:eastAsia="Times New Roman" w:hAnsi="Calibri" w:cs="Times New Roman"/>
                <w:sz w:val="20"/>
                <w:szCs w:val="20"/>
              </w:rPr>
            </w:pPr>
          </w:p>
        </w:tc>
        <w:tc>
          <w:tcPr>
            <w:tcW w:w="1065" w:type="dxa"/>
            <w:tcBorders>
              <w:top w:val="nil"/>
              <w:left w:val="nil"/>
              <w:bottom w:val="single" w:sz="4" w:space="0" w:color="auto"/>
              <w:right w:val="single" w:sz="4" w:space="0" w:color="auto"/>
            </w:tcBorders>
            <w:shd w:val="clear" w:color="auto" w:fill="auto"/>
            <w:noWrap/>
            <w:vAlign w:val="center"/>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Private</w:t>
            </w:r>
          </w:p>
        </w:tc>
        <w:tc>
          <w:tcPr>
            <w:tcW w:w="1127" w:type="dxa"/>
            <w:tcBorders>
              <w:top w:val="nil"/>
              <w:left w:val="nil"/>
              <w:bottom w:val="single" w:sz="4" w:space="0" w:color="auto"/>
              <w:right w:val="single" w:sz="4" w:space="0" w:color="auto"/>
            </w:tcBorders>
            <w:shd w:val="clear" w:color="auto" w:fill="auto"/>
            <w:noWrap/>
            <w:vAlign w:val="bottom"/>
            <w:hideMark/>
          </w:tcPr>
          <w:p w:rsidR="00A30B1E" w:rsidRPr="003F3FC5" w:rsidRDefault="00A30B1E" w:rsidP="002908A6">
            <w:pPr>
              <w:spacing w:after="0"/>
              <w:jc w:val="right"/>
              <w:rPr>
                <w:rFonts w:ascii="Calibri" w:eastAsia="Times New Roman" w:hAnsi="Calibri" w:cs="Times New Roman"/>
                <w:sz w:val="20"/>
                <w:szCs w:val="20"/>
              </w:rPr>
            </w:pPr>
            <w:r w:rsidRPr="003F3FC5">
              <w:rPr>
                <w:rFonts w:ascii="Calibri" w:eastAsia="Times New Roman" w:hAnsi="Calibri" w:cs="Times New Roman"/>
                <w:sz w:val="20"/>
                <w:szCs w:val="20"/>
              </w:rPr>
              <w:t>143 (32.5%)</w:t>
            </w:r>
          </w:p>
        </w:tc>
        <w:tc>
          <w:tcPr>
            <w:tcW w:w="1127" w:type="dxa"/>
            <w:tcBorders>
              <w:top w:val="nil"/>
              <w:left w:val="nil"/>
              <w:bottom w:val="single" w:sz="4" w:space="0" w:color="auto"/>
              <w:right w:val="single" w:sz="4" w:space="0" w:color="auto"/>
            </w:tcBorders>
            <w:shd w:val="clear" w:color="auto" w:fill="auto"/>
            <w:noWrap/>
            <w:vAlign w:val="bottom"/>
            <w:hideMark/>
          </w:tcPr>
          <w:p w:rsidR="00A30B1E" w:rsidRPr="003F3FC5" w:rsidRDefault="00A30B1E" w:rsidP="002908A6">
            <w:pPr>
              <w:spacing w:after="0"/>
              <w:jc w:val="right"/>
              <w:rPr>
                <w:rFonts w:ascii="Calibri" w:eastAsia="Times New Roman" w:hAnsi="Calibri" w:cs="Times New Roman"/>
                <w:sz w:val="20"/>
                <w:szCs w:val="20"/>
              </w:rPr>
            </w:pPr>
            <w:r w:rsidRPr="003F3FC5">
              <w:rPr>
                <w:rFonts w:ascii="Calibri" w:eastAsia="Times New Roman" w:hAnsi="Calibri" w:cs="Times New Roman"/>
                <w:sz w:val="20"/>
                <w:szCs w:val="20"/>
              </w:rPr>
              <w:t>189 (30.43%)</w:t>
            </w:r>
          </w:p>
        </w:tc>
        <w:tc>
          <w:tcPr>
            <w:tcW w:w="1127" w:type="dxa"/>
            <w:tcBorders>
              <w:top w:val="nil"/>
              <w:left w:val="nil"/>
              <w:bottom w:val="single" w:sz="4" w:space="0" w:color="auto"/>
              <w:right w:val="single" w:sz="4" w:space="0" w:color="auto"/>
            </w:tcBorders>
            <w:shd w:val="clear" w:color="auto" w:fill="auto"/>
            <w:noWrap/>
            <w:vAlign w:val="bottom"/>
            <w:hideMark/>
          </w:tcPr>
          <w:p w:rsidR="00A30B1E" w:rsidRPr="003F3FC5" w:rsidRDefault="00A30B1E" w:rsidP="002908A6">
            <w:pPr>
              <w:spacing w:after="0"/>
              <w:jc w:val="right"/>
              <w:rPr>
                <w:rFonts w:ascii="Calibri" w:eastAsia="Times New Roman" w:hAnsi="Calibri" w:cs="Times New Roman"/>
                <w:sz w:val="20"/>
                <w:szCs w:val="20"/>
              </w:rPr>
            </w:pPr>
            <w:r w:rsidRPr="003F3FC5">
              <w:rPr>
                <w:rFonts w:ascii="Calibri" w:eastAsia="Times New Roman" w:hAnsi="Calibri" w:cs="Times New Roman"/>
                <w:sz w:val="20"/>
                <w:szCs w:val="20"/>
              </w:rPr>
              <w:t>338 (37.35%)</w:t>
            </w:r>
          </w:p>
        </w:tc>
        <w:tc>
          <w:tcPr>
            <w:tcW w:w="1127" w:type="dxa"/>
            <w:tcBorders>
              <w:top w:val="nil"/>
              <w:left w:val="nil"/>
              <w:bottom w:val="single" w:sz="4" w:space="0" w:color="auto"/>
              <w:right w:val="single" w:sz="4" w:space="0" w:color="auto"/>
            </w:tcBorders>
            <w:shd w:val="clear" w:color="auto" w:fill="auto"/>
            <w:noWrap/>
            <w:vAlign w:val="bottom"/>
            <w:hideMark/>
          </w:tcPr>
          <w:p w:rsidR="00A30B1E" w:rsidRPr="003F3FC5" w:rsidRDefault="00A30B1E" w:rsidP="002908A6">
            <w:pPr>
              <w:spacing w:after="0"/>
              <w:rPr>
                <w:rFonts w:ascii="Calibri" w:eastAsia="Times New Roman" w:hAnsi="Calibri" w:cs="Times New Roman"/>
                <w:sz w:val="20"/>
                <w:szCs w:val="20"/>
              </w:rPr>
            </w:pPr>
            <w:r w:rsidRPr="003F3FC5">
              <w:rPr>
                <w:rFonts w:ascii="Calibri" w:eastAsia="Times New Roman" w:hAnsi="Calibri" w:cs="Times New Roman"/>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A30B1E" w:rsidRPr="003F3FC5" w:rsidRDefault="00A30B1E" w:rsidP="002908A6">
            <w:pPr>
              <w:spacing w:after="0"/>
              <w:rPr>
                <w:rFonts w:ascii="Calibri" w:eastAsia="Times New Roman" w:hAnsi="Calibri" w:cs="Times New Roman"/>
                <w:sz w:val="22"/>
                <w:szCs w:val="22"/>
              </w:rPr>
            </w:pPr>
            <w:r w:rsidRPr="003F3FC5">
              <w:rPr>
                <w:rFonts w:ascii="Calibri" w:eastAsia="Times New Roman" w:hAnsi="Calibri" w:cs="Times New Roman"/>
                <w:sz w:val="22"/>
                <w:szCs w:val="22"/>
              </w:rPr>
              <w:t> </w:t>
            </w:r>
          </w:p>
        </w:tc>
      </w:tr>
    </w:tbl>
    <w:p w:rsidR="00A30B1E" w:rsidRDefault="00A30B1E" w:rsidP="002908A6"/>
    <w:p w:rsidR="00A30B1E" w:rsidRDefault="00A30B1E" w:rsidP="00346DA0">
      <w:pPr>
        <w:pStyle w:val="Heading3"/>
      </w:pPr>
      <w:r w:rsidRPr="00782AC8">
        <w:t>Infliximab and vedolizumab for moderate to severe ulcerative colitis</w:t>
      </w:r>
    </w:p>
    <w:p w:rsidR="009412B1" w:rsidRDefault="009412B1" w:rsidP="009412B1">
      <w:r>
        <w:t xml:space="preserve">Infliximab was listed for moderate to severe UC on 1 December 2014. Vedolizumab was listed 1 August 2015. Adalimumab was listed 1 December 2016 and is not included in this analysis. </w:t>
      </w:r>
    </w:p>
    <w:p w:rsidR="009412B1" w:rsidRDefault="009412B1" w:rsidP="009412B1">
      <w:r>
        <w:t xml:space="preserve">The three drugs have identical restrictions and patients are allowed to change medicines or or re-commence of treatment after a break in therapy. Patients may be prescribed any of these drugs if that patient has previously been issued with an authority prescription for adalimumab, infliximab or vedolizumab for </w:t>
      </w:r>
      <w:r w:rsidR="00165AA0">
        <w:t>UC</w:t>
      </w:r>
      <w:r>
        <w:t xml:space="preserve"> in </w:t>
      </w:r>
      <w:r w:rsidR="00165AA0">
        <w:t>their current</w:t>
      </w:r>
      <w:r>
        <w:t xml:space="preserve"> treatment cycle.</w:t>
      </w:r>
    </w:p>
    <w:p w:rsidR="006441BC" w:rsidRDefault="006441BC">
      <w:pPr>
        <w:spacing w:line="276" w:lineRule="auto"/>
        <w:rPr>
          <w:b/>
          <w:i/>
        </w:rPr>
      </w:pPr>
      <w:r>
        <w:br w:type="page"/>
      </w:r>
    </w:p>
    <w:p w:rsidR="00A30B1E" w:rsidRPr="005C3DC7" w:rsidRDefault="00A30B1E" w:rsidP="00346DA0">
      <w:pPr>
        <w:pStyle w:val="Tabletitle"/>
        <w:rPr>
          <w:i w:val="0"/>
        </w:rPr>
      </w:pPr>
      <w:r w:rsidRPr="005C3DC7">
        <w:rPr>
          <w:i w:val="0"/>
        </w:rPr>
        <w:lastRenderedPageBreak/>
        <w:t xml:space="preserve">Table </w:t>
      </w:r>
      <w:r w:rsidR="00245624" w:rsidRPr="005C3DC7">
        <w:rPr>
          <w:i w:val="0"/>
        </w:rPr>
        <w:t>8</w:t>
      </w:r>
      <w:r w:rsidRPr="005C3DC7">
        <w:rPr>
          <w:i w:val="0"/>
        </w:rPr>
        <w:t xml:space="preserve">: </w:t>
      </w:r>
      <w:r w:rsidR="00C67E40">
        <w:rPr>
          <w:i w:val="0"/>
        </w:rPr>
        <w:t>P</w:t>
      </w:r>
      <w:r w:rsidRPr="005C3DC7">
        <w:rPr>
          <w:i w:val="0"/>
        </w:rPr>
        <w:t>redicted versus actual use of infliximab and vedolizumab for moderate to severe ulcerative colitis</w:t>
      </w:r>
    </w:p>
    <w:tbl>
      <w:tblPr>
        <w:tblW w:w="8751" w:type="dxa"/>
        <w:tblInd w:w="93" w:type="dxa"/>
        <w:tblLook w:val="04A0" w:firstRow="1" w:lastRow="0" w:firstColumn="1" w:lastColumn="0" w:noHBand="0" w:noVBand="1"/>
        <w:tblCaption w:val="Predicted versus actual use of infliximab and vedolizumab for moderate to severe ulcerative colitis"/>
        <w:tblDescription w:val="Predicted versus actual use of infliximab and vedolizumab for moderate to severe ulcerative colitis with redactions"/>
      </w:tblPr>
      <w:tblGrid>
        <w:gridCol w:w="1277"/>
        <w:gridCol w:w="1274"/>
        <w:gridCol w:w="1240"/>
        <w:gridCol w:w="1240"/>
        <w:gridCol w:w="1240"/>
        <w:gridCol w:w="1240"/>
        <w:gridCol w:w="1240"/>
      </w:tblGrid>
      <w:tr w:rsidR="00A30B1E" w:rsidRPr="00782AC8" w:rsidTr="00346DA0">
        <w:trPr>
          <w:trHeight w:val="300"/>
        </w:trPr>
        <w:tc>
          <w:tcPr>
            <w:tcW w:w="127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A30B1E" w:rsidRPr="00782AC8" w:rsidRDefault="00A30B1E" w:rsidP="002908A6">
            <w:pPr>
              <w:spacing w:after="0"/>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c>
          <w:tcPr>
            <w:tcW w:w="1274" w:type="dxa"/>
            <w:tcBorders>
              <w:top w:val="single" w:sz="4" w:space="0" w:color="auto"/>
              <w:left w:val="nil"/>
              <w:bottom w:val="single" w:sz="4" w:space="0" w:color="auto"/>
              <w:right w:val="single" w:sz="4" w:space="0" w:color="auto"/>
            </w:tcBorders>
            <w:shd w:val="clear" w:color="000000" w:fill="BFBFBF"/>
            <w:noWrap/>
            <w:vAlign w:val="center"/>
            <w:hideMark/>
          </w:tcPr>
          <w:p w:rsidR="00A30B1E" w:rsidRPr="00782AC8" w:rsidRDefault="00A30B1E" w:rsidP="002908A6">
            <w:pPr>
              <w:spacing w:after="0"/>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c>
          <w:tcPr>
            <w:tcW w:w="1240" w:type="dxa"/>
            <w:tcBorders>
              <w:top w:val="single" w:sz="4" w:space="0" w:color="auto"/>
              <w:left w:val="nil"/>
              <w:bottom w:val="single" w:sz="4" w:space="0" w:color="auto"/>
              <w:right w:val="single" w:sz="4" w:space="0" w:color="auto"/>
            </w:tcBorders>
            <w:shd w:val="clear" w:color="000000" w:fill="BFBFBF"/>
            <w:noWrap/>
            <w:vAlign w:val="center"/>
            <w:hideMark/>
          </w:tcPr>
          <w:p w:rsidR="00A30B1E" w:rsidRPr="00782AC8" w:rsidRDefault="00A30B1E" w:rsidP="002908A6">
            <w:pPr>
              <w:spacing w:after="0"/>
              <w:jc w:val="center"/>
              <w:rPr>
                <w:rFonts w:ascii="Calibri" w:eastAsia="Times New Roman" w:hAnsi="Calibri" w:cs="Times New Roman"/>
                <w:b/>
                <w:bCs/>
                <w:sz w:val="20"/>
                <w:szCs w:val="20"/>
              </w:rPr>
            </w:pPr>
            <w:r w:rsidRPr="00782AC8">
              <w:rPr>
                <w:rFonts w:ascii="Calibri" w:eastAsia="Times New Roman" w:hAnsi="Calibri" w:cs="Times New Roman"/>
                <w:b/>
                <w:bCs/>
                <w:sz w:val="20"/>
                <w:szCs w:val="20"/>
              </w:rPr>
              <w:t>2014</w:t>
            </w:r>
          </w:p>
        </w:tc>
        <w:tc>
          <w:tcPr>
            <w:tcW w:w="1240" w:type="dxa"/>
            <w:tcBorders>
              <w:top w:val="single" w:sz="4" w:space="0" w:color="auto"/>
              <w:left w:val="nil"/>
              <w:bottom w:val="single" w:sz="4" w:space="0" w:color="auto"/>
              <w:right w:val="single" w:sz="4" w:space="0" w:color="auto"/>
            </w:tcBorders>
            <w:shd w:val="clear" w:color="000000" w:fill="BFBFBF"/>
            <w:noWrap/>
            <w:vAlign w:val="center"/>
            <w:hideMark/>
          </w:tcPr>
          <w:p w:rsidR="00A30B1E" w:rsidRPr="00782AC8" w:rsidRDefault="00A30B1E" w:rsidP="002908A6">
            <w:pPr>
              <w:spacing w:after="0"/>
              <w:jc w:val="center"/>
              <w:rPr>
                <w:rFonts w:ascii="Calibri" w:eastAsia="Times New Roman" w:hAnsi="Calibri" w:cs="Times New Roman"/>
                <w:b/>
                <w:bCs/>
                <w:sz w:val="20"/>
                <w:szCs w:val="20"/>
              </w:rPr>
            </w:pPr>
            <w:r w:rsidRPr="00782AC8">
              <w:rPr>
                <w:rFonts w:ascii="Calibri" w:eastAsia="Times New Roman" w:hAnsi="Calibri" w:cs="Times New Roman"/>
                <w:b/>
                <w:bCs/>
                <w:sz w:val="20"/>
                <w:szCs w:val="20"/>
              </w:rPr>
              <w:t>2015</w:t>
            </w:r>
          </w:p>
        </w:tc>
        <w:tc>
          <w:tcPr>
            <w:tcW w:w="1240" w:type="dxa"/>
            <w:tcBorders>
              <w:top w:val="single" w:sz="4" w:space="0" w:color="auto"/>
              <w:left w:val="nil"/>
              <w:bottom w:val="single" w:sz="4" w:space="0" w:color="auto"/>
              <w:right w:val="single" w:sz="4" w:space="0" w:color="auto"/>
            </w:tcBorders>
            <w:shd w:val="clear" w:color="000000" w:fill="BFBFBF"/>
            <w:noWrap/>
            <w:vAlign w:val="center"/>
            <w:hideMark/>
          </w:tcPr>
          <w:p w:rsidR="00A30B1E" w:rsidRPr="00782AC8" w:rsidRDefault="00A30B1E" w:rsidP="002908A6">
            <w:pPr>
              <w:spacing w:after="0"/>
              <w:jc w:val="center"/>
              <w:rPr>
                <w:rFonts w:ascii="Calibri" w:eastAsia="Times New Roman" w:hAnsi="Calibri" w:cs="Times New Roman"/>
                <w:b/>
                <w:bCs/>
                <w:sz w:val="20"/>
                <w:szCs w:val="20"/>
              </w:rPr>
            </w:pPr>
            <w:r w:rsidRPr="00782AC8">
              <w:rPr>
                <w:rFonts w:ascii="Calibri" w:eastAsia="Times New Roman" w:hAnsi="Calibri" w:cs="Times New Roman"/>
                <w:b/>
                <w:bCs/>
                <w:sz w:val="20"/>
                <w:szCs w:val="20"/>
              </w:rPr>
              <w:t>2016</w:t>
            </w:r>
          </w:p>
        </w:tc>
        <w:tc>
          <w:tcPr>
            <w:tcW w:w="1240" w:type="dxa"/>
            <w:tcBorders>
              <w:top w:val="single" w:sz="4" w:space="0" w:color="auto"/>
              <w:left w:val="nil"/>
              <w:bottom w:val="single" w:sz="4" w:space="0" w:color="auto"/>
              <w:right w:val="single" w:sz="4" w:space="0" w:color="auto"/>
            </w:tcBorders>
            <w:shd w:val="clear" w:color="000000" w:fill="BFBFBF"/>
            <w:noWrap/>
            <w:vAlign w:val="center"/>
            <w:hideMark/>
          </w:tcPr>
          <w:p w:rsidR="00A30B1E" w:rsidRPr="00782AC8" w:rsidRDefault="00A30B1E" w:rsidP="002908A6">
            <w:pPr>
              <w:spacing w:after="0"/>
              <w:jc w:val="center"/>
              <w:rPr>
                <w:rFonts w:ascii="Calibri" w:eastAsia="Times New Roman" w:hAnsi="Calibri" w:cs="Times New Roman"/>
                <w:b/>
                <w:bCs/>
                <w:sz w:val="20"/>
                <w:szCs w:val="20"/>
              </w:rPr>
            </w:pPr>
            <w:r w:rsidRPr="00782AC8">
              <w:rPr>
                <w:rFonts w:ascii="Calibri" w:eastAsia="Times New Roman" w:hAnsi="Calibri" w:cs="Times New Roman"/>
                <w:b/>
                <w:bCs/>
                <w:sz w:val="20"/>
                <w:szCs w:val="20"/>
              </w:rPr>
              <w:t>2017</w:t>
            </w:r>
          </w:p>
        </w:tc>
        <w:tc>
          <w:tcPr>
            <w:tcW w:w="1240" w:type="dxa"/>
            <w:tcBorders>
              <w:top w:val="single" w:sz="4" w:space="0" w:color="auto"/>
              <w:left w:val="nil"/>
              <w:bottom w:val="single" w:sz="4" w:space="0" w:color="auto"/>
              <w:right w:val="single" w:sz="4" w:space="0" w:color="auto"/>
            </w:tcBorders>
            <w:shd w:val="clear" w:color="000000" w:fill="BFBFBF"/>
            <w:noWrap/>
            <w:vAlign w:val="center"/>
            <w:hideMark/>
          </w:tcPr>
          <w:p w:rsidR="00A30B1E" w:rsidRPr="00782AC8" w:rsidRDefault="00A30B1E" w:rsidP="002908A6">
            <w:pPr>
              <w:spacing w:after="0"/>
              <w:jc w:val="center"/>
              <w:rPr>
                <w:rFonts w:ascii="Calibri" w:eastAsia="Times New Roman" w:hAnsi="Calibri" w:cs="Times New Roman"/>
                <w:b/>
                <w:bCs/>
                <w:sz w:val="20"/>
                <w:szCs w:val="20"/>
              </w:rPr>
            </w:pPr>
            <w:r w:rsidRPr="00782AC8">
              <w:rPr>
                <w:rFonts w:ascii="Calibri" w:eastAsia="Times New Roman" w:hAnsi="Calibri" w:cs="Times New Roman"/>
                <w:b/>
                <w:bCs/>
                <w:sz w:val="20"/>
                <w:szCs w:val="20"/>
              </w:rPr>
              <w:t>2018</w:t>
            </w:r>
          </w:p>
        </w:tc>
      </w:tr>
      <w:tr w:rsidR="00A30B1E" w:rsidRPr="00782AC8" w:rsidTr="00346DA0">
        <w:trPr>
          <w:trHeight w:val="300"/>
        </w:trPr>
        <w:tc>
          <w:tcPr>
            <w:tcW w:w="8751" w:type="dxa"/>
            <w:gridSpan w:val="7"/>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A30B1E" w:rsidRPr="00782AC8" w:rsidRDefault="00A30B1E" w:rsidP="002908A6">
            <w:pPr>
              <w:spacing w:after="0"/>
              <w:rPr>
                <w:rFonts w:ascii="Calibri" w:eastAsia="Times New Roman" w:hAnsi="Calibri" w:cs="Times New Roman"/>
                <w:b/>
                <w:bCs/>
                <w:color w:val="000000"/>
                <w:sz w:val="20"/>
                <w:szCs w:val="20"/>
              </w:rPr>
            </w:pPr>
            <w:r w:rsidRPr="00782AC8">
              <w:rPr>
                <w:rFonts w:ascii="Calibri" w:eastAsia="Times New Roman" w:hAnsi="Calibri" w:cs="Times New Roman"/>
                <w:b/>
                <w:bCs/>
                <w:color w:val="000000"/>
                <w:sz w:val="20"/>
                <w:szCs w:val="20"/>
              </w:rPr>
              <w:t>Actual</w:t>
            </w:r>
          </w:p>
        </w:tc>
      </w:tr>
      <w:tr w:rsidR="00A30B1E" w:rsidRPr="00782AC8" w:rsidTr="00346DA0">
        <w:trPr>
          <w:trHeight w:val="30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A30B1E" w:rsidRPr="00782AC8" w:rsidRDefault="00A30B1E" w:rsidP="002908A6">
            <w:pPr>
              <w:spacing w:after="0"/>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Infliximab</w:t>
            </w:r>
          </w:p>
        </w:tc>
        <w:tc>
          <w:tcPr>
            <w:tcW w:w="1274"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Patients</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41</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xml:space="preserve">1,009 </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xml:space="preserve">1,385 </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r>
      <w:tr w:rsidR="00A30B1E" w:rsidRPr="00782AC8" w:rsidTr="00346DA0">
        <w:trPr>
          <w:trHeight w:val="30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A30B1E" w:rsidRPr="00782AC8" w:rsidRDefault="00A30B1E" w:rsidP="002908A6">
            <w:pPr>
              <w:spacing w:after="0"/>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c>
          <w:tcPr>
            <w:tcW w:w="1274"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Prescriptions</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54</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xml:space="preserve">4,434 </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xml:space="preserve">6,525 </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r>
      <w:tr w:rsidR="00A30B1E" w:rsidRPr="00782AC8" w:rsidTr="00346DA0">
        <w:trPr>
          <w:trHeight w:val="30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A30B1E" w:rsidRPr="00782AC8" w:rsidRDefault="00A30B1E" w:rsidP="002908A6">
            <w:pPr>
              <w:spacing w:after="0"/>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Vedolizumab</w:t>
            </w:r>
          </w:p>
        </w:tc>
        <w:tc>
          <w:tcPr>
            <w:tcW w:w="1274"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Patients</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218</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812</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r>
      <w:tr w:rsidR="00A30B1E" w:rsidRPr="00782AC8" w:rsidTr="00346DA0">
        <w:trPr>
          <w:trHeight w:val="30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A30B1E" w:rsidRPr="00782AC8" w:rsidRDefault="00A30B1E" w:rsidP="002908A6">
            <w:pPr>
              <w:spacing w:after="0"/>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c>
          <w:tcPr>
            <w:tcW w:w="1274"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Prescriptions</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600</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3738</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r>
      <w:tr w:rsidR="00A30B1E" w:rsidRPr="00782AC8" w:rsidTr="00346DA0">
        <w:trPr>
          <w:trHeight w:val="30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A30B1E" w:rsidRPr="00782AC8" w:rsidRDefault="00A30B1E" w:rsidP="002908A6">
            <w:pPr>
              <w:spacing w:after="0"/>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Total</w:t>
            </w:r>
          </w:p>
        </w:tc>
        <w:tc>
          <w:tcPr>
            <w:tcW w:w="1274"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Patients</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41</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xml:space="preserve">1,147 </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xml:space="preserve">2,038 </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r>
      <w:tr w:rsidR="00A30B1E" w:rsidRPr="00782AC8" w:rsidTr="00346DA0">
        <w:trPr>
          <w:trHeight w:val="30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A30B1E" w:rsidRPr="00782AC8" w:rsidRDefault="00A30B1E" w:rsidP="002908A6">
            <w:pPr>
              <w:spacing w:after="0"/>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c>
          <w:tcPr>
            <w:tcW w:w="1274"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Prescriptions</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54</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xml:space="preserve">5,034 </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xml:space="preserve">10,263 </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r>
      <w:tr w:rsidR="00A30B1E" w:rsidRPr="00782AC8" w:rsidTr="00346DA0">
        <w:trPr>
          <w:trHeight w:val="300"/>
        </w:trPr>
        <w:tc>
          <w:tcPr>
            <w:tcW w:w="8751" w:type="dxa"/>
            <w:gridSpan w:val="7"/>
            <w:tcBorders>
              <w:top w:val="single" w:sz="4" w:space="0" w:color="auto"/>
              <w:left w:val="single" w:sz="4" w:space="0" w:color="auto"/>
              <w:bottom w:val="single" w:sz="4" w:space="0" w:color="auto"/>
              <w:right w:val="single" w:sz="4" w:space="0" w:color="auto"/>
            </w:tcBorders>
            <w:shd w:val="clear" w:color="000000" w:fill="BFBFBF"/>
            <w:noWrap/>
            <w:vAlign w:val="center"/>
          </w:tcPr>
          <w:p w:rsidR="00A30B1E" w:rsidRPr="00782AC8" w:rsidRDefault="00A30B1E" w:rsidP="002908A6">
            <w:pPr>
              <w:spacing w:after="0"/>
              <w:rPr>
                <w:rFonts w:ascii="Calibri" w:eastAsia="Times New Roman" w:hAnsi="Calibri" w:cs="Times New Roman"/>
                <w:b/>
                <w:bCs/>
                <w:color w:val="000000"/>
                <w:sz w:val="20"/>
                <w:szCs w:val="20"/>
              </w:rPr>
            </w:pPr>
            <w:r w:rsidRPr="00782AC8">
              <w:rPr>
                <w:rFonts w:ascii="Calibri" w:eastAsia="Times New Roman" w:hAnsi="Calibri" w:cs="Times New Roman"/>
                <w:b/>
                <w:bCs/>
                <w:color w:val="000000"/>
                <w:sz w:val="20"/>
                <w:szCs w:val="20"/>
              </w:rPr>
              <w:t>Predicted</w:t>
            </w:r>
          </w:p>
        </w:tc>
      </w:tr>
      <w:tr w:rsidR="00A30B1E" w:rsidRPr="00782AC8" w:rsidTr="00346DA0">
        <w:trPr>
          <w:trHeight w:val="300"/>
        </w:trPr>
        <w:tc>
          <w:tcPr>
            <w:tcW w:w="8751" w:type="dxa"/>
            <w:gridSpan w:val="7"/>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A30B1E" w:rsidRPr="00782AC8" w:rsidRDefault="00A30B1E" w:rsidP="002908A6">
            <w:pPr>
              <w:spacing w:after="0"/>
              <w:rPr>
                <w:rFonts w:ascii="Calibri" w:eastAsia="Times New Roman" w:hAnsi="Calibri" w:cs="Times New Roman"/>
                <w:bCs/>
                <w:color w:val="000000"/>
                <w:sz w:val="20"/>
                <w:szCs w:val="20"/>
              </w:rPr>
            </w:pPr>
            <w:r w:rsidRPr="00782AC8">
              <w:rPr>
                <w:rFonts w:ascii="Calibri" w:eastAsia="Times New Roman" w:hAnsi="Calibri" w:cs="Times New Roman"/>
                <w:bCs/>
                <w:color w:val="000000"/>
                <w:sz w:val="20"/>
                <w:szCs w:val="20"/>
              </w:rPr>
              <w:t xml:space="preserve">Infliximab </w:t>
            </w:r>
          </w:p>
        </w:tc>
      </w:tr>
      <w:tr w:rsidR="00A30B1E" w:rsidRPr="00782AC8" w:rsidTr="00346DA0">
        <w:trPr>
          <w:trHeight w:val="30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A30B1E" w:rsidRPr="00782AC8" w:rsidRDefault="00A30B1E" w:rsidP="002908A6">
            <w:pPr>
              <w:spacing w:after="0"/>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Predicted</w:t>
            </w:r>
          </w:p>
        </w:tc>
        <w:tc>
          <w:tcPr>
            <w:tcW w:w="1274"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Patients</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r>
      <w:tr w:rsidR="00A30B1E" w:rsidRPr="00782AC8" w:rsidTr="00346DA0">
        <w:trPr>
          <w:trHeight w:val="30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A30B1E" w:rsidRPr="00782AC8" w:rsidRDefault="00A30B1E" w:rsidP="002908A6">
            <w:pPr>
              <w:spacing w:after="0"/>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Difference</w:t>
            </w:r>
          </w:p>
        </w:tc>
        <w:tc>
          <w:tcPr>
            <w:tcW w:w="1274"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r>
      <w:tr w:rsidR="00A30B1E" w:rsidRPr="00782AC8" w:rsidTr="00346DA0">
        <w:trPr>
          <w:trHeight w:val="30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A30B1E" w:rsidRPr="00782AC8" w:rsidRDefault="00A30B1E" w:rsidP="002908A6">
            <w:pPr>
              <w:spacing w:after="0"/>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Predicted</w:t>
            </w:r>
          </w:p>
        </w:tc>
        <w:tc>
          <w:tcPr>
            <w:tcW w:w="1274"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Prescriptions</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r>
      <w:tr w:rsidR="00A30B1E" w:rsidRPr="00782AC8" w:rsidTr="00346DA0">
        <w:trPr>
          <w:trHeight w:val="30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A30B1E" w:rsidRPr="00782AC8" w:rsidRDefault="00A30B1E" w:rsidP="002908A6">
            <w:pPr>
              <w:spacing w:after="0"/>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Difference</w:t>
            </w:r>
          </w:p>
        </w:tc>
        <w:tc>
          <w:tcPr>
            <w:tcW w:w="1274"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r>
      <w:tr w:rsidR="00A30B1E" w:rsidRPr="00782AC8" w:rsidTr="00346DA0">
        <w:trPr>
          <w:trHeight w:val="300"/>
        </w:trPr>
        <w:tc>
          <w:tcPr>
            <w:tcW w:w="8751" w:type="dxa"/>
            <w:gridSpan w:val="7"/>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A30B1E" w:rsidRPr="00782AC8" w:rsidRDefault="00A30B1E" w:rsidP="002908A6">
            <w:pPr>
              <w:spacing w:after="0"/>
              <w:rPr>
                <w:rFonts w:ascii="Calibri" w:eastAsia="Times New Roman" w:hAnsi="Calibri" w:cs="Times New Roman"/>
                <w:bCs/>
                <w:color w:val="000000"/>
                <w:sz w:val="20"/>
                <w:szCs w:val="20"/>
              </w:rPr>
            </w:pPr>
            <w:r w:rsidRPr="00782AC8">
              <w:rPr>
                <w:rFonts w:ascii="Calibri" w:eastAsia="Times New Roman" w:hAnsi="Calibri" w:cs="Times New Roman"/>
                <w:bCs/>
                <w:color w:val="000000"/>
                <w:sz w:val="20"/>
                <w:szCs w:val="20"/>
              </w:rPr>
              <w:t>Vedolizumab</w:t>
            </w:r>
          </w:p>
        </w:tc>
      </w:tr>
      <w:tr w:rsidR="00A30B1E" w:rsidRPr="00782AC8" w:rsidTr="00346DA0">
        <w:trPr>
          <w:trHeight w:val="30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A30B1E" w:rsidRPr="00782AC8" w:rsidRDefault="00A30B1E" w:rsidP="002908A6">
            <w:pPr>
              <w:spacing w:after="0"/>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Predicted</w:t>
            </w:r>
          </w:p>
        </w:tc>
        <w:tc>
          <w:tcPr>
            <w:tcW w:w="1274"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Patients</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r>
      <w:tr w:rsidR="00A30B1E" w:rsidRPr="00782AC8" w:rsidTr="00346DA0">
        <w:trPr>
          <w:trHeight w:val="30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A30B1E" w:rsidRPr="00782AC8" w:rsidRDefault="00A30B1E" w:rsidP="002908A6">
            <w:pPr>
              <w:spacing w:after="0"/>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Difference</w:t>
            </w:r>
          </w:p>
        </w:tc>
        <w:tc>
          <w:tcPr>
            <w:tcW w:w="1274"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AE7D41">
              <w:rPr>
                <w:rFonts w:ascii="Calibri" w:eastAsia="Times New Roman" w:hAnsi="Calibri"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r>
      <w:tr w:rsidR="00A30B1E" w:rsidRPr="00782AC8" w:rsidTr="00346DA0">
        <w:trPr>
          <w:trHeight w:val="30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A30B1E" w:rsidRPr="00782AC8" w:rsidRDefault="00A30B1E" w:rsidP="002908A6">
            <w:pPr>
              <w:spacing w:after="0"/>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Predicted</w:t>
            </w:r>
          </w:p>
        </w:tc>
        <w:tc>
          <w:tcPr>
            <w:tcW w:w="1274"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Prescriptions</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r>
      <w:tr w:rsidR="00A30B1E" w:rsidRPr="00782AC8" w:rsidTr="00346DA0">
        <w:trPr>
          <w:trHeight w:val="30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A30B1E" w:rsidRPr="00782AC8" w:rsidRDefault="00A30B1E" w:rsidP="002908A6">
            <w:pPr>
              <w:spacing w:after="0"/>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Difference</w:t>
            </w:r>
          </w:p>
        </w:tc>
        <w:tc>
          <w:tcPr>
            <w:tcW w:w="1274"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470C46" w:rsidRDefault="00470C46" w:rsidP="002908A6">
            <w:pPr>
              <w:spacing w:after="0"/>
              <w:jc w:val="right"/>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30B1E" w:rsidRPr="00782AC8" w:rsidRDefault="00A30B1E" w:rsidP="002908A6">
            <w:pPr>
              <w:spacing w:after="0"/>
              <w:jc w:val="right"/>
              <w:rPr>
                <w:rFonts w:ascii="Calibri" w:eastAsia="Times New Roman" w:hAnsi="Calibri" w:cs="Times New Roman"/>
                <w:color w:val="000000"/>
                <w:sz w:val="20"/>
                <w:szCs w:val="20"/>
              </w:rPr>
            </w:pPr>
            <w:r w:rsidRPr="00782AC8">
              <w:rPr>
                <w:rFonts w:ascii="Calibri" w:eastAsia="Times New Roman" w:hAnsi="Calibri" w:cs="Times New Roman"/>
                <w:color w:val="000000"/>
                <w:sz w:val="20"/>
                <w:szCs w:val="20"/>
              </w:rPr>
              <w:t> </w:t>
            </w:r>
          </w:p>
        </w:tc>
      </w:tr>
    </w:tbl>
    <w:p w:rsidR="00A30B1E" w:rsidRDefault="00A30B1E" w:rsidP="00A30B1E">
      <w:pPr>
        <w:pStyle w:val="Notes"/>
      </w:pPr>
      <w:r>
        <w:t>Note: Expenditure calculations are using published price.</w:t>
      </w:r>
    </w:p>
    <w:p w:rsidR="009412B1" w:rsidRDefault="009412B1" w:rsidP="009412B1">
      <w:r>
        <w:t xml:space="preserve">The differences between counted patients overall and for infliximab and vedolizumab suggest 80 patients in 2015 and </w:t>
      </w:r>
      <w:r w:rsidR="00A10459">
        <w:t>159 patients in 2016 received both drugs.</w:t>
      </w:r>
    </w:p>
    <w:p w:rsidR="00A30B1E" w:rsidRDefault="00A30B1E" w:rsidP="00346DA0">
      <w:pPr>
        <w:pStyle w:val="Heading4"/>
      </w:pPr>
      <w:r>
        <w:t>Infliximab</w:t>
      </w:r>
    </w:p>
    <w:p w:rsidR="00A30B1E" w:rsidRDefault="009412B1" w:rsidP="00A30B1E">
      <w:r>
        <w:t>Overall the use of infliximab has been lower than the size of the total market predicted in its original submission.</w:t>
      </w:r>
    </w:p>
    <w:p w:rsidR="00A30B1E" w:rsidRDefault="00A30B1E" w:rsidP="00346DA0">
      <w:pPr>
        <w:pStyle w:val="Heading4"/>
      </w:pPr>
      <w:r>
        <w:t>Vedolizumab</w:t>
      </w:r>
    </w:p>
    <w:p w:rsidR="00A30B1E" w:rsidRDefault="00A30B1E" w:rsidP="00A30B1E">
      <w:r>
        <w:t>The use of vedolizumab was approximately a third of predicted in 2015, as it was listed in August 2015. The estimate of uptake of the number of prescriptions and the cost to Government in 2016 appear accurate.</w:t>
      </w:r>
    </w:p>
    <w:p w:rsidR="00F85E6A" w:rsidRDefault="00F85E6A" w:rsidP="00346DA0">
      <w:pPr>
        <w:pStyle w:val="Heading4"/>
      </w:pPr>
      <w:r>
        <w:t>Summary</w:t>
      </w:r>
    </w:p>
    <w:p w:rsidR="00F85E6A" w:rsidRPr="00462809" w:rsidRDefault="00F85E6A" w:rsidP="00A30B1E">
      <w:r>
        <w:t xml:space="preserve">Overall the use of </w:t>
      </w:r>
      <w:r w:rsidR="009E168A">
        <w:t>biologic</w:t>
      </w:r>
      <w:r>
        <w:t>s for the moderate to severe indication has been lower than expected</w:t>
      </w:r>
      <w:r w:rsidR="002B71FF">
        <w:t>, noting the rate of</w:t>
      </w:r>
      <w:r w:rsidR="00565829">
        <w:t xml:space="preserve"> increase in Figure 5</w:t>
      </w:r>
      <w:r w:rsidR="002B71FF">
        <w:t>, use may reach predicted levels in the near future</w:t>
      </w:r>
      <w:r>
        <w:t>.</w:t>
      </w:r>
    </w:p>
    <w:p w:rsidR="00591512" w:rsidRPr="000C03A1" w:rsidRDefault="00AB3733" w:rsidP="00F73113">
      <w:pPr>
        <w:pStyle w:val="Heading1"/>
      </w:pPr>
      <w:r w:rsidRPr="000C03A1">
        <w:lastRenderedPageBreak/>
        <w:t>D</w:t>
      </w:r>
      <w:r w:rsidR="007346C7" w:rsidRPr="000C03A1">
        <w:t>iscussion</w:t>
      </w:r>
      <w:r w:rsidR="000C03A1">
        <w:t xml:space="preserve"> </w:t>
      </w:r>
    </w:p>
    <w:p w:rsidR="00EE3C5C" w:rsidRDefault="004A057B" w:rsidP="00125440">
      <w:r>
        <w:t xml:space="preserve">Inflammatory bowel disease includes UC and Crohn disease, the primary distinguishing feature of these diseases is the location of the inflammation. </w:t>
      </w:r>
      <w:r w:rsidR="00886C10">
        <w:t xml:space="preserve">Patients’ disease may worsen over time or the </w:t>
      </w:r>
      <w:r>
        <w:t xml:space="preserve">location of the inflammation may change or spread, which may change the </w:t>
      </w:r>
      <w:r w:rsidR="00886C10">
        <w:t>diagnosis</w:t>
      </w:r>
      <w:r>
        <w:t>. This makes it</w:t>
      </w:r>
      <w:r w:rsidR="00886C10">
        <w:t xml:space="preserve"> difficult to </w:t>
      </w:r>
      <w:r>
        <w:t>determine use for each condition within the PBS data as it is necessary to differentiate</w:t>
      </w:r>
      <w:r w:rsidR="00886C10">
        <w:t xml:space="preserve"> between the use for these conditions.</w:t>
      </w:r>
      <w:r w:rsidR="00EE3C5C">
        <w:t xml:space="preserve"> </w:t>
      </w:r>
    </w:p>
    <w:p w:rsidR="004A057B" w:rsidRDefault="004A057B" w:rsidP="00D34F0A">
      <w:r>
        <w:t xml:space="preserve">The selected cohort </w:t>
      </w:r>
      <w:r w:rsidR="00D60FA3">
        <w:t>does contain some bias</w:t>
      </w:r>
      <w:r>
        <w:t>, as patients who initiated earlier are more likely to be identified as being Crohn or UC patients, and are more likely to have legitimately been treated for both cond</w:t>
      </w:r>
      <w:r w:rsidR="005910EF">
        <w:t>i</w:t>
      </w:r>
      <w:r>
        <w:t xml:space="preserve">tions. Patients initiating later are less likely to have been prescribed an Authority Required or Streamlined Authority medicine, and therefore will not have been identified as a Crohn or UC patient. </w:t>
      </w:r>
      <w:r w:rsidR="00214017">
        <w:t>It is also biased towards not including patients who have only received unrestricted medicines.</w:t>
      </w:r>
    </w:p>
    <w:p w:rsidR="00D34F0A" w:rsidRDefault="00886C10" w:rsidP="00D34F0A">
      <w:r>
        <w:t>The analysis of initiating and treated patients showed the n</w:t>
      </w:r>
      <w:r w:rsidR="00125440">
        <w:t>umber of treated patients per month is much higher than the number of initiating patients</w:t>
      </w:r>
      <w:r w:rsidR="00D34F0A">
        <w:t>.</w:t>
      </w:r>
      <w:r>
        <w:t xml:space="preserve"> </w:t>
      </w:r>
      <w:r w:rsidR="00D34F0A">
        <w:t>This is reflective of the nature of UC as a chronic disease, and the likeliness of patients</w:t>
      </w:r>
      <w:r w:rsidR="00D60FA3">
        <w:t xml:space="preserve"> with the disease</w:t>
      </w:r>
      <w:r w:rsidR="00D34F0A">
        <w:t xml:space="preserve"> to be treated.</w:t>
      </w:r>
    </w:p>
    <w:p w:rsidR="00D34F0A" w:rsidRDefault="00D60FA3" w:rsidP="00125440">
      <w:r>
        <w:t xml:space="preserve">The main initiating cohort was selected from 2015, to allow 12 months of follow up. </w:t>
      </w:r>
      <w:r w:rsidR="00D34F0A">
        <w:t xml:space="preserve">Within the cohort of UC patients, </w:t>
      </w:r>
      <w:r w:rsidR="0031119A">
        <w:t>4,080</w:t>
      </w:r>
      <w:r w:rsidR="00886C10">
        <w:t xml:space="preserve"> patients initiated therapy for UC in 2016. </w:t>
      </w:r>
      <w:r w:rsidR="00D34F0A">
        <w:t xml:space="preserve">Using the </w:t>
      </w:r>
      <w:r w:rsidR="0031119A">
        <w:t>2016 Australian</w:t>
      </w:r>
      <w:r w:rsidR="00D34F0A">
        <w:t xml:space="preserve"> population of </w:t>
      </w:r>
      <w:r w:rsidR="0031119A" w:rsidRPr="0031119A">
        <w:t>24,128,876</w:t>
      </w:r>
      <w:r w:rsidR="0031119A">
        <w:t xml:space="preserve"> people</w:t>
      </w:r>
      <w:r w:rsidR="00D34F0A">
        <w:t xml:space="preserve">, this equates to an incidence rate of </w:t>
      </w:r>
      <w:r w:rsidR="0031119A" w:rsidRPr="0031119A">
        <w:t>0.0169%</w:t>
      </w:r>
      <w:r w:rsidR="0031119A">
        <w:t>.</w:t>
      </w:r>
    </w:p>
    <w:p w:rsidR="0031119A" w:rsidRDefault="0031119A" w:rsidP="0031119A">
      <w:r>
        <w:t xml:space="preserve">Use of mesalazine is approximately five times higher than other medicines for UC. </w:t>
      </w:r>
      <w:r w:rsidR="005910EF">
        <w:t>At least</w:t>
      </w:r>
      <w:r w:rsidR="001239E2">
        <w:t xml:space="preserve"> half of the patients who initiated treatment for UC in 2015 initiated on mesalazine. </w:t>
      </w:r>
      <w:r>
        <w:t xml:space="preserve">It has the highest use of the medicines administered orally, and the highest use of the medicines administered rectally. </w:t>
      </w:r>
    </w:p>
    <w:p w:rsidR="00125440" w:rsidRPr="007E258F" w:rsidRDefault="007E258F" w:rsidP="00F1132C">
      <w:r w:rsidRPr="007E258F">
        <w:t xml:space="preserve">Use of </w:t>
      </w:r>
      <w:r w:rsidR="009E168A">
        <w:t>biologic</w:t>
      </w:r>
      <w:r w:rsidR="00D34F0A">
        <w:t xml:space="preserve">s for UC </w:t>
      </w:r>
      <w:r w:rsidRPr="007E258F">
        <w:t>is low</w:t>
      </w:r>
      <w:r w:rsidR="00F07E2D">
        <w:t xml:space="preserve"> but growing</w:t>
      </w:r>
      <w:r w:rsidRPr="007E258F">
        <w:t>.</w:t>
      </w:r>
      <w:r w:rsidR="00D34F0A">
        <w:t xml:space="preserve"> </w:t>
      </w:r>
    </w:p>
    <w:p w:rsidR="009E168A" w:rsidRDefault="009E168A" w:rsidP="009E168A">
      <w:pPr>
        <w:pStyle w:val="Heading1"/>
      </w:pPr>
      <w:r>
        <w:t>DUSC consideration</w:t>
      </w:r>
    </w:p>
    <w:p w:rsidR="009E168A" w:rsidRPr="009E168A" w:rsidRDefault="009E168A" w:rsidP="009E168A">
      <w:r w:rsidRPr="009E168A">
        <w:t xml:space="preserve">DUSC noted the use of all forms of mesalazine are increasing, particularly the tablets. DUSC noted the number of prescriptions and cost to Government of mesalazine is much higher than biologics. </w:t>
      </w:r>
    </w:p>
    <w:p w:rsidR="009E168A" w:rsidRPr="009E168A" w:rsidRDefault="009E168A" w:rsidP="009E168A">
      <w:r w:rsidRPr="009E168A">
        <w:t>DUSC noted the analysis of prior use showed there was a high proportion of patients who did not trial sulfasalazine prior to being supplied mesalazine. DUSC questioned whether this pattern of use indicates a need to reconsider the cost-effectiveness of mesalazine in this population.</w:t>
      </w:r>
    </w:p>
    <w:p w:rsidR="009E168A" w:rsidRPr="009E168A" w:rsidRDefault="009E168A" w:rsidP="009E168A">
      <w:r w:rsidRPr="009E168A">
        <w:t xml:space="preserve">DUSC noted the comments in the response from the Gastroenterological Society of Australia (GESA) regarding the comparatively small number of patients who have a prior course of sulfasalazine before commencing therapy with mesalazine. The response noted: </w:t>
      </w:r>
    </w:p>
    <w:p w:rsidR="009E168A" w:rsidRPr="009E168A" w:rsidRDefault="009E168A" w:rsidP="009E168A">
      <w:pPr>
        <w:pStyle w:val="ListParagraph"/>
        <w:numPr>
          <w:ilvl w:val="0"/>
          <w:numId w:val="10"/>
        </w:numPr>
        <w:spacing w:after="0"/>
      </w:pPr>
      <w:r w:rsidRPr="009E168A">
        <w:t>The European Crohn’s and Colitis third evidence based consensus on the management of ulcerative colitis and the Cochrane Library review of oral 5-</w:t>
      </w:r>
      <w:r w:rsidRPr="009E168A">
        <w:lastRenderedPageBreak/>
        <w:t>aminosalicylic acid state that mesalazine is no more effective than sulfasalazine (RR for failure to achieve remission 0.90, 95% CI 0.77–1.04) but is better tolerated [RR for an adverse event 0.48, 95% CI 0.36–0.63]. 29% of sulfasalazine patients experienced an adverse event compared to 15% of mesalazine patients (RR 0.48, 95% CI 0.37 to 0.63) (Wang, Parker, Bhanji, Feagan, &amp; Macdonald, 2016). It is the tolerance and safety issues for sulfasalazine that are likely driving the greater use of mesalazine.</w:t>
      </w:r>
    </w:p>
    <w:p w:rsidR="009E168A" w:rsidRPr="009E168A" w:rsidRDefault="009E168A" w:rsidP="009E168A">
      <w:pPr>
        <w:pStyle w:val="ListParagraph"/>
        <w:numPr>
          <w:ilvl w:val="0"/>
          <w:numId w:val="10"/>
        </w:numPr>
        <w:spacing w:after="0"/>
      </w:pPr>
      <w:r w:rsidRPr="009E168A">
        <w:t xml:space="preserve">Prior sulphur drug reactions are a contraindication to the use of sulfasalazine and many patients are unaware of their prior exposure to sulphur containing agents, but have a recollection of prior adverse reactions to antibiotics as a child. </w:t>
      </w:r>
    </w:p>
    <w:p w:rsidR="009E168A" w:rsidRPr="009E168A" w:rsidRDefault="009E168A" w:rsidP="009E168A">
      <w:pPr>
        <w:pStyle w:val="ListParagraph"/>
        <w:numPr>
          <w:ilvl w:val="0"/>
          <w:numId w:val="10"/>
        </w:numPr>
        <w:spacing w:after="0"/>
      </w:pPr>
      <w:r w:rsidRPr="009E168A">
        <w:t>The requirement for more intense monitoring of potential adverse events to sulfasalazine also needs to be taken into consideration when assessing the total cost to the Australian community of these agents. The cost of consultation to facilitate this testing also needs to be taken into account.</w:t>
      </w:r>
    </w:p>
    <w:p w:rsidR="009E168A" w:rsidRPr="009E168A" w:rsidRDefault="009E168A" w:rsidP="009E168A">
      <w:pPr>
        <w:pStyle w:val="ListParagraph"/>
        <w:numPr>
          <w:ilvl w:val="0"/>
          <w:numId w:val="10"/>
        </w:numPr>
        <w:spacing w:after="0"/>
      </w:pPr>
      <w:r w:rsidRPr="009E168A">
        <w:t>The common large reduction in sperm count and reversible azospermia is also a significant consideration in the prescription of sulfasalazine. The peak age of onset for inflammatory bowel diseases is between the ages of 15 and 40 years of age, the peak reproductive years. Many males wish to avoid the potential effect of sulfasalazine to decrease their fertility.</w:t>
      </w:r>
    </w:p>
    <w:p w:rsidR="009E168A" w:rsidRPr="009E168A" w:rsidRDefault="009E168A" w:rsidP="009E168A">
      <w:pPr>
        <w:pStyle w:val="ListParagraph"/>
        <w:numPr>
          <w:ilvl w:val="0"/>
          <w:numId w:val="10"/>
        </w:numPr>
        <w:spacing w:after="0"/>
        <w:rPr>
          <w:strike/>
        </w:rPr>
      </w:pPr>
      <w:r w:rsidRPr="009E168A">
        <w:t xml:space="preserve">While equivalent efficacy in the clinical trial environment has been demonstrated, the large pill burden associated with sulfasalazine is an issue for many patients. </w:t>
      </w:r>
    </w:p>
    <w:p w:rsidR="009E168A" w:rsidRDefault="009E168A" w:rsidP="009E168A">
      <w:pPr>
        <w:pStyle w:val="ListParagraph"/>
        <w:numPr>
          <w:ilvl w:val="0"/>
          <w:numId w:val="10"/>
        </w:numPr>
        <w:spacing w:after="0"/>
      </w:pPr>
      <w:r w:rsidRPr="009E168A">
        <w:t>The increased cost to the PBS is clearly apparent from this low rate of sulfasalazine prescription but the adverse events, risk of serious life threatening toxicity, decreased fertility, cost of monitoring; and a high pill burden (with likely lower adherence from treatment with sulfasalazine) should also be taken into account.</w:t>
      </w:r>
    </w:p>
    <w:p w:rsidR="009E168A" w:rsidRDefault="009E168A" w:rsidP="009E168A">
      <w:pPr>
        <w:pStyle w:val="ListParagraph"/>
        <w:spacing w:after="0"/>
      </w:pPr>
    </w:p>
    <w:p w:rsidR="009E168A" w:rsidRPr="009E168A" w:rsidRDefault="009E168A" w:rsidP="009E168A">
      <w:r>
        <w:t>D</w:t>
      </w:r>
      <w:r w:rsidRPr="009E168A">
        <w:t>USC noted the increasing use of mesalazine and questioned whether this increase is due to higher patient numbers or patients using higher doses of mesalazine.  DUSC considered it may be necessary to analyse the dosing of mesalazine, whether dosing has changed over time, and investigate the cost-effectiveness of mesalazine. DUSC considered whether an analysis of prescribed doses from MedicinesInsight data may be useful. However DUSC noted that gastroenterologists are the most common prescribers for ulcerative colitis patients, and these specialist prescribers are not captured in the MedicinesInsight data.</w:t>
      </w:r>
    </w:p>
    <w:p w:rsidR="009E168A" w:rsidRPr="009E168A" w:rsidRDefault="009E168A" w:rsidP="009E168A">
      <w:r w:rsidRPr="009E168A">
        <w:t xml:space="preserve">DUSC noted the use of methotrexate was higher than might be expected, and commented immunotherapies may be co-prescribed with biologics to improve response and/or reduce antidrug antibodies, but noted that no data has been provided to the PBAC to support this use.  </w:t>
      </w:r>
    </w:p>
    <w:p w:rsidR="009E168A" w:rsidRPr="009E168A" w:rsidRDefault="009E168A" w:rsidP="009E168A">
      <w:r w:rsidRPr="009E168A">
        <w:t>DUSC noted the use of biologics presented in the report and noted it is unclear if use will continue to increase or stabilise. DUSC commented that a few more years of data would be needed to understand the trend of use of these medicines.</w:t>
      </w:r>
    </w:p>
    <w:p w:rsidR="009E168A" w:rsidRPr="009E168A" w:rsidRDefault="009E168A" w:rsidP="009E168A">
      <w:r w:rsidRPr="009E168A">
        <w:t xml:space="preserve">DUSC noted that the response from the sponsor of the originator brand of infliximab (Janssen) suggested the market is saturated. The response stated an analysis of the MBS and PBS linked dataset conducted by Prospection suggested that since the introduction of </w:t>
      </w:r>
      <w:r w:rsidRPr="009E168A">
        <w:lastRenderedPageBreak/>
        <w:t>infliximab on the PBS for ulcerative colitis in 2014, there has been a downward trend in the number of patients having a complete colectomy. The response did not provide data to allow the committee to verify this trend.</w:t>
      </w:r>
    </w:p>
    <w:p w:rsidR="009E168A" w:rsidRPr="009E168A" w:rsidRDefault="009E168A" w:rsidP="009E168A">
      <w:r w:rsidRPr="009E168A">
        <w:t>DUSC noted the comments in the PSCR from Aspen (Orphan) which sponsors several medicines for the treatment of ulcerative colitis. The sponsor commented there appears to be a trend developing toward prescribing higher doses of mesalazine. The sponsor noted the recommended dose, based on clinic</w:t>
      </w:r>
      <w:r w:rsidR="00C2565A">
        <w:t xml:space="preserve">al evidence, is 2-3 </w:t>
      </w:r>
      <w:r w:rsidRPr="009E168A">
        <w:t xml:space="preserve">g per day, but it has been observed that some patients who do not respond to the recommended dose have responded to higher doses of mesalazine. The sponsor considered this should apply to a small proportion of ulcerative colitis patients, but stated it has been reported more than half of ulcerative colitis </w:t>
      </w:r>
      <w:r w:rsidR="00C2565A">
        <w:t xml:space="preserve">patients are currently using 4 </w:t>
      </w:r>
      <w:bookmarkStart w:id="2" w:name="_GoBack"/>
      <w:bookmarkEnd w:id="2"/>
      <w:r w:rsidRPr="009E168A">
        <w:t>g or more per day. The sponsor expressed support for the PBAC confirming the cost-effectiveness of the use of higher doses of mesalazine for mild to moderate ulcerative colitis.</w:t>
      </w:r>
    </w:p>
    <w:p w:rsidR="009E168A" w:rsidRPr="009E168A" w:rsidRDefault="009E168A" w:rsidP="009E168A">
      <w:pPr>
        <w:pStyle w:val="Heading1"/>
      </w:pPr>
      <w:r w:rsidRPr="009E168A">
        <w:t>DUSC actions</w:t>
      </w:r>
    </w:p>
    <w:p w:rsidR="009E168A" w:rsidRPr="009E168A" w:rsidRDefault="009E168A" w:rsidP="009E168A">
      <w:pPr>
        <w:numPr>
          <w:ilvl w:val="0"/>
          <w:numId w:val="9"/>
        </w:numPr>
        <w:spacing w:after="0"/>
        <w:rPr>
          <w:rFonts w:eastAsia="Calibri" w:cs="Times New Roman"/>
        </w:rPr>
      </w:pPr>
      <w:r w:rsidRPr="009E168A">
        <w:rPr>
          <w:rFonts w:eastAsia="Calibri" w:cs="Times New Roman"/>
        </w:rPr>
        <w:t xml:space="preserve">DUSC considered that an analysis of the dosing trends for mesalazine would be informative. </w:t>
      </w:r>
    </w:p>
    <w:p w:rsidR="009E168A" w:rsidRPr="009E168A" w:rsidRDefault="009E168A" w:rsidP="009E168A">
      <w:pPr>
        <w:numPr>
          <w:ilvl w:val="0"/>
          <w:numId w:val="9"/>
        </w:numPr>
        <w:spacing w:after="0"/>
        <w:rPr>
          <w:rFonts w:eastAsia="Calibri" w:cs="Times New Roman"/>
        </w:rPr>
      </w:pPr>
      <w:r w:rsidRPr="009E168A">
        <w:rPr>
          <w:rFonts w:eastAsia="Calibri" w:cs="Times New Roman"/>
        </w:rPr>
        <w:t xml:space="preserve">DUSC requested that the report be provided to the PBAC. </w:t>
      </w:r>
    </w:p>
    <w:p w:rsidR="009E168A" w:rsidRDefault="009E168A" w:rsidP="009E168A">
      <w:pPr>
        <w:pStyle w:val="Heading1"/>
      </w:pPr>
      <w:r w:rsidRPr="0092516A">
        <w:t>Context for analysis</w:t>
      </w:r>
    </w:p>
    <w:p w:rsidR="009E168A" w:rsidRDefault="009E168A" w:rsidP="009E168A">
      <w:r>
        <w:t>The DUSC is a Sub Committee of the Pharmaceutical Benefits Advisory Committee (PBAC). The DUSC assesses estimates on projected usage and financial cost of medicines.</w:t>
      </w:r>
    </w:p>
    <w:p w:rsidR="009E168A" w:rsidRDefault="009E168A" w:rsidP="009E168A">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9E168A" w:rsidRDefault="009E168A" w:rsidP="009E168A">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9E168A" w:rsidRDefault="009E168A" w:rsidP="009E168A">
      <w:r>
        <w:t>The utilisation analysis report was provided to the pharmaceutical sponsors of each drug and comments on the report were provided to DUSC prior to its consideration of the analysis.</w:t>
      </w:r>
    </w:p>
    <w:p w:rsidR="009E168A" w:rsidRDefault="009E168A" w:rsidP="009E168A">
      <w:pPr>
        <w:pStyle w:val="Heading1"/>
      </w:pPr>
      <w:r>
        <w:t>Sponsor</w:t>
      </w:r>
      <w:r w:rsidRPr="0092516A">
        <w:t>s</w:t>
      </w:r>
      <w:r>
        <w:t>’</w:t>
      </w:r>
      <w:r w:rsidRPr="0092516A">
        <w:t xml:space="preserve"> comments</w:t>
      </w:r>
    </w:p>
    <w:p w:rsidR="0009244D" w:rsidRDefault="00AD103D" w:rsidP="009E168A">
      <w:r w:rsidRPr="00AD103D">
        <w:t>Takeda Pharmaceuticals Australia Pty Ltd</w:t>
      </w:r>
      <w:r>
        <w:t>:</w:t>
      </w:r>
      <w:r w:rsidRPr="00AD103D">
        <w:t xml:space="preserve"> </w:t>
      </w:r>
      <w:r w:rsidR="0009244D" w:rsidRPr="006375BA">
        <w:t xml:space="preserve">Takeda notes that its estimation of the number of prescriptions for vedolizumab and its cost to Government in 2016 appeared accurate. Takeda also notes that in </w:t>
      </w:r>
      <w:r w:rsidR="0009244D" w:rsidRPr="006375BA">
        <w:rPr>
          <w:rFonts w:cs="Arial"/>
        </w:rPr>
        <w:t xml:space="preserve">terms of expenditure on UC medicines, mesalazine represents at </w:t>
      </w:r>
      <w:r w:rsidR="0009244D" w:rsidRPr="006375BA">
        <w:rPr>
          <w:rFonts w:cs="Arial"/>
        </w:rPr>
        <w:lastRenderedPageBreak/>
        <w:t xml:space="preserve">least 60% of the overall expenditure when the published prices of the biological agents are used. </w:t>
      </w:r>
      <w:r w:rsidR="0009244D" w:rsidRPr="006375BA">
        <w:t>In comparison, the use and cost of the biologic medicines is low.</w:t>
      </w:r>
    </w:p>
    <w:p w:rsidR="00C67E40" w:rsidRDefault="00C67E40" w:rsidP="00C67E40">
      <w:r>
        <w:t>AbbVie Pty Ptd, Alphapharm, Alphapharm Pty Ltd, Amneal Pharmaceuticals Pty Ltd, Apotex Pty Ltd, Arrow Pharma Pty Ltd, Aspen Pharmaceuticals Australia Pty Ltd, Baxter Healthcare Pty Ltd, Clinect Pty Ltd, Eris Pharmaceuticals Australia Pty Ltd, Ferring Pharmaceuticals Pty Ltd, Fresenius Kabi Australia Pty Ltd, Generic Health Pty Ltd, iNova Pharmaceuticals Australia Pty Ltd, Janssen-Cilag Pty Ltd, Link Medical Products Pty Ltd, Meda Pharmaceuticals Pty Ltd, Merck Sharp &amp; Dohme, Novartis Pharmaceuticals, Orphan Australia Pty Ltd, Pfizer Australia Pty Ltd, Sandoz Pty Ltd, Shire Australia Pty Ltd</w:t>
      </w:r>
      <w:r w:rsidR="00AD103D">
        <w:t>:</w:t>
      </w:r>
      <w:r w:rsidR="00AD103D">
        <w:br/>
      </w:r>
      <w:r w:rsidRPr="00AD103D">
        <w:t>The sponsor has no comment.</w:t>
      </w:r>
    </w:p>
    <w:p w:rsidR="009E168A" w:rsidRDefault="009E168A" w:rsidP="009E168A">
      <w:pPr>
        <w:pStyle w:val="Heading1"/>
      </w:pPr>
      <w:r w:rsidRPr="00A4020E">
        <w:t>Disclaimer</w:t>
      </w:r>
    </w:p>
    <w:p w:rsidR="009E168A" w:rsidRDefault="009E168A" w:rsidP="009E168A">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rsidR="009E168A" w:rsidRDefault="009E168A" w:rsidP="009E168A">
      <w: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9E168A" w:rsidRDefault="009E168A" w:rsidP="009E168A">
      <w:r>
        <w:t xml:space="preserve">To the extent provided by law, DoH makes no warranties or representations as to accuracy or completeness of information contained in this report. </w:t>
      </w:r>
    </w:p>
    <w:p w:rsidR="009E168A" w:rsidRPr="000619E9" w:rsidRDefault="009E168A" w:rsidP="000619E9">
      <w: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rsidR="00195C94" w:rsidRDefault="00195C94">
      <w:pPr>
        <w:spacing w:line="276" w:lineRule="auto"/>
      </w:pPr>
      <w:r>
        <w:br w:type="page"/>
      </w:r>
    </w:p>
    <w:p w:rsidR="00195C94" w:rsidRDefault="00195C94" w:rsidP="00195C94">
      <w:pPr>
        <w:pStyle w:val="Heading1"/>
      </w:pPr>
      <w:r>
        <w:lastRenderedPageBreak/>
        <w:t>Appendix A</w:t>
      </w:r>
    </w:p>
    <w:p w:rsidR="00187002" w:rsidRPr="00657A1B" w:rsidRDefault="00187002" w:rsidP="00187002">
      <w:r>
        <w:t>D</w:t>
      </w:r>
      <w:r w:rsidRPr="00657A1B">
        <w:t>etails are from the relevant Product Information, or the Australian Medicines Handbook where indicated.</w:t>
      </w:r>
    </w:p>
    <w:p w:rsidR="00187002" w:rsidRPr="005C3DC7" w:rsidRDefault="00187002" w:rsidP="00346DA0">
      <w:pPr>
        <w:pStyle w:val="Tabletitle"/>
        <w:rPr>
          <w:i w:val="0"/>
        </w:rPr>
      </w:pPr>
      <w:r w:rsidRPr="005C3DC7">
        <w:rPr>
          <w:i w:val="0"/>
        </w:rPr>
        <w:t xml:space="preserve">Table </w:t>
      </w:r>
      <w:r w:rsidR="00245624" w:rsidRPr="005C3DC7">
        <w:rPr>
          <w:i w:val="0"/>
        </w:rPr>
        <w:t>9</w:t>
      </w:r>
      <w:r w:rsidRPr="005C3DC7">
        <w:rPr>
          <w:i w:val="0"/>
        </w:rPr>
        <w:t>: Dosage and administration of medicines for ulcerative colitis</w:t>
      </w:r>
    </w:p>
    <w:tbl>
      <w:tblPr>
        <w:tblStyle w:val="TableGrid"/>
        <w:tblW w:w="9180" w:type="dxa"/>
        <w:tblLook w:val="04A0" w:firstRow="1" w:lastRow="0" w:firstColumn="1" w:lastColumn="0" w:noHBand="0" w:noVBand="1"/>
        <w:tblCaption w:val="Dosage and administration of medicines for ulcerative colitis"/>
        <w:tblDescription w:val="Dosage and administration of medicines for ulcerative colitis"/>
      </w:tblPr>
      <w:tblGrid>
        <w:gridCol w:w="2235"/>
        <w:gridCol w:w="1701"/>
        <w:gridCol w:w="5244"/>
      </w:tblGrid>
      <w:tr w:rsidR="00187002" w:rsidRPr="005C0D28" w:rsidTr="00F55E25">
        <w:trPr>
          <w:tblHeader/>
        </w:trPr>
        <w:tc>
          <w:tcPr>
            <w:tcW w:w="2235" w:type="dxa"/>
            <w:shd w:val="clear" w:color="auto" w:fill="BFBFBF" w:themeFill="background1" w:themeFillShade="BF"/>
          </w:tcPr>
          <w:p w:rsidR="00187002" w:rsidRPr="005C0D28" w:rsidRDefault="00187002" w:rsidP="00F55E25">
            <w:pPr>
              <w:pStyle w:val="Tableheading"/>
              <w:rPr>
                <w:sz w:val="20"/>
                <w:szCs w:val="20"/>
              </w:rPr>
            </w:pPr>
            <w:r w:rsidRPr="005C0D28">
              <w:rPr>
                <w:sz w:val="20"/>
                <w:szCs w:val="20"/>
              </w:rPr>
              <w:t>Brand name and sponsor</w:t>
            </w:r>
          </w:p>
        </w:tc>
        <w:tc>
          <w:tcPr>
            <w:tcW w:w="1701" w:type="dxa"/>
            <w:shd w:val="clear" w:color="auto" w:fill="BFBFBF" w:themeFill="background1" w:themeFillShade="BF"/>
          </w:tcPr>
          <w:p w:rsidR="00187002" w:rsidRPr="005C0D28" w:rsidRDefault="00187002" w:rsidP="00F55E25">
            <w:pPr>
              <w:pStyle w:val="Tableheading"/>
              <w:rPr>
                <w:sz w:val="20"/>
                <w:szCs w:val="20"/>
              </w:rPr>
            </w:pPr>
            <w:r w:rsidRPr="005C0D28">
              <w:rPr>
                <w:sz w:val="20"/>
                <w:szCs w:val="20"/>
              </w:rPr>
              <w:t>Product</w:t>
            </w:r>
          </w:p>
        </w:tc>
        <w:tc>
          <w:tcPr>
            <w:tcW w:w="5244" w:type="dxa"/>
            <w:shd w:val="clear" w:color="auto" w:fill="BFBFBF" w:themeFill="background1" w:themeFillShade="BF"/>
          </w:tcPr>
          <w:p w:rsidR="00187002" w:rsidRPr="005C0D28" w:rsidRDefault="00187002" w:rsidP="00F55E25">
            <w:pPr>
              <w:pStyle w:val="Tableheading"/>
              <w:rPr>
                <w:sz w:val="20"/>
                <w:szCs w:val="20"/>
              </w:rPr>
            </w:pPr>
            <w:r w:rsidRPr="005C0D28">
              <w:rPr>
                <w:sz w:val="20"/>
                <w:szCs w:val="20"/>
              </w:rPr>
              <w:t xml:space="preserve">Dose and frequency of administration </w:t>
            </w:r>
          </w:p>
        </w:tc>
      </w:tr>
      <w:tr w:rsidR="00187002" w:rsidRPr="005C0D28" w:rsidTr="00F55E25">
        <w:tc>
          <w:tcPr>
            <w:tcW w:w="2235" w:type="dxa"/>
            <w:vAlign w:val="center"/>
          </w:tcPr>
          <w:p w:rsidR="00187002" w:rsidRPr="005C0D28" w:rsidRDefault="00187002" w:rsidP="00F55E25">
            <w:pPr>
              <w:pStyle w:val="Tablewriting"/>
            </w:pPr>
            <w:r w:rsidRPr="005C0D28">
              <w:rPr>
                <w:rFonts w:ascii="Calibri" w:hAnsi="Calibri"/>
              </w:rPr>
              <w:t>Salazopyrin® Pfizer Australia Pty Ltd</w:t>
            </w:r>
            <w:r w:rsidRPr="005C0D28">
              <w:rPr>
                <w:rFonts w:ascii="Calibri" w:hAnsi="Calibri"/>
              </w:rPr>
              <w:br/>
              <w:t>Pyralin Ena® Pfizer Australia Pty Ltd</w:t>
            </w:r>
            <w:r w:rsidRPr="005C0D28">
              <w:rPr>
                <w:rFonts w:ascii="Calibri" w:hAnsi="Calibri"/>
              </w:rPr>
              <w:br/>
              <w:t>Salazopyrin-EN® Pfizer Australia Pty Ltd</w:t>
            </w:r>
          </w:p>
        </w:tc>
        <w:tc>
          <w:tcPr>
            <w:tcW w:w="1701" w:type="dxa"/>
            <w:vAlign w:val="center"/>
          </w:tcPr>
          <w:p w:rsidR="00187002" w:rsidRPr="005C0D28" w:rsidRDefault="00187002" w:rsidP="00F55E25">
            <w:pPr>
              <w:pStyle w:val="Tablewriting"/>
            </w:pPr>
            <w:r w:rsidRPr="005C0D28">
              <w:rPr>
                <w:rFonts w:ascii="Calibri" w:hAnsi="Calibri"/>
              </w:rPr>
              <w:t>Sulfasalazine</w:t>
            </w:r>
          </w:p>
        </w:tc>
        <w:tc>
          <w:tcPr>
            <w:tcW w:w="5244" w:type="dxa"/>
            <w:vAlign w:val="center"/>
          </w:tcPr>
          <w:p w:rsidR="00187002" w:rsidRPr="005C0D28" w:rsidRDefault="00187002" w:rsidP="00F55E25">
            <w:pPr>
              <w:pStyle w:val="Tablewriting"/>
            </w:pPr>
            <w:r w:rsidRPr="005C0D28">
              <w:rPr>
                <w:rFonts w:ascii="Calibri" w:hAnsi="Calibri"/>
              </w:rPr>
              <w:t>Initial Dosage</w:t>
            </w:r>
            <w:r w:rsidRPr="005C0D28">
              <w:rPr>
                <w:rFonts w:ascii="Calibri" w:hAnsi="Calibri"/>
              </w:rPr>
              <w:br/>
              <w:t>Adults: 1 to 2 g four times daily.</w:t>
            </w:r>
            <w:r w:rsidRPr="005C0D28">
              <w:rPr>
                <w:rFonts w:ascii="Calibri" w:hAnsi="Calibri"/>
              </w:rPr>
              <w:br/>
              <w:t>Children: 40 to 60 mg/kg bodyweight daily in three to six divided doses.</w:t>
            </w:r>
            <w:r w:rsidRPr="005C0D28">
              <w:rPr>
                <w:rFonts w:ascii="Calibri" w:hAnsi="Calibri"/>
              </w:rPr>
              <w:br/>
              <w:t>Maintenance Dosage</w:t>
            </w:r>
            <w:r w:rsidRPr="005C0D28">
              <w:rPr>
                <w:rFonts w:ascii="Calibri" w:hAnsi="Calibri"/>
              </w:rPr>
              <w:br/>
              <w:t>Adults: 2 g daily in four divided doses.</w:t>
            </w:r>
            <w:r w:rsidRPr="005C0D28">
              <w:rPr>
                <w:rFonts w:ascii="Calibri" w:hAnsi="Calibri"/>
              </w:rPr>
              <w:br/>
              <w:t>Children: 40 mg/kg bodyweight daily in four divided doses. The daily maintenance dose should be continued unless contraindicated by side effects.</w:t>
            </w:r>
            <w:r w:rsidRPr="005C0D28">
              <w:rPr>
                <w:rFonts w:ascii="Calibri" w:hAnsi="Calibri"/>
              </w:rPr>
              <w:br/>
              <w:t>should be given preferably after meals in evenly divided doses over a 24 hour period with no more than 8 hours between overnight doses. The enteric coated tablets should not be crushed or broken.</w:t>
            </w:r>
          </w:p>
        </w:tc>
      </w:tr>
      <w:tr w:rsidR="00187002" w:rsidRPr="005C0D28" w:rsidTr="00F55E25">
        <w:tc>
          <w:tcPr>
            <w:tcW w:w="2235" w:type="dxa"/>
            <w:vAlign w:val="center"/>
          </w:tcPr>
          <w:p w:rsidR="00187002" w:rsidRPr="005C0D28" w:rsidRDefault="00187002" w:rsidP="00F55E25">
            <w:pPr>
              <w:pStyle w:val="Tablewriting"/>
            </w:pPr>
            <w:r w:rsidRPr="005C0D28">
              <w:rPr>
                <w:rFonts w:ascii="Calibri" w:hAnsi="Calibri"/>
              </w:rPr>
              <w:t>Dipentum® Clinect Pty Ltd</w:t>
            </w:r>
          </w:p>
        </w:tc>
        <w:tc>
          <w:tcPr>
            <w:tcW w:w="1701" w:type="dxa"/>
            <w:vAlign w:val="center"/>
          </w:tcPr>
          <w:p w:rsidR="00187002" w:rsidRPr="005C0D28" w:rsidRDefault="00187002" w:rsidP="00F55E25">
            <w:pPr>
              <w:pStyle w:val="Tablewriting"/>
            </w:pPr>
            <w:r w:rsidRPr="005C0D28">
              <w:rPr>
                <w:rFonts w:ascii="Calibri" w:hAnsi="Calibri"/>
              </w:rPr>
              <w:t>Olsalazine</w:t>
            </w:r>
          </w:p>
        </w:tc>
        <w:tc>
          <w:tcPr>
            <w:tcW w:w="5244" w:type="dxa"/>
            <w:vAlign w:val="center"/>
          </w:tcPr>
          <w:p w:rsidR="00187002" w:rsidRPr="005C0D28" w:rsidRDefault="00187002" w:rsidP="00F55E25">
            <w:pPr>
              <w:pStyle w:val="Tablewriting"/>
            </w:pPr>
            <w:r w:rsidRPr="005C0D28">
              <w:rPr>
                <w:rFonts w:ascii="Calibri" w:hAnsi="Calibri"/>
              </w:rPr>
              <w:t>Olsalazine should be taken at regular intervals during the day, after meals.</w:t>
            </w:r>
            <w:r w:rsidRPr="005C0D28">
              <w:rPr>
                <w:rFonts w:ascii="Calibri" w:hAnsi="Calibri"/>
              </w:rPr>
              <w:br/>
              <w:t>Adults: Long Term Maintenance of Remission</w:t>
            </w:r>
            <w:r w:rsidRPr="005C0D28">
              <w:rPr>
                <w:rFonts w:ascii="Calibri" w:hAnsi="Calibri"/>
              </w:rPr>
              <w:br/>
              <w:t>Adults including the elderly: 1g/day (2 capsules or 1 tablet, twice daily), to be continued indefinitely.</w:t>
            </w:r>
            <w:r w:rsidRPr="005C0D28">
              <w:rPr>
                <w:rFonts w:ascii="Calibri" w:hAnsi="Calibri"/>
              </w:rPr>
              <w:br/>
              <w:t>Adults: Acute Ulcerative Colitis</w:t>
            </w:r>
            <w:r w:rsidRPr="005C0D28">
              <w:rPr>
                <w:rFonts w:ascii="Calibri" w:hAnsi="Calibri"/>
              </w:rPr>
              <w:br/>
              <w:t>Adults including the elderly: Normal dose 2 g/day, in divided doses.</w:t>
            </w:r>
          </w:p>
        </w:tc>
      </w:tr>
      <w:tr w:rsidR="00187002" w:rsidRPr="005C0D28" w:rsidTr="00F55E25">
        <w:tc>
          <w:tcPr>
            <w:tcW w:w="2235" w:type="dxa"/>
            <w:vAlign w:val="center"/>
          </w:tcPr>
          <w:p w:rsidR="00187002" w:rsidRPr="005C0D28" w:rsidRDefault="00187002" w:rsidP="00F55E25">
            <w:pPr>
              <w:pStyle w:val="Tablewriting"/>
            </w:pPr>
            <w:r w:rsidRPr="005C0D28">
              <w:rPr>
                <w:rFonts w:ascii="Calibri" w:hAnsi="Calibri"/>
              </w:rPr>
              <w:t>Colazide® Fresenius Kabi Australia Pty Limited</w:t>
            </w:r>
          </w:p>
        </w:tc>
        <w:tc>
          <w:tcPr>
            <w:tcW w:w="1701" w:type="dxa"/>
            <w:vAlign w:val="center"/>
          </w:tcPr>
          <w:p w:rsidR="00187002" w:rsidRPr="005C0D28" w:rsidRDefault="00187002" w:rsidP="00F55E25">
            <w:pPr>
              <w:pStyle w:val="Tablewriting"/>
            </w:pPr>
            <w:r w:rsidRPr="005C0D28">
              <w:rPr>
                <w:rFonts w:ascii="Calibri" w:hAnsi="Calibri"/>
              </w:rPr>
              <w:t>Balsalazide</w:t>
            </w:r>
          </w:p>
        </w:tc>
        <w:tc>
          <w:tcPr>
            <w:tcW w:w="5244" w:type="dxa"/>
            <w:vAlign w:val="center"/>
          </w:tcPr>
          <w:p w:rsidR="00187002" w:rsidRPr="005C0D28" w:rsidRDefault="00187002" w:rsidP="00F55E25">
            <w:pPr>
              <w:pStyle w:val="Tablewriting"/>
            </w:pPr>
            <w:r w:rsidRPr="005C0D28">
              <w:rPr>
                <w:rFonts w:ascii="Calibri" w:hAnsi="Calibri"/>
              </w:rPr>
              <w:t>Capsules should be swallowed whole with food.</w:t>
            </w:r>
            <w:r w:rsidRPr="005C0D28">
              <w:rPr>
                <w:rFonts w:ascii="Calibri" w:hAnsi="Calibri"/>
              </w:rPr>
              <w:br/>
              <w:t>Adults</w:t>
            </w:r>
            <w:r w:rsidRPr="005C0D28">
              <w:rPr>
                <w:rFonts w:ascii="Calibri" w:hAnsi="Calibri"/>
              </w:rPr>
              <w:br/>
              <w:t>Treatment of active disease:</w:t>
            </w:r>
            <w:r w:rsidRPr="005C0D28">
              <w:rPr>
                <w:rFonts w:ascii="Calibri" w:hAnsi="Calibri"/>
              </w:rPr>
              <w:br/>
              <w:t>3 capsules three times daily until remission or for 12 weeks</w:t>
            </w:r>
            <w:r w:rsidRPr="005C0D28">
              <w:rPr>
                <w:rFonts w:ascii="Calibri" w:hAnsi="Calibri"/>
              </w:rPr>
              <w:br/>
              <w:t>maximum.</w:t>
            </w:r>
            <w:r w:rsidRPr="005C0D28">
              <w:rPr>
                <w:rFonts w:ascii="Calibri" w:hAnsi="Calibri"/>
              </w:rPr>
              <w:br/>
              <w:t>Maintenance treatment:</w:t>
            </w:r>
            <w:r w:rsidRPr="005C0D28">
              <w:rPr>
                <w:rFonts w:ascii="Calibri" w:hAnsi="Calibri"/>
              </w:rPr>
              <w:br/>
              <w:t>2 capsules twice daily. The dose can be adjusted based on each patient's response. An additional benefit has been shown with a dose of 8 capsules daily.</w:t>
            </w:r>
            <w:r w:rsidRPr="005C0D28">
              <w:rPr>
                <w:rFonts w:ascii="Calibri" w:hAnsi="Calibri"/>
              </w:rPr>
              <w:br/>
              <w:t xml:space="preserve">Rectal or oral steroids can be given concomitantly if necessary. </w:t>
            </w:r>
          </w:p>
        </w:tc>
      </w:tr>
      <w:tr w:rsidR="00187002" w:rsidRPr="005C0D28" w:rsidTr="00F55E25">
        <w:tc>
          <w:tcPr>
            <w:tcW w:w="2235" w:type="dxa"/>
            <w:vAlign w:val="center"/>
          </w:tcPr>
          <w:p w:rsidR="00187002" w:rsidRPr="005C0D28" w:rsidRDefault="00187002" w:rsidP="00F55E25">
            <w:pPr>
              <w:pStyle w:val="Tablewriting"/>
            </w:pPr>
            <w:r w:rsidRPr="005C0D28">
              <w:rPr>
                <w:rFonts w:ascii="Calibri" w:hAnsi="Calibri"/>
              </w:rPr>
              <w:t>Pentasa® Ferring Pharmaceuticals Pty Limited</w:t>
            </w:r>
            <w:r w:rsidRPr="005C0D28">
              <w:rPr>
                <w:rFonts w:ascii="Calibri" w:hAnsi="Calibri"/>
              </w:rPr>
              <w:br/>
              <w:t xml:space="preserve">Mesasal® Aspen Pharmacare Australia Pty Limited </w:t>
            </w:r>
            <w:r w:rsidRPr="005C0D28">
              <w:rPr>
                <w:rFonts w:ascii="Calibri" w:hAnsi="Calibri"/>
              </w:rPr>
              <w:br/>
              <w:t>Salofalk® Orphan Australia Pty Ltd</w:t>
            </w:r>
            <w:r w:rsidRPr="005C0D28">
              <w:rPr>
                <w:rFonts w:ascii="Calibri" w:hAnsi="Calibri"/>
              </w:rPr>
              <w:br/>
              <w:t>Mezavant® Shire Australia Pty Limited</w:t>
            </w:r>
          </w:p>
        </w:tc>
        <w:tc>
          <w:tcPr>
            <w:tcW w:w="1701" w:type="dxa"/>
            <w:vAlign w:val="center"/>
          </w:tcPr>
          <w:p w:rsidR="00187002" w:rsidRPr="005C0D28" w:rsidRDefault="00187002" w:rsidP="00F55E25">
            <w:pPr>
              <w:pStyle w:val="Tablewriting"/>
            </w:pPr>
            <w:r w:rsidRPr="005C0D28">
              <w:rPr>
                <w:rFonts w:ascii="Calibri" w:hAnsi="Calibri"/>
              </w:rPr>
              <w:t>Mesalazine</w:t>
            </w:r>
          </w:p>
        </w:tc>
        <w:tc>
          <w:tcPr>
            <w:tcW w:w="5244" w:type="dxa"/>
            <w:vAlign w:val="center"/>
          </w:tcPr>
          <w:p w:rsidR="00187002" w:rsidRPr="005C0D28" w:rsidRDefault="00187002" w:rsidP="003856F8">
            <w:pPr>
              <w:pStyle w:val="Tablewriting"/>
            </w:pPr>
            <w:r w:rsidRPr="005C0D28">
              <w:rPr>
                <w:rFonts w:ascii="Calibri" w:hAnsi="Calibri"/>
              </w:rPr>
              <w:t>Orally:</w:t>
            </w:r>
            <w:r w:rsidRPr="005C0D28">
              <w:rPr>
                <w:rFonts w:ascii="Calibri" w:hAnsi="Calibri"/>
              </w:rPr>
              <w:br/>
              <w:t xml:space="preserve">Tablets: Acute disease: </w:t>
            </w:r>
            <w:r w:rsidR="003856F8" w:rsidRPr="00ED5965">
              <w:rPr>
                <w:u w:val="single"/>
              </w:rPr>
              <w:t>1.5 g to 4.8</w:t>
            </w:r>
            <w:r w:rsidR="003856F8" w:rsidRPr="00ED5965">
              <w:t xml:space="preserve"> g </w:t>
            </w:r>
            <w:r w:rsidRPr="005C0D28">
              <w:rPr>
                <w:rFonts w:ascii="Calibri" w:hAnsi="Calibri"/>
              </w:rPr>
              <w:t xml:space="preserve"> g per day taken once daily or in divided doses. The dosage can be adjusted in accordance with the response to treatment.</w:t>
            </w:r>
            <w:r w:rsidRPr="005C0D28">
              <w:rPr>
                <w:rFonts w:ascii="Calibri" w:hAnsi="Calibri"/>
              </w:rPr>
              <w:br/>
              <w:t>Maintenance therapy: 1.</w:t>
            </w:r>
            <w:r w:rsidR="003856F8">
              <w:rPr>
                <w:rFonts w:ascii="Calibri" w:hAnsi="Calibri"/>
              </w:rPr>
              <w:t>5</w:t>
            </w:r>
            <w:r w:rsidRPr="005C0D28">
              <w:rPr>
                <w:rFonts w:ascii="Calibri" w:hAnsi="Calibri"/>
              </w:rPr>
              <w:t xml:space="preserve"> g to 2.4 g per day taken once daily or in divided doses. </w:t>
            </w:r>
            <w:r w:rsidRPr="005C0D28">
              <w:rPr>
                <w:rFonts w:ascii="Calibri" w:hAnsi="Calibri"/>
              </w:rPr>
              <w:br/>
            </w:r>
            <w:r w:rsidRPr="005C0D28">
              <w:rPr>
                <w:rFonts w:ascii="Calibri" w:hAnsi="Calibri"/>
              </w:rPr>
              <w:br/>
              <w:t>Granules: For adults and the elderly:</w:t>
            </w:r>
            <w:r w:rsidRPr="005C0D28">
              <w:rPr>
                <w:rFonts w:ascii="Calibri" w:hAnsi="Calibri"/>
              </w:rPr>
              <w:br/>
              <w:t>Unless otherwise prescribed, the recommended dose for acute ulcerative colitis is</w:t>
            </w:r>
            <w:r w:rsidR="003856F8">
              <w:rPr>
                <w:rFonts w:ascii="Calibri" w:hAnsi="Calibri"/>
              </w:rPr>
              <w:t xml:space="preserve"> </w:t>
            </w:r>
            <w:r w:rsidRPr="005C0D28">
              <w:rPr>
                <w:rFonts w:ascii="Calibri" w:hAnsi="Calibri"/>
              </w:rPr>
              <w:t xml:space="preserve">1.5 g to </w:t>
            </w:r>
            <w:r w:rsidR="003856F8">
              <w:rPr>
                <w:rFonts w:ascii="Calibri" w:hAnsi="Calibri"/>
              </w:rPr>
              <w:t>4</w:t>
            </w:r>
            <w:r w:rsidRPr="005C0D28">
              <w:rPr>
                <w:rFonts w:ascii="Calibri" w:hAnsi="Calibri"/>
              </w:rPr>
              <w:t xml:space="preserve"> g per day. For maintenance of remission </w:t>
            </w:r>
            <w:r w:rsidR="003856F8">
              <w:rPr>
                <w:rFonts w:ascii="Calibri" w:hAnsi="Calibri"/>
              </w:rPr>
              <w:t xml:space="preserve">for </w:t>
            </w:r>
            <w:r w:rsidRPr="005C0D28">
              <w:rPr>
                <w:rFonts w:ascii="Calibri" w:hAnsi="Calibri"/>
              </w:rPr>
              <w:t xml:space="preserve">ulcerative colitis, the </w:t>
            </w:r>
            <w:r w:rsidRPr="005C0D28">
              <w:rPr>
                <w:rFonts w:ascii="Calibri" w:hAnsi="Calibri"/>
              </w:rPr>
              <w:lastRenderedPageBreak/>
              <w:t xml:space="preserve">recommended dose is 1.5 g </w:t>
            </w:r>
            <w:r w:rsidR="003856F8">
              <w:rPr>
                <w:rFonts w:ascii="Calibri" w:hAnsi="Calibri"/>
              </w:rPr>
              <w:t xml:space="preserve">to 2 g </w:t>
            </w:r>
            <w:r w:rsidRPr="005C0D28">
              <w:rPr>
                <w:rFonts w:ascii="Calibri" w:hAnsi="Calibri"/>
              </w:rPr>
              <w:t>per day.</w:t>
            </w:r>
            <w:r w:rsidRPr="005C0D28">
              <w:rPr>
                <w:rFonts w:ascii="Calibri" w:hAnsi="Calibri"/>
              </w:rPr>
              <w:br/>
              <w:t>For children older than 6 years of age:</w:t>
            </w:r>
            <w:r w:rsidRPr="005C0D28">
              <w:rPr>
                <w:rFonts w:ascii="Calibri" w:hAnsi="Calibri"/>
              </w:rPr>
              <w:br/>
              <w:t>The recommended dose for acute ulcerative colitis, depending on disease severity, is</w:t>
            </w:r>
            <w:r w:rsidRPr="005C0D28">
              <w:rPr>
                <w:rFonts w:ascii="Calibri" w:hAnsi="Calibri"/>
              </w:rPr>
              <w:br/>
              <w:t>30-50 mg mesalazine/kg/day. For maintenance of remission and/or long term</w:t>
            </w:r>
            <w:r w:rsidRPr="005C0D28">
              <w:rPr>
                <w:rFonts w:ascii="Calibri" w:hAnsi="Calibri"/>
              </w:rPr>
              <w:br/>
              <w:t>treatment of ulcerative colitis, the recommended dose is 15-30 mg</w:t>
            </w:r>
            <w:r w:rsidRPr="005C0D28">
              <w:rPr>
                <w:rFonts w:ascii="Calibri" w:hAnsi="Calibri"/>
              </w:rPr>
              <w:br/>
              <w:t>mesalazine/kg/day.</w:t>
            </w:r>
          </w:p>
        </w:tc>
      </w:tr>
      <w:tr w:rsidR="00187002" w:rsidRPr="005C0D28" w:rsidTr="00F55E25">
        <w:tc>
          <w:tcPr>
            <w:tcW w:w="2235" w:type="dxa"/>
            <w:vAlign w:val="center"/>
          </w:tcPr>
          <w:p w:rsidR="00187002" w:rsidRPr="005C0D28" w:rsidRDefault="00187002" w:rsidP="00F55E25">
            <w:pPr>
              <w:pStyle w:val="Tablewriting"/>
            </w:pPr>
            <w:r w:rsidRPr="005C0D28">
              <w:rPr>
                <w:rFonts w:ascii="Calibri" w:hAnsi="Calibri"/>
              </w:rPr>
              <w:lastRenderedPageBreak/>
              <w:t>Salofalk® Orphan Australia Pty Ltd</w:t>
            </w:r>
            <w:r w:rsidRPr="005C0D28">
              <w:rPr>
                <w:rFonts w:ascii="Calibri" w:hAnsi="Calibri"/>
              </w:rPr>
              <w:br/>
              <w:t>Pentasa® Ferring Pharmaceuticals Pty Limited</w:t>
            </w:r>
          </w:p>
        </w:tc>
        <w:tc>
          <w:tcPr>
            <w:tcW w:w="1701" w:type="dxa"/>
            <w:vAlign w:val="center"/>
          </w:tcPr>
          <w:p w:rsidR="00187002" w:rsidRPr="005C0D28" w:rsidRDefault="00187002" w:rsidP="00F55E25">
            <w:pPr>
              <w:pStyle w:val="Tablewriting"/>
            </w:pPr>
            <w:r w:rsidRPr="005C0D28">
              <w:rPr>
                <w:rFonts w:ascii="Calibri" w:hAnsi="Calibri"/>
              </w:rPr>
              <w:t>Mesalazine</w:t>
            </w:r>
          </w:p>
        </w:tc>
        <w:tc>
          <w:tcPr>
            <w:tcW w:w="5244" w:type="dxa"/>
            <w:vAlign w:val="center"/>
          </w:tcPr>
          <w:p w:rsidR="00187002" w:rsidRPr="005C0D28" w:rsidRDefault="00187002" w:rsidP="003856F8">
            <w:pPr>
              <w:pStyle w:val="Tablewriting"/>
            </w:pPr>
            <w:r w:rsidRPr="005C0D28">
              <w:rPr>
                <w:rFonts w:ascii="Calibri" w:hAnsi="Calibri"/>
              </w:rPr>
              <w:t>Rectally:</w:t>
            </w:r>
            <w:r w:rsidRPr="005C0D28">
              <w:rPr>
                <w:rFonts w:ascii="Calibri" w:hAnsi="Calibri"/>
              </w:rPr>
              <w:br/>
              <w:t xml:space="preserve">Enema and foam enema: Unless otherwise advised a dose of </w:t>
            </w:r>
            <w:r w:rsidR="003856F8">
              <w:rPr>
                <w:rFonts w:ascii="Calibri" w:hAnsi="Calibri"/>
              </w:rPr>
              <w:t xml:space="preserve">1 g, </w:t>
            </w:r>
            <w:r w:rsidRPr="005C0D28">
              <w:rPr>
                <w:rFonts w:ascii="Calibri" w:hAnsi="Calibri"/>
              </w:rPr>
              <w:t>2 g or 4 g mesalazine enema once a day</w:t>
            </w:r>
            <w:r w:rsidR="003856F8">
              <w:rPr>
                <w:rFonts w:ascii="Calibri" w:hAnsi="Calibri"/>
              </w:rPr>
              <w:t xml:space="preserve"> </w:t>
            </w:r>
            <w:r w:rsidRPr="005C0D28">
              <w:rPr>
                <w:rFonts w:ascii="Calibri" w:hAnsi="Calibri"/>
              </w:rPr>
              <w:t>is used for the treatment of acute ulcerative colitis or maintenance of remission.</w:t>
            </w:r>
            <w:r w:rsidRPr="005C0D28">
              <w:rPr>
                <w:rFonts w:ascii="Calibri" w:hAnsi="Calibri"/>
              </w:rPr>
              <w:br/>
              <w:t>The content of one enema bottle (</w:t>
            </w:r>
            <w:r w:rsidR="003856F8" w:rsidRPr="003856F8">
              <w:rPr>
                <w:rFonts w:ascii="Calibri" w:hAnsi="Calibri"/>
              </w:rPr>
              <w:t>1 g/100mL</w:t>
            </w:r>
            <w:r w:rsidR="003856F8">
              <w:rPr>
                <w:rFonts w:ascii="Calibri" w:hAnsi="Calibri"/>
              </w:rPr>
              <w:t>,</w:t>
            </w:r>
            <w:r w:rsidR="003856F8" w:rsidRPr="003856F8">
              <w:rPr>
                <w:rFonts w:ascii="Calibri" w:hAnsi="Calibri"/>
              </w:rPr>
              <w:t xml:space="preserve"> </w:t>
            </w:r>
            <w:r w:rsidRPr="005C0D28">
              <w:rPr>
                <w:rFonts w:ascii="Calibri" w:hAnsi="Calibri"/>
              </w:rPr>
              <w:t>2 g/30 mL, 2 g/60 mL, or 4 g/60 mL) is instilled in the</w:t>
            </w:r>
            <w:r w:rsidR="003856F8">
              <w:rPr>
                <w:rFonts w:ascii="Calibri" w:hAnsi="Calibri"/>
              </w:rPr>
              <w:t xml:space="preserve"> </w:t>
            </w:r>
            <w:r w:rsidRPr="005C0D28">
              <w:rPr>
                <w:rFonts w:ascii="Calibri" w:hAnsi="Calibri"/>
              </w:rPr>
              <w:t xml:space="preserve">rectum once every evening prior to going to bed. </w:t>
            </w:r>
            <w:r w:rsidRPr="005C0D28">
              <w:rPr>
                <w:rFonts w:ascii="Calibri" w:hAnsi="Calibri"/>
              </w:rPr>
              <w:br/>
            </w:r>
            <w:r w:rsidRPr="005C0D28">
              <w:rPr>
                <w:rFonts w:ascii="Calibri" w:hAnsi="Calibri"/>
              </w:rPr>
              <w:br/>
              <w:t>Suppository: One 1 g suppository should be inserted into the rectum once daily at</w:t>
            </w:r>
            <w:r w:rsidR="003856F8">
              <w:rPr>
                <w:rFonts w:ascii="Calibri" w:hAnsi="Calibri"/>
              </w:rPr>
              <w:t xml:space="preserve"> </w:t>
            </w:r>
            <w:r w:rsidRPr="005C0D28">
              <w:rPr>
                <w:rFonts w:ascii="Calibri" w:hAnsi="Calibri"/>
              </w:rPr>
              <w:t>bedtime. The best results are achieved if the bowels are evacuated prior to insertion</w:t>
            </w:r>
            <w:r w:rsidR="003856F8">
              <w:rPr>
                <w:rFonts w:ascii="Calibri" w:hAnsi="Calibri"/>
              </w:rPr>
              <w:t xml:space="preserve"> </w:t>
            </w:r>
            <w:r w:rsidRPr="005C0D28">
              <w:rPr>
                <w:rFonts w:ascii="Calibri" w:hAnsi="Calibri"/>
              </w:rPr>
              <w:t>of suppository.</w:t>
            </w:r>
          </w:p>
        </w:tc>
      </w:tr>
      <w:tr w:rsidR="00187002" w:rsidRPr="005C0D28" w:rsidTr="00F55E25">
        <w:tc>
          <w:tcPr>
            <w:tcW w:w="2235" w:type="dxa"/>
            <w:vAlign w:val="center"/>
          </w:tcPr>
          <w:p w:rsidR="00187002" w:rsidRPr="005C0D28" w:rsidRDefault="00187002" w:rsidP="00F55E25">
            <w:pPr>
              <w:pStyle w:val="Tablewriting"/>
            </w:pPr>
            <w:r w:rsidRPr="005C0D28">
              <w:rPr>
                <w:rFonts w:ascii="Calibri" w:hAnsi="Calibri"/>
              </w:rPr>
              <w:t xml:space="preserve">Predsol® Aspen Pharma Pty Ltd </w:t>
            </w:r>
          </w:p>
        </w:tc>
        <w:tc>
          <w:tcPr>
            <w:tcW w:w="1701" w:type="dxa"/>
            <w:vAlign w:val="center"/>
          </w:tcPr>
          <w:p w:rsidR="00187002" w:rsidRPr="005C0D28" w:rsidRDefault="00187002" w:rsidP="00F55E25">
            <w:pPr>
              <w:pStyle w:val="Tablewriting"/>
            </w:pPr>
            <w:r w:rsidRPr="005C0D28">
              <w:rPr>
                <w:rFonts w:ascii="Calibri" w:hAnsi="Calibri"/>
              </w:rPr>
              <w:t>Prednisolone suppositories</w:t>
            </w:r>
          </w:p>
        </w:tc>
        <w:tc>
          <w:tcPr>
            <w:tcW w:w="5244" w:type="dxa"/>
            <w:vAlign w:val="center"/>
          </w:tcPr>
          <w:p w:rsidR="00187002" w:rsidRPr="005C0D28" w:rsidRDefault="00187002" w:rsidP="00F55E25">
            <w:pPr>
              <w:pStyle w:val="Tablewriting"/>
            </w:pPr>
            <w:r w:rsidRPr="005C0D28">
              <w:rPr>
                <w:rFonts w:ascii="Calibri" w:hAnsi="Calibri"/>
              </w:rPr>
              <w:t xml:space="preserve">Contain prednisolone 5 mg. Administer twice daily, one at bedtime and the other after morning defecation. </w:t>
            </w:r>
          </w:p>
        </w:tc>
      </w:tr>
      <w:tr w:rsidR="00187002" w:rsidRPr="005C0D28" w:rsidTr="00F55E25">
        <w:tc>
          <w:tcPr>
            <w:tcW w:w="2235" w:type="dxa"/>
            <w:vAlign w:val="center"/>
          </w:tcPr>
          <w:p w:rsidR="00187002" w:rsidRPr="005C0D28" w:rsidRDefault="00187002" w:rsidP="00F55E25">
            <w:pPr>
              <w:pStyle w:val="Tablewriting"/>
            </w:pPr>
            <w:r w:rsidRPr="005C0D28">
              <w:rPr>
                <w:rFonts w:ascii="Calibri" w:hAnsi="Calibri"/>
              </w:rPr>
              <w:t xml:space="preserve">Predsol® Aspen Pharma Pty Ltd </w:t>
            </w:r>
          </w:p>
        </w:tc>
        <w:tc>
          <w:tcPr>
            <w:tcW w:w="1701" w:type="dxa"/>
            <w:vAlign w:val="center"/>
          </w:tcPr>
          <w:p w:rsidR="00187002" w:rsidRPr="005C0D28" w:rsidRDefault="00187002" w:rsidP="00F55E25">
            <w:pPr>
              <w:pStyle w:val="Tablewriting"/>
            </w:pPr>
            <w:r w:rsidRPr="005C0D28">
              <w:rPr>
                <w:rFonts w:ascii="Calibri" w:hAnsi="Calibri"/>
              </w:rPr>
              <w:t>Prednisolone retention enema</w:t>
            </w:r>
          </w:p>
        </w:tc>
        <w:tc>
          <w:tcPr>
            <w:tcW w:w="5244" w:type="dxa"/>
            <w:vAlign w:val="center"/>
          </w:tcPr>
          <w:p w:rsidR="00187002" w:rsidRPr="005C0D28" w:rsidRDefault="00187002" w:rsidP="00F55E25">
            <w:pPr>
              <w:pStyle w:val="Tablewriting"/>
            </w:pPr>
            <w:r w:rsidRPr="005C0D28">
              <w:rPr>
                <w:rFonts w:ascii="Calibri" w:hAnsi="Calibri"/>
              </w:rPr>
              <w:t>One enema contains prednisolone 20 mg/100 mL, use one enema nightly on retiring, for two to four weeks.</w:t>
            </w:r>
          </w:p>
        </w:tc>
      </w:tr>
      <w:tr w:rsidR="00187002" w:rsidRPr="005C0D28" w:rsidTr="00F55E25">
        <w:tc>
          <w:tcPr>
            <w:tcW w:w="2235" w:type="dxa"/>
            <w:vAlign w:val="center"/>
          </w:tcPr>
          <w:p w:rsidR="00187002" w:rsidRPr="005C0D28" w:rsidRDefault="00187002" w:rsidP="00F55E25">
            <w:pPr>
              <w:pStyle w:val="Tablewriting"/>
            </w:pPr>
            <w:r w:rsidRPr="005C0D28">
              <w:rPr>
                <w:rFonts w:ascii="Calibri" w:hAnsi="Calibri"/>
              </w:rPr>
              <w:t>Sone® iNova Pharmaceuticals (Australia) Pty Limited</w:t>
            </w:r>
          </w:p>
        </w:tc>
        <w:tc>
          <w:tcPr>
            <w:tcW w:w="1701" w:type="dxa"/>
            <w:vAlign w:val="center"/>
          </w:tcPr>
          <w:p w:rsidR="00187002" w:rsidRPr="005C0D28" w:rsidRDefault="00187002" w:rsidP="00F55E25">
            <w:pPr>
              <w:pStyle w:val="Tablewriting"/>
            </w:pPr>
            <w:r w:rsidRPr="005C0D28">
              <w:rPr>
                <w:rFonts w:ascii="Calibri" w:hAnsi="Calibri"/>
              </w:rPr>
              <w:t xml:space="preserve">Prednisone </w:t>
            </w:r>
          </w:p>
        </w:tc>
        <w:tc>
          <w:tcPr>
            <w:tcW w:w="5244" w:type="dxa"/>
            <w:vAlign w:val="center"/>
          </w:tcPr>
          <w:p w:rsidR="00187002" w:rsidRPr="005C0D28" w:rsidRDefault="00187002" w:rsidP="00F55E25">
            <w:pPr>
              <w:pStyle w:val="Tablewriting"/>
            </w:pPr>
            <w:r w:rsidRPr="005C0D28">
              <w:rPr>
                <w:rFonts w:ascii="Calibri" w:hAnsi="Calibri"/>
              </w:rPr>
              <w:t>Adults: 10 to 100 mg daily in divided doses.</w:t>
            </w:r>
            <w:r w:rsidRPr="005C0D28">
              <w:rPr>
                <w:rFonts w:ascii="Calibri" w:hAnsi="Calibri"/>
              </w:rPr>
              <w:br/>
              <w:t>Children: 1 to 5 years. 2.5 to 10 mg twice daily. 6 to 12 years: 5 to 20 mg twice daily.</w:t>
            </w:r>
          </w:p>
        </w:tc>
      </w:tr>
      <w:tr w:rsidR="00187002" w:rsidRPr="005C0D28" w:rsidTr="00F55E25">
        <w:tc>
          <w:tcPr>
            <w:tcW w:w="2235" w:type="dxa"/>
            <w:vAlign w:val="center"/>
          </w:tcPr>
          <w:p w:rsidR="00187002" w:rsidRPr="005C0D28" w:rsidRDefault="00187002" w:rsidP="00F55E25">
            <w:pPr>
              <w:pStyle w:val="Tablewriting"/>
            </w:pPr>
            <w:r w:rsidRPr="005C0D28">
              <w:rPr>
                <w:rFonts w:ascii="Calibri" w:hAnsi="Calibri"/>
              </w:rPr>
              <w:t>Panafcort® Predsone® Aspen Pharmacare Australia Pty Limited</w:t>
            </w:r>
          </w:p>
        </w:tc>
        <w:tc>
          <w:tcPr>
            <w:tcW w:w="1701" w:type="dxa"/>
            <w:vAlign w:val="center"/>
          </w:tcPr>
          <w:p w:rsidR="00187002" w:rsidRPr="005C0D28" w:rsidRDefault="00187002" w:rsidP="00F55E25">
            <w:pPr>
              <w:pStyle w:val="Tablewriting"/>
            </w:pPr>
            <w:r w:rsidRPr="005C0D28">
              <w:rPr>
                <w:rFonts w:ascii="Calibri" w:hAnsi="Calibri"/>
              </w:rPr>
              <w:t xml:space="preserve">Prednisone </w:t>
            </w:r>
          </w:p>
        </w:tc>
        <w:tc>
          <w:tcPr>
            <w:tcW w:w="5244" w:type="dxa"/>
            <w:vAlign w:val="center"/>
          </w:tcPr>
          <w:p w:rsidR="00187002" w:rsidRPr="005C0D28" w:rsidRDefault="00187002" w:rsidP="00F55E25">
            <w:pPr>
              <w:pStyle w:val="Tablewriting"/>
            </w:pPr>
            <w:r w:rsidRPr="005C0D28">
              <w:rPr>
                <w:rFonts w:ascii="Calibri" w:hAnsi="Calibri"/>
              </w:rPr>
              <w:t>Adults: The initial adult dosage may range from 20 to 40 mg daily, but can be 60 to 80 mg daily if necessary, depending on the disease being treated. Maintenance dosage: Usually 5 to 20 mg daily.</w:t>
            </w:r>
            <w:r w:rsidRPr="005C0D28">
              <w:rPr>
                <w:rFonts w:ascii="Calibri" w:hAnsi="Calibri"/>
              </w:rPr>
              <w:br/>
              <w:t xml:space="preserve">In long term therapy the ideal dosage should not be greater than 40 mg per day so as to minimise side-effects. It is usually administered in 2-4 divided doses or as a single daily dose after breakfast or on alternate days. </w:t>
            </w:r>
            <w:r w:rsidRPr="005C0D28">
              <w:rPr>
                <w:rFonts w:ascii="Calibri" w:hAnsi="Calibri"/>
              </w:rPr>
              <w:br/>
              <w:t>Children: Initial dosage: 0.5 mg/kg daily in three or four divided doses after food as in adults. This</w:t>
            </w:r>
            <w:r w:rsidRPr="005C0D28">
              <w:rPr>
                <w:rFonts w:ascii="Calibri" w:hAnsi="Calibri"/>
              </w:rPr>
              <w:br/>
              <w:t>dosage can be doubled or trebled if necessary. Maintenance dosage: 0.125 to 0.25 mg/kg daily.</w:t>
            </w:r>
          </w:p>
        </w:tc>
      </w:tr>
      <w:tr w:rsidR="00187002" w:rsidRPr="005C0D28" w:rsidTr="00F55E25">
        <w:tc>
          <w:tcPr>
            <w:tcW w:w="2235" w:type="dxa"/>
            <w:vAlign w:val="center"/>
          </w:tcPr>
          <w:p w:rsidR="00187002" w:rsidRPr="005C0D28" w:rsidRDefault="00187002" w:rsidP="00F55E25">
            <w:pPr>
              <w:pStyle w:val="Tablewriting"/>
            </w:pPr>
            <w:r w:rsidRPr="005C0D28">
              <w:rPr>
                <w:rFonts w:ascii="Calibri" w:hAnsi="Calibri"/>
              </w:rPr>
              <w:t>Budenofalk® Orphan Australia Pty Ltd</w:t>
            </w:r>
          </w:p>
        </w:tc>
        <w:tc>
          <w:tcPr>
            <w:tcW w:w="1701" w:type="dxa"/>
            <w:vAlign w:val="center"/>
          </w:tcPr>
          <w:p w:rsidR="00187002" w:rsidRPr="005C0D28" w:rsidRDefault="00187002" w:rsidP="00F55E25">
            <w:pPr>
              <w:pStyle w:val="Tablewriting"/>
            </w:pPr>
            <w:r w:rsidRPr="005C0D28">
              <w:rPr>
                <w:rFonts w:ascii="Calibri" w:hAnsi="Calibri"/>
              </w:rPr>
              <w:t>Budesonide</w:t>
            </w:r>
          </w:p>
        </w:tc>
        <w:tc>
          <w:tcPr>
            <w:tcW w:w="5244" w:type="dxa"/>
            <w:vAlign w:val="center"/>
          </w:tcPr>
          <w:p w:rsidR="00187002" w:rsidRPr="005C0D28" w:rsidRDefault="00187002" w:rsidP="00F55E25">
            <w:pPr>
              <w:pStyle w:val="Tablewriting"/>
            </w:pPr>
            <w:r w:rsidRPr="005C0D28">
              <w:rPr>
                <w:rFonts w:ascii="Calibri" w:hAnsi="Calibri"/>
              </w:rPr>
              <w:t>Apply one actuation of 2 mg budesonide daily. Budesonide 2 mg foam enema can be applied in the morning or evening.</w:t>
            </w:r>
          </w:p>
        </w:tc>
      </w:tr>
      <w:tr w:rsidR="00187002" w:rsidRPr="005C0D28" w:rsidTr="00F55E25">
        <w:tc>
          <w:tcPr>
            <w:tcW w:w="2235" w:type="dxa"/>
            <w:vAlign w:val="center"/>
          </w:tcPr>
          <w:p w:rsidR="00187002" w:rsidRPr="005C0D28" w:rsidRDefault="00187002" w:rsidP="00F55E25">
            <w:pPr>
              <w:pStyle w:val="Tablewriting"/>
            </w:pPr>
            <w:r w:rsidRPr="005C0D28">
              <w:rPr>
                <w:rFonts w:ascii="Calibri" w:hAnsi="Calibri"/>
              </w:rPr>
              <w:t xml:space="preserve">Colifoam® Meda Pharmaceuticals Pty Ltd </w:t>
            </w:r>
          </w:p>
        </w:tc>
        <w:tc>
          <w:tcPr>
            <w:tcW w:w="1701" w:type="dxa"/>
            <w:vAlign w:val="center"/>
          </w:tcPr>
          <w:p w:rsidR="00187002" w:rsidRPr="005C0D28" w:rsidRDefault="00187002" w:rsidP="00F55E25">
            <w:pPr>
              <w:pStyle w:val="Tablewriting"/>
            </w:pPr>
            <w:r w:rsidRPr="005C0D28">
              <w:rPr>
                <w:rFonts w:ascii="Calibri" w:hAnsi="Calibri"/>
              </w:rPr>
              <w:t>Hydrocortisone</w:t>
            </w:r>
          </w:p>
        </w:tc>
        <w:tc>
          <w:tcPr>
            <w:tcW w:w="5244" w:type="dxa"/>
            <w:vAlign w:val="center"/>
          </w:tcPr>
          <w:p w:rsidR="00187002" w:rsidRPr="005C0D28" w:rsidRDefault="00187002" w:rsidP="00F55E25">
            <w:pPr>
              <w:pStyle w:val="Tablewriting"/>
            </w:pPr>
            <w:r w:rsidRPr="005C0D28">
              <w:rPr>
                <w:rFonts w:ascii="Calibri" w:hAnsi="Calibri"/>
              </w:rPr>
              <w:t>Rectally</w:t>
            </w:r>
            <w:r w:rsidRPr="005C0D28">
              <w:rPr>
                <w:rFonts w:ascii="Calibri" w:hAnsi="Calibri"/>
              </w:rPr>
              <w:br/>
              <w:t>The dosage is one applicator full containing approximately 90 to 100 mg hydrocortisone acetate, as directed by the doctor. The usual dosage rate is one applicator full once or twice daily for two to three weeks, and every second day thereafter, applied as directed above into the rectum.</w:t>
            </w:r>
          </w:p>
        </w:tc>
      </w:tr>
      <w:tr w:rsidR="00187002" w:rsidRPr="005C0D28" w:rsidTr="00F55E25">
        <w:tc>
          <w:tcPr>
            <w:tcW w:w="2235" w:type="dxa"/>
            <w:vAlign w:val="center"/>
          </w:tcPr>
          <w:p w:rsidR="00187002" w:rsidRPr="005C0D28" w:rsidRDefault="00187002" w:rsidP="00F55E25">
            <w:pPr>
              <w:pStyle w:val="Tablewriting"/>
            </w:pPr>
            <w:r w:rsidRPr="005C0D28">
              <w:rPr>
                <w:rFonts w:ascii="Calibri" w:hAnsi="Calibri"/>
              </w:rPr>
              <w:lastRenderedPageBreak/>
              <w:t>Hysone 4® Hysone 20® Alphapharm Pty Ltd</w:t>
            </w:r>
            <w:r w:rsidRPr="005C0D28">
              <w:rPr>
                <w:rFonts w:ascii="Calibri" w:hAnsi="Calibri"/>
              </w:rPr>
              <w:br/>
              <w:t>Solu-Cortef® Pfizer Australia Pty Ltd</w:t>
            </w:r>
          </w:p>
        </w:tc>
        <w:tc>
          <w:tcPr>
            <w:tcW w:w="1701" w:type="dxa"/>
            <w:vAlign w:val="center"/>
          </w:tcPr>
          <w:p w:rsidR="00187002" w:rsidRPr="005C0D28" w:rsidRDefault="00187002" w:rsidP="00F55E25">
            <w:pPr>
              <w:pStyle w:val="Tablewriting"/>
            </w:pPr>
            <w:r w:rsidRPr="005C0D28">
              <w:rPr>
                <w:rFonts w:ascii="Calibri" w:hAnsi="Calibri"/>
              </w:rPr>
              <w:t>Hydrocortisone</w:t>
            </w:r>
          </w:p>
        </w:tc>
        <w:tc>
          <w:tcPr>
            <w:tcW w:w="5244" w:type="dxa"/>
            <w:vAlign w:val="center"/>
          </w:tcPr>
          <w:p w:rsidR="00187002" w:rsidRPr="005C0D28" w:rsidRDefault="00187002" w:rsidP="00F55E25">
            <w:pPr>
              <w:pStyle w:val="Tablewriting"/>
            </w:pPr>
            <w:r w:rsidRPr="005C0D28">
              <w:rPr>
                <w:rFonts w:ascii="Calibri" w:hAnsi="Calibri"/>
              </w:rPr>
              <w:t>Systemic:</w:t>
            </w:r>
            <w:r w:rsidRPr="005C0D28">
              <w:rPr>
                <w:rFonts w:ascii="Calibri" w:hAnsi="Calibri"/>
              </w:rPr>
              <w:br/>
              <w:t>Orally: Dosage requirements are variable and must be individualised on the basis of the disease and the response of the patient.</w:t>
            </w:r>
            <w:r w:rsidRPr="005C0D28">
              <w:rPr>
                <w:rFonts w:ascii="Calibri" w:hAnsi="Calibri"/>
              </w:rPr>
              <w:br/>
              <w:t>IV injection: Therapy is initiated by administering hydrocortisone powder for injection intravenously over a period of 30 seconds (e.g., 100 mg) to 10 minutes (e.g., 500 mg or more).</w:t>
            </w:r>
          </w:p>
        </w:tc>
      </w:tr>
      <w:tr w:rsidR="00187002" w:rsidRPr="005C0D28" w:rsidTr="00F55E25">
        <w:tc>
          <w:tcPr>
            <w:tcW w:w="2235" w:type="dxa"/>
            <w:vAlign w:val="center"/>
          </w:tcPr>
          <w:p w:rsidR="00187002" w:rsidRPr="005C0D28" w:rsidRDefault="00187002" w:rsidP="00F55E25">
            <w:pPr>
              <w:pStyle w:val="Tablewriting"/>
            </w:pPr>
            <w:r w:rsidRPr="005C0D28">
              <w:rPr>
                <w:rFonts w:ascii="Calibri" w:hAnsi="Calibri"/>
              </w:rPr>
              <w:t>Purinethol®  Aspen Pharmacare Australia Pty Limited</w:t>
            </w:r>
            <w:r w:rsidRPr="005C0D28">
              <w:rPr>
                <w:rFonts w:ascii="Calibri" w:hAnsi="Calibri"/>
              </w:rPr>
              <w:br/>
              <w:t>Allmercap® Link Medical Products Pty Ltd</w:t>
            </w:r>
          </w:p>
        </w:tc>
        <w:tc>
          <w:tcPr>
            <w:tcW w:w="1701" w:type="dxa"/>
            <w:vAlign w:val="center"/>
          </w:tcPr>
          <w:p w:rsidR="00187002" w:rsidRPr="005C0D28" w:rsidRDefault="00187002" w:rsidP="00F55E25">
            <w:pPr>
              <w:pStyle w:val="Tablewriting"/>
            </w:pPr>
            <w:r w:rsidRPr="005C0D28">
              <w:rPr>
                <w:rFonts w:ascii="Calibri" w:hAnsi="Calibri"/>
              </w:rPr>
              <w:t>Mercaptopurine</w:t>
            </w:r>
          </w:p>
        </w:tc>
        <w:tc>
          <w:tcPr>
            <w:tcW w:w="5244" w:type="dxa"/>
            <w:vAlign w:val="center"/>
          </w:tcPr>
          <w:p w:rsidR="00187002" w:rsidRPr="005C0D28" w:rsidRDefault="00187002" w:rsidP="00F55E25">
            <w:pPr>
              <w:pStyle w:val="Tablewriting"/>
            </w:pPr>
            <w:r w:rsidRPr="005C0D28">
              <w:rPr>
                <w:rFonts w:ascii="Calibri" w:hAnsi="Calibri"/>
              </w:rPr>
              <w:t>Adult 1-1.5 mg/kg daily</w:t>
            </w:r>
            <w:r w:rsidRPr="005C0D28">
              <w:rPr>
                <w:rFonts w:ascii="Calibri" w:hAnsi="Calibri"/>
              </w:rPr>
              <w:br/>
              <w:t>Child &gt; 2 years, 1-1.5 mg/kg once daily. Maximum 50 mg daily initially; may be increased to 75 mg daily.</w:t>
            </w:r>
            <w:r w:rsidRPr="005C0D28">
              <w:rPr>
                <w:rFonts w:ascii="Calibri" w:hAnsi="Calibri"/>
              </w:rPr>
              <w:br/>
              <w:t>Round doses to nearest half tablet (25 mg) (AMH)</w:t>
            </w:r>
          </w:p>
        </w:tc>
      </w:tr>
      <w:tr w:rsidR="00187002" w:rsidRPr="005C0D28" w:rsidTr="00F55E25">
        <w:tc>
          <w:tcPr>
            <w:tcW w:w="2235" w:type="dxa"/>
            <w:vAlign w:val="center"/>
          </w:tcPr>
          <w:p w:rsidR="00187002" w:rsidRPr="005C0D28" w:rsidRDefault="00187002" w:rsidP="00F55E25">
            <w:pPr>
              <w:pStyle w:val="Tablewriting"/>
            </w:pPr>
            <w:r w:rsidRPr="005C0D28">
              <w:rPr>
                <w:rFonts w:ascii="Calibri" w:hAnsi="Calibri"/>
              </w:rPr>
              <w:t>Various brands and manufacturers</w:t>
            </w:r>
          </w:p>
        </w:tc>
        <w:tc>
          <w:tcPr>
            <w:tcW w:w="1701" w:type="dxa"/>
            <w:vAlign w:val="center"/>
          </w:tcPr>
          <w:p w:rsidR="00187002" w:rsidRPr="005C0D28" w:rsidRDefault="00187002" w:rsidP="00F55E25">
            <w:pPr>
              <w:pStyle w:val="Tablewriting"/>
            </w:pPr>
            <w:r w:rsidRPr="005C0D28">
              <w:rPr>
                <w:rFonts w:ascii="Calibri" w:hAnsi="Calibri"/>
              </w:rPr>
              <w:t>Azathioprine</w:t>
            </w:r>
          </w:p>
        </w:tc>
        <w:tc>
          <w:tcPr>
            <w:tcW w:w="5244" w:type="dxa"/>
            <w:vAlign w:val="center"/>
          </w:tcPr>
          <w:p w:rsidR="00187002" w:rsidRPr="005C0D28" w:rsidRDefault="00187002" w:rsidP="00F55E25">
            <w:pPr>
              <w:pStyle w:val="Tablewriting"/>
            </w:pPr>
            <w:r w:rsidRPr="005C0D28">
              <w:rPr>
                <w:rFonts w:ascii="Calibri" w:hAnsi="Calibri"/>
              </w:rPr>
              <w:t>Adult, child, oral 1-3 mg/kg daily in 1 or 2 doses; adjust according to response (AMH)</w:t>
            </w:r>
          </w:p>
        </w:tc>
      </w:tr>
      <w:tr w:rsidR="00187002" w:rsidRPr="005C0D28" w:rsidTr="00F55E25">
        <w:tc>
          <w:tcPr>
            <w:tcW w:w="2235" w:type="dxa"/>
            <w:vAlign w:val="center"/>
          </w:tcPr>
          <w:p w:rsidR="00187002" w:rsidRPr="005C0D28" w:rsidRDefault="00187002" w:rsidP="00F55E25">
            <w:pPr>
              <w:pStyle w:val="Tablewriting"/>
            </w:pPr>
            <w:r w:rsidRPr="005C0D28">
              <w:rPr>
                <w:rFonts w:ascii="Calibri" w:hAnsi="Calibri"/>
              </w:rPr>
              <w:t>Sandimmun® Neoral® Neoral 10® Neoral 25®  Neoral 50® Neoral 100® Novartis Pharmaceuticals Australia Pty Limited</w:t>
            </w:r>
            <w:r w:rsidRPr="005C0D28">
              <w:rPr>
                <w:rFonts w:ascii="Calibri" w:hAnsi="Calibri"/>
              </w:rPr>
              <w:br/>
              <w:t>Cyclosporin Sandoz® Sandoz Pty Ltd</w:t>
            </w:r>
          </w:p>
        </w:tc>
        <w:tc>
          <w:tcPr>
            <w:tcW w:w="1701" w:type="dxa"/>
            <w:vAlign w:val="center"/>
          </w:tcPr>
          <w:p w:rsidR="00187002" w:rsidRPr="005C0D28" w:rsidRDefault="00187002" w:rsidP="00F55E25">
            <w:pPr>
              <w:pStyle w:val="Tablewriting"/>
            </w:pPr>
            <w:r w:rsidRPr="005C0D28">
              <w:rPr>
                <w:rFonts w:ascii="Calibri" w:hAnsi="Calibri"/>
                <w:color w:val="2A2A2A"/>
              </w:rPr>
              <w:t>Cyclosporin</w:t>
            </w:r>
          </w:p>
        </w:tc>
        <w:tc>
          <w:tcPr>
            <w:tcW w:w="5244" w:type="dxa"/>
            <w:vAlign w:val="center"/>
          </w:tcPr>
          <w:p w:rsidR="00187002" w:rsidRPr="005C0D28" w:rsidRDefault="00187002" w:rsidP="00F55E25">
            <w:pPr>
              <w:pStyle w:val="Tablewriting"/>
            </w:pPr>
            <w:r w:rsidRPr="005C0D28">
              <w:rPr>
                <w:rFonts w:ascii="Calibri" w:hAnsi="Calibri"/>
              </w:rPr>
              <w:t>Adult, IV 2 mg/kg daily as a continuous infusion. Adjust dose according to patient response and whole blood concentration. Change to oral cyclosporin after inducing remission. (AMH)</w:t>
            </w:r>
          </w:p>
        </w:tc>
      </w:tr>
      <w:tr w:rsidR="00187002" w:rsidRPr="005C0D28" w:rsidTr="00F55E25">
        <w:tc>
          <w:tcPr>
            <w:tcW w:w="2235" w:type="dxa"/>
            <w:vAlign w:val="center"/>
          </w:tcPr>
          <w:p w:rsidR="00187002" w:rsidRPr="005C0D28" w:rsidRDefault="00187002" w:rsidP="00F55E25">
            <w:pPr>
              <w:pStyle w:val="Tablewriting"/>
            </w:pPr>
            <w:r w:rsidRPr="005C0D28">
              <w:rPr>
                <w:rFonts w:ascii="Calibri" w:hAnsi="Calibri"/>
              </w:rPr>
              <w:t>Humira® AbbVie Pty Ltd</w:t>
            </w:r>
          </w:p>
        </w:tc>
        <w:tc>
          <w:tcPr>
            <w:tcW w:w="1701" w:type="dxa"/>
            <w:vAlign w:val="center"/>
          </w:tcPr>
          <w:p w:rsidR="00187002" w:rsidRPr="005C0D28" w:rsidRDefault="00187002" w:rsidP="00F55E25">
            <w:pPr>
              <w:pStyle w:val="Tablewriting"/>
            </w:pPr>
            <w:r w:rsidRPr="005C0D28">
              <w:rPr>
                <w:rFonts w:ascii="Calibri" w:hAnsi="Calibri"/>
              </w:rPr>
              <w:t>Adalimumab</w:t>
            </w:r>
          </w:p>
        </w:tc>
        <w:tc>
          <w:tcPr>
            <w:tcW w:w="5244" w:type="dxa"/>
            <w:vAlign w:val="center"/>
          </w:tcPr>
          <w:p w:rsidR="00187002" w:rsidRPr="005C0D28" w:rsidRDefault="00187002" w:rsidP="00F55E25">
            <w:pPr>
              <w:pStyle w:val="Tablewriting"/>
            </w:pPr>
            <w:r w:rsidRPr="005C0D28">
              <w:rPr>
                <w:rFonts w:ascii="Calibri" w:hAnsi="Calibri"/>
              </w:rPr>
              <w:t>Induction 160 mg Initial Dose (Day 0) as four injections OR as two injections on Day 0 and two injections on Day 1</w:t>
            </w:r>
            <w:r w:rsidRPr="005C0D28">
              <w:rPr>
                <w:rFonts w:ascii="Calibri" w:hAnsi="Calibri"/>
              </w:rPr>
              <w:br/>
              <w:t>80 mg Second Dose (Day 14) as two injections</w:t>
            </w:r>
            <w:r w:rsidRPr="005C0D28">
              <w:rPr>
                <w:rFonts w:ascii="Calibri" w:hAnsi="Calibri"/>
              </w:rPr>
              <w:br/>
              <w:t>Maintenance 40 mg Starting Day 28 &amp; continuing fortnightly</w:t>
            </w:r>
          </w:p>
        </w:tc>
      </w:tr>
      <w:tr w:rsidR="00187002" w:rsidRPr="005C0D28" w:rsidTr="00F55E25">
        <w:tc>
          <w:tcPr>
            <w:tcW w:w="2235" w:type="dxa"/>
            <w:vAlign w:val="center"/>
          </w:tcPr>
          <w:p w:rsidR="00187002" w:rsidRPr="005C0D28" w:rsidRDefault="00187002" w:rsidP="00F55E25">
            <w:pPr>
              <w:pStyle w:val="Tablewriting"/>
            </w:pPr>
            <w:r w:rsidRPr="005C0D28">
              <w:rPr>
                <w:rFonts w:ascii="Calibri" w:hAnsi="Calibri"/>
              </w:rPr>
              <w:t>Remicade® Janssen-Cilag Pty Ltd</w:t>
            </w:r>
            <w:r w:rsidRPr="005C0D28">
              <w:rPr>
                <w:rFonts w:ascii="Calibri" w:hAnsi="Calibri"/>
              </w:rPr>
              <w:br/>
              <w:t>Inflectra® Pfizer Australia Pty Ltd</w:t>
            </w:r>
          </w:p>
        </w:tc>
        <w:tc>
          <w:tcPr>
            <w:tcW w:w="1701" w:type="dxa"/>
            <w:vAlign w:val="center"/>
          </w:tcPr>
          <w:p w:rsidR="00187002" w:rsidRPr="005C0D28" w:rsidRDefault="00187002" w:rsidP="00F55E25">
            <w:pPr>
              <w:pStyle w:val="Tablewriting"/>
            </w:pPr>
            <w:r w:rsidRPr="005C0D28">
              <w:rPr>
                <w:rFonts w:ascii="Calibri" w:hAnsi="Calibri"/>
              </w:rPr>
              <w:t>Infliximab</w:t>
            </w:r>
          </w:p>
        </w:tc>
        <w:tc>
          <w:tcPr>
            <w:tcW w:w="5244" w:type="dxa"/>
            <w:vAlign w:val="center"/>
          </w:tcPr>
          <w:p w:rsidR="00187002" w:rsidRPr="005C0D28" w:rsidRDefault="00187002" w:rsidP="00F55E25">
            <w:pPr>
              <w:pStyle w:val="Tablewriting"/>
            </w:pPr>
            <w:r w:rsidRPr="005C0D28">
              <w:rPr>
                <w:rFonts w:ascii="Calibri" w:hAnsi="Calibri"/>
              </w:rPr>
              <w:t>Adults and in children and adolescents (6 to 17 years)</w:t>
            </w:r>
            <w:r w:rsidRPr="005C0D28">
              <w:rPr>
                <w:rFonts w:ascii="Calibri" w:hAnsi="Calibri"/>
              </w:rPr>
              <w:br/>
              <w:t>5 mg/kg given as an intravenous infusion followed by additional 5 mg/kg infusion dose at 2</w:t>
            </w:r>
            <w:r w:rsidRPr="005C0D28">
              <w:rPr>
                <w:rFonts w:ascii="Calibri" w:hAnsi="Calibri"/>
              </w:rPr>
              <w:br/>
              <w:t>and 6 weeks after the first infusion, then every 8 weeks thereafter.</w:t>
            </w:r>
          </w:p>
        </w:tc>
      </w:tr>
      <w:tr w:rsidR="00187002" w:rsidRPr="005C0D28" w:rsidTr="00F55E25">
        <w:tc>
          <w:tcPr>
            <w:tcW w:w="2235" w:type="dxa"/>
            <w:vAlign w:val="center"/>
          </w:tcPr>
          <w:p w:rsidR="00187002" w:rsidRPr="005C0D28" w:rsidRDefault="00187002" w:rsidP="00F55E25">
            <w:pPr>
              <w:pStyle w:val="Tablewriting"/>
            </w:pPr>
            <w:r w:rsidRPr="005C0D28">
              <w:rPr>
                <w:rFonts w:ascii="Calibri" w:hAnsi="Calibri"/>
              </w:rPr>
              <w:t>Entyvio® Takeda Pharmaceuticals Australia Pty Ltd</w:t>
            </w:r>
          </w:p>
        </w:tc>
        <w:tc>
          <w:tcPr>
            <w:tcW w:w="1701" w:type="dxa"/>
            <w:vAlign w:val="center"/>
          </w:tcPr>
          <w:p w:rsidR="00187002" w:rsidRPr="005C0D28" w:rsidRDefault="00187002" w:rsidP="00F55E25">
            <w:pPr>
              <w:pStyle w:val="Tablewriting"/>
            </w:pPr>
            <w:r w:rsidRPr="005C0D28">
              <w:rPr>
                <w:rFonts w:ascii="Calibri" w:hAnsi="Calibri"/>
              </w:rPr>
              <w:t>Vedolizumab</w:t>
            </w:r>
          </w:p>
        </w:tc>
        <w:tc>
          <w:tcPr>
            <w:tcW w:w="5244" w:type="dxa"/>
            <w:vAlign w:val="center"/>
          </w:tcPr>
          <w:p w:rsidR="00187002" w:rsidRPr="005C0D28" w:rsidRDefault="00187002" w:rsidP="00F55E25">
            <w:pPr>
              <w:pStyle w:val="Tablewriting"/>
            </w:pPr>
            <w:r w:rsidRPr="005C0D28">
              <w:rPr>
                <w:rFonts w:ascii="Calibri" w:hAnsi="Calibri"/>
              </w:rPr>
              <w:t>Adults (≥18 years)</w:t>
            </w:r>
            <w:r w:rsidRPr="005C0D28">
              <w:rPr>
                <w:rFonts w:ascii="Calibri" w:hAnsi="Calibri"/>
              </w:rPr>
              <w:br/>
              <w:t>The recommended dose regimen of vedolizumab is 300 mg administered by intravenous</w:t>
            </w:r>
            <w:r w:rsidRPr="005C0D28">
              <w:rPr>
                <w:rFonts w:ascii="Calibri" w:hAnsi="Calibri"/>
              </w:rPr>
              <w:br/>
              <w:t>infusion at zero, two and six weeks and then every eight weeks thereafter. Patients should be reviewed within 6 to 8 weeks of completing the induction regimen,</w:t>
            </w:r>
            <w:r w:rsidRPr="005C0D28">
              <w:rPr>
                <w:rFonts w:ascii="Calibri" w:hAnsi="Calibri"/>
              </w:rPr>
              <w:br/>
              <w:t>corresponding to 12-14 weeks after initiation of induction treatment. Continued treatment is</w:t>
            </w:r>
            <w:r w:rsidRPr="005C0D28">
              <w:rPr>
                <w:rFonts w:ascii="Calibri" w:hAnsi="Calibri"/>
              </w:rPr>
              <w:br/>
              <w:t>not recommended for patients who have not shown a clinical response by Week 14.</w:t>
            </w:r>
          </w:p>
        </w:tc>
      </w:tr>
    </w:tbl>
    <w:p w:rsidR="00245624" w:rsidRPr="00245624" w:rsidRDefault="00187002" w:rsidP="00187002">
      <w:pPr>
        <w:pStyle w:val="Notes"/>
      </w:pPr>
      <w:r w:rsidRPr="00245624">
        <w:t>Source:</w:t>
      </w:r>
      <w:r w:rsidR="00245624" w:rsidRPr="00245624">
        <w:t xml:space="preserve"> Product Information </w:t>
      </w:r>
      <w:r w:rsidR="00245624" w:rsidRPr="00470C46">
        <w:t>https://www.ebs.tga.gov.au/</w:t>
      </w:r>
      <w:r w:rsidR="00245624">
        <w:t xml:space="preserve"> </w:t>
      </w:r>
      <w:r w:rsidR="00245624">
        <w:br/>
      </w:r>
      <w:r w:rsidR="00245624" w:rsidRPr="00245624">
        <w:t>Australian Medicines Handbook, 2016</w:t>
      </w:r>
    </w:p>
    <w:p w:rsidR="00187002" w:rsidRDefault="00187002" w:rsidP="00187002">
      <w:pPr>
        <w:pStyle w:val="Heading1"/>
      </w:pPr>
      <w:r>
        <w:lastRenderedPageBreak/>
        <w:t>Appendix B</w:t>
      </w:r>
    </w:p>
    <w:p w:rsidR="00195C94" w:rsidRPr="007247B9" w:rsidDel="00EE2BBB" w:rsidRDefault="00195C94" w:rsidP="00346DA0">
      <w:pPr>
        <w:pStyle w:val="Heading2"/>
      </w:pPr>
      <w:r w:rsidRPr="007247B9" w:rsidDel="00EE2BBB">
        <w:t>PBS listing details</w:t>
      </w:r>
      <w:r w:rsidDel="00EE2BBB">
        <w:t xml:space="preserve"> (as at </w:t>
      </w:r>
      <w:r>
        <w:t>April 2017)</w:t>
      </w:r>
    </w:p>
    <w:p w:rsidR="00195C94" w:rsidRPr="005C3DC7" w:rsidRDefault="00245624" w:rsidP="00346DA0">
      <w:pPr>
        <w:pStyle w:val="Tabletitle"/>
        <w:rPr>
          <w:i w:val="0"/>
        </w:rPr>
      </w:pPr>
      <w:r w:rsidRPr="005C3DC7">
        <w:rPr>
          <w:i w:val="0"/>
        </w:rPr>
        <w:t>Table 10</w:t>
      </w:r>
      <w:r w:rsidR="00195C94" w:rsidRPr="005C3DC7" w:rsidDel="00EE2BBB">
        <w:rPr>
          <w:i w:val="0"/>
        </w:rPr>
        <w:t>: PB</w:t>
      </w:r>
      <w:r w:rsidR="00195C94" w:rsidRPr="005C3DC7">
        <w:rPr>
          <w:i w:val="0"/>
        </w:rPr>
        <w:t>S listing of April 2017</w:t>
      </w:r>
    </w:p>
    <w:tbl>
      <w:tblPr>
        <w:tblW w:w="9214" w:type="dxa"/>
        <w:tblInd w:w="-34" w:type="dxa"/>
        <w:tblLook w:val="04A0" w:firstRow="1" w:lastRow="0" w:firstColumn="1" w:lastColumn="0" w:noHBand="0" w:noVBand="1"/>
        <w:tblCaption w:val="PBS listing of April 2017"/>
        <w:tblDescription w:val="PBS listing of April 2017"/>
      </w:tblPr>
      <w:tblGrid>
        <w:gridCol w:w="1448"/>
        <w:gridCol w:w="2358"/>
        <w:gridCol w:w="1444"/>
        <w:gridCol w:w="785"/>
        <w:gridCol w:w="1026"/>
        <w:gridCol w:w="2153"/>
      </w:tblGrid>
      <w:tr w:rsidR="00195C94" w:rsidRPr="0052397D" w:rsidTr="00AD103D">
        <w:trPr>
          <w:trHeight w:val="510"/>
          <w:tblHeader/>
        </w:trPr>
        <w:tc>
          <w:tcPr>
            <w:tcW w:w="1448"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195C94" w:rsidRPr="0052397D" w:rsidRDefault="00195C94" w:rsidP="00CE2DE3">
            <w:pPr>
              <w:spacing w:after="0"/>
              <w:jc w:val="center"/>
              <w:rPr>
                <w:rFonts w:ascii="Calibri" w:eastAsia="Times New Roman" w:hAnsi="Calibri" w:cs="Times New Roman"/>
                <w:b/>
                <w:bCs/>
                <w:color w:val="000000"/>
                <w:sz w:val="20"/>
                <w:szCs w:val="20"/>
              </w:rPr>
            </w:pPr>
            <w:r w:rsidRPr="0052397D">
              <w:rPr>
                <w:rFonts w:ascii="Calibri" w:eastAsia="Times New Roman" w:hAnsi="Calibri" w:cs="Times New Roman"/>
                <w:b/>
                <w:bCs/>
                <w:color w:val="000000"/>
                <w:sz w:val="20"/>
                <w:szCs w:val="20"/>
              </w:rPr>
              <w:t>Item</w:t>
            </w:r>
          </w:p>
        </w:tc>
        <w:tc>
          <w:tcPr>
            <w:tcW w:w="2358" w:type="dxa"/>
            <w:tcBorders>
              <w:top w:val="single" w:sz="4" w:space="0" w:color="auto"/>
              <w:left w:val="nil"/>
              <w:bottom w:val="single" w:sz="4" w:space="0" w:color="auto"/>
              <w:right w:val="single" w:sz="4" w:space="0" w:color="auto"/>
            </w:tcBorders>
            <w:shd w:val="clear" w:color="000000" w:fill="BFBFBF"/>
            <w:vAlign w:val="center"/>
            <w:hideMark/>
          </w:tcPr>
          <w:p w:rsidR="00195C94" w:rsidRPr="0052397D" w:rsidRDefault="00195C94" w:rsidP="00CE2DE3">
            <w:pPr>
              <w:spacing w:after="0"/>
              <w:jc w:val="center"/>
              <w:rPr>
                <w:rFonts w:ascii="Calibri" w:eastAsia="Times New Roman" w:hAnsi="Calibri" w:cs="Times New Roman"/>
                <w:b/>
                <w:bCs/>
                <w:color w:val="000000"/>
                <w:sz w:val="20"/>
                <w:szCs w:val="20"/>
              </w:rPr>
            </w:pPr>
            <w:r w:rsidRPr="0052397D">
              <w:rPr>
                <w:rFonts w:ascii="Calibri" w:eastAsia="Times New Roman" w:hAnsi="Calibri" w:cs="Times New Roman"/>
                <w:b/>
                <w:bCs/>
                <w:color w:val="000000"/>
                <w:sz w:val="20"/>
                <w:szCs w:val="20"/>
              </w:rPr>
              <w:t>Name, form &amp; strength, pack size</w:t>
            </w:r>
          </w:p>
        </w:tc>
        <w:tc>
          <w:tcPr>
            <w:tcW w:w="1444" w:type="dxa"/>
            <w:tcBorders>
              <w:top w:val="single" w:sz="4" w:space="0" w:color="auto"/>
              <w:left w:val="nil"/>
              <w:bottom w:val="single" w:sz="4" w:space="0" w:color="auto"/>
              <w:right w:val="single" w:sz="4" w:space="0" w:color="auto"/>
            </w:tcBorders>
            <w:shd w:val="clear" w:color="000000" w:fill="BFBFBF"/>
            <w:vAlign w:val="center"/>
            <w:hideMark/>
          </w:tcPr>
          <w:p w:rsidR="00195C94" w:rsidRPr="0052397D" w:rsidRDefault="00195C94" w:rsidP="00CE2DE3">
            <w:pPr>
              <w:spacing w:after="0"/>
              <w:jc w:val="center"/>
              <w:rPr>
                <w:rFonts w:ascii="Calibri" w:eastAsia="Times New Roman" w:hAnsi="Calibri" w:cs="Times New Roman"/>
                <w:b/>
                <w:bCs/>
                <w:color w:val="000000"/>
                <w:sz w:val="20"/>
                <w:szCs w:val="20"/>
              </w:rPr>
            </w:pPr>
            <w:r w:rsidRPr="0052397D">
              <w:rPr>
                <w:rFonts w:ascii="Calibri" w:eastAsia="Times New Roman" w:hAnsi="Calibri" w:cs="Times New Roman"/>
                <w:b/>
                <w:bCs/>
                <w:color w:val="000000"/>
                <w:sz w:val="20"/>
                <w:szCs w:val="20"/>
              </w:rPr>
              <w:t>Max. quant.</w:t>
            </w:r>
          </w:p>
        </w:tc>
        <w:tc>
          <w:tcPr>
            <w:tcW w:w="785" w:type="dxa"/>
            <w:tcBorders>
              <w:top w:val="single" w:sz="4" w:space="0" w:color="auto"/>
              <w:left w:val="nil"/>
              <w:bottom w:val="single" w:sz="4" w:space="0" w:color="auto"/>
              <w:right w:val="single" w:sz="4" w:space="0" w:color="auto"/>
            </w:tcBorders>
            <w:shd w:val="clear" w:color="000000" w:fill="BFBFBF"/>
            <w:vAlign w:val="center"/>
            <w:hideMark/>
          </w:tcPr>
          <w:p w:rsidR="00195C94" w:rsidRPr="0052397D" w:rsidRDefault="00195C94" w:rsidP="00CE2DE3">
            <w:pPr>
              <w:spacing w:after="0"/>
              <w:jc w:val="center"/>
              <w:rPr>
                <w:rFonts w:ascii="Calibri" w:eastAsia="Times New Roman" w:hAnsi="Calibri" w:cs="Times New Roman"/>
                <w:b/>
                <w:bCs/>
                <w:color w:val="000000"/>
                <w:sz w:val="20"/>
                <w:szCs w:val="20"/>
              </w:rPr>
            </w:pPr>
            <w:r w:rsidRPr="0052397D">
              <w:rPr>
                <w:rFonts w:ascii="Calibri" w:eastAsia="Times New Roman" w:hAnsi="Calibri" w:cs="Times New Roman"/>
                <w:b/>
                <w:bCs/>
                <w:color w:val="000000"/>
                <w:sz w:val="20"/>
                <w:szCs w:val="20"/>
              </w:rPr>
              <w:t>Rpts</w:t>
            </w:r>
          </w:p>
        </w:tc>
        <w:tc>
          <w:tcPr>
            <w:tcW w:w="1026" w:type="dxa"/>
            <w:tcBorders>
              <w:top w:val="single" w:sz="4" w:space="0" w:color="auto"/>
              <w:left w:val="nil"/>
              <w:bottom w:val="single" w:sz="4" w:space="0" w:color="auto"/>
              <w:right w:val="single" w:sz="4" w:space="0" w:color="auto"/>
            </w:tcBorders>
            <w:shd w:val="clear" w:color="000000" w:fill="BFBFBF"/>
            <w:vAlign w:val="center"/>
            <w:hideMark/>
          </w:tcPr>
          <w:p w:rsidR="00195C94" w:rsidRPr="0052397D" w:rsidRDefault="00195C94" w:rsidP="00CE2DE3">
            <w:pPr>
              <w:spacing w:after="0"/>
              <w:jc w:val="center"/>
              <w:rPr>
                <w:rFonts w:ascii="Calibri" w:eastAsia="Times New Roman" w:hAnsi="Calibri" w:cs="Times New Roman"/>
                <w:b/>
                <w:bCs/>
                <w:color w:val="000000"/>
                <w:sz w:val="20"/>
                <w:szCs w:val="20"/>
              </w:rPr>
            </w:pPr>
            <w:r w:rsidRPr="0052397D">
              <w:rPr>
                <w:rFonts w:ascii="Calibri" w:eastAsia="Times New Roman" w:hAnsi="Calibri" w:cs="Times New Roman"/>
                <w:b/>
                <w:bCs/>
                <w:color w:val="000000"/>
                <w:sz w:val="20"/>
                <w:szCs w:val="20"/>
              </w:rPr>
              <w:t>DPMQ</w:t>
            </w:r>
          </w:p>
        </w:tc>
        <w:tc>
          <w:tcPr>
            <w:tcW w:w="2153" w:type="dxa"/>
            <w:tcBorders>
              <w:top w:val="single" w:sz="4" w:space="0" w:color="auto"/>
              <w:left w:val="nil"/>
              <w:bottom w:val="single" w:sz="4" w:space="0" w:color="auto"/>
              <w:right w:val="single" w:sz="4" w:space="0" w:color="auto"/>
            </w:tcBorders>
            <w:shd w:val="clear" w:color="000000" w:fill="BFBFBF"/>
            <w:vAlign w:val="center"/>
            <w:hideMark/>
          </w:tcPr>
          <w:p w:rsidR="00195C94" w:rsidRPr="0052397D" w:rsidRDefault="00195C94" w:rsidP="00CE2DE3">
            <w:pPr>
              <w:spacing w:after="0"/>
              <w:jc w:val="center"/>
              <w:rPr>
                <w:rFonts w:ascii="Calibri" w:eastAsia="Times New Roman" w:hAnsi="Calibri" w:cs="Times New Roman"/>
                <w:b/>
                <w:bCs/>
                <w:color w:val="000000"/>
                <w:sz w:val="20"/>
                <w:szCs w:val="20"/>
              </w:rPr>
            </w:pPr>
            <w:r w:rsidRPr="0052397D">
              <w:rPr>
                <w:rFonts w:ascii="Calibri" w:eastAsia="Times New Roman" w:hAnsi="Calibri" w:cs="Times New Roman"/>
                <w:b/>
                <w:bCs/>
                <w:color w:val="000000"/>
                <w:sz w:val="20"/>
                <w:szCs w:val="20"/>
              </w:rPr>
              <w:t>Brand name and manufacturer</w:t>
            </w:r>
          </w:p>
        </w:tc>
      </w:tr>
      <w:tr w:rsidR="00195C94" w:rsidRPr="0052397D" w:rsidTr="00CE2DE3">
        <w:trPr>
          <w:trHeight w:val="780"/>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10961X</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Adalimumab, Injection 40 mg in 0.8 mL pre-filled pen, 2</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2</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5</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$1,401.30</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Humira VE</w:t>
            </w:r>
          </w:p>
        </w:tc>
      </w:tr>
      <w:tr w:rsidR="00195C94" w:rsidRPr="0052397D" w:rsidTr="00CE2DE3">
        <w:trPr>
          <w:trHeight w:val="780"/>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10955N</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Adalimumab, Injection 40 mg in 0.8 mL pre-filled pen, 2</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2</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2</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$1,401.30</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Humira VE</w:t>
            </w:r>
          </w:p>
        </w:tc>
      </w:tr>
      <w:tr w:rsidR="00195C94" w:rsidRPr="0052397D" w:rsidTr="00CE2DE3">
        <w:trPr>
          <w:trHeight w:val="780"/>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10945C</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Adalimumab, Injection 40 mg in 0.8 mL pre-filled pen, 6, 1</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$3,987.46</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Humira VE</w:t>
            </w:r>
          </w:p>
        </w:tc>
      </w:tr>
      <w:tr w:rsidR="00195C94" w:rsidRPr="0052397D" w:rsidTr="00CE2DE3">
        <w:trPr>
          <w:trHeight w:val="780"/>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10960W</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Adalimumab, Injection 40 mg in 0.8 mL pre-filled syringe, 2</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2</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5</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$1,401.30</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Humira VE</w:t>
            </w:r>
          </w:p>
        </w:tc>
      </w:tr>
      <w:tr w:rsidR="00195C94" w:rsidRPr="0052397D" w:rsidTr="00CE2DE3">
        <w:trPr>
          <w:trHeight w:val="780"/>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10944B</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Adalimumab, Injection 40 mg in 0.8 mL pre-filled syringe, 2</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2</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2</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$1,401.30</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Humira VE</w:t>
            </w:r>
          </w:p>
        </w:tc>
      </w:tr>
      <w:tr w:rsidR="00195C94" w:rsidRPr="0052397D" w:rsidTr="00CE2DE3">
        <w:trPr>
          <w:trHeight w:val="780"/>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10972L</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Adalimumab, Injection 40 mg in 0.8 mL pre-filled syringe, 6, 1</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$3,987.46</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Humira VE</w:t>
            </w:r>
          </w:p>
        </w:tc>
      </w:tr>
      <w:tr w:rsidR="00195C94" w:rsidRPr="0052397D" w:rsidTr="00CE2DE3">
        <w:trPr>
          <w:trHeight w:val="52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02688L</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Azathioprine, Tablet 25 mg, 100</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100</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5</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$22.72</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Various brands and manufacturers</w:t>
            </w:r>
          </w:p>
        </w:tc>
      </w:tr>
      <w:tr w:rsidR="00195C94" w:rsidRPr="0052397D" w:rsidTr="00CE2DE3">
        <w:trPr>
          <w:trHeight w:val="52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02687K</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Azathioprine, Tablet 50 mg, 100</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100</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5</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$31.27</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Various brands and manufacturers</w:t>
            </w:r>
          </w:p>
        </w:tc>
      </w:tr>
      <w:tr w:rsidR="00195C94" w:rsidRPr="0052397D" w:rsidTr="00CE2DE3">
        <w:trPr>
          <w:trHeight w:val="103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10034D</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Budesonide, Rectal foam 2 mg per application, 14 applications, aerosol 16.8 g, 2, 1</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3</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$188.11</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Budenofalk OA</w:t>
            </w:r>
          </w:p>
        </w:tc>
      </w:tr>
      <w:tr w:rsidR="00195C94" w:rsidRPr="0052397D" w:rsidTr="00CE2DE3">
        <w:trPr>
          <w:trHeight w:val="52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Various</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 xml:space="preserve">Cyclosporin, Capsule </w:t>
            </w:r>
            <w:r>
              <w:rPr>
                <w:rFonts w:ascii="Calibri" w:eastAsia="Times New Roman" w:hAnsi="Calibri" w:cs="Times New Roman"/>
                <w:color w:val="000000"/>
                <w:sz w:val="20"/>
                <w:szCs w:val="20"/>
              </w:rPr>
              <w:t>various strengths</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Various </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5</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$79.84</w:t>
            </w:r>
            <w:r>
              <w:rPr>
                <w:rFonts w:ascii="Calibri" w:eastAsia="Times New Roman" w:hAnsi="Calibri" w:cs="Times New Roman"/>
                <w:color w:val="000000"/>
                <w:sz w:val="20"/>
                <w:szCs w:val="20"/>
              </w:rPr>
              <w:t xml:space="preserve"> to </w:t>
            </w:r>
            <w:r w:rsidRPr="0052397D">
              <w:rPr>
                <w:rFonts w:ascii="Calibri" w:eastAsia="Times New Roman" w:hAnsi="Calibri" w:cs="Times New Roman"/>
                <w:color w:val="000000"/>
                <w:sz w:val="20"/>
                <w:szCs w:val="20"/>
              </w:rPr>
              <w:t>$546.40</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Various brands and manufacturers</w:t>
            </w:r>
          </w:p>
        </w:tc>
      </w:tr>
      <w:tr w:rsidR="00195C94" w:rsidRPr="0052397D" w:rsidTr="00CE2DE3">
        <w:trPr>
          <w:trHeight w:val="52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06125J</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Cyclosporin, Oral liquid 100 mg per mL, 50 mL, 1</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4</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5</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$1,310.18</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Neoral NV</w:t>
            </w:r>
          </w:p>
        </w:tc>
      </w:tr>
      <w:tr w:rsidR="00195C94" w:rsidRPr="0052397D" w:rsidTr="00CE2DE3">
        <w:trPr>
          <w:trHeight w:val="52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05633L</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Cyclosporin, Oral liquid 100 mg per mL, 50 mL, 1</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4</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5</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$1,263.16</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Neoral NV</w:t>
            </w:r>
          </w:p>
        </w:tc>
      </w:tr>
      <w:tr w:rsidR="00195C94" w:rsidRPr="0052397D" w:rsidTr="00CE2DE3">
        <w:trPr>
          <w:trHeight w:val="52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08661W</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Cyclosporin, Oral liquid 100 mg per mL, 50 mL, 1</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2</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3</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$707.10</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Neoral NV</w:t>
            </w:r>
          </w:p>
        </w:tc>
      </w:tr>
      <w:tr w:rsidR="00195C94" w:rsidRPr="0052397D" w:rsidTr="00CE2DE3">
        <w:trPr>
          <w:trHeight w:val="780"/>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05631J</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Cyclosporin, Solution concentrate for I.V. infusion 50 mg in 1 mL, 10</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10</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$54.10</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Sandimmun NV</w:t>
            </w:r>
          </w:p>
        </w:tc>
      </w:tr>
      <w:tr w:rsidR="00195C94" w:rsidRPr="0052397D" w:rsidTr="00CE2DE3">
        <w:trPr>
          <w:trHeight w:val="780"/>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06109M</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Cyclosporin, Solution concentrate for I.V. infusion 50 mg in 1 mL, 10</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10</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$65.12</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Sandimmun NV</w:t>
            </w:r>
          </w:p>
        </w:tc>
      </w:tr>
      <w:tr w:rsidR="00195C94" w:rsidRPr="0052397D" w:rsidTr="00CE2DE3">
        <w:trPr>
          <w:trHeight w:val="1035"/>
        </w:trPr>
        <w:tc>
          <w:tcPr>
            <w:tcW w:w="14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lastRenderedPageBreak/>
              <w:t>01510L</w:t>
            </w:r>
          </w:p>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05118J</w:t>
            </w:r>
          </w:p>
          <w:p w:rsidR="00195C94" w:rsidRPr="0052397D" w:rsidRDefault="00195C94" w:rsidP="00CE2DE3">
            <w:pPr>
              <w:spacing w:after="0"/>
              <w:rPr>
                <w:rFonts w:ascii="Calibri" w:eastAsia="Times New Roman" w:hAnsi="Calibri" w:cs="Times New Roman"/>
                <w:color w:val="000000"/>
                <w:sz w:val="20"/>
                <w:szCs w:val="20"/>
              </w:rPr>
            </w:pPr>
          </w:p>
        </w:tc>
        <w:tc>
          <w:tcPr>
            <w:tcW w:w="2358" w:type="dxa"/>
            <w:tcBorders>
              <w:top w:val="nil"/>
              <w:left w:val="nil"/>
              <w:bottom w:val="single" w:sz="4" w:space="0" w:color="auto"/>
              <w:right w:val="single" w:sz="4" w:space="0" w:color="auto"/>
            </w:tcBorders>
            <w:shd w:val="clear" w:color="auto" w:fill="auto"/>
            <w:vAlign w:val="center"/>
            <w:hideMark/>
          </w:tcPr>
          <w:p w:rsidR="00195C94"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Hydrocortisone, Injection 100 mg (as sodium succinate) with 2 mL solvent, 1</w:t>
            </w:r>
          </w:p>
          <w:p w:rsidR="00195C94" w:rsidRPr="0052397D" w:rsidRDefault="00195C94" w:rsidP="00CE2DE3">
            <w:pPr>
              <w:spacing w:after="0"/>
              <w:rPr>
                <w:rFonts w:ascii="Calibri" w:eastAsia="Times New Roman" w:hAnsi="Calibri" w:cs="Times New Roman"/>
                <w:color w:val="000000"/>
                <w:sz w:val="20"/>
                <w:szCs w:val="20"/>
              </w:rPr>
            </w:pP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6</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$39.96</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Solu-Cortef PF</w:t>
            </w:r>
          </w:p>
        </w:tc>
      </w:tr>
      <w:tr w:rsidR="00195C94" w:rsidRPr="0052397D" w:rsidTr="00CE2DE3">
        <w:trPr>
          <w:trHeight w:val="1035"/>
        </w:trPr>
        <w:tc>
          <w:tcPr>
            <w:tcW w:w="14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03470P</w:t>
            </w:r>
          </w:p>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01501B</w:t>
            </w:r>
          </w:p>
          <w:p w:rsidR="00195C94" w:rsidRPr="0052397D" w:rsidRDefault="00195C94" w:rsidP="00CE2DE3">
            <w:pPr>
              <w:spacing w:after="0"/>
              <w:rPr>
                <w:rFonts w:ascii="Calibri" w:eastAsia="Times New Roman" w:hAnsi="Calibri" w:cs="Times New Roman"/>
                <w:color w:val="000000"/>
                <w:sz w:val="20"/>
                <w:szCs w:val="20"/>
              </w:rPr>
            </w:pP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Hydrocortisone, Injection 100 mg (as sodium succinate) with 2 mL solvent, 1</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2</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$20.36</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Solu-Cortef PF</w:t>
            </w:r>
          </w:p>
        </w:tc>
      </w:tr>
      <w:tr w:rsidR="00195C94" w:rsidRPr="0052397D" w:rsidTr="00CE2DE3">
        <w:trPr>
          <w:trHeight w:val="1035"/>
        </w:trPr>
        <w:tc>
          <w:tcPr>
            <w:tcW w:w="14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03471Q</w:t>
            </w:r>
          </w:p>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03096Y</w:t>
            </w:r>
          </w:p>
          <w:p w:rsidR="00195C94" w:rsidRPr="0052397D" w:rsidRDefault="00195C94" w:rsidP="00CE2DE3">
            <w:pPr>
              <w:spacing w:after="0"/>
              <w:rPr>
                <w:rFonts w:ascii="Calibri" w:eastAsia="Times New Roman" w:hAnsi="Calibri" w:cs="Times New Roman"/>
                <w:color w:val="000000"/>
                <w:sz w:val="20"/>
                <w:szCs w:val="20"/>
              </w:rPr>
            </w:pP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Hydrocortisone, Injection 250 mg (as sodium succinate) with 2 mL solvent, 1</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$19.32</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Solu-Cortef PF</w:t>
            </w:r>
          </w:p>
        </w:tc>
      </w:tr>
      <w:tr w:rsidR="00195C94" w:rsidRPr="0052397D" w:rsidTr="00CE2DE3">
        <w:trPr>
          <w:trHeight w:val="1035"/>
        </w:trPr>
        <w:tc>
          <w:tcPr>
            <w:tcW w:w="14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01511M</w:t>
            </w:r>
          </w:p>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05119K</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Hydrocortisone, Injection 250 mg (as sodium succinate) with 2 mL solvent, 1</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6</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$63.12</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Solu-Cortef PF</w:t>
            </w:r>
          </w:p>
        </w:tc>
      </w:tr>
      <w:tr w:rsidR="00195C94" w:rsidRPr="0052397D" w:rsidTr="00CE2DE3">
        <w:trPr>
          <w:trHeight w:val="154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01502C</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Hydrocortisone, Rectal foam containing hydrocortisone acetate 90 mg per applicatorful, 14 applications, aerosol 21.1 g, 1</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2</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3</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$40.14</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Colifoam HM</w:t>
            </w:r>
          </w:p>
        </w:tc>
      </w:tr>
      <w:tr w:rsidR="00195C94" w:rsidRPr="0052397D" w:rsidTr="00CE2DE3">
        <w:trPr>
          <w:trHeight w:val="52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01500Y</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Hydrocortisone, Tablet 20 mg, 60</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60</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4</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$31.20</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Hysone 20 AF</w:t>
            </w:r>
          </w:p>
        </w:tc>
      </w:tr>
      <w:tr w:rsidR="00195C94" w:rsidRPr="0052397D" w:rsidTr="00CE2DE3">
        <w:trPr>
          <w:trHeight w:val="52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01499X</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Hydrocortisone, Tablet 4 mg, 50</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50</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4</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$25.02</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Hysone 4 AF</w:t>
            </w:r>
          </w:p>
        </w:tc>
      </w:tr>
      <w:tr w:rsidR="00195C94" w:rsidRPr="0052397D" w:rsidTr="00CE2DE3">
        <w:trPr>
          <w:trHeight w:val="52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10184B</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Infliximab, Powder for I.V. infusion 100 mg, 1</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$604.86</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Remicade JC</w:t>
            </w:r>
          </w:p>
        </w:tc>
      </w:tr>
      <w:tr w:rsidR="00195C94" w:rsidRPr="0052397D" w:rsidTr="00CE2DE3">
        <w:trPr>
          <w:trHeight w:val="52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10057H</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Infliximab, Powder for I.V. infusion 100 mg, 1</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$604.86</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Remicade JC</w:t>
            </w:r>
          </w:p>
        </w:tc>
      </w:tr>
      <w:tr w:rsidR="00195C94" w:rsidRPr="0052397D" w:rsidTr="00CE2DE3">
        <w:trPr>
          <w:trHeight w:val="52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10067W</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Infliximab, Powder for I.V. infusion 100 mg, 1</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5</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$2,874.25</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Inflectra PF</w:t>
            </w:r>
          </w:p>
        </w:tc>
      </w:tr>
      <w:tr w:rsidR="00195C94" w:rsidRPr="0052397D" w:rsidTr="00CE2DE3">
        <w:trPr>
          <w:trHeight w:val="52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10184B</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Infliximab, Powder for I.V. infusion 100 mg, 1</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$604.86</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Inflectra PF</w:t>
            </w:r>
          </w:p>
        </w:tc>
      </w:tr>
      <w:tr w:rsidR="00195C94" w:rsidRPr="0052397D" w:rsidTr="00CE2DE3">
        <w:trPr>
          <w:trHeight w:val="52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10057H</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Infliximab, Powder for I.V. infusion 100 mg, 1</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$604.86</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Inflectra PF</w:t>
            </w:r>
          </w:p>
        </w:tc>
      </w:tr>
      <w:tr w:rsidR="00195C94" w:rsidRPr="0052397D" w:rsidTr="00CE2DE3">
        <w:trPr>
          <w:trHeight w:val="52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10196P</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Infliximab, Powder for I.V. infusion 100 mg, 1</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$574.85</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Inflectra PF</w:t>
            </w:r>
          </w:p>
        </w:tc>
      </w:tr>
      <w:tr w:rsidR="00195C94" w:rsidRPr="0052397D" w:rsidTr="00CE2DE3">
        <w:trPr>
          <w:trHeight w:val="52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10067W</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Infliximab, Powder for I.V. infusion 100 mg, 1</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5</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$2,874.25</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Remicade JC</w:t>
            </w:r>
          </w:p>
        </w:tc>
      </w:tr>
      <w:tr w:rsidR="00195C94" w:rsidRPr="0052397D" w:rsidTr="00CE2DE3">
        <w:trPr>
          <w:trHeight w:val="52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10196P</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Infliximab, Powder for I.V. infusion 100 mg, 1</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$574.85</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Remicade JC</w:t>
            </w:r>
          </w:p>
        </w:tc>
      </w:tr>
      <w:tr w:rsidR="00195C94" w:rsidRPr="0052397D" w:rsidTr="00CE2DE3">
        <w:trPr>
          <w:trHeight w:val="780"/>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10214N</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Mercaptopurine, Oral suspension 20 mg per mL, 100 mL, 1</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2</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$434.54</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Allmercap LM</w:t>
            </w:r>
          </w:p>
        </w:tc>
      </w:tr>
      <w:tr w:rsidR="00195C94" w:rsidRPr="0052397D" w:rsidTr="00CE2DE3">
        <w:trPr>
          <w:trHeight w:val="52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01598D</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Mercaptopurine, Tablet 50 mg, 25</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100</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2</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$242.54</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Purinethol AS</w:t>
            </w:r>
          </w:p>
        </w:tc>
      </w:tr>
      <w:tr w:rsidR="00195C94" w:rsidRPr="0052397D" w:rsidTr="00CE2DE3">
        <w:trPr>
          <w:trHeight w:val="52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lastRenderedPageBreak/>
              <w:t>08753Q</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Mesalazine, Enemas 1 g in 100 mL, 7, 1</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4</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$310.86</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Pentasa FP</w:t>
            </w:r>
          </w:p>
        </w:tc>
      </w:tr>
      <w:tr w:rsidR="00195C94" w:rsidRPr="0052397D" w:rsidTr="00CE2DE3">
        <w:trPr>
          <w:trHeight w:val="52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08616L</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Mesalazine, Enemas 2 g in 60 mL, 7, 1</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4</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$310.86</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Salofalk OA</w:t>
            </w:r>
          </w:p>
        </w:tc>
      </w:tr>
      <w:tr w:rsidR="00195C94" w:rsidRPr="0052397D" w:rsidTr="00CE2DE3">
        <w:trPr>
          <w:trHeight w:val="52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08617M</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Mesalazine, Enemas 4 g in 60 mL, 7, 1</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4</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$418.66</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Salofalk OA</w:t>
            </w:r>
          </w:p>
        </w:tc>
      </w:tr>
      <w:tr w:rsidR="00195C94" w:rsidRPr="0052397D" w:rsidTr="00CE2DE3">
        <w:trPr>
          <w:trHeight w:val="103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08768L</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Mesalazine, Rectal foam 1 g per applicatorful, 14 applications, aerosol 80 g, 1</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4</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$310.86</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Salofalk OA</w:t>
            </w:r>
          </w:p>
        </w:tc>
      </w:tr>
      <w:tr w:rsidR="00195C94" w:rsidRPr="0052397D" w:rsidTr="00CE2DE3">
        <w:trPr>
          <w:trHeight w:val="780"/>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08599N</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Mesalazine, Sachet containing granules, 1 g per sachet, 100</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100</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5</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$255.20</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Salofalk OA</w:t>
            </w:r>
          </w:p>
        </w:tc>
      </w:tr>
      <w:tr w:rsidR="00195C94" w:rsidRPr="0052397D" w:rsidTr="00CE2DE3">
        <w:trPr>
          <w:trHeight w:val="780"/>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09206M</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Mesalazine, Sachet containing granules, 1.5 g per sachet, 60</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60</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5</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$221.07</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Salofalk OA</w:t>
            </w:r>
          </w:p>
        </w:tc>
      </w:tr>
      <w:tr w:rsidR="00195C94" w:rsidRPr="0052397D" w:rsidTr="00CE2DE3">
        <w:trPr>
          <w:trHeight w:val="780"/>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10257W</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Mesalazine, Sachet containing granules, 3 g per sachet, 30</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30</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5</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$221.07</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Salofalk OA</w:t>
            </w:r>
          </w:p>
        </w:tc>
      </w:tr>
      <w:tr w:rsidR="00195C94" w:rsidRPr="0052397D" w:rsidTr="00CE2DE3">
        <w:trPr>
          <w:trHeight w:val="780"/>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08598M</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Mesalazine, Sachet containing granules, 500 mg per sachet, 100</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200</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5</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$272.70</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Salofalk OA</w:t>
            </w:r>
          </w:p>
        </w:tc>
      </w:tr>
      <w:tr w:rsidR="00195C94" w:rsidRPr="0052397D" w:rsidTr="00CE2DE3">
        <w:trPr>
          <w:trHeight w:val="103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02234N</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Mesalazine, Sachet containing prolonged release granules, 1 g per sachet, 120</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120</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5</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$305.38</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Pentasa FP</w:t>
            </w:r>
          </w:p>
        </w:tc>
      </w:tr>
      <w:tr w:rsidR="00195C94" w:rsidRPr="0052397D" w:rsidTr="00CE2DE3">
        <w:trPr>
          <w:trHeight w:val="103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02287J</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Mesalazine, Sachet containing prolonged release granules, 2 g per sachet, 60</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60</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5</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$287.32</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Pentasa FP</w:t>
            </w:r>
          </w:p>
        </w:tc>
      </w:tr>
      <w:tr w:rsidR="00195C94" w:rsidRPr="0052397D" w:rsidTr="00CE2DE3">
        <w:trPr>
          <w:trHeight w:val="103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10254Q</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Mesalazine, Sachet containing prolonged release granules, 4 g per sachet, 30</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30</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5</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$287.32</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Pentasa FP</w:t>
            </w:r>
          </w:p>
        </w:tc>
      </w:tr>
      <w:tr w:rsidR="00195C94" w:rsidRPr="0052397D" w:rsidTr="00CE2DE3">
        <w:trPr>
          <w:trHeight w:val="52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05461K</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Mesalazine, Suppository (moulded) 1 g, 30</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30</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$122.81</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Salofalk OA</w:t>
            </w:r>
          </w:p>
        </w:tc>
      </w:tr>
      <w:tr w:rsidR="00195C94" w:rsidRPr="0052397D" w:rsidTr="00CE2DE3">
        <w:trPr>
          <w:trHeight w:val="52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08752P</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Mesalazine, Suppository 1 g, 30</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30</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$122.81</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Pentasa FP</w:t>
            </w:r>
          </w:p>
        </w:tc>
      </w:tr>
      <w:tr w:rsidR="00195C94" w:rsidRPr="0052397D" w:rsidTr="00CE2DE3">
        <w:trPr>
          <w:trHeight w:val="52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03413P</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Mesalazine, Tablet 1 g (prolonged release), 60</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120</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5</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$305.38</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Pentasa FP</w:t>
            </w:r>
          </w:p>
        </w:tc>
      </w:tr>
      <w:tr w:rsidR="00195C94" w:rsidRPr="0052397D" w:rsidTr="00CE2DE3">
        <w:trPr>
          <w:trHeight w:val="52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09353G</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Mesalazine, Tablet 1.2 g (prolonged release), 60</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120</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5</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$390.82</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Mezavant ZI</w:t>
            </w:r>
          </w:p>
        </w:tc>
      </w:tr>
      <w:tr w:rsidR="00195C94" w:rsidRPr="0052397D" w:rsidTr="00CE2DE3">
        <w:trPr>
          <w:trHeight w:val="52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01611T</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Mesalazine, Tablet 250 mg (enteric coated), 100</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100</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5</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$85.71</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Mesasal AS</w:t>
            </w:r>
          </w:p>
        </w:tc>
      </w:tr>
      <w:tr w:rsidR="00195C94" w:rsidRPr="0052397D" w:rsidTr="00CE2DE3">
        <w:trPr>
          <w:trHeight w:val="52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08731M</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Mesalazine, Tablet 500 mg (enteric coated), 100</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200</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5</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$272.70</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Salofalk OA</w:t>
            </w:r>
          </w:p>
        </w:tc>
      </w:tr>
      <w:tr w:rsidR="00195C94" w:rsidRPr="0052397D" w:rsidTr="00CE2DE3">
        <w:trPr>
          <w:trHeight w:val="52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02214M</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Mesalazine, Tablet 500 mg (prolonged release), 100</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200</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5</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$272.70</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Pentasa FP</w:t>
            </w:r>
          </w:p>
        </w:tc>
      </w:tr>
      <w:tr w:rsidR="00195C94" w:rsidRPr="0052397D" w:rsidTr="00CE2DE3">
        <w:trPr>
          <w:trHeight w:val="780"/>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lastRenderedPageBreak/>
              <w:t>01920C</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Prednisolone, Enema, retention, 20 mg (as sodium phosphate) in 100 mL, 7</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28</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3</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$197.74</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Predsol QA</w:t>
            </w:r>
          </w:p>
        </w:tc>
      </w:tr>
      <w:tr w:rsidR="00195C94" w:rsidRPr="0052397D" w:rsidTr="00CE2DE3">
        <w:trPr>
          <w:trHeight w:val="780"/>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08285C</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Prednisolone, Oral solution 5 mg (as sodium phosphate) per mL, 30 mL, 1</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5</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$17.76</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PredMix LN</w:t>
            </w:r>
            <w:r>
              <w:rPr>
                <w:rFonts w:ascii="Calibri" w:eastAsia="Times New Roman" w:hAnsi="Calibri" w:cs="Times New Roman"/>
                <w:color w:val="000000"/>
                <w:sz w:val="20"/>
                <w:szCs w:val="20"/>
              </w:rPr>
              <w:t xml:space="preserve"> and </w:t>
            </w:r>
            <w:r w:rsidRPr="0052397D">
              <w:rPr>
                <w:rFonts w:ascii="Calibri" w:eastAsia="Times New Roman" w:hAnsi="Calibri" w:cs="Times New Roman"/>
                <w:color w:val="000000"/>
                <w:sz w:val="20"/>
                <w:szCs w:val="20"/>
              </w:rPr>
              <w:t>Redipred AS</w:t>
            </w:r>
          </w:p>
        </w:tc>
      </w:tr>
      <w:tr w:rsidR="00195C94" w:rsidRPr="0052397D" w:rsidTr="00CE2DE3">
        <w:trPr>
          <w:trHeight w:val="780"/>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02554K</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Prednisolone, Suppositories 5 mg (as sodium phosphate), 10, 1</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3</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3</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$41.34</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Predsol QA</w:t>
            </w:r>
          </w:p>
        </w:tc>
      </w:tr>
      <w:tr w:rsidR="00195C94" w:rsidRPr="0052397D" w:rsidTr="00CE2DE3">
        <w:trPr>
          <w:trHeight w:val="52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Various </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Prednisolone</w:t>
            </w:r>
            <w:r>
              <w:rPr>
                <w:rFonts w:ascii="Calibri" w:eastAsia="Times New Roman" w:hAnsi="Calibri" w:cs="Times New Roman"/>
                <w:color w:val="000000"/>
                <w:sz w:val="20"/>
                <w:szCs w:val="20"/>
              </w:rPr>
              <w:t xml:space="preserve"> and prednisone</w:t>
            </w:r>
            <w:r w:rsidRPr="0052397D">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various strengths</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Various</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4</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$13.07</w:t>
            </w:r>
            <w:r>
              <w:rPr>
                <w:rFonts w:ascii="Calibri" w:eastAsia="Times New Roman" w:hAnsi="Calibri" w:cs="Times New Roman"/>
                <w:color w:val="000000"/>
                <w:sz w:val="20"/>
                <w:szCs w:val="20"/>
              </w:rPr>
              <w:t xml:space="preserve"> to $14.90</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Various brands and manufacturers</w:t>
            </w:r>
          </w:p>
        </w:tc>
      </w:tr>
      <w:tr w:rsidR="00195C94" w:rsidRPr="0052397D" w:rsidTr="00CE2DE3">
        <w:trPr>
          <w:trHeight w:val="52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10398G</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Vedolizumab, Powder for injection 300 mg, 1</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$3,152.21</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Entyvio TK</w:t>
            </w:r>
          </w:p>
        </w:tc>
      </w:tr>
      <w:tr w:rsidR="00195C94" w:rsidRPr="0052397D" w:rsidTr="00CE2DE3">
        <w:trPr>
          <w:trHeight w:val="525"/>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10384M</w:t>
            </w:r>
          </w:p>
        </w:tc>
        <w:tc>
          <w:tcPr>
            <w:tcW w:w="2358"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Vedolizumab, Powder for injection 300 mg, 1</w:t>
            </w:r>
          </w:p>
        </w:tc>
        <w:tc>
          <w:tcPr>
            <w:tcW w:w="1444"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1</w:t>
            </w:r>
          </w:p>
        </w:tc>
        <w:tc>
          <w:tcPr>
            <w:tcW w:w="785"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0</w:t>
            </w:r>
          </w:p>
        </w:tc>
        <w:tc>
          <w:tcPr>
            <w:tcW w:w="1026"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jc w:val="right"/>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$3,105.19</w:t>
            </w:r>
          </w:p>
        </w:tc>
        <w:tc>
          <w:tcPr>
            <w:tcW w:w="2153" w:type="dxa"/>
            <w:tcBorders>
              <w:top w:val="nil"/>
              <w:left w:val="nil"/>
              <w:bottom w:val="single" w:sz="4" w:space="0" w:color="auto"/>
              <w:right w:val="single" w:sz="4" w:space="0" w:color="auto"/>
            </w:tcBorders>
            <w:shd w:val="clear" w:color="auto" w:fill="auto"/>
            <w:vAlign w:val="center"/>
            <w:hideMark/>
          </w:tcPr>
          <w:p w:rsidR="00195C94" w:rsidRPr="0052397D" w:rsidRDefault="00195C94" w:rsidP="00CE2DE3">
            <w:pPr>
              <w:spacing w:after="0"/>
              <w:rPr>
                <w:rFonts w:ascii="Calibri" w:eastAsia="Times New Roman" w:hAnsi="Calibri" w:cs="Times New Roman"/>
                <w:color w:val="000000"/>
                <w:sz w:val="20"/>
                <w:szCs w:val="20"/>
              </w:rPr>
            </w:pPr>
            <w:r w:rsidRPr="0052397D">
              <w:rPr>
                <w:rFonts w:ascii="Calibri" w:eastAsia="Times New Roman" w:hAnsi="Calibri" w:cs="Times New Roman"/>
                <w:color w:val="000000"/>
                <w:sz w:val="20"/>
                <w:szCs w:val="20"/>
              </w:rPr>
              <w:t>Entyvio TK</w:t>
            </w:r>
          </w:p>
        </w:tc>
      </w:tr>
    </w:tbl>
    <w:p w:rsidR="00195C94" w:rsidRPr="00A35800" w:rsidDel="00EE2BBB" w:rsidRDefault="00195C94" w:rsidP="00195C94">
      <w:pPr>
        <w:pStyle w:val="Notes"/>
      </w:pPr>
      <w:r w:rsidRPr="00A35800" w:rsidDel="00EE2BBB">
        <w:t xml:space="preserve">Source: </w:t>
      </w:r>
      <w:r w:rsidDel="00EE2BBB">
        <w:t xml:space="preserve">the </w:t>
      </w:r>
      <w:r w:rsidRPr="00470C46" w:rsidDel="00EE2BBB">
        <w:t>PBS website</w:t>
      </w:r>
      <w:r w:rsidDel="00EE2BBB">
        <w:t xml:space="preserve">.  </w:t>
      </w:r>
    </w:p>
    <w:p w:rsidR="00FE645A" w:rsidRDefault="00FE645A">
      <w:pPr>
        <w:spacing w:line="276" w:lineRule="auto"/>
      </w:pPr>
    </w:p>
    <w:sectPr w:rsidR="00FE645A" w:rsidSect="00DD188C">
      <w:headerReference w:type="even" r:id="rId15"/>
      <w:headerReference w:type="default" r:id="rId16"/>
      <w:footerReference w:type="even" r:id="rId17"/>
      <w:footerReference w:type="default" r:id="rId18"/>
      <w:headerReference w:type="first" r:id="rId19"/>
      <w:footerReference w:type="first" r:id="rId20"/>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C46" w:rsidRDefault="00470C46" w:rsidP="00A35800">
      <w:r>
        <w:separator/>
      </w:r>
    </w:p>
  </w:endnote>
  <w:endnote w:type="continuationSeparator" w:id="0">
    <w:p w:rsidR="00470C46" w:rsidRDefault="00470C46"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Gotham-Light">
    <w:altName w:val="Arial Unicode MS"/>
    <w:panose1 w:val="00000000000000000000"/>
    <w:charset w:val="81"/>
    <w:family w:val="swiss"/>
    <w:notTrueType/>
    <w:pitch w:val="default"/>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F81" w:rsidRDefault="00467F81"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467F81" w:rsidRDefault="00467F81"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rsidR="00467F81" w:rsidRPr="000E72C6" w:rsidRDefault="00467F81" w:rsidP="000E72C6">
            <w:pPr>
              <w:pStyle w:val="Footer"/>
              <w:jc w:val="center"/>
              <w:rPr>
                <w:i/>
                <w:sz w:val="20"/>
              </w:rPr>
            </w:pPr>
            <w:r>
              <w:rPr>
                <w:i/>
                <w:sz w:val="20"/>
              </w:rPr>
              <w:t>Public Release Document, June 2017 DUSC Meeting</w:t>
            </w:r>
          </w:p>
          <w:p w:rsidR="00467F81" w:rsidRDefault="00467F81"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674D99">
              <w:rPr>
                <w:bCs/>
                <w:i/>
                <w:noProof/>
                <w:sz w:val="20"/>
              </w:rPr>
              <w:t>28</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674D99">
              <w:rPr>
                <w:bCs/>
                <w:i/>
                <w:noProof/>
                <w:sz w:val="20"/>
              </w:rPr>
              <w:t>35</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F81" w:rsidRDefault="00467F81" w:rsidP="007A5733">
    <w:pPr>
      <w:pStyle w:val="Footer"/>
      <w:jc w:val="center"/>
      <w:rPr>
        <w:rStyle w:val="PageNumber"/>
      </w:rPr>
    </w:pPr>
    <w:r>
      <w:rPr>
        <w:rStyle w:val="PageNumber"/>
      </w:rPr>
      <w:t>Committee-in-Confidence</w:t>
    </w:r>
  </w:p>
  <w:p w:rsidR="00467F81" w:rsidRDefault="00467F81" w:rsidP="007A573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C46" w:rsidRDefault="00470C46" w:rsidP="00A35800">
      <w:r>
        <w:separator/>
      </w:r>
    </w:p>
  </w:footnote>
  <w:footnote w:type="continuationSeparator" w:id="0">
    <w:p w:rsidR="00470C46" w:rsidRDefault="00470C46" w:rsidP="00A35800">
      <w:r>
        <w:continuationSeparator/>
      </w:r>
    </w:p>
  </w:footnote>
  <w:footnote w:id="1">
    <w:p w:rsidR="00467F81" w:rsidRDefault="00467F81" w:rsidP="005C52B3">
      <w:pPr>
        <w:pStyle w:val="FootnoteText"/>
      </w:pPr>
      <w:r>
        <w:rPr>
          <w:rStyle w:val="FootnoteReference"/>
        </w:rPr>
        <w:footnoteRef/>
      </w:r>
      <w:r>
        <w:t xml:space="preserve"> Therapeutic guidelines</w:t>
      </w:r>
      <w:r w:rsidRPr="008C70F6">
        <w:t xml:space="preserve"> </w:t>
      </w:r>
      <w:r>
        <w:t>Published March 2016,</w:t>
      </w:r>
      <w:r w:rsidRPr="008C70F6">
        <w:t xml:space="preserve"> </w:t>
      </w:r>
      <w:r>
        <w:t>eTG March 2017 edition</w:t>
      </w:r>
    </w:p>
  </w:footnote>
  <w:footnote w:id="2">
    <w:p w:rsidR="00467F81" w:rsidRDefault="00467F81">
      <w:pPr>
        <w:pStyle w:val="FootnoteText"/>
      </w:pPr>
      <w:r>
        <w:rPr>
          <w:rStyle w:val="FootnoteReference"/>
        </w:rPr>
        <w:footnoteRef/>
      </w:r>
      <w:r>
        <w:t xml:space="preserve"> </w:t>
      </w:r>
      <w:r w:rsidRPr="00245624">
        <w:t>Australian Guidelines for General Practitioners and Physicians: Inflammatory Bowel Disease. Gastroentrological Society of Australia.  Third Edition.</w:t>
      </w:r>
    </w:p>
  </w:footnote>
  <w:footnote w:id="3">
    <w:p w:rsidR="00467F81" w:rsidRPr="00BC5AE2" w:rsidRDefault="00467F81" w:rsidP="00576B18">
      <w:pPr>
        <w:pStyle w:val="FootnoteText"/>
        <w:rPr>
          <w:sz w:val="20"/>
        </w:rPr>
      </w:pPr>
      <w:r w:rsidRPr="00BC5AE2">
        <w:rPr>
          <w:rStyle w:val="FootnoteReference"/>
          <w:sz w:val="20"/>
        </w:rPr>
        <w:footnoteRef/>
      </w:r>
      <w:r w:rsidRPr="00BC5AE2">
        <w:rPr>
          <w:sz w:val="20"/>
        </w:rPr>
        <w:t xml:space="preserve"> PBS statistics</w:t>
      </w:r>
      <w:r>
        <w:rPr>
          <w:sz w:val="20"/>
        </w:rPr>
        <w:t>. Australian Government Department of Human Services Medicare. Canberra. Available from &lt;</w:t>
      </w:r>
      <w:hyperlink r:id="rId1" w:history="1">
        <w:r>
          <w:rPr>
            <w:rStyle w:val="Hyperlink"/>
            <w:sz w:val="20"/>
          </w:rPr>
          <w:t>http://www.medicareaustralia.gov.au/provider/pbs/stats.jsp</w:t>
        </w:r>
      </w:hyperlink>
      <w:r>
        <w:rPr>
          <w:sz w:val="20"/>
        </w:rPr>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F81" w:rsidRDefault="00467F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F81" w:rsidRDefault="0046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F81" w:rsidRDefault="00467F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D0650"/>
    <w:multiLevelType w:val="hybridMultilevel"/>
    <w:tmpl w:val="B344E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4990D63"/>
    <w:multiLevelType w:val="hybridMultilevel"/>
    <w:tmpl w:val="85F0DF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44CB7305"/>
    <w:multiLevelType w:val="hybridMultilevel"/>
    <w:tmpl w:val="934420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4A1420F9"/>
    <w:multiLevelType w:val="hybridMultilevel"/>
    <w:tmpl w:val="58CA91A4"/>
    <w:lvl w:ilvl="0" w:tplc="A3AC82E0">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547B2DC8"/>
    <w:multiLevelType w:val="hybridMultilevel"/>
    <w:tmpl w:val="3C3AFC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6A2E39DA"/>
    <w:multiLevelType w:val="hybridMultilevel"/>
    <w:tmpl w:val="399212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6F670727"/>
    <w:multiLevelType w:val="hybridMultilevel"/>
    <w:tmpl w:val="0276B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2880EB7"/>
    <w:multiLevelType w:val="hybridMultilevel"/>
    <w:tmpl w:val="2466D1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1"/>
  </w:num>
  <w:num w:numId="4">
    <w:abstractNumId w:val="4"/>
  </w:num>
  <w:num w:numId="5">
    <w:abstractNumId w:val="8"/>
  </w:num>
  <w:num w:numId="6">
    <w:abstractNumId w:val="7"/>
  </w:num>
  <w:num w:numId="7">
    <w:abstractNumId w:val="5"/>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5129"/>
    <w:rsid w:val="00005A4E"/>
    <w:rsid w:val="00007E85"/>
    <w:rsid w:val="00013465"/>
    <w:rsid w:val="000226B3"/>
    <w:rsid w:val="00022B93"/>
    <w:rsid w:val="00024549"/>
    <w:rsid w:val="0005092E"/>
    <w:rsid w:val="00050C91"/>
    <w:rsid w:val="000544B6"/>
    <w:rsid w:val="000561A5"/>
    <w:rsid w:val="000604AF"/>
    <w:rsid w:val="000619E9"/>
    <w:rsid w:val="000641DC"/>
    <w:rsid w:val="00066064"/>
    <w:rsid w:val="000735C5"/>
    <w:rsid w:val="00082750"/>
    <w:rsid w:val="00086C11"/>
    <w:rsid w:val="0009241D"/>
    <w:rsid w:val="0009244D"/>
    <w:rsid w:val="00093096"/>
    <w:rsid w:val="00094DCF"/>
    <w:rsid w:val="000A6CFD"/>
    <w:rsid w:val="000B0982"/>
    <w:rsid w:val="000B796C"/>
    <w:rsid w:val="000C03A1"/>
    <w:rsid w:val="000C46BB"/>
    <w:rsid w:val="000C4D9D"/>
    <w:rsid w:val="000C7C4B"/>
    <w:rsid w:val="000C7D8B"/>
    <w:rsid w:val="000D4561"/>
    <w:rsid w:val="000E485D"/>
    <w:rsid w:val="000E72C6"/>
    <w:rsid w:val="000F0DBC"/>
    <w:rsid w:val="000F1893"/>
    <w:rsid w:val="000F2F51"/>
    <w:rsid w:val="000F653D"/>
    <w:rsid w:val="00106357"/>
    <w:rsid w:val="00113CF8"/>
    <w:rsid w:val="00113D74"/>
    <w:rsid w:val="00117C5C"/>
    <w:rsid w:val="001239E2"/>
    <w:rsid w:val="00125440"/>
    <w:rsid w:val="001265CE"/>
    <w:rsid w:val="001310AE"/>
    <w:rsid w:val="00133B90"/>
    <w:rsid w:val="001420B3"/>
    <w:rsid w:val="001460C4"/>
    <w:rsid w:val="00147E06"/>
    <w:rsid w:val="001563B1"/>
    <w:rsid w:val="0015691C"/>
    <w:rsid w:val="00162080"/>
    <w:rsid w:val="001621F7"/>
    <w:rsid w:val="001624D7"/>
    <w:rsid w:val="001638A1"/>
    <w:rsid w:val="00165AA0"/>
    <w:rsid w:val="00177B86"/>
    <w:rsid w:val="00182585"/>
    <w:rsid w:val="00185B04"/>
    <w:rsid w:val="00187002"/>
    <w:rsid w:val="00191182"/>
    <w:rsid w:val="00195C94"/>
    <w:rsid w:val="0019664D"/>
    <w:rsid w:val="001A6103"/>
    <w:rsid w:val="001B2451"/>
    <w:rsid w:val="001B2A14"/>
    <w:rsid w:val="001B5724"/>
    <w:rsid w:val="001B5D37"/>
    <w:rsid w:val="001C2940"/>
    <w:rsid w:val="001C3E85"/>
    <w:rsid w:val="001C4016"/>
    <w:rsid w:val="001C548D"/>
    <w:rsid w:val="001C6A5D"/>
    <w:rsid w:val="001D6D49"/>
    <w:rsid w:val="001E31A6"/>
    <w:rsid w:val="001E42C7"/>
    <w:rsid w:val="001E4CAB"/>
    <w:rsid w:val="001F2F3E"/>
    <w:rsid w:val="001F4906"/>
    <w:rsid w:val="001F757B"/>
    <w:rsid w:val="001F7C4A"/>
    <w:rsid w:val="0020578A"/>
    <w:rsid w:val="00207631"/>
    <w:rsid w:val="00214013"/>
    <w:rsid w:val="00214017"/>
    <w:rsid w:val="00220FC1"/>
    <w:rsid w:val="00222E9A"/>
    <w:rsid w:val="00223263"/>
    <w:rsid w:val="0023179D"/>
    <w:rsid w:val="00233A38"/>
    <w:rsid w:val="00233C66"/>
    <w:rsid w:val="00245624"/>
    <w:rsid w:val="0025389D"/>
    <w:rsid w:val="00254E02"/>
    <w:rsid w:val="002560F6"/>
    <w:rsid w:val="0026265F"/>
    <w:rsid w:val="00265F9E"/>
    <w:rsid w:val="00266C64"/>
    <w:rsid w:val="00286C3A"/>
    <w:rsid w:val="002908A6"/>
    <w:rsid w:val="00292740"/>
    <w:rsid w:val="002930F5"/>
    <w:rsid w:val="002A03F3"/>
    <w:rsid w:val="002A06B7"/>
    <w:rsid w:val="002B71FF"/>
    <w:rsid w:val="002C12F0"/>
    <w:rsid w:val="002C6E0C"/>
    <w:rsid w:val="002D144A"/>
    <w:rsid w:val="002D5EBA"/>
    <w:rsid w:val="002D7916"/>
    <w:rsid w:val="002E19A3"/>
    <w:rsid w:val="002E212B"/>
    <w:rsid w:val="002E3337"/>
    <w:rsid w:val="002E3A48"/>
    <w:rsid w:val="002E6D03"/>
    <w:rsid w:val="002F49A8"/>
    <w:rsid w:val="002F5E66"/>
    <w:rsid w:val="002F61CA"/>
    <w:rsid w:val="0030010D"/>
    <w:rsid w:val="003040F3"/>
    <w:rsid w:val="0031119A"/>
    <w:rsid w:val="00311EBF"/>
    <w:rsid w:val="00323447"/>
    <w:rsid w:val="00323F2C"/>
    <w:rsid w:val="00330D42"/>
    <w:rsid w:val="0033504C"/>
    <w:rsid w:val="00336816"/>
    <w:rsid w:val="003370D0"/>
    <w:rsid w:val="00337355"/>
    <w:rsid w:val="003402E4"/>
    <w:rsid w:val="00340F95"/>
    <w:rsid w:val="00346DA0"/>
    <w:rsid w:val="003531ED"/>
    <w:rsid w:val="00360B9A"/>
    <w:rsid w:val="00362D95"/>
    <w:rsid w:val="003713E6"/>
    <w:rsid w:val="00376D69"/>
    <w:rsid w:val="0038228F"/>
    <w:rsid w:val="0038509A"/>
    <w:rsid w:val="003856F8"/>
    <w:rsid w:val="0039017F"/>
    <w:rsid w:val="00394AEE"/>
    <w:rsid w:val="003A47FF"/>
    <w:rsid w:val="003A6167"/>
    <w:rsid w:val="003C2D98"/>
    <w:rsid w:val="003C6968"/>
    <w:rsid w:val="003D3A96"/>
    <w:rsid w:val="003D3B9C"/>
    <w:rsid w:val="003E09D2"/>
    <w:rsid w:val="003F31DD"/>
    <w:rsid w:val="003F3FC5"/>
    <w:rsid w:val="00400AF5"/>
    <w:rsid w:val="00404F03"/>
    <w:rsid w:val="004059E3"/>
    <w:rsid w:val="00406D8F"/>
    <w:rsid w:val="00412051"/>
    <w:rsid w:val="00414BFD"/>
    <w:rsid w:val="00423B94"/>
    <w:rsid w:val="004407BB"/>
    <w:rsid w:val="004418BE"/>
    <w:rsid w:val="00453B9C"/>
    <w:rsid w:val="00461D3F"/>
    <w:rsid w:val="00462809"/>
    <w:rsid w:val="00463731"/>
    <w:rsid w:val="0046400A"/>
    <w:rsid w:val="00467B25"/>
    <w:rsid w:val="00467F81"/>
    <w:rsid w:val="00470C46"/>
    <w:rsid w:val="00471AED"/>
    <w:rsid w:val="004723F6"/>
    <w:rsid w:val="00481108"/>
    <w:rsid w:val="00483621"/>
    <w:rsid w:val="0049042B"/>
    <w:rsid w:val="00495473"/>
    <w:rsid w:val="004A057B"/>
    <w:rsid w:val="004A458E"/>
    <w:rsid w:val="004B23E7"/>
    <w:rsid w:val="004B306F"/>
    <w:rsid w:val="004B517C"/>
    <w:rsid w:val="004C3186"/>
    <w:rsid w:val="004C5042"/>
    <w:rsid w:val="004D3683"/>
    <w:rsid w:val="004E4422"/>
    <w:rsid w:val="00503998"/>
    <w:rsid w:val="0050623B"/>
    <w:rsid w:val="00507A61"/>
    <w:rsid w:val="00516DCA"/>
    <w:rsid w:val="00523181"/>
    <w:rsid w:val="0052397D"/>
    <w:rsid w:val="00524D13"/>
    <w:rsid w:val="005339F6"/>
    <w:rsid w:val="00556C4F"/>
    <w:rsid w:val="00562E30"/>
    <w:rsid w:val="00565829"/>
    <w:rsid w:val="00576B18"/>
    <w:rsid w:val="00585AC5"/>
    <w:rsid w:val="00587724"/>
    <w:rsid w:val="005910EF"/>
    <w:rsid w:val="00591512"/>
    <w:rsid w:val="005A18FF"/>
    <w:rsid w:val="005B2D91"/>
    <w:rsid w:val="005B32B1"/>
    <w:rsid w:val="005B48B4"/>
    <w:rsid w:val="005C0D28"/>
    <w:rsid w:val="005C3DC7"/>
    <w:rsid w:val="005C51F7"/>
    <w:rsid w:val="005C52B3"/>
    <w:rsid w:val="005C57BA"/>
    <w:rsid w:val="005C6661"/>
    <w:rsid w:val="005C6E3B"/>
    <w:rsid w:val="005C73A6"/>
    <w:rsid w:val="005D070B"/>
    <w:rsid w:val="005D13C5"/>
    <w:rsid w:val="005D474B"/>
    <w:rsid w:val="005E085C"/>
    <w:rsid w:val="005E147D"/>
    <w:rsid w:val="005E22C2"/>
    <w:rsid w:val="005E3FA1"/>
    <w:rsid w:val="005E57BB"/>
    <w:rsid w:val="005F0017"/>
    <w:rsid w:val="006014F1"/>
    <w:rsid w:val="006033BE"/>
    <w:rsid w:val="0060753A"/>
    <w:rsid w:val="00607F60"/>
    <w:rsid w:val="00612200"/>
    <w:rsid w:val="0061357B"/>
    <w:rsid w:val="00614A7D"/>
    <w:rsid w:val="0062153F"/>
    <w:rsid w:val="00630216"/>
    <w:rsid w:val="0063631C"/>
    <w:rsid w:val="0063757B"/>
    <w:rsid w:val="006377CE"/>
    <w:rsid w:val="00640045"/>
    <w:rsid w:val="00640C4B"/>
    <w:rsid w:val="006441BC"/>
    <w:rsid w:val="006537D9"/>
    <w:rsid w:val="00657A1B"/>
    <w:rsid w:val="00664A48"/>
    <w:rsid w:val="00665DEF"/>
    <w:rsid w:val="00672450"/>
    <w:rsid w:val="00674D99"/>
    <w:rsid w:val="00675BB1"/>
    <w:rsid w:val="006775F1"/>
    <w:rsid w:val="00687B5B"/>
    <w:rsid w:val="00692AA7"/>
    <w:rsid w:val="00697FEC"/>
    <w:rsid w:val="006A175F"/>
    <w:rsid w:val="006A44F5"/>
    <w:rsid w:val="006B216D"/>
    <w:rsid w:val="006B4537"/>
    <w:rsid w:val="006B5F85"/>
    <w:rsid w:val="006B6929"/>
    <w:rsid w:val="006B709B"/>
    <w:rsid w:val="006C54AF"/>
    <w:rsid w:val="006D3000"/>
    <w:rsid w:val="006E0181"/>
    <w:rsid w:val="00700C0E"/>
    <w:rsid w:val="007032DB"/>
    <w:rsid w:val="00705DAD"/>
    <w:rsid w:val="007247B9"/>
    <w:rsid w:val="00727D85"/>
    <w:rsid w:val="007346C7"/>
    <w:rsid w:val="00736041"/>
    <w:rsid w:val="007408C7"/>
    <w:rsid w:val="00744869"/>
    <w:rsid w:val="007465DA"/>
    <w:rsid w:val="00752C7F"/>
    <w:rsid w:val="0077097D"/>
    <w:rsid w:val="00776598"/>
    <w:rsid w:val="00782C70"/>
    <w:rsid w:val="00787367"/>
    <w:rsid w:val="00792948"/>
    <w:rsid w:val="00795EE5"/>
    <w:rsid w:val="00796079"/>
    <w:rsid w:val="00796E84"/>
    <w:rsid w:val="007A3ADE"/>
    <w:rsid w:val="007A5733"/>
    <w:rsid w:val="007A5748"/>
    <w:rsid w:val="007A5774"/>
    <w:rsid w:val="007C5410"/>
    <w:rsid w:val="007E258F"/>
    <w:rsid w:val="007E75FB"/>
    <w:rsid w:val="00801E74"/>
    <w:rsid w:val="00801FC5"/>
    <w:rsid w:val="00803694"/>
    <w:rsid w:val="0080485E"/>
    <w:rsid w:val="00811870"/>
    <w:rsid w:val="008142B4"/>
    <w:rsid w:val="00832324"/>
    <w:rsid w:val="00832478"/>
    <w:rsid w:val="0083431A"/>
    <w:rsid w:val="00835337"/>
    <w:rsid w:val="00836254"/>
    <w:rsid w:val="00841463"/>
    <w:rsid w:val="00843E59"/>
    <w:rsid w:val="00846DCD"/>
    <w:rsid w:val="00851D85"/>
    <w:rsid w:val="00852C2C"/>
    <w:rsid w:val="00853F28"/>
    <w:rsid w:val="00860CCB"/>
    <w:rsid w:val="00863CFC"/>
    <w:rsid w:val="008740A3"/>
    <w:rsid w:val="00874E32"/>
    <w:rsid w:val="00877AB5"/>
    <w:rsid w:val="00886C10"/>
    <w:rsid w:val="0089297B"/>
    <w:rsid w:val="008956A0"/>
    <w:rsid w:val="008B13BA"/>
    <w:rsid w:val="008C36CA"/>
    <w:rsid w:val="008C70F6"/>
    <w:rsid w:val="008E3F8C"/>
    <w:rsid w:val="008F0C1E"/>
    <w:rsid w:val="008F1BB1"/>
    <w:rsid w:val="00902FD0"/>
    <w:rsid w:val="009053D3"/>
    <w:rsid w:val="0090691F"/>
    <w:rsid w:val="0092008D"/>
    <w:rsid w:val="00920B38"/>
    <w:rsid w:val="0093111F"/>
    <w:rsid w:val="00935689"/>
    <w:rsid w:val="009377FA"/>
    <w:rsid w:val="009412B1"/>
    <w:rsid w:val="0095303B"/>
    <w:rsid w:val="00955710"/>
    <w:rsid w:val="009663B6"/>
    <w:rsid w:val="00972436"/>
    <w:rsid w:val="00974A47"/>
    <w:rsid w:val="00980286"/>
    <w:rsid w:val="0098054F"/>
    <w:rsid w:val="009847E6"/>
    <w:rsid w:val="00985CFD"/>
    <w:rsid w:val="00990DCF"/>
    <w:rsid w:val="009A11DE"/>
    <w:rsid w:val="009A4CD6"/>
    <w:rsid w:val="009A537C"/>
    <w:rsid w:val="009B4800"/>
    <w:rsid w:val="009B4B38"/>
    <w:rsid w:val="009B7EF0"/>
    <w:rsid w:val="009C05E2"/>
    <w:rsid w:val="009C0886"/>
    <w:rsid w:val="009C19EE"/>
    <w:rsid w:val="009C28D0"/>
    <w:rsid w:val="009C2DB8"/>
    <w:rsid w:val="009C35F2"/>
    <w:rsid w:val="009C7782"/>
    <w:rsid w:val="009D1ED5"/>
    <w:rsid w:val="009D4C13"/>
    <w:rsid w:val="009D708A"/>
    <w:rsid w:val="009E083F"/>
    <w:rsid w:val="009E168A"/>
    <w:rsid w:val="009E21A7"/>
    <w:rsid w:val="00A103ED"/>
    <w:rsid w:val="00A10459"/>
    <w:rsid w:val="00A13C60"/>
    <w:rsid w:val="00A15134"/>
    <w:rsid w:val="00A204EB"/>
    <w:rsid w:val="00A20A73"/>
    <w:rsid w:val="00A23C7B"/>
    <w:rsid w:val="00A30B1E"/>
    <w:rsid w:val="00A32656"/>
    <w:rsid w:val="00A341A3"/>
    <w:rsid w:val="00A35800"/>
    <w:rsid w:val="00A453B3"/>
    <w:rsid w:val="00A5214C"/>
    <w:rsid w:val="00A52918"/>
    <w:rsid w:val="00A53489"/>
    <w:rsid w:val="00A547B3"/>
    <w:rsid w:val="00A6276C"/>
    <w:rsid w:val="00A66ED6"/>
    <w:rsid w:val="00A70E82"/>
    <w:rsid w:val="00A84CAD"/>
    <w:rsid w:val="00A90E50"/>
    <w:rsid w:val="00A95FA5"/>
    <w:rsid w:val="00A96D92"/>
    <w:rsid w:val="00AB199C"/>
    <w:rsid w:val="00AB3733"/>
    <w:rsid w:val="00AB588C"/>
    <w:rsid w:val="00AB7897"/>
    <w:rsid w:val="00AC08B5"/>
    <w:rsid w:val="00AC5054"/>
    <w:rsid w:val="00AD103D"/>
    <w:rsid w:val="00AD6C1F"/>
    <w:rsid w:val="00AE4BAC"/>
    <w:rsid w:val="00AE573A"/>
    <w:rsid w:val="00AE57DC"/>
    <w:rsid w:val="00AE7D41"/>
    <w:rsid w:val="00AF21DE"/>
    <w:rsid w:val="00B02B17"/>
    <w:rsid w:val="00B034FC"/>
    <w:rsid w:val="00B05310"/>
    <w:rsid w:val="00B10A0B"/>
    <w:rsid w:val="00B20258"/>
    <w:rsid w:val="00B30D85"/>
    <w:rsid w:val="00B35A4A"/>
    <w:rsid w:val="00B453CF"/>
    <w:rsid w:val="00B47957"/>
    <w:rsid w:val="00B51D6F"/>
    <w:rsid w:val="00B63FD7"/>
    <w:rsid w:val="00B67A32"/>
    <w:rsid w:val="00B702F9"/>
    <w:rsid w:val="00B70FBA"/>
    <w:rsid w:val="00B816D9"/>
    <w:rsid w:val="00B9120F"/>
    <w:rsid w:val="00B9216C"/>
    <w:rsid w:val="00B924A4"/>
    <w:rsid w:val="00BA45B0"/>
    <w:rsid w:val="00BB0D1A"/>
    <w:rsid w:val="00BB1D3B"/>
    <w:rsid w:val="00BB7E27"/>
    <w:rsid w:val="00BC094B"/>
    <w:rsid w:val="00BC35ED"/>
    <w:rsid w:val="00BE205A"/>
    <w:rsid w:val="00BE3802"/>
    <w:rsid w:val="00BF238E"/>
    <w:rsid w:val="00BF2F4A"/>
    <w:rsid w:val="00BF544D"/>
    <w:rsid w:val="00C0076F"/>
    <w:rsid w:val="00C0301C"/>
    <w:rsid w:val="00C050B6"/>
    <w:rsid w:val="00C10F12"/>
    <w:rsid w:val="00C20247"/>
    <w:rsid w:val="00C245EA"/>
    <w:rsid w:val="00C2565A"/>
    <w:rsid w:val="00C256F6"/>
    <w:rsid w:val="00C3097E"/>
    <w:rsid w:val="00C34866"/>
    <w:rsid w:val="00C35ECC"/>
    <w:rsid w:val="00C361A8"/>
    <w:rsid w:val="00C41246"/>
    <w:rsid w:val="00C45E5F"/>
    <w:rsid w:val="00C46291"/>
    <w:rsid w:val="00C63412"/>
    <w:rsid w:val="00C665B2"/>
    <w:rsid w:val="00C67E40"/>
    <w:rsid w:val="00C714D0"/>
    <w:rsid w:val="00C772AD"/>
    <w:rsid w:val="00C9031C"/>
    <w:rsid w:val="00C90EF4"/>
    <w:rsid w:val="00C91BAC"/>
    <w:rsid w:val="00C959DF"/>
    <w:rsid w:val="00CA015A"/>
    <w:rsid w:val="00CA31C8"/>
    <w:rsid w:val="00CB133F"/>
    <w:rsid w:val="00CC1AA3"/>
    <w:rsid w:val="00CC3E2A"/>
    <w:rsid w:val="00CC6C7B"/>
    <w:rsid w:val="00CD17CC"/>
    <w:rsid w:val="00CD4486"/>
    <w:rsid w:val="00CD4540"/>
    <w:rsid w:val="00CE2DE3"/>
    <w:rsid w:val="00CE3345"/>
    <w:rsid w:val="00CF5E22"/>
    <w:rsid w:val="00D0692C"/>
    <w:rsid w:val="00D06A44"/>
    <w:rsid w:val="00D10394"/>
    <w:rsid w:val="00D10F97"/>
    <w:rsid w:val="00D151EB"/>
    <w:rsid w:val="00D300E0"/>
    <w:rsid w:val="00D34743"/>
    <w:rsid w:val="00D34F0A"/>
    <w:rsid w:val="00D374CD"/>
    <w:rsid w:val="00D41D94"/>
    <w:rsid w:val="00D45E47"/>
    <w:rsid w:val="00D478EE"/>
    <w:rsid w:val="00D60FA3"/>
    <w:rsid w:val="00D650CE"/>
    <w:rsid w:val="00D71513"/>
    <w:rsid w:val="00D71719"/>
    <w:rsid w:val="00D776DA"/>
    <w:rsid w:val="00D8758B"/>
    <w:rsid w:val="00D8779D"/>
    <w:rsid w:val="00D90C1B"/>
    <w:rsid w:val="00D942B3"/>
    <w:rsid w:val="00D94863"/>
    <w:rsid w:val="00DA7D09"/>
    <w:rsid w:val="00DC2630"/>
    <w:rsid w:val="00DC49E9"/>
    <w:rsid w:val="00DC55E4"/>
    <w:rsid w:val="00DC57F0"/>
    <w:rsid w:val="00DC7D71"/>
    <w:rsid w:val="00DD188C"/>
    <w:rsid w:val="00DD29A3"/>
    <w:rsid w:val="00DD48EE"/>
    <w:rsid w:val="00DD5642"/>
    <w:rsid w:val="00DD5859"/>
    <w:rsid w:val="00DE0B96"/>
    <w:rsid w:val="00DE10B9"/>
    <w:rsid w:val="00DE56A3"/>
    <w:rsid w:val="00DF0B13"/>
    <w:rsid w:val="00DF28D0"/>
    <w:rsid w:val="00DF2EB8"/>
    <w:rsid w:val="00DF36AF"/>
    <w:rsid w:val="00DF4A94"/>
    <w:rsid w:val="00DF6003"/>
    <w:rsid w:val="00E00095"/>
    <w:rsid w:val="00E00C08"/>
    <w:rsid w:val="00E066C3"/>
    <w:rsid w:val="00E07FB5"/>
    <w:rsid w:val="00E10D8C"/>
    <w:rsid w:val="00E1353A"/>
    <w:rsid w:val="00E1564B"/>
    <w:rsid w:val="00E208A0"/>
    <w:rsid w:val="00E20D1B"/>
    <w:rsid w:val="00E25B49"/>
    <w:rsid w:val="00E32996"/>
    <w:rsid w:val="00E34F17"/>
    <w:rsid w:val="00E371EA"/>
    <w:rsid w:val="00E41A22"/>
    <w:rsid w:val="00E57C64"/>
    <w:rsid w:val="00E62E3C"/>
    <w:rsid w:val="00E64429"/>
    <w:rsid w:val="00E677DD"/>
    <w:rsid w:val="00E7594B"/>
    <w:rsid w:val="00E87E1A"/>
    <w:rsid w:val="00EB1A40"/>
    <w:rsid w:val="00EB41EC"/>
    <w:rsid w:val="00EB4688"/>
    <w:rsid w:val="00EB5773"/>
    <w:rsid w:val="00EB6C07"/>
    <w:rsid w:val="00EC028D"/>
    <w:rsid w:val="00EC2E78"/>
    <w:rsid w:val="00ED633B"/>
    <w:rsid w:val="00ED75EB"/>
    <w:rsid w:val="00EE28AB"/>
    <w:rsid w:val="00EE2BBB"/>
    <w:rsid w:val="00EE3C5C"/>
    <w:rsid w:val="00EE478C"/>
    <w:rsid w:val="00F07E2D"/>
    <w:rsid w:val="00F1132C"/>
    <w:rsid w:val="00F15DD5"/>
    <w:rsid w:val="00F17D4B"/>
    <w:rsid w:val="00F23139"/>
    <w:rsid w:val="00F410EC"/>
    <w:rsid w:val="00F4198A"/>
    <w:rsid w:val="00F4748B"/>
    <w:rsid w:val="00F47607"/>
    <w:rsid w:val="00F55E25"/>
    <w:rsid w:val="00F66CD5"/>
    <w:rsid w:val="00F67A9A"/>
    <w:rsid w:val="00F70F4E"/>
    <w:rsid w:val="00F71C56"/>
    <w:rsid w:val="00F73113"/>
    <w:rsid w:val="00F75FC4"/>
    <w:rsid w:val="00F843D6"/>
    <w:rsid w:val="00F85981"/>
    <w:rsid w:val="00F85E6A"/>
    <w:rsid w:val="00F87263"/>
    <w:rsid w:val="00F87FD5"/>
    <w:rsid w:val="00F93725"/>
    <w:rsid w:val="00F94806"/>
    <w:rsid w:val="00FA4890"/>
    <w:rsid w:val="00FA6592"/>
    <w:rsid w:val="00FB324C"/>
    <w:rsid w:val="00FB77FA"/>
    <w:rsid w:val="00FC3C70"/>
    <w:rsid w:val="00FC4A73"/>
    <w:rsid w:val="00FC559C"/>
    <w:rsid w:val="00FC706F"/>
    <w:rsid w:val="00FC7F0D"/>
    <w:rsid w:val="00FD022B"/>
    <w:rsid w:val="00FD16F4"/>
    <w:rsid w:val="00FE645A"/>
    <w:rsid w:val="00FF3C3D"/>
    <w:rsid w:val="00FF6102"/>
    <w:rsid w:val="00FF617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sz w:val="28"/>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346DA0"/>
    <w:pPr>
      <w:outlineLvl w:val="3"/>
    </w:pPr>
    <w:rPr>
      <w:i w:val="0"/>
      <w:szCs w:val="24"/>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346DA0"/>
    <w:rPr>
      <w:b/>
      <w:sz w:val="24"/>
      <w:szCs w:val="24"/>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Footnote,BulletPoints"/>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NormalWeb">
    <w:name w:val="Normal (Web)"/>
    <w:basedOn w:val="Normal"/>
    <w:uiPriority w:val="99"/>
    <w:unhideWhenUsed/>
    <w:rsid w:val="005C0D28"/>
    <w:pPr>
      <w:spacing w:before="100" w:beforeAutospacing="1" w:after="100" w:afterAutospacing="1"/>
    </w:pPr>
    <w:rPr>
      <w:rFonts w:ascii="Times New Roman" w:eastAsia="Times New Roman" w:hAnsi="Times New Roman" w:cs="Times New Roman"/>
    </w:rPr>
  </w:style>
  <w:style w:type="character" w:customStyle="1" w:styleId="ListParagraphChar">
    <w:name w:val="List Paragraph Char"/>
    <w:aliases w:val="Footnote Char,BulletPoints Char"/>
    <w:link w:val="ListParagraph"/>
    <w:uiPriority w:val="34"/>
    <w:rsid w:val="005C0D2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sz w:val="28"/>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346DA0"/>
    <w:pPr>
      <w:outlineLvl w:val="3"/>
    </w:pPr>
    <w:rPr>
      <w:i w:val="0"/>
      <w:szCs w:val="24"/>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346DA0"/>
    <w:rPr>
      <w:b/>
      <w:sz w:val="24"/>
      <w:szCs w:val="24"/>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Footnote,BulletPoints"/>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NormalWeb">
    <w:name w:val="Normal (Web)"/>
    <w:basedOn w:val="Normal"/>
    <w:uiPriority w:val="99"/>
    <w:unhideWhenUsed/>
    <w:rsid w:val="005C0D28"/>
    <w:pPr>
      <w:spacing w:before="100" w:beforeAutospacing="1" w:after="100" w:afterAutospacing="1"/>
    </w:pPr>
    <w:rPr>
      <w:rFonts w:ascii="Times New Roman" w:eastAsia="Times New Roman" w:hAnsi="Times New Roman" w:cs="Times New Roman"/>
    </w:rPr>
  </w:style>
  <w:style w:type="character" w:customStyle="1" w:styleId="ListParagraphChar">
    <w:name w:val="List Paragraph Char"/>
    <w:aliases w:val="Footnote Char,BulletPoints Char"/>
    <w:link w:val="ListParagraph"/>
    <w:uiPriority w:val="34"/>
    <w:rsid w:val="005C0D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69954">
      <w:bodyDiv w:val="1"/>
      <w:marLeft w:val="0"/>
      <w:marRight w:val="0"/>
      <w:marTop w:val="0"/>
      <w:marBottom w:val="0"/>
      <w:divBdr>
        <w:top w:val="none" w:sz="0" w:space="0" w:color="auto"/>
        <w:left w:val="none" w:sz="0" w:space="0" w:color="auto"/>
        <w:bottom w:val="none" w:sz="0" w:space="0" w:color="auto"/>
        <w:right w:val="none" w:sz="0" w:space="0" w:color="auto"/>
      </w:divBdr>
    </w:div>
    <w:div w:id="283968059">
      <w:bodyDiv w:val="1"/>
      <w:marLeft w:val="0"/>
      <w:marRight w:val="0"/>
      <w:marTop w:val="0"/>
      <w:marBottom w:val="0"/>
      <w:divBdr>
        <w:top w:val="none" w:sz="0" w:space="0" w:color="auto"/>
        <w:left w:val="none" w:sz="0" w:space="0" w:color="auto"/>
        <w:bottom w:val="none" w:sz="0" w:space="0" w:color="auto"/>
        <w:right w:val="none" w:sz="0" w:space="0" w:color="auto"/>
      </w:divBdr>
    </w:div>
    <w:div w:id="286202558">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52329824">
      <w:bodyDiv w:val="1"/>
      <w:marLeft w:val="0"/>
      <w:marRight w:val="0"/>
      <w:marTop w:val="0"/>
      <w:marBottom w:val="0"/>
      <w:divBdr>
        <w:top w:val="none" w:sz="0" w:space="0" w:color="auto"/>
        <w:left w:val="none" w:sz="0" w:space="0" w:color="auto"/>
        <w:bottom w:val="none" w:sz="0" w:space="0" w:color="auto"/>
        <w:right w:val="none" w:sz="0" w:space="0" w:color="auto"/>
      </w:divBdr>
    </w:div>
    <w:div w:id="497775000">
      <w:bodyDiv w:val="1"/>
      <w:marLeft w:val="0"/>
      <w:marRight w:val="0"/>
      <w:marTop w:val="0"/>
      <w:marBottom w:val="0"/>
      <w:divBdr>
        <w:top w:val="none" w:sz="0" w:space="0" w:color="auto"/>
        <w:left w:val="none" w:sz="0" w:space="0" w:color="auto"/>
        <w:bottom w:val="none" w:sz="0" w:space="0" w:color="auto"/>
        <w:right w:val="none" w:sz="0" w:space="0" w:color="auto"/>
      </w:divBdr>
    </w:div>
    <w:div w:id="538586427">
      <w:bodyDiv w:val="1"/>
      <w:marLeft w:val="0"/>
      <w:marRight w:val="0"/>
      <w:marTop w:val="0"/>
      <w:marBottom w:val="0"/>
      <w:divBdr>
        <w:top w:val="none" w:sz="0" w:space="0" w:color="auto"/>
        <w:left w:val="none" w:sz="0" w:space="0" w:color="auto"/>
        <w:bottom w:val="none" w:sz="0" w:space="0" w:color="auto"/>
        <w:right w:val="none" w:sz="0" w:space="0" w:color="auto"/>
      </w:divBdr>
    </w:div>
    <w:div w:id="549655745">
      <w:bodyDiv w:val="1"/>
      <w:marLeft w:val="0"/>
      <w:marRight w:val="0"/>
      <w:marTop w:val="0"/>
      <w:marBottom w:val="0"/>
      <w:divBdr>
        <w:top w:val="none" w:sz="0" w:space="0" w:color="auto"/>
        <w:left w:val="none" w:sz="0" w:space="0" w:color="auto"/>
        <w:bottom w:val="none" w:sz="0" w:space="0" w:color="auto"/>
        <w:right w:val="none" w:sz="0" w:space="0" w:color="auto"/>
      </w:divBdr>
    </w:div>
    <w:div w:id="660081503">
      <w:bodyDiv w:val="1"/>
      <w:marLeft w:val="0"/>
      <w:marRight w:val="0"/>
      <w:marTop w:val="0"/>
      <w:marBottom w:val="0"/>
      <w:divBdr>
        <w:top w:val="none" w:sz="0" w:space="0" w:color="auto"/>
        <w:left w:val="none" w:sz="0" w:space="0" w:color="auto"/>
        <w:bottom w:val="none" w:sz="0" w:space="0" w:color="auto"/>
        <w:right w:val="none" w:sz="0" w:space="0" w:color="auto"/>
      </w:divBdr>
    </w:div>
    <w:div w:id="712115771">
      <w:bodyDiv w:val="1"/>
      <w:marLeft w:val="0"/>
      <w:marRight w:val="0"/>
      <w:marTop w:val="0"/>
      <w:marBottom w:val="0"/>
      <w:divBdr>
        <w:top w:val="none" w:sz="0" w:space="0" w:color="auto"/>
        <w:left w:val="none" w:sz="0" w:space="0" w:color="auto"/>
        <w:bottom w:val="none" w:sz="0" w:space="0" w:color="auto"/>
        <w:right w:val="none" w:sz="0" w:space="0" w:color="auto"/>
      </w:divBdr>
    </w:div>
    <w:div w:id="754938595">
      <w:bodyDiv w:val="1"/>
      <w:marLeft w:val="0"/>
      <w:marRight w:val="0"/>
      <w:marTop w:val="0"/>
      <w:marBottom w:val="0"/>
      <w:divBdr>
        <w:top w:val="none" w:sz="0" w:space="0" w:color="auto"/>
        <w:left w:val="none" w:sz="0" w:space="0" w:color="auto"/>
        <w:bottom w:val="none" w:sz="0" w:space="0" w:color="auto"/>
        <w:right w:val="none" w:sz="0" w:space="0" w:color="auto"/>
      </w:divBdr>
    </w:div>
    <w:div w:id="805511042">
      <w:bodyDiv w:val="1"/>
      <w:marLeft w:val="0"/>
      <w:marRight w:val="0"/>
      <w:marTop w:val="0"/>
      <w:marBottom w:val="0"/>
      <w:divBdr>
        <w:top w:val="none" w:sz="0" w:space="0" w:color="auto"/>
        <w:left w:val="none" w:sz="0" w:space="0" w:color="auto"/>
        <w:bottom w:val="none" w:sz="0" w:space="0" w:color="auto"/>
        <w:right w:val="none" w:sz="0" w:space="0" w:color="auto"/>
      </w:divBdr>
    </w:div>
    <w:div w:id="826282782">
      <w:bodyDiv w:val="1"/>
      <w:marLeft w:val="0"/>
      <w:marRight w:val="0"/>
      <w:marTop w:val="0"/>
      <w:marBottom w:val="0"/>
      <w:divBdr>
        <w:top w:val="none" w:sz="0" w:space="0" w:color="auto"/>
        <w:left w:val="none" w:sz="0" w:space="0" w:color="auto"/>
        <w:bottom w:val="none" w:sz="0" w:space="0" w:color="auto"/>
        <w:right w:val="none" w:sz="0" w:space="0" w:color="auto"/>
      </w:divBdr>
    </w:div>
    <w:div w:id="939215532">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97154800">
      <w:bodyDiv w:val="1"/>
      <w:marLeft w:val="0"/>
      <w:marRight w:val="0"/>
      <w:marTop w:val="0"/>
      <w:marBottom w:val="0"/>
      <w:divBdr>
        <w:top w:val="none" w:sz="0" w:space="0" w:color="auto"/>
        <w:left w:val="none" w:sz="0" w:space="0" w:color="auto"/>
        <w:bottom w:val="none" w:sz="0" w:space="0" w:color="auto"/>
        <w:right w:val="none" w:sz="0" w:space="0" w:color="auto"/>
      </w:divBdr>
    </w:div>
    <w:div w:id="1217812788">
      <w:bodyDiv w:val="1"/>
      <w:marLeft w:val="0"/>
      <w:marRight w:val="0"/>
      <w:marTop w:val="0"/>
      <w:marBottom w:val="0"/>
      <w:divBdr>
        <w:top w:val="none" w:sz="0" w:space="0" w:color="auto"/>
        <w:left w:val="none" w:sz="0" w:space="0" w:color="auto"/>
        <w:bottom w:val="none" w:sz="0" w:space="0" w:color="auto"/>
        <w:right w:val="none" w:sz="0" w:space="0" w:color="auto"/>
      </w:divBdr>
    </w:div>
    <w:div w:id="1244992325">
      <w:bodyDiv w:val="1"/>
      <w:marLeft w:val="0"/>
      <w:marRight w:val="0"/>
      <w:marTop w:val="0"/>
      <w:marBottom w:val="0"/>
      <w:divBdr>
        <w:top w:val="none" w:sz="0" w:space="0" w:color="auto"/>
        <w:left w:val="none" w:sz="0" w:space="0" w:color="auto"/>
        <w:bottom w:val="none" w:sz="0" w:space="0" w:color="auto"/>
        <w:right w:val="none" w:sz="0" w:space="0" w:color="auto"/>
      </w:divBdr>
    </w:div>
    <w:div w:id="1255937420">
      <w:bodyDiv w:val="1"/>
      <w:marLeft w:val="0"/>
      <w:marRight w:val="0"/>
      <w:marTop w:val="0"/>
      <w:marBottom w:val="0"/>
      <w:divBdr>
        <w:top w:val="none" w:sz="0" w:space="0" w:color="auto"/>
        <w:left w:val="none" w:sz="0" w:space="0" w:color="auto"/>
        <w:bottom w:val="none" w:sz="0" w:space="0" w:color="auto"/>
        <w:right w:val="none" w:sz="0" w:space="0" w:color="auto"/>
      </w:divBdr>
    </w:div>
    <w:div w:id="1352101167">
      <w:bodyDiv w:val="1"/>
      <w:marLeft w:val="0"/>
      <w:marRight w:val="0"/>
      <w:marTop w:val="0"/>
      <w:marBottom w:val="0"/>
      <w:divBdr>
        <w:top w:val="none" w:sz="0" w:space="0" w:color="auto"/>
        <w:left w:val="none" w:sz="0" w:space="0" w:color="auto"/>
        <w:bottom w:val="none" w:sz="0" w:space="0" w:color="auto"/>
        <w:right w:val="none" w:sz="0" w:space="0" w:color="auto"/>
      </w:divBdr>
    </w:div>
    <w:div w:id="1369185881">
      <w:bodyDiv w:val="1"/>
      <w:marLeft w:val="0"/>
      <w:marRight w:val="0"/>
      <w:marTop w:val="0"/>
      <w:marBottom w:val="0"/>
      <w:divBdr>
        <w:top w:val="none" w:sz="0" w:space="0" w:color="auto"/>
        <w:left w:val="none" w:sz="0" w:space="0" w:color="auto"/>
        <w:bottom w:val="none" w:sz="0" w:space="0" w:color="auto"/>
        <w:right w:val="none" w:sz="0" w:space="0" w:color="auto"/>
      </w:divBdr>
    </w:div>
    <w:div w:id="1431270873">
      <w:bodyDiv w:val="1"/>
      <w:marLeft w:val="0"/>
      <w:marRight w:val="0"/>
      <w:marTop w:val="0"/>
      <w:marBottom w:val="0"/>
      <w:divBdr>
        <w:top w:val="none" w:sz="0" w:space="0" w:color="auto"/>
        <w:left w:val="none" w:sz="0" w:space="0" w:color="auto"/>
        <w:bottom w:val="none" w:sz="0" w:space="0" w:color="auto"/>
        <w:right w:val="none" w:sz="0" w:space="0" w:color="auto"/>
      </w:divBdr>
    </w:div>
    <w:div w:id="1488354777">
      <w:bodyDiv w:val="1"/>
      <w:marLeft w:val="0"/>
      <w:marRight w:val="0"/>
      <w:marTop w:val="0"/>
      <w:marBottom w:val="0"/>
      <w:divBdr>
        <w:top w:val="none" w:sz="0" w:space="0" w:color="auto"/>
        <w:left w:val="none" w:sz="0" w:space="0" w:color="auto"/>
        <w:bottom w:val="none" w:sz="0" w:space="0" w:color="auto"/>
        <w:right w:val="none" w:sz="0" w:space="0" w:color="auto"/>
      </w:divBdr>
    </w:div>
    <w:div w:id="1500776753">
      <w:bodyDiv w:val="1"/>
      <w:marLeft w:val="0"/>
      <w:marRight w:val="0"/>
      <w:marTop w:val="0"/>
      <w:marBottom w:val="0"/>
      <w:divBdr>
        <w:top w:val="none" w:sz="0" w:space="0" w:color="auto"/>
        <w:left w:val="none" w:sz="0" w:space="0" w:color="auto"/>
        <w:bottom w:val="none" w:sz="0" w:space="0" w:color="auto"/>
        <w:right w:val="none" w:sz="0" w:space="0" w:color="auto"/>
      </w:divBdr>
    </w:div>
    <w:div w:id="1504314614">
      <w:bodyDiv w:val="1"/>
      <w:marLeft w:val="0"/>
      <w:marRight w:val="0"/>
      <w:marTop w:val="0"/>
      <w:marBottom w:val="0"/>
      <w:divBdr>
        <w:top w:val="none" w:sz="0" w:space="0" w:color="auto"/>
        <w:left w:val="none" w:sz="0" w:space="0" w:color="auto"/>
        <w:bottom w:val="none" w:sz="0" w:space="0" w:color="auto"/>
        <w:right w:val="none" w:sz="0" w:space="0" w:color="auto"/>
      </w:divBdr>
    </w:div>
    <w:div w:id="1566137695">
      <w:bodyDiv w:val="1"/>
      <w:marLeft w:val="0"/>
      <w:marRight w:val="0"/>
      <w:marTop w:val="0"/>
      <w:marBottom w:val="0"/>
      <w:divBdr>
        <w:top w:val="none" w:sz="0" w:space="0" w:color="auto"/>
        <w:left w:val="none" w:sz="0" w:space="0" w:color="auto"/>
        <w:bottom w:val="none" w:sz="0" w:space="0" w:color="auto"/>
        <w:right w:val="none" w:sz="0" w:space="0" w:color="auto"/>
      </w:divBdr>
    </w:div>
    <w:div w:id="1681007198">
      <w:bodyDiv w:val="1"/>
      <w:marLeft w:val="0"/>
      <w:marRight w:val="0"/>
      <w:marTop w:val="0"/>
      <w:marBottom w:val="0"/>
      <w:divBdr>
        <w:top w:val="none" w:sz="0" w:space="0" w:color="auto"/>
        <w:left w:val="none" w:sz="0" w:space="0" w:color="auto"/>
        <w:bottom w:val="none" w:sz="0" w:space="0" w:color="auto"/>
        <w:right w:val="none" w:sz="0" w:space="0" w:color="auto"/>
      </w:divBdr>
    </w:div>
    <w:div w:id="1691949729">
      <w:bodyDiv w:val="1"/>
      <w:marLeft w:val="0"/>
      <w:marRight w:val="0"/>
      <w:marTop w:val="0"/>
      <w:marBottom w:val="0"/>
      <w:divBdr>
        <w:top w:val="none" w:sz="0" w:space="0" w:color="auto"/>
        <w:left w:val="none" w:sz="0" w:space="0" w:color="auto"/>
        <w:bottom w:val="none" w:sz="0" w:space="0" w:color="auto"/>
        <w:right w:val="none" w:sz="0" w:space="0" w:color="auto"/>
      </w:divBdr>
    </w:div>
    <w:div w:id="1748920406">
      <w:bodyDiv w:val="1"/>
      <w:marLeft w:val="0"/>
      <w:marRight w:val="0"/>
      <w:marTop w:val="0"/>
      <w:marBottom w:val="0"/>
      <w:divBdr>
        <w:top w:val="none" w:sz="0" w:space="0" w:color="auto"/>
        <w:left w:val="none" w:sz="0" w:space="0" w:color="auto"/>
        <w:bottom w:val="none" w:sz="0" w:space="0" w:color="auto"/>
        <w:right w:val="none" w:sz="0" w:space="0" w:color="auto"/>
      </w:divBdr>
    </w:div>
    <w:div w:id="1780370222">
      <w:bodyDiv w:val="1"/>
      <w:marLeft w:val="0"/>
      <w:marRight w:val="0"/>
      <w:marTop w:val="0"/>
      <w:marBottom w:val="0"/>
      <w:divBdr>
        <w:top w:val="none" w:sz="0" w:space="0" w:color="auto"/>
        <w:left w:val="none" w:sz="0" w:space="0" w:color="auto"/>
        <w:bottom w:val="none" w:sz="0" w:space="0" w:color="auto"/>
        <w:right w:val="none" w:sz="0" w:space="0" w:color="auto"/>
      </w:divBdr>
      <w:divsChild>
        <w:div w:id="1398236849">
          <w:marLeft w:val="0"/>
          <w:marRight w:val="0"/>
          <w:marTop w:val="0"/>
          <w:marBottom w:val="0"/>
          <w:divBdr>
            <w:top w:val="none" w:sz="0" w:space="0" w:color="auto"/>
            <w:left w:val="none" w:sz="0" w:space="0" w:color="auto"/>
            <w:bottom w:val="none" w:sz="0" w:space="0" w:color="auto"/>
            <w:right w:val="none" w:sz="0" w:space="0" w:color="auto"/>
          </w:divBdr>
        </w:div>
        <w:div w:id="1469544105">
          <w:marLeft w:val="0"/>
          <w:marRight w:val="0"/>
          <w:marTop w:val="0"/>
          <w:marBottom w:val="0"/>
          <w:divBdr>
            <w:top w:val="none" w:sz="0" w:space="0" w:color="auto"/>
            <w:left w:val="none" w:sz="0" w:space="0" w:color="auto"/>
            <w:bottom w:val="none" w:sz="0" w:space="0" w:color="auto"/>
            <w:right w:val="none" w:sz="0" w:space="0" w:color="auto"/>
          </w:divBdr>
        </w:div>
        <w:div w:id="1423838870">
          <w:marLeft w:val="0"/>
          <w:marRight w:val="0"/>
          <w:marTop w:val="0"/>
          <w:marBottom w:val="0"/>
          <w:divBdr>
            <w:top w:val="none" w:sz="0" w:space="0" w:color="auto"/>
            <w:left w:val="none" w:sz="0" w:space="0" w:color="auto"/>
            <w:bottom w:val="none" w:sz="0" w:space="0" w:color="auto"/>
            <w:right w:val="none" w:sz="0" w:space="0" w:color="auto"/>
          </w:divBdr>
        </w:div>
        <w:div w:id="448938660">
          <w:marLeft w:val="0"/>
          <w:marRight w:val="0"/>
          <w:marTop w:val="0"/>
          <w:marBottom w:val="0"/>
          <w:divBdr>
            <w:top w:val="none" w:sz="0" w:space="0" w:color="auto"/>
            <w:left w:val="none" w:sz="0" w:space="0" w:color="auto"/>
            <w:bottom w:val="none" w:sz="0" w:space="0" w:color="auto"/>
            <w:right w:val="none" w:sz="0" w:space="0" w:color="auto"/>
          </w:divBdr>
        </w:div>
        <w:div w:id="1009792430">
          <w:marLeft w:val="0"/>
          <w:marRight w:val="0"/>
          <w:marTop w:val="0"/>
          <w:marBottom w:val="0"/>
          <w:divBdr>
            <w:top w:val="none" w:sz="0" w:space="0" w:color="auto"/>
            <w:left w:val="none" w:sz="0" w:space="0" w:color="auto"/>
            <w:bottom w:val="none" w:sz="0" w:space="0" w:color="auto"/>
            <w:right w:val="none" w:sz="0" w:space="0" w:color="auto"/>
          </w:divBdr>
        </w:div>
      </w:divsChild>
    </w:div>
    <w:div w:id="1856653407">
      <w:bodyDiv w:val="1"/>
      <w:marLeft w:val="0"/>
      <w:marRight w:val="0"/>
      <w:marTop w:val="0"/>
      <w:marBottom w:val="0"/>
      <w:divBdr>
        <w:top w:val="none" w:sz="0" w:space="0" w:color="auto"/>
        <w:left w:val="none" w:sz="0" w:space="0" w:color="auto"/>
        <w:bottom w:val="none" w:sz="0" w:space="0" w:color="auto"/>
        <w:right w:val="none" w:sz="0" w:space="0" w:color="auto"/>
      </w:divBdr>
    </w:div>
    <w:div w:id="1938058347">
      <w:bodyDiv w:val="1"/>
      <w:marLeft w:val="0"/>
      <w:marRight w:val="0"/>
      <w:marTop w:val="0"/>
      <w:marBottom w:val="0"/>
      <w:divBdr>
        <w:top w:val="none" w:sz="0" w:space="0" w:color="auto"/>
        <w:left w:val="none" w:sz="0" w:space="0" w:color="auto"/>
        <w:bottom w:val="none" w:sz="0" w:space="0" w:color="auto"/>
        <w:right w:val="none" w:sz="0" w:space="0" w:color="auto"/>
      </w:divBdr>
    </w:div>
    <w:div w:id="2077701130">
      <w:bodyDiv w:val="1"/>
      <w:marLeft w:val="0"/>
      <w:marRight w:val="0"/>
      <w:marTop w:val="0"/>
      <w:marBottom w:val="0"/>
      <w:divBdr>
        <w:top w:val="none" w:sz="0" w:space="0" w:color="auto"/>
        <w:left w:val="none" w:sz="0" w:space="0" w:color="auto"/>
        <w:bottom w:val="none" w:sz="0" w:space="0" w:color="auto"/>
        <w:right w:val="none" w:sz="0" w:space="0" w:color="auto"/>
      </w:divBdr>
    </w:div>
    <w:div w:id="207843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edicareaustralia.gov.au/provider/pbs/stats.jsp"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7%20Jun\Ulcerative%20colitis\Prescriptions%20by%20Drug%20using%20ALL%20coho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7%20Jun\Ulcerative%20colitis\Prescriptions%20by%20Drug%20using%20ALL%20cohor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7%20Jun\Ulcerative%20colitis\Prescriptions%20by%20Drug%20using%20ALL%20cohor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7%20Jun\Ulcerative%20colitis\Prescriptions%20by%20Drug%20using%20ALL%20cohor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7\D1006%20-%20Ulcerative%20colitis%20review\PRD%20CHANGES%20Prescriptions%20by%20Drug%20using%20ALL%20cohor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7%20Jun\Ulcerative%20colitis\Patient%20counts%20using%20ALL%20coho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[Prescriptions by Drug using ALL cohort.xlsx]oral 5ASAs!PivotTable1</c:name>
    <c:fmtId val="9"/>
  </c:pivotSource>
  <c:chart>
    <c:autoTitleDeleted val="0"/>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s>
    <c:plotArea>
      <c:layout/>
      <c:lineChart>
        <c:grouping val="standard"/>
        <c:varyColors val="0"/>
        <c:ser>
          <c:idx val="0"/>
          <c:order val="0"/>
          <c:tx>
            <c:strRef>
              <c:f>'oral 5ASAs'!$B$3:$B$4</c:f>
              <c:strCache>
                <c:ptCount val="1"/>
                <c:pt idx="0">
                  <c:v>BALSALAZIDE</c:v>
                </c:pt>
              </c:strCache>
            </c:strRef>
          </c:tx>
          <c:cat>
            <c:strRef>
              <c:f>'oral 5ASAs'!$A$5:$A$65</c:f>
              <c:strCache>
                <c:ptCount val="60"/>
                <c:pt idx="0">
                  <c:v>201201</c:v>
                </c:pt>
                <c:pt idx="1">
                  <c:v>201202</c:v>
                </c:pt>
                <c:pt idx="2">
                  <c:v>201203</c:v>
                </c:pt>
                <c:pt idx="3">
                  <c:v>201204</c:v>
                </c:pt>
                <c:pt idx="4">
                  <c:v>201205</c:v>
                </c:pt>
                <c:pt idx="5">
                  <c:v>201206</c:v>
                </c:pt>
                <c:pt idx="6">
                  <c:v>201207</c:v>
                </c:pt>
                <c:pt idx="7">
                  <c:v>201208</c:v>
                </c:pt>
                <c:pt idx="8">
                  <c:v>201209</c:v>
                </c:pt>
                <c:pt idx="9">
                  <c:v>201210</c:v>
                </c:pt>
                <c:pt idx="10">
                  <c:v>201211</c:v>
                </c:pt>
                <c:pt idx="11">
                  <c:v>201212</c:v>
                </c:pt>
                <c:pt idx="12">
                  <c:v>201301</c:v>
                </c:pt>
                <c:pt idx="13">
                  <c:v>201302</c:v>
                </c:pt>
                <c:pt idx="14">
                  <c:v>201303</c:v>
                </c:pt>
                <c:pt idx="15">
                  <c:v>201304</c:v>
                </c:pt>
                <c:pt idx="16">
                  <c:v>201305</c:v>
                </c:pt>
                <c:pt idx="17">
                  <c:v>201306</c:v>
                </c:pt>
                <c:pt idx="18">
                  <c:v>201307</c:v>
                </c:pt>
                <c:pt idx="19">
                  <c:v>201308</c:v>
                </c:pt>
                <c:pt idx="20">
                  <c:v>201309</c:v>
                </c:pt>
                <c:pt idx="21">
                  <c:v>201310</c:v>
                </c:pt>
                <c:pt idx="22">
                  <c:v>201311</c:v>
                </c:pt>
                <c:pt idx="23">
                  <c:v>201312</c:v>
                </c:pt>
                <c:pt idx="24">
                  <c:v>201401</c:v>
                </c:pt>
                <c:pt idx="25">
                  <c:v>201402</c:v>
                </c:pt>
                <c:pt idx="26">
                  <c:v>201403</c:v>
                </c:pt>
                <c:pt idx="27">
                  <c:v>201404</c:v>
                </c:pt>
                <c:pt idx="28">
                  <c:v>201405</c:v>
                </c:pt>
                <c:pt idx="29">
                  <c:v>201406</c:v>
                </c:pt>
                <c:pt idx="30">
                  <c:v>201407</c:v>
                </c:pt>
                <c:pt idx="31">
                  <c:v>201408</c:v>
                </c:pt>
                <c:pt idx="32">
                  <c:v>201409</c:v>
                </c:pt>
                <c:pt idx="33">
                  <c:v>201410</c:v>
                </c:pt>
                <c:pt idx="34">
                  <c:v>201411</c:v>
                </c:pt>
                <c:pt idx="35">
                  <c:v>201412</c:v>
                </c:pt>
                <c:pt idx="36">
                  <c:v>201501</c:v>
                </c:pt>
                <c:pt idx="37">
                  <c:v>201502</c:v>
                </c:pt>
                <c:pt idx="38">
                  <c:v>201503</c:v>
                </c:pt>
                <c:pt idx="39">
                  <c:v>201504</c:v>
                </c:pt>
                <c:pt idx="40">
                  <c:v>201505</c:v>
                </c:pt>
                <c:pt idx="41">
                  <c:v>201506</c:v>
                </c:pt>
                <c:pt idx="42">
                  <c:v>201507</c:v>
                </c:pt>
                <c:pt idx="43">
                  <c:v>201508</c:v>
                </c:pt>
                <c:pt idx="44">
                  <c:v>201509</c:v>
                </c:pt>
                <c:pt idx="45">
                  <c:v>201510</c:v>
                </c:pt>
                <c:pt idx="46">
                  <c:v>201511</c:v>
                </c:pt>
                <c:pt idx="47">
                  <c:v>201512</c:v>
                </c:pt>
                <c:pt idx="48">
                  <c:v>201601</c:v>
                </c:pt>
                <c:pt idx="49">
                  <c:v>201602</c:v>
                </c:pt>
                <c:pt idx="50">
                  <c:v>201603</c:v>
                </c:pt>
                <c:pt idx="51">
                  <c:v>201604</c:v>
                </c:pt>
                <c:pt idx="52">
                  <c:v>201605</c:v>
                </c:pt>
                <c:pt idx="53">
                  <c:v>201606</c:v>
                </c:pt>
                <c:pt idx="54">
                  <c:v>201607</c:v>
                </c:pt>
                <c:pt idx="55">
                  <c:v>201608</c:v>
                </c:pt>
                <c:pt idx="56">
                  <c:v>201609</c:v>
                </c:pt>
                <c:pt idx="57">
                  <c:v>201610</c:v>
                </c:pt>
                <c:pt idx="58">
                  <c:v>201611</c:v>
                </c:pt>
                <c:pt idx="59">
                  <c:v>201612</c:v>
                </c:pt>
              </c:strCache>
            </c:strRef>
          </c:cat>
          <c:val>
            <c:numRef>
              <c:f>'oral 5ASAs'!$B$5:$B$65</c:f>
              <c:numCache>
                <c:formatCode>General</c:formatCode>
                <c:ptCount val="60"/>
                <c:pt idx="0">
                  <c:v>1606</c:v>
                </c:pt>
                <c:pt idx="1">
                  <c:v>1539</c:v>
                </c:pt>
                <c:pt idx="2">
                  <c:v>1732</c:v>
                </c:pt>
                <c:pt idx="3">
                  <c:v>1637</c:v>
                </c:pt>
                <c:pt idx="4">
                  <c:v>1784</c:v>
                </c:pt>
                <c:pt idx="5">
                  <c:v>1687</c:v>
                </c:pt>
                <c:pt idx="6">
                  <c:v>1677</c:v>
                </c:pt>
                <c:pt idx="7">
                  <c:v>1707</c:v>
                </c:pt>
                <c:pt idx="8">
                  <c:v>1592</c:v>
                </c:pt>
                <c:pt idx="9">
                  <c:v>1703</c:v>
                </c:pt>
                <c:pt idx="10">
                  <c:v>1493</c:v>
                </c:pt>
                <c:pt idx="11">
                  <c:v>632</c:v>
                </c:pt>
                <c:pt idx="12">
                  <c:v>272</c:v>
                </c:pt>
                <c:pt idx="13">
                  <c:v>1214</c:v>
                </c:pt>
                <c:pt idx="14">
                  <c:v>1103</c:v>
                </c:pt>
                <c:pt idx="15">
                  <c:v>1080</c:v>
                </c:pt>
                <c:pt idx="16">
                  <c:v>1176</c:v>
                </c:pt>
                <c:pt idx="17">
                  <c:v>1199</c:v>
                </c:pt>
                <c:pt idx="18">
                  <c:v>1228</c:v>
                </c:pt>
                <c:pt idx="19">
                  <c:v>1251</c:v>
                </c:pt>
                <c:pt idx="20">
                  <c:v>1146</c:v>
                </c:pt>
                <c:pt idx="21">
                  <c:v>1257</c:v>
                </c:pt>
                <c:pt idx="22">
                  <c:v>1171</c:v>
                </c:pt>
                <c:pt idx="23">
                  <c:v>1326</c:v>
                </c:pt>
                <c:pt idx="24">
                  <c:v>1070</c:v>
                </c:pt>
                <c:pt idx="25">
                  <c:v>1093</c:v>
                </c:pt>
                <c:pt idx="26">
                  <c:v>1173</c:v>
                </c:pt>
                <c:pt idx="27">
                  <c:v>1137</c:v>
                </c:pt>
                <c:pt idx="28">
                  <c:v>1223</c:v>
                </c:pt>
                <c:pt idx="29">
                  <c:v>1166</c:v>
                </c:pt>
                <c:pt idx="30">
                  <c:v>1196</c:v>
                </c:pt>
                <c:pt idx="31">
                  <c:v>1241</c:v>
                </c:pt>
                <c:pt idx="32">
                  <c:v>1171</c:v>
                </c:pt>
                <c:pt idx="33">
                  <c:v>1210</c:v>
                </c:pt>
                <c:pt idx="34">
                  <c:v>1190</c:v>
                </c:pt>
                <c:pt idx="35">
                  <c:v>1400</c:v>
                </c:pt>
                <c:pt idx="36">
                  <c:v>978</c:v>
                </c:pt>
                <c:pt idx="37">
                  <c:v>1054</c:v>
                </c:pt>
                <c:pt idx="38">
                  <c:v>1219</c:v>
                </c:pt>
                <c:pt idx="39">
                  <c:v>1156</c:v>
                </c:pt>
                <c:pt idx="40">
                  <c:v>1145</c:v>
                </c:pt>
                <c:pt idx="41">
                  <c:v>1169</c:v>
                </c:pt>
                <c:pt idx="42">
                  <c:v>1230</c:v>
                </c:pt>
                <c:pt idx="43">
                  <c:v>1164</c:v>
                </c:pt>
                <c:pt idx="44">
                  <c:v>1189</c:v>
                </c:pt>
                <c:pt idx="45">
                  <c:v>1188</c:v>
                </c:pt>
                <c:pt idx="46">
                  <c:v>1219</c:v>
                </c:pt>
                <c:pt idx="47">
                  <c:v>1329</c:v>
                </c:pt>
                <c:pt idx="48">
                  <c:v>995</c:v>
                </c:pt>
                <c:pt idx="49">
                  <c:v>1075</c:v>
                </c:pt>
                <c:pt idx="50">
                  <c:v>1201</c:v>
                </c:pt>
                <c:pt idx="51">
                  <c:v>1144</c:v>
                </c:pt>
                <c:pt idx="52">
                  <c:v>1152</c:v>
                </c:pt>
                <c:pt idx="53">
                  <c:v>1127</c:v>
                </c:pt>
                <c:pt idx="54">
                  <c:v>1130</c:v>
                </c:pt>
                <c:pt idx="55">
                  <c:v>1133</c:v>
                </c:pt>
                <c:pt idx="56">
                  <c:v>1128</c:v>
                </c:pt>
                <c:pt idx="57">
                  <c:v>1153</c:v>
                </c:pt>
                <c:pt idx="58">
                  <c:v>1142</c:v>
                </c:pt>
                <c:pt idx="59">
                  <c:v>1251</c:v>
                </c:pt>
              </c:numCache>
            </c:numRef>
          </c:val>
          <c:smooth val="0"/>
        </c:ser>
        <c:ser>
          <c:idx val="1"/>
          <c:order val="1"/>
          <c:tx>
            <c:strRef>
              <c:f>'oral 5ASAs'!$C$3:$C$4</c:f>
              <c:strCache>
                <c:ptCount val="1"/>
                <c:pt idx="0">
                  <c:v>MESALAZINE</c:v>
                </c:pt>
              </c:strCache>
            </c:strRef>
          </c:tx>
          <c:cat>
            <c:strRef>
              <c:f>'oral 5ASAs'!$A$5:$A$65</c:f>
              <c:strCache>
                <c:ptCount val="60"/>
                <c:pt idx="0">
                  <c:v>201201</c:v>
                </c:pt>
                <c:pt idx="1">
                  <c:v>201202</c:v>
                </c:pt>
                <c:pt idx="2">
                  <c:v>201203</c:v>
                </c:pt>
                <c:pt idx="3">
                  <c:v>201204</c:v>
                </c:pt>
                <c:pt idx="4">
                  <c:v>201205</c:v>
                </c:pt>
                <c:pt idx="5">
                  <c:v>201206</c:v>
                </c:pt>
                <c:pt idx="6">
                  <c:v>201207</c:v>
                </c:pt>
                <c:pt idx="7">
                  <c:v>201208</c:v>
                </c:pt>
                <c:pt idx="8">
                  <c:v>201209</c:v>
                </c:pt>
                <c:pt idx="9">
                  <c:v>201210</c:v>
                </c:pt>
                <c:pt idx="10">
                  <c:v>201211</c:v>
                </c:pt>
                <c:pt idx="11">
                  <c:v>201212</c:v>
                </c:pt>
                <c:pt idx="12">
                  <c:v>201301</c:v>
                </c:pt>
                <c:pt idx="13">
                  <c:v>201302</c:v>
                </c:pt>
                <c:pt idx="14">
                  <c:v>201303</c:v>
                </c:pt>
                <c:pt idx="15">
                  <c:v>201304</c:v>
                </c:pt>
                <c:pt idx="16">
                  <c:v>201305</c:v>
                </c:pt>
                <c:pt idx="17">
                  <c:v>201306</c:v>
                </c:pt>
                <c:pt idx="18">
                  <c:v>201307</c:v>
                </c:pt>
                <c:pt idx="19">
                  <c:v>201308</c:v>
                </c:pt>
                <c:pt idx="20">
                  <c:v>201309</c:v>
                </c:pt>
                <c:pt idx="21">
                  <c:v>201310</c:v>
                </c:pt>
                <c:pt idx="22">
                  <c:v>201311</c:v>
                </c:pt>
                <c:pt idx="23">
                  <c:v>201312</c:v>
                </c:pt>
                <c:pt idx="24">
                  <c:v>201401</c:v>
                </c:pt>
                <c:pt idx="25">
                  <c:v>201402</c:v>
                </c:pt>
                <c:pt idx="26">
                  <c:v>201403</c:v>
                </c:pt>
                <c:pt idx="27">
                  <c:v>201404</c:v>
                </c:pt>
                <c:pt idx="28">
                  <c:v>201405</c:v>
                </c:pt>
                <c:pt idx="29">
                  <c:v>201406</c:v>
                </c:pt>
                <c:pt idx="30">
                  <c:v>201407</c:v>
                </c:pt>
                <c:pt idx="31">
                  <c:v>201408</c:v>
                </c:pt>
                <c:pt idx="32">
                  <c:v>201409</c:v>
                </c:pt>
                <c:pt idx="33">
                  <c:v>201410</c:v>
                </c:pt>
                <c:pt idx="34">
                  <c:v>201411</c:v>
                </c:pt>
                <c:pt idx="35">
                  <c:v>201412</c:v>
                </c:pt>
                <c:pt idx="36">
                  <c:v>201501</c:v>
                </c:pt>
                <c:pt idx="37">
                  <c:v>201502</c:v>
                </c:pt>
                <c:pt idx="38">
                  <c:v>201503</c:v>
                </c:pt>
                <c:pt idx="39">
                  <c:v>201504</c:v>
                </c:pt>
                <c:pt idx="40">
                  <c:v>201505</c:v>
                </c:pt>
                <c:pt idx="41">
                  <c:v>201506</c:v>
                </c:pt>
                <c:pt idx="42">
                  <c:v>201507</c:v>
                </c:pt>
                <c:pt idx="43">
                  <c:v>201508</c:v>
                </c:pt>
                <c:pt idx="44">
                  <c:v>201509</c:v>
                </c:pt>
                <c:pt idx="45">
                  <c:v>201510</c:v>
                </c:pt>
                <c:pt idx="46">
                  <c:v>201511</c:v>
                </c:pt>
                <c:pt idx="47">
                  <c:v>201512</c:v>
                </c:pt>
                <c:pt idx="48">
                  <c:v>201601</c:v>
                </c:pt>
                <c:pt idx="49">
                  <c:v>201602</c:v>
                </c:pt>
                <c:pt idx="50">
                  <c:v>201603</c:v>
                </c:pt>
                <c:pt idx="51">
                  <c:v>201604</c:v>
                </c:pt>
                <c:pt idx="52">
                  <c:v>201605</c:v>
                </c:pt>
                <c:pt idx="53">
                  <c:v>201606</c:v>
                </c:pt>
                <c:pt idx="54">
                  <c:v>201607</c:v>
                </c:pt>
                <c:pt idx="55">
                  <c:v>201608</c:v>
                </c:pt>
                <c:pt idx="56">
                  <c:v>201609</c:v>
                </c:pt>
                <c:pt idx="57">
                  <c:v>201610</c:v>
                </c:pt>
                <c:pt idx="58">
                  <c:v>201611</c:v>
                </c:pt>
                <c:pt idx="59">
                  <c:v>201612</c:v>
                </c:pt>
              </c:strCache>
            </c:strRef>
          </c:cat>
          <c:val>
            <c:numRef>
              <c:f>'oral 5ASAs'!$C$5:$C$65</c:f>
              <c:numCache>
                <c:formatCode>General</c:formatCode>
                <c:ptCount val="60"/>
                <c:pt idx="0">
                  <c:v>9635</c:v>
                </c:pt>
                <c:pt idx="1">
                  <c:v>10339</c:v>
                </c:pt>
                <c:pt idx="2">
                  <c:v>11587</c:v>
                </c:pt>
                <c:pt idx="3">
                  <c:v>10865</c:v>
                </c:pt>
                <c:pt idx="4">
                  <c:v>11906</c:v>
                </c:pt>
                <c:pt idx="5">
                  <c:v>11452</c:v>
                </c:pt>
                <c:pt idx="6">
                  <c:v>11640</c:v>
                </c:pt>
                <c:pt idx="7">
                  <c:v>12275</c:v>
                </c:pt>
                <c:pt idx="8">
                  <c:v>11451</c:v>
                </c:pt>
                <c:pt idx="9">
                  <c:v>12502</c:v>
                </c:pt>
                <c:pt idx="10">
                  <c:v>12694</c:v>
                </c:pt>
                <c:pt idx="11">
                  <c:v>14828</c:v>
                </c:pt>
                <c:pt idx="12">
                  <c:v>12322</c:v>
                </c:pt>
                <c:pt idx="13">
                  <c:v>11993</c:v>
                </c:pt>
                <c:pt idx="14">
                  <c:v>13073</c:v>
                </c:pt>
                <c:pt idx="15">
                  <c:v>13304</c:v>
                </c:pt>
                <c:pt idx="16">
                  <c:v>13970</c:v>
                </c:pt>
                <c:pt idx="17">
                  <c:v>13320</c:v>
                </c:pt>
                <c:pt idx="18">
                  <c:v>13969</c:v>
                </c:pt>
                <c:pt idx="19">
                  <c:v>14105</c:v>
                </c:pt>
                <c:pt idx="20">
                  <c:v>13454</c:v>
                </c:pt>
                <c:pt idx="21">
                  <c:v>14398</c:v>
                </c:pt>
                <c:pt idx="22">
                  <c:v>14081</c:v>
                </c:pt>
                <c:pt idx="23">
                  <c:v>15915</c:v>
                </c:pt>
                <c:pt idx="24">
                  <c:v>12999</c:v>
                </c:pt>
                <c:pt idx="25">
                  <c:v>13038</c:v>
                </c:pt>
                <c:pt idx="26">
                  <c:v>14419</c:v>
                </c:pt>
                <c:pt idx="27">
                  <c:v>14437</c:v>
                </c:pt>
                <c:pt idx="28">
                  <c:v>15342</c:v>
                </c:pt>
                <c:pt idx="29">
                  <c:v>14768</c:v>
                </c:pt>
                <c:pt idx="30">
                  <c:v>15394</c:v>
                </c:pt>
                <c:pt idx="31">
                  <c:v>15082</c:v>
                </c:pt>
                <c:pt idx="32">
                  <c:v>15174</c:v>
                </c:pt>
                <c:pt idx="33">
                  <c:v>15769</c:v>
                </c:pt>
                <c:pt idx="34">
                  <c:v>14998</c:v>
                </c:pt>
                <c:pt idx="35">
                  <c:v>18072</c:v>
                </c:pt>
                <c:pt idx="36">
                  <c:v>13952</c:v>
                </c:pt>
                <c:pt idx="37">
                  <c:v>14197</c:v>
                </c:pt>
                <c:pt idx="38">
                  <c:v>16348</c:v>
                </c:pt>
                <c:pt idx="39">
                  <c:v>15533</c:v>
                </c:pt>
                <c:pt idx="40">
                  <c:v>16132</c:v>
                </c:pt>
                <c:pt idx="41">
                  <c:v>16597</c:v>
                </c:pt>
                <c:pt idx="42">
                  <c:v>17310</c:v>
                </c:pt>
                <c:pt idx="43">
                  <c:v>16849</c:v>
                </c:pt>
                <c:pt idx="44">
                  <c:v>16671</c:v>
                </c:pt>
                <c:pt idx="45">
                  <c:v>17424</c:v>
                </c:pt>
                <c:pt idx="46">
                  <c:v>17384</c:v>
                </c:pt>
                <c:pt idx="47">
                  <c:v>19716</c:v>
                </c:pt>
                <c:pt idx="48">
                  <c:v>15665</c:v>
                </c:pt>
                <c:pt idx="49">
                  <c:v>16559</c:v>
                </c:pt>
                <c:pt idx="50">
                  <c:v>18160</c:v>
                </c:pt>
                <c:pt idx="51">
                  <c:v>17553</c:v>
                </c:pt>
                <c:pt idx="52">
                  <c:v>18222</c:v>
                </c:pt>
                <c:pt idx="53">
                  <c:v>17592</c:v>
                </c:pt>
                <c:pt idx="54">
                  <c:v>17545</c:v>
                </c:pt>
                <c:pt idx="55">
                  <c:v>18098</c:v>
                </c:pt>
                <c:pt idx="56">
                  <c:v>17377</c:v>
                </c:pt>
                <c:pt idx="57">
                  <c:v>17482</c:v>
                </c:pt>
                <c:pt idx="58">
                  <c:v>17979</c:v>
                </c:pt>
                <c:pt idx="59">
                  <c:v>19432</c:v>
                </c:pt>
              </c:numCache>
            </c:numRef>
          </c:val>
          <c:smooth val="0"/>
        </c:ser>
        <c:ser>
          <c:idx val="2"/>
          <c:order val="2"/>
          <c:tx>
            <c:strRef>
              <c:f>'oral 5ASAs'!$D$3:$D$4</c:f>
              <c:strCache>
                <c:ptCount val="1"/>
                <c:pt idx="0">
                  <c:v>OLSALAZINE</c:v>
                </c:pt>
              </c:strCache>
            </c:strRef>
          </c:tx>
          <c:cat>
            <c:strRef>
              <c:f>'oral 5ASAs'!$A$5:$A$65</c:f>
              <c:strCache>
                <c:ptCount val="60"/>
                <c:pt idx="0">
                  <c:v>201201</c:v>
                </c:pt>
                <c:pt idx="1">
                  <c:v>201202</c:v>
                </c:pt>
                <c:pt idx="2">
                  <c:v>201203</c:v>
                </c:pt>
                <c:pt idx="3">
                  <c:v>201204</c:v>
                </c:pt>
                <c:pt idx="4">
                  <c:v>201205</c:v>
                </c:pt>
                <c:pt idx="5">
                  <c:v>201206</c:v>
                </c:pt>
                <c:pt idx="6">
                  <c:v>201207</c:v>
                </c:pt>
                <c:pt idx="7">
                  <c:v>201208</c:v>
                </c:pt>
                <c:pt idx="8">
                  <c:v>201209</c:v>
                </c:pt>
                <c:pt idx="9">
                  <c:v>201210</c:v>
                </c:pt>
                <c:pt idx="10">
                  <c:v>201211</c:v>
                </c:pt>
                <c:pt idx="11">
                  <c:v>201212</c:v>
                </c:pt>
                <c:pt idx="12">
                  <c:v>201301</c:v>
                </c:pt>
                <c:pt idx="13">
                  <c:v>201302</c:v>
                </c:pt>
                <c:pt idx="14">
                  <c:v>201303</c:v>
                </c:pt>
                <c:pt idx="15">
                  <c:v>201304</c:v>
                </c:pt>
                <c:pt idx="16">
                  <c:v>201305</c:v>
                </c:pt>
                <c:pt idx="17">
                  <c:v>201306</c:v>
                </c:pt>
                <c:pt idx="18">
                  <c:v>201307</c:v>
                </c:pt>
                <c:pt idx="19">
                  <c:v>201308</c:v>
                </c:pt>
                <c:pt idx="20">
                  <c:v>201309</c:v>
                </c:pt>
                <c:pt idx="21">
                  <c:v>201310</c:v>
                </c:pt>
                <c:pt idx="22">
                  <c:v>201311</c:v>
                </c:pt>
                <c:pt idx="23">
                  <c:v>201312</c:v>
                </c:pt>
                <c:pt idx="24">
                  <c:v>201401</c:v>
                </c:pt>
                <c:pt idx="25">
                  <c:v>201402</c:v>
                </c:pt>
                <c:pt idx="26">
                  <c:v>201403</c:v>
                </c:pt>
                <c:pt idx="27">
                  <c:v>201404</c:v>
                </c:pt>
                <c:pt idx="28">
                  <c:v>201405</c:v>
                </c:pt>
                <c:pt idx="29">
                  <c:v>201406</c:v>
                </c:pt>
                <c:pt idx="30">
                  <c:v>201407</c:v>
                </c:pt>
                <c:pt idx="31">
                  <c:v>201408</c:v>
                </c:pt>
                <c:pt idx="32">
                  <c:v>201409</c:v>
                </c:pt>
                <c:pt idx="33">
                  <c:v>201410</c:v>
                </c:pt>
                <c:pt idx="34">
                  <c:v>201411</c:v>
                </c:pt>
                <c:pt idx="35">
                  <c:v>201412</c:v>
                </c:pt>
                <c:pt idx="36">
                  <c:v>201501</c:v>
                </c:pt>
                <c:pt idx="37">
                  <c:v>201502</c:v>
                </c:pt>
                <c:pt idx="38">
                  <c:v>201503</c:v>
                </c:pt>
                <c:pt idx="39">
                  <c:v>201504</c:v>
                </c:pt>
                <c:pt idx="40">
                  <c:v>201505</c:v>
                </c:pt>
                <c:pt idx="41">
                  <c:v>201506</c:v>
                </c:pt>
                <c:pt idx="42">
                  <c:v>201507</c:v>
                </c:pt>
                <c:pt idx="43">
                  <c:v>201508</c:v>
                </c:pt>
                <c:pt idx="44">
                  <c:v>201509</c:v>
                </c:pt>
                <c:pt idx="45">
                  <c:v>201510</c:v>
                </c:pt>
                <c:pt idx="46">
                  <c:v>201511</c:v>
                </c:pt>
                <c:pt idx="47">
                  <c:v>201512</c:v>
                </c:pt>
                <c:pt idx="48">
                  <c:v>201601</c:v>
                </c:pt>
                <c:pt idx="49">
                  <c:v>201602</c:v>
                </c:pt>
                <c:pt idx="50">
                  <c:v>201603</c:v>
                </c:pt>
                <c:pt idx="51">
                  <c:v>201604</c:v>
                </c:pt>
                <c:pt idx="52">
                  <c:v>201605</c:v>
                </c:pt>
                <c:pt idx="53">
                  <c:v>201606</c:v>
                </c:pt>
                <c:pt idx="54">
                  <c:v>201607</c:v>
                </c:pt>
                <c:pt idx="55">
                  <c:v>201608</c:v>
                </c:pt>
                <c:pt idx="56">
                  <c:v>201609</c:v>
                </c:pt>
                <c:pt idx="57">
                  <c:v>201610</c:v>
                </c:pt>
                <c:pt idx="58">
                  <c:v>201611</c:v>
                </c:pt>
                <c:pt idx="59">
                  <c:v>201612</c:v>
                </c:pt>
              </c:strCache>
            </c:strRef>
          </c:cat>
          <c:val>
            <c:numRef>
              <c:f>'oral 5ASAs'!$D$5:$D$65</c:f>
              <c:numCache>
                <c:formatCode>General</c:formatCode>
                <c:ptCount val="60"/>
                <c:pt idx="0">
                  <c:v>1136</c:v>
                </c:pt>
                <c:pt idx="1">
                  <c:v>1206</c:v>
                </c:pt>
                <c:pt idx="2">
                  <c:v>1342</c:v>
                </c:pt>
                <c:pt idx="3">
                  <c:v>1206</c:v>
                </c:pt>
                <c:pt idx="4">
                  <c:v>1385</c:v>
                </c:pt>
                <c:pt idx="5">
                  <c:v>1264</c:v>
                </c:pt>
                <c:pt idx="6">
                  <c:v>1301</c:v>
                </c:pt>
                <c:pt idx="7">
                  <c:v>1295</c:v>
                </c:pt>
                <c:pt idx="8">
                  <c:v>1265</c:v>
                </c:pt>
                <c:pt idx="9">
                  <c:v>1307</c:v>
                </c:pt>
                <c:pt idx="10">
                  <c:v>1362</c:v>
                </c:pt>
                <c:pt idx="11">
                  <c:v>1545</c:v>
                </c:pt>
                <c:pt idx="12">
                  <c:v>1185</c:v>
                </c:pt>
                <c:pt idx="13">
                  <c:v>1134</c:v>
                </c:pt>
                <c:pt idx="14">
                  <c:v>1218</c:v>
                </c:pt>
                <c:pt idx="15">
                  <c:v>1263</c:v>
                </c:pt>
                <c:pt idx="16">
                  <c:v>1266</c:v>
                </c:pt>
                <c:pt idx="17">
                  <c:v>1169</c:v>
                </c:pt>
                <c:pt idx="18">
                  <c:v>1225</c:v>
                </c:pt>
                <c:pt idx="19">
                  <c:v>1273</c:v>
                </c:pt>
                <c:pt idx="20">
                  <c:v>1175</c:v>
                </c:pt>
                <c:pt idx="21">
                  <c:v>1247</c:v>
                </c:pt>
                <c:pt idx="22">
                  <c:v>1243</c:v>
                </c:pt>
                <c:pt idx="23">
                  <c:v>1383</c:v>
                </c:pt>
                <c:pt idx="24">
                  <c:v>1069</c:v>
                </c:pt>
                <c:pt idx="25">
                  <c:v>1001</c:v>
                </c:pt>
                <c:pt idx="26">
                  <c:v>1129</c:v>
                </c:pt>
                <c:pt idx="27">
                  <c:v>1139</c:v>
                </c:pt>
                <c:pt idx="28">
                  <c:v>1220</c:v>
                </c:pt>
                <c:pt idx="29">
                  <c:v>1072</c:v>
                </c:pt>
                <c:pt idx="30">
                  <c:v>1217</c:v>
                </c:pt>
                <c:pt idx="31">
                  <c:v>1126</c:v>
                </c:pt>
                <c:pt idx="32">
                  <c:v>1114</c:v>
                </c:pt>
                <c:pt idx="33">
                  <c:v>1182</c:v>
                </c:pt>
                <c:pt idx="34">
                  <c:v>1119</c:v>
                </c:pt>
                <c:pt idx="35">
                  <c:v>1370</c:v>
                </c:pt>
                <c:pt idx="36">
                  <c:v>969</c:v>
                </c:pt>
                <c:pt idx="37">
                  <c:v>961</c:v>
                </c:pt>
                <c:pt idx="38">
                  <c:v>1118</c:v>
                </c:pt>
                <c:pt idx="39">
                  <c:v>1042</c:v>
                </c:pt>
                <c:pt idx="40">
                  <c:v>1073</c:v>
                </c:pt>
                <c:pt idx="41">
                  <c:v>1076</c:v>
                </c:pt>
                <c:pt idx="42">
                  <c:v>1137</c:v>
                </c:pt>
                <c:pt idx="43">
                  <c:v>1061</c:v>
                </c:pt>
                <c:pt idx="44">
                  <c:v>1097</c:v>
                </c:pt>
                <c:pt idx="45">
                  <c:v>1089</c:v>
                </c:pt>
                <c:pt idx="46">
                  <c:v>1094</c:v>
                </c:pt>
                <c:pt idx="47">
                  <c:v>1275</c:v>
                </c:pt>
                <c:pt idx="48">
                  <c:v>878</c:v>
                </c:pt>
                <c:pt idx="49">
                  <c:v>973</c:v>
                </c:pt>
                <c:pt idx="50">
                  <c:v>1054</c:v>
                </c:pt>
                <c:pt idx="51">
                  <c:v>1014</c:v>
                </c:pt>
                <c:pt idx="52">
                  <c:v>992</c:v>
                </c:pt>
                <c:pt idx="53">
                  <c:v>1019</c:v>
                </c:pt>
                <c:pt idx="54">
                  <c:v>1001</c:v>
                </c:pt>
                <c:pt idx="55">
                  <c:v>1007</c:v>
                </c:pt>
                <c:pt idx="56">
                  <c:v>1012</c:v>
                </c:pt>
                <c:pt idx="57">
                  <c:v>975</c:v>
                </c:pt>
                <c:pt idx="58">
                  <c:v>1025</c:v>
                </c:pt>
                <c:pt idx="59">
                  <c:v>1187</c:v>
                </c:pt>
              </c:numCache>
            </c:numRef>
          </c:val>
          <c:smooth val="0"/>
        </c:ser>
        <c:ser>
          <c:idx val="3"/>
          <c:order val="3"/>
          <c:tx>
            <c:strRef>
              <c:f>'oral 5ASAs'!$E$3:$E$4</c:f>
              <c:strCache>
                <c:ptCount val="1"/>
                <c:pt idx="0">
                  <c:v>SULFASALAZINE</c:v>
                </c:pt>
              </c:strCache>
            </c:strRef>
          </c:tx>
          <c:cat>
            <c:strRef>
              <c:f>'oral 5ASAs'!$A$5:$A$65</c:f>
              <c:strCache>
                <c:ptCount val="60"/>
                <c:pt idx="0">
                  <c:v>201201</c:v>
                </c:pt>
                <c:pt idx="1">
                  <c:v>201202</c:v>
                </c:pt>
                <c:pt idx="2">
                  <c:v>201203</c:v>
                </c:pt>
                <c:pt idx="3">
                  <c:v>201204</c:v>
                </c:pt>
                <c:pt idx="4">
                  <c:v>201205</c:v>
                </c:pt>
                <c:pt idx="5">
                  <c:v>201206</c:v>
                </c:pt>
                <c:pt idx="6">
                  <c:v>201207</c:v>
                </c:pt>
                <c:pt idx="7">
                  <c:v>201208</c:v>
                </c:pt>
                <c:pt idx="8">
                  <c:v>201209</c:v>
                </c:pt>
                <c:pt idx="9">
                  <c:v>201210</c:v>
                </c:pt>
                <c:pt idx="10">
                  <c:v>201211</c:v>
                </c:pt>
                <c:pt idx="11">
                  <c:v>201212</c:v>
                </c:pt>
                <c:pt idx="12">
                  <c:v>201301</c:v>
                </c:pt>
                <c:pt idx="13">
                  <c:v>201302</c:v>
                </c:pt>
                <c:pt idx="14">
                  <c:v>201303</c:v>
                </c:pt>
                <c:pt idx="15">
                  <c:v>201304</c:v>
                </c:pt>
                <c:pt idx="16">
                  <c:v>201305</c:v>
                </c:pt>
                <c:pt idx="17">
                  <c:v>201306</c:v>
                </c:pt>
                <c:pt idx="18">
                  <c:v>201307</c:v>
                </c:pt>
                <c:pt idx="19">
                  <c:v>201308</c:v>
                </c:pt>
                <c:pt idx="20">
                  <c:v>201309</c:v>
                </c:pt>
                <c:pt idx="21">
                  <c:v>201310</c:v>
                </c:pt>
                <c:pt idx="22">
                  <c:v>201311</c:v>
                </c:pt>
                <c:pt idx="23">
                  <c:v>201312</c:v>
                </c:pt>
                <c:pt idx="24">
                  <c:v>201401</c:v>
                </c:pt>
                <c:pt idx="25">
                  <c:v>201402</c:v>
                </c:pt>
                <c:pt idx="26">
                  <c:v>201403</c:v>
                </c:pt>
                <c:pt idx="27">
                  <c:v>201404</c:v>
                </c:pt>
                <c:pt idx="28">
                  <c:v>201405</c:v>
                </c:pt>
                <c:pt idx="29">
                  <c:v>201406</c:v>
                </c:pt>
                <c:pt idx="30">
                  <c:v>201407</c:v>
                </c:pt>
                <c:pt idx="31">
                  <c:v>201408</c:v>
                </c:pt>
                <c:pt idx="32">
                  <c:v>201409</c:v>
                </c:pt>
                <c:pt idx="33">
                  <c:v>201410</c:v>
                </c:pt>
                <c:pt idx="34">
                  <c:v>201411</c:v>
                </c:pt>
                <c:pt idx="35">
                  <c:v>201412</c:v>
                </c:pt>
                <c:pt idx="36">
                  <c:v>201501</c:v>
                </c:pt>
                <c:pt idx="37">
                  <c:v>201502</c:v>
                </c:pt>
                <c:pt idx="38">
                  <c:v>201503</c:v>
                </c:pt>
                <c:pt idx="39">
                  <c:v>201504</c:v>
                </c:pt>
                <c:pt idx="40">
                  <c:v>201505</c:v>
                </c:pt>
                <c:pt idx="41">
                  <c:v>201506</c:v>
                </c:pt>
                <c:pt idx="42">
                  <c:v>201507</c:v>
                </c:pt>
                <c:pt idx="43">
                  <c:v>201508</c:v>
                </c:pt>
                <c:pt idx="44">
                  <c:v>201509</c:v>
                </c:pt>
                <c:pt idx="45">
                  <c:v>201510</c:v>
                </c:pt>
                <c:pt idx="46">
                  <c:v>201511</c:v>
                </c:pt>
                <c:pt idx="47">
                  <c:v>201512</c:v>
                </c:pt>
                <c:pt idx="48">
                  <c:v>201601</c:v>
                </c:pt>
                <c:pt idx="49">
                  <c:v>201602</c:v>
                </c:pt>
                <c:pt idx="50">
                  <c:v>201603</c:v>
                </c:pt>
                <c:pt idx="51">
                  <c:v>201604</c:v>
                </c:pt>
                <c:pt idx="52">
                  <c:v>201605</c:v>
                </c:pt>
                <c:pt idx="53">
                  <c:v>201606</c:v>
                </c:pt>
                <c:pt idx="54">
                  <c:v>201607</c:v>
                </c:pt>
                <c:pt idx="55">
                  <c:v>201608</c:v>
                </c:pt>
                <c:pt idx="56">
                  <c:v>201609</c:v>
                </c:pt>
                <c:pt idx="57">
                  <c:v>201610</c:v>
                </c:pt>
                <c:pt idx="58">
                  <c:v>201611</c:v>
                </c:pt>
                <c:pt idx="59">
                  <c:v>201612</c:v>
                </c:pt>
              </c:strCache>
            </c:strRef>
          </c:cat>
          <c:val>
            <c:numRef>
              <c:f>'oral 5ASAs'!$E$5:$E$65</c:f>
              <c:numCache>
                <c:formatCode>General</c:formatCode>
                <c:ptCount val="60"/>
                <c:pt idx="0">
                  <c:v>1814</c:v>
                </c:pt>
                <c:pt idx="1">
                  <c:v>1914</c:v>
                </c:pt>
                <c:pt idx="2">
                  <c:v>2102</c:v>
                </c:pt>
                <c:pt idx="3">
                  <c:v>1984</c:v>
                </c:pt>
                <c:pt idx="4">
                  <c:v>2118</c:v>
                </c:pt>
                <c:pt idx="5">
                  <c:v>2024</c:v>
                </c:pt>
                <c:pt idx="6">
                  <c:v>2145</c:v>
                </c:pt>
                <c:pt idx="7">
                  <c:v>2192</c:v>
                </c:pt>
                <c:pt idx="8">
                  <c:v>1974</c:v>
                </c:pt>
                <c:pt idx="9">
                  <c:v>2127</c:v>
                </c:pt>
                <c:pt idx="10">
                  <c:v>2119</c:v>
                </c:pt>
                <c:pt idx="11">
                  <c:v>2376</c:v>
                </c:pt>
                <c:pt idx="12">
                  <c:v>1937</c:v>
                </c:pt>
                <c:pt idx="13">
                  <c:v>1811</c:v>
                </c:pt>
                <c:pt idx="14">
                  <c:v>2000</c:v>
                </c:pt>
                <c:pt idx="15">
                  <c:v>2030</c:v>
                </c:pt>
                <c:pt idx="16">
                  <c:v>2248</c:v>
                </c:pt>
                <c:pt idx="17">
                  <c:v>2000</c:v>
                </c:pt>
                <c:pt idx="18">
                  <c:v>2143</c:v>
                </c:pt>
                <c:pt idx="19">
                  <c:v>2167</c:v>
                </c:pt>
                <c:pt idx="20">
                  <c:v>1945</c:v>
                </c:pt>
                <c:pt idx="21">
                  <c:v>2163</c:v>
                </c:pt>
                <c:pt idx="22">
                  <c:v>2030</c:v>
                </c:pt>
                <c:pt idx="23">
                  <c:v>2253</c:v>
                </c:pt>
                <c:pt idx="24">
                  <c:v>1852</c:v>
                </c:pt>
                <c:pt idx="25">
                  <c:v>1790</c:v>
                </c:pt>
                <c:pt idx="26">
                  <c:v>2058</c:v>
                </c:pt>
                <c:pt idx="27">
                  <c:v>1985</c:v>
                </c:pt>
                <c:pt idx="28">
                  <c:v>2139</c:v>
                </c:pt>
                <c:pt idx="29">
                  <c:v>1977</c:v>
                </c:pt>
                <c:pt idx="30">
                  <c:v>2109</c:v>
                </c:pt>
                <c:pt idx="31">
                  <c:v>2027</c:v>
                </c:pt>
                <c:pt idx="32">
                  <c:v>2032</c:v>
                </c:pt>
                <c:pt idx="33">
                  <c:v>2043</c:v>
                </c:pt>
                <c:pt idx="34">
                  <c:v>1993</c:v>
                </c:pt>
                <c:pt idx="35">
                  <c:v>2285</c:v>
                </c:pt>
                <c:pt idx="36">
                  <c:v>1723</c:v>
                </c:pt>
                <c:pt idx="37">
                  <c:v>1779</c:v>
                </c:pt>
                <c:pt idx="38">
                  <c:v>1957</c:v>
                </c:pt>
                <c:pt idx="39">
                  <c:v>1823</c:v>
                </c:pt>
                <c:pt idx="40">
                  <c:v>2049</c:v>
                </c:pt>
                <c:pt idx="41">
                  <c:v>1951</c:v>
                </c:pt>
                <c:pt idx="42">
                  <c:v>1996</c:v>
                </c:pt>
                <c:pt idx="43">
                  <c:v>1999</c:v>
                </c:pt>
                <c:pt idx="44">
                  <c:v>1923</c:v>
                </c:pt>
                <c:pt idx="45">
                  <c:v>2024</c:v>
                </c:pt>
                <c:pt idx="46">
                  <c:v>1880</c:v>
                </c:pt>
                <c:pt idx="47">
                  <c:v>2093</c:v>
                </c:pt>
                <c:pt idx="48">
                  <c:v>1639</c:v>
                </c:pt>
                <c:pt idx="49">
                  <c:v>1712</c:v>
                </c:pt>
                <c:pt idx="50">
                  <c:v>1800</c:v>
                </c:pt>
                <c:pt idx="51">
                  <c:v>1783</c:v>
                </c:pt>
                <c:pt idx="52">
                  <c:v>1764</c:v>
                </c:pt>
                <c:pt idx="53">
                  <c:v>1773</c:v>
                </c:pt>
                <c:pt idx="54">
                  <c:v>1690</c:v>
                </c:pt>
                <c:pt idx="55">
                  <c:v>1742</c:v>
                </c:pt>
                <c:pt idx="56">
                  <c:v>1693</c:v>
                </c:pt>
                <c:pt idx="57">
                  <c:v>1707</c:v>
                </c:pt>
                <c:pt idx="58">
                  <c:v>1656</c:v>
                </c:pt>
                <c:pt idx="59">
                  <c:v>1765</c:v>
                </c:pt>
              </c:numCache>
            </c:numRef>
          </c:val>
          <c:smooth val="0"/>
        </c:ser>
        <c:dLbls>
          <c:showLegendKey val="0"/>
          <c:showVal val="0"/>
          <c:showCatName val="0"/>
          <c:showSerName val="0"/>
          <c:showPercent val="0"/>
          <c:showBubbleSize val="0"/>
        </c:dLbls>
        <c:marker val="1"/>
        <c:smooth val="0"/>
        <c:axId val="431169920"/>
        <c:axId val="431171456"/>
      </c:lineChart>
      <c:catAx>
        <c:axId val="431169920"/>
        <c:scaling>
          <c:orientation val="minMax"/>
        </c:scaling>
        <c:delete val="0"/>
        <c:axPos val="b"/>
        <c:majorTickMark val="out"/>
        <c:minorTickMark val="none"/>
        <c:tickLblPos val="nextTo"/>
        <c:crossAx val="431171456"/>
        <c:crosses val="autoZero"/>
        <c:auto val="1"/>
        <c:lblAlgn val="ctr"/>
        <c:lblOffset val="100"/>
        <c:noMultiLvlLbl val="0"/>
      </c:catAx>
      <c:valAx>
        <c:axId val="431171456"/>
        <c:scaling>
          <c:orientation val="minMax"/>
        </c:scaling>
        <c:delete val="0"/>
        <c:axPos val="l"/>
        <c:majorGridlines/>
        <c:numFmt formatCode="#,##0" sourceLinked="0"/>
        <c:majorTickMark val="out"/>
        <c:minorTickMark val="none"/>
        <c:tickLblPos val="nextTo"/>
        <c:crossAx val="431169920"/>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[Prescriptions by Drug using ALL cohort.xlsx]rectal!PivotTable2</c:name>
    <c:fmtId val="16"/>
  </c:pivotSource>
  <c:chart>
    <c:autoTitleDeleted val="0"/>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s>
    <c:plotArea>
      <c:layout/>
      <c:lineChart>
        <c:grouping val="standard"/>
        <c:varyColors val="0"/>
        <c:ser>
          <c:idx val="0"/>
          <c:order val="0"/>
          <c:tx>
            <c:strRef>
              <c:f>rectal!$B$3:$B$4</c:f>
              <c:strCache>
                <c:ptCount val="1"/>
                <c:pt idx="0">
                  <c:v>BUDESONIDE</c:v>
                </c:pt>
              </c:strCache>
            </c:strRef>
          </c:tx>
          <c:cat>
            <c:strRef>
              <c:f>rectal!$A$5:$A$65</c:f>
              <c:strCache>
                <c:ptCount val="60"/>
                <c:pt idx="0">
                  <c:v>201201</c:v>
                </c:pt>
                <c:pt idx="1">
                  <c:v>201202</c:v>
                </c:pt>
                <c:pt idx="2">
                  <c:v>201203</c:v>
                </c:pt>
                <c:pt idx="3">
                  <c:v>201204</c:v>
                </c:pt>
                <c:pt idx="4">
                  <c:v>201205</c:v>
                </c:pt>
                <c:pt idx="5">
                  <c:v>201206</c:v>
                </c:pt>
                <c:pt idx="6">
                  <c:v>201207</c:v>
                </c:pt>
                <c:pt idx="7">
                  <c:v>201208</c:v>
                </c:pt>
                <c:pt idx="8">
                  <c:v>201209</c:v>
                </c:pt>
                <c:pt idx="9">
                  <c:v>201210</c:v>
                </c:pt>
                <c:pt idx="10">
                  <c:v>201211</c:v>
                </c:pt>
                <c:pt idx="11">
                  <c:v>201212</c:v>
                </c:pt>
                <c:pt idx="12">
                  <c:v>201301</c:v>
                </c:pt>
                <c:pt idx="13">
                  <c:v>201302</c:v>
                </c:pt>
                <c:pt idx="14">
                  <c:v>201303</c:v>
                </c:pt>
                <c:pt idx="15">
                  <c:v>201304</c:v>
                </c:pt>
                <c:pt idx="16">
                  <c:v>201305</c:v>
                </c:pt>
                <c:pt idx="17">
                  <c:v>201306</c:v>
                </c:pt>
                <c:pt idx="18">
                  <c:v>201307</c:v>
                </c:pt>
                <c:pt idx="19">
                  <c:v>201308</c:v>
                </c:pt>
                <c:pt idx="20">
                  <c:v>201309</c:v>
                </c:pt>
                <c:pt idx="21">
                  <c:v>201310</c:v>
                </c:pt>
                <c:pt idx="22">
                  <c:v>201311</c:v>
                </c:pt>
                <c:pt idx="23">
                  <c:v>201312</c:v>
                </c:pt>
                <c:pt idx="24">
                  <c:v>201401</c:v>
                </c:pt>
                <c:pt idx="25">
                  <c:v>201402</c:v>
                </c:pt>
                <c:pt idx="26">
                  <c:v>201403</c:v>
                </c:pt>
                <c:pt idx="27">
                  <c:v>201404</c:v>
                </c:pt>
                <c:pt idx="28">
                  <c:v>201405</c:v>
                </c:pt>
                <c:pt idx="29">
                  <c:v>201406</c:v>
                </c:pt>
                <c:pt idx="30">
                  <c:v>201407</c:v>
                </c:pt>
                <c:pt idx="31">
                  <c:v>201408</c:v>
                </c:pt>
                <c:pt idx="32">
                  <c:v>201409</c:v>
                </c:pt>
                <c:pt idx="33">
                  <c:v>201410</c:v>
                </c:pt>
                <c:pt idx="34">
                  <c:v>201411</c:v>
                </c:pt>
                <c:pt idx="35">
                  <c:v>201412</c:v>
                </c:pt>
                <c:pt idx="36">
                  <c:v>201501</c:v>
                </c:pt>
                <c:pt idx="37">
                  <c:v>201502</c:v>
                </c:pt>
                <c:pt idx="38">
                  <c:v>201503</c:v>
                </c:pt>
                <c:pt idx="39">
                  <c:v>201504</c:v>
                </c:pt>
                <c:pt idx="40">
                  <c:v>201505</c:v>
                </c:pt>
                <c:pt idx="41">
                  <c:v>201506</c:v>
                </c:pt>
                <c:pt idx="42">
                  <c:v>201507</c:v>
                </c:pt>
                <c:pt idx="43">
                  <c:v>201508</c:v>
                </c:pt>
                <c:pt idx="44">
                  <c:v>201509</c:v>
                </c:pt>
                <c:pt idx="45">
                  <c:v>201510</c:v>
                </c:pt>
                <c:pt idx="46">
                  <c:v>201511</c:v>
                </c:pt>
                <c:pt idx="47">
                  <c:v>201512</c:v>
                </c:pt>
                <c:pt idx="48">
                  <c:v>201601</c:v>
                </c:pt>
                <c:pt idx="49">
                  <c:v>201602</c:v>
                </c:pt>
                <c:pt idx="50">
                  <c:v>201603</c:v>
                </c:pt>
                <c:pt idx="51">
                  <c:v>201604</c:v>
                </c:pt>
                <c:pt idx="52">
                  <c:v>201605</c:v>
                </c:pt>
                <c:pt idx="53">
                  <c:v>201606</c:v>
                </c:pt>
                <c:pt idx="54">
                  <c:v>201607</c:v>
                </c:pt>
                <c:pt idx="55">
                  <c:v>201608</c:v>
                </c:pt>
                <c:pt idx="56">
                  <c:v>201609</c:v>
                </c:pt>
                <c:pt idx="57">
                  <c:v>201610</c:v>
                </c:pt>
                <c:pt idx="58">
                  <c:v>201611</c:v>
                </c:pt>
                <c:pt idx="59">
                  <c:v>201612</c:v>
                </c:pt>
              </c:strCache>
            </c:strRef>
          </c:cat>
          <c:val>
            <c:numRef>
              <c:f>rectal!$B$5:$B$65</c:f>
              <c:numCache>
                <c:formatCode>General</c:formatCode>
                <c:ptCount val="60"/>
                <c:pt idx="26">
                  <c:v>6</c:v>
                </c:pt>
                <c:pt idx="27">
                  <c:v>10</c:v>
                </c:pt>
                <c:pt idx="28">
                  <c:v>29</c:v>
                </c:pt>
                <c:pt idx="29">
                  <c:v>26</c:v>
                </c:pt>
                <c:pt idx="30">
                  <c:v>39</c:v>
                </c:pt>
                <c:pt idx="31">
                  <c:v>50</c:v>
                </c:pt>
                <c:pt idx="32">
                  <c:v>54</c:v>
                </c:pt>
                <c:pt idx="33">
                  <c:v>64</c:v>
                </c:pt>
                <c:pt idx="34">
                  <c:v>56</c:v>
                </c:pt>
                <c:pt idx="35">
                  <c:v>62</c:v>
                </c:pt>
                <c:pt idx="36">
                  <c:v>36</c:v>
                </c:pt>
                <c:pt idx="37">
                  <c:v>56</c:v>
                </c:pt>
                <c:pt idx="38">
                  <c:v>58</c:v>
                </c:pt>
                <c:pt idx="39">
                  <c:v>83</c:v>
                </c:pt>
                <c:pt idx="40">
                  <c:v>110</c:v>
                </c:pt>
                <c:pt idx="41">
                  <c:v>130</c:v>
                </c:pt>
                <c:pt idx="42">
                  <c:v>109</c:v>
                </c:pt>
                <c:pt idx="43">
                  <c:v>146</c:v>
                </c:pt>
                <c:pt idx="44">
                  <c:v>136</c:v>
                </c:pt>
                <c:pt idx="45">
                  <c:v>139</c:v>
                </c:pt>
                <c:pt idx="46">
                  <c:v>141</c:v>
                </c:pt>
                <c:pt idx="47">
                  <c:v>145</c:v>
                </c:pt>
                <c:pt idx="48">
                  <c:v>107</c:v>
                </c:pt>
                <c:pt idx="49">
                  <c:v>122</c:v>
                </c:pt>
                <c:pt idx="50">
                  <c:v>139</c:v>
                </c:pt>
                <c:pt idx="51">
                  <c:v>146</c:v>
                </c:pt>
                <c:pt idx="52">
                  <c:v>195</c:v>
                </c:pt>
                <c:pt idx="53">
                  <c:v>157</c:v>
                </c:pt>
                <c:pt idx="54">
                  <c:v>172</c:v>
                </c:pt>
                <c:pt idx="55">
                  <c:v>190</c:v>
                </c:pt>
                <c:pt idx="56">
                  <c:v>161</c:v>
                </c:pt>
                <c:pt idx="57">
                  <c:v>159</c:v>
                </c:pt>
                <c:pt idx="58">
                  <c:v>166</c:v>
                </c:pt>
                <c:pt idx="59">
                  <c:v>210</c:v>
                </c:pt>
              </c:numCache>
            </c:numRef>
          </c:val>
          <c:smooth val="0"/>
        </c:ser>
        <c:ser>
          <c:idx val="1"/>
          <c:order val="1"/>
          <c:tx>
            <c:strRef>
              <c:f>rectal!$C$3:$C$4</c:f>
              <c:strCache>
                <c:ptCount val="1"/>
                <c:pt idx="0">
                  <c:v>HYDROCORTISONE ACETATE</c:v>
                </c:pt>
              </c:strCache>
            </c:strRef>
          </c:tx>
          <c:cat>
            <c:strRef>
              <c:f>rectal!$A$5:$A$65</c:f>
              <c:strCache>
                <c:ptCount val="60"/>
                <c:pt idx="0">
                  <c:v>201201</c:v>
                </c:pt>
                <c:pt idx="1">
                  <c:v>201202</c:v>
                </c:pt>
                <c:pt idx="2">
                  <c:v>201203</c:v>
                </c:pt>
                <c:pt idx="3">
                  <c:v>201204</c:v>
                </c:pt>
                <c:pt idx="4">
                  <c:v>201205</c:v>
                </c:pt>
                <c:pt idx="5">
                  <c:v>201206</c:v>
                </c:pt>
                <c:pt idx="6">
                  <c:v>201207</c:v>
                </c:pt>
                <c:pt idx="7">
                  <c:v>201208</c:v>
                </c:pt>
                <c:pt idx="8">
                  <c:v>201209</c:v>
                </c:pt>
                <c:pt idx="9">
                  <c:v>201210</c:v>
                </c:pt>
                <c:pt idx="10">
                  <c:v>201211</c:v>
                </c:pt>
                <c:pt idx="11">
                  <c:v>201212</c:v>
                </c:pt>
                <c:pt idx="12">
                  <c:v>201301</c:v>
                </c:pt>
                <c:pt idx="13">
                  <c:v>201302</c:v>
                </c:pt>
                <c:pt idx="14">
                  <c:v>201303</c:v>
                </c:pt>
                <c:pt idx="15">
                  <c:v>201304</c:v>
                </c:pt>
                <c:pt idx="16">
                  <c:v>201305</c:v>
                </c:pt>
                <c:pt idx="17">
                  <c:v>201306</c:v>
                </c:pt>
                <c:pt idx="18">
                  <c:v>201307</c:v>
                </c:pt>
                <c:pt idx="19">
                  <c:v>201308</c:v>
                </c:pt>
                <c:pt idx="20">
                  <c:v>201309</c:v>
                </c:pt>
                <c:pt idx="21">
                  <c:v>201310</c:v>
                </c:pt>
                <c:pt idx="22">
                  <c:v>201311</c:v>
                </c:pt>
                <c:pt idx="23">
                  <c:v>201312</c:v>
                </c:pt>
                <c:pt idx="24">
                  <c:v>201401</c:v>
                </c:pt>
                <c:pt idx="25">
                  <c:v>201402</c:v>
                </c:pt>
                <c:pt idx="26">
                  <c:v>201403</c:v>
                </c:pt>
                <c:pt idx="27">
                  <c:v>201404</c:v>
                </c:pt>
                <c:pt idx="28">
                  <c:v>201405</c:v>
                </c:pt>
                <c:pt idx="29">
                  <c:v>201406</c:v>
                </c:pt>
                <c:pt idx="30">
                  <c:v>201407</c:v>
                </c:pt>
                <c:pt idx="31">
                  <c:v>201408</c:v>
                </c:pt>
                <c:pt idx="32">
                  <c:v>201409</c:v>
                </c:pt>
                <c:pt idx="33">
                  <c:v>201410</c:v>
                </c:pt>
                <c:pt idx="34">
                  <c:v>201411</c:v>
                </c:pt>
                <c:pt idx="35">
                  <c:v>201412</c:v>
                </c:pt>
                <c:pt idx="36">
                  <c:v>201501</c:v>
                </c:pt>
                <c:pt idx="37">
                  <c:v>201502</c:v>
                </c:pt>
                <c:pt idx="38">
                  <c:v>201503</c:v>
                </c:pt>
                <c:pt idx="39">
                  <c:v>201504</c:v>
                </c:pt>
                <c:pt idx="40">
                  <c:v>201505</c:v>
                </c:pt>
                <c:pt idx="41">
                  <c:v>201506</c:v>
                </c:pt>
                <c:pt idx="42">
                  <c:v>201507</c:v>
                </c:pt>
                <c:pt idx="43">
                  <c:v>201508</c:v>
                </c:pt>
                <c:pt idx="44">
                  <c:v>201509</c:v>
                </c:pt>
                <c:pt idx="45">
                  <c:v>201510</c:v>
                </c:pt>
                <c:pt idx="46">
                  <c:v>201511</c:v>
                </c:pt>
                <c:pt idx="47">
                  <c:v>201512</c:v>
                </c:pt>
                <c:pt idx="48">
                  <c:v>201601</c:v>
                </c:pt>
                <c:pt idx="49">
                  <c:v>201602</c:v>
                </c:pt>
                <c:pt idx="50">
                  <c:v>201603</c:v>
                </c:pt>
                <c:pt idx="51">
                  <c:v>201604</c:v>
                </c:pt>
                <c:pt idx="52">
                  <c:v>201605</c:v>
                </c:pt>
                <c:pt idx="53">
                  <c:v>201606</c:v>
                </c:pt>
                <c:pt idx="54">
                  <c:v>201607</c:v>
                </c:pt>
                <c:pt idx="55">
                  <c:v>201608</c:v>
                </c:pt>
                <c:pt idx="56">
                  <c:v>201609</c:v>
                </c:pt>
                <c:pt idx="57">
                  <c:v>201610</c:v>
                </c:pt>
                <c:pt idx="58">
                  <c:v>201611</c:v>
                </c:pt>
                <c:pt idx="59">
                  <c:v>201612</c:v>
                </c:pt>
              </c:strCache>
            </c:strRef>
          </c:cat>
          <c:val>
            <c:numRef>
              <c:f>rectal!$C$5:$C$65</c:f>
              <c:numCache>
                <c:formatCode>General</c:formatCode>
                <c:ptCount val="60"/>
                <c:pt idx="0">
                  <c:v>351</c:v>
                </c:pt>
                <c:pt idx="1">
                  <c:v>395</c:v>
                </c:pt>
                <c:pt idx="2">
                  <c:v>454</c:v>
                </c:pt>
                <c:pt idx="3">
                  <c:v>424</c:v>
                </c:pt>
                <c:pt idx="4">
                  <c:v>469</c:v>
                </c:pt>
                <c:pt idx="5">
                  <c:v>490</c:v>
                </c:pt>
                <c:pt idx="6">
                  <c:v>474</c:v>
                </c:pt>
                <c:pt idx="7">
                  <c:v>508</c:v>
                </c:pt>
                <c:pt idx="8">
                  <c:v>495</c:v>
                </c:pt>
                <c:pt idx="9">
                  <c:v>506</c:v>
                </c:pt>
                <c:pt idx="10">
                  <c:v>476</c:v>
                </c:pt>
                <c:pt idx="11">
                  <c:v>570</c:v>
                </c:pt>
                <c:pt idx="12">
                  <c:v>406</c:v>
                </c:pt>
                <c:pt idx="13">
                  <c:v>406</c:v>
                </c:pt>
                <c:pt idx="14">
                  <c:v>453</c:v>
                </c:pt>
                <c:pt idx="15">
                  <c:v>420</c:v>
                </c:pt>
                <c:pt idx="16">
                  <c:v>511</c:v>
                </c:pt>
                <c:pt idx="17">
                  <c:v>463</c:v>
                </c:pt>
                <c:pt idx="18">
                  <c:v>513</c:v>
                </c:pt>
                <c:pt idx="19">
                  <c:v>519</c:v>
                </c:pt>
                <c:pt idx="20">
                  <c:v>470</c:v>
                </c:pt>
                <c:pt idx="21">
                  <c:v>562</c:v>
                </c:pt>
                <c:pt idx="22">
                  <c:v>485</c:v>
                </c:pt>
                <c:pt idx="23">
                  <c:v>514</c:v>
                </c:pt>
                <c:pt idx="24">
                  <c:v>371</c:v>
                </c:pt>
                <c:pt idx="25">
                  <c:v>405</c:v>
                </c:pt>
                <c:pt idx="26">
                  <c:v>475</c:v>
                </c:pt>
                <c:pt idx="27">
                  <c:v>416</c:v>
                </c:pt>
                <c:pt idx="28">
                  <c:v>432</c:v>
                </c:pt>
                <c:pt idx="29">
                  <c:v>408</c:v>
                </c:pt>
                <c:pt idx="30">
                  <c:v>448</c:v>
                </c:pt>
                <c:pt idx="31">
                  <c:v>432</c:v>
                </c:pt>
                <c:pt idx="32">
                  <c:v>463</c:v>
                </c:pt>
                <c:pt idx="33">
                  <c:v>462</c:v>
                </c:pt>
                <c:pt idx="34">
                  <c:v>369</c:v>
                </c:pt>
                <c:pt idx="35">
                  <c:v>507</c:v>
                </c:pt>
                <c:pt idx="36">
                  <c:v>367</c:v>
                </c:pt>
                <c:pt idx="37">
                  <c:v>381</c:v>
                </c:pt>
                <c:pt idx="38">
                  <c:v>422</c:v>
                </c:pt>
                <c:pt idx="39">
                  <c:v>409</c:v>
                </c:pt>
                <c:pt idx="40">
                  <c:v>425</c:v>
                </c:pt>
                <c:pt idx="41">
                  <c:v>448</c:v>
                </c:pt>
                <c:pt idx="42">
                  <c:v>423</c:v>
                </c:pt>
                <c:pt idx="43">
                  <c:v>417</c:v>
                </c:pt>
                <c:pt idx="44">
                  <c:v>402</c:v>
                </c:pt>
                <c:pt idx="45">
                  <c:v>405</c:v>
                </c:pt>
                <c:pt idx="46">
                  <c:v>404</c:v>
                </c:pt>
                <c:pt idx="47">
                  <c:v>426</c:v>
                </c:pt>
                <c:pt idx="48">
                  <c:v>274</c:v>
                </c:pt>
                <c:pt idx="49">
                  <c:v>372</c:v>
                </c:pt>
                <c:pt idx="50">
                  <c:v>373</c:v>
                </c:pt>
                <c:pt idx="51">
                  <c:v>368</c:v>
                </c:pt>
                <c:pt idx="52">
                  <c:v>398</c:v>
                </c:pt>
                <c:pt idx="53">
                  <c:v>372</c:v>
                </c:pt>
                <c:pt idx="54">
                  <c:v>329</c:v>
                </c:pt>
                <c:pt idx="55">
                  <c:v>386</c:v>
                </c:pt>
                <c:pt idx="56">
                  <c:v>359</c:v>
                </c:pt>
                <c:pt idx="57">
                  <c:v>351</c:v>
                </c:pt>
                <c:pt idx="58">
                  <c:v>379</c:v>
                </c:pt>
                <c:pt idx="59">
                  <c:v>388</c:v>
                </c:pt>
              </c:numCache>
            </c:numRef>
          </c:val>
          <c:smooth val="0"/>
        </c:ser>
        <c:ser>
          <c:idx val="2"/>
          <c:order val="2"/>
          <c:tx>
            <c:strRef>
              <c:f>rectal!$D$3:$D$4</c:f>
              <c:strCache>
                <c:ptCount val="1"/>
                <c:pt idx="0">
                  <c:v>MESALAZINE</c:v>
                </c:pt>
              </c:strCache>
            </c:strRef>
          </c:tx>
          <c:cat>
            <c:strRef>
              <c:f>rectal!$A$5:$A$65</c:f>
              <c:strCache>
                <c:ptCount val="60"/>
                <c:pt idx="0">
                  <c:v>201201</c:v>
                </c:pt>
                <c:pt idx="1">
                  <c:v>201202</c:v>
                </c:pt>
                <c:pt idx="2">
                  <c:v>201203</c:v>
                </c:pt>
                <c:pt idx="3">
                  <c:v>201204</c:v>
                </c:pt>
                <c:pt idx="4">
                  <c:v>201205</c:v>
                </c:pt>
                <c:pt idx="5">
                  <c:v>201206</c:v>
                </c:pt>
                <c:pt idx="6">
                  <c:v>201207</c:v>
                </c:pt>
                <c:pt idx="7">
                  <c:v>201208</c:v>
                </c:pt>
                <c:pt idx="8">
                  <c:v>201209</c:v>
                </c:pt>
                <c:pt idx="9">
                  <c:v>201210</c:v>
                </c:pt>
                <c:pt idx="10">
                  <c:v>201211</c:v>
                </c:pt>
                <c:pt idx="11">
                  <c:v>201212</c:v>
                </c:pt>
                <c:pt idx="12">
                  <c:v>201301</c:v>
                </c:pt>
                <c:pt idx="13">
                  <c:v>201302</c:v>
                </c:pt>
                <c:pt idx="14">
                  <c:v>201303</c:v>
                </c:pt>
                <c:pt idx="15">
                  <c:v>201304</c:v>
                </c:pt>
                <c:pt idx="16">
                  <c:v>201305</c:v>
                </c:pt>
                <c:pt idx="17">
                  <c:v>201306</c:v>
                </c:pt>
                <c:pt idx="18">
                  <c:v>201307</c:v>
                </c:pt>
                <c:pt idx="19">
                  <c:v>201308</c:v>
                </c:pt>
                <c:pt idx="20">
                  <c:v>201309</c:v>
                </c:pt>
                <c:pt idx="21">
                  <c:v>201310</c:v>
                </c:pt>
                <c:pt idx="22">
                  <c:v>201311</c:v>
                </c:pt>
                <c:pt idx="23">
                  <c:v>201312</c:v>
                </c:pt>
                <c:pt idx="24">
                  <c:v>201401</c:v>
                </c:pt>
                <c:pt idx="25">
                  <c:v>201402</c:v>
                </c:pt>
                <c:pt idx="26">
                  <c:v>201403</c:v>
                </c:pt>
                <c:pt idx="27">
                  <c:v>201404</c:v>
                </c:pt>
                <c:pt idx="28">
                  <c:v>201405</c:v>
                </c:pt>
                <c:pt idx="29">
                  <c:v>201406</c:v>
                </c:pt>
                <c:pt idx="30">
                  <c:v>201407</c:v>
                </c:pt>
                <c:pt idx="31">
                  <c:v>201408</c:v>
                </c:pt>
                <c:pt idx="32">
                  <c:v>201409</c:v>
                </c:pt>
                <c:pt idx="33">
                  <c:v>201410</c:v>
                </c:pt>
                <c:pt idx="34">
                  <c:v>201411</c:v>
                </c:pt>
                <c:pt idx="35">
                  <c:v>201412</c:v>
                </c:pt>
                <c:pt idx="36">
                  <c:v>201501</c:v>
                </c:pt>
                <c:pt idx="37">
                  <c:v>201502</c:v>
                </c:pt>
                <c:pt idx="38">
                  <c:v>201503</c:v>
                </c:pt>
                <c:pt idx="39">
                  <c:v>201504</c:v>
                </c:pt>
                <c:pt idx="40">
                  <c:v>201505</c:v>
                </c:pt>
                <c:pt idx="41">
                  <c:v>201506</c:v>
                </c:pt>
                <c:pt idx="42">
                  <c:v>201507</c:v>
                </c:pt>
                <c:pt idx="43">
                  <c:v>201508</c:v>
                </c:pt>
                <c:pt idx="44">
                  <c:v>201509</c:v>
                </c:pt>
                <c:pt idx="45">
                  <c:v>201510</c:v>
                </c:pt>
                <c:pt idx="46">
                  <c:v>201511</c:v>
                </c:pt>
                <c:pt idx="47">
                  <c:v>201512</c:v>
                </c:pt>
                <c:pt idx="48">
                  <c:v>201601</c:v>
                </c:pt>
                <c:pt idx="49">
                  <c:v>201602</c:v>
                </c:pt>
                <c:pt idx="50">
                  <c:v>201603</c:v>
                </c:pt>
                <c:pt idx="51">
                  <c:v>201604</c:v>
                </c:pt>
                <c:pt idx="52">
                  <c:v>201605</c:v>
                </c:pt>
                <c:pt idx="53">
                  <c:v>201606</c:v>
                </c:pt>
                <c:pt idx="54">
                  <c:v>201607</c:v>
                </c:pt>
                <c:pt idx="55">
                  <c:v>201608</c:v>
                </c:pt>
                <c:pt idx="56">
                  <c:v>201609</c:v>
                </c:pt>
                <c:pt idx="57">
                  <c:v>201610</c:v>
                </c:pt>
                <c:pt idx="58">
                  <c:v>201611</c:v>
                </c:pt>
                <c:pt idx="59">
                  <c:v>201612</c:v>
                </c:pt>
              </c:strCache>
            </c:strRef>
          </c:cat>
          <c:val>
            <c:numRef>
              <c:f>rectal!$D$5:$D$65</c:f>
              <c:numCache>
                <c:formatCode>General</c:formatCode>
                <c:ptCount val="60"/>
                <c:pt idx="0">
                  <c:v>1282</c:v>
                </c:pt>
                <c:pt idx="1">
                  <c:v>1496</c:v>
                </c:pt>
                <c:pt idx="2">
                  <c:v>1719</c:v>
                </c:pt>
                <c:pt idx="3">
                  <c:v>1536</c:v>
                </c:pt>
                <c:pt idx="4">
                  <c:v>1740</c:v>
                </c:pt>
                <c:pt idx="5">
                  <c:v>1633</c:v>
                </c:pt>
                <c:pt idx="6">
                  <c:v>1657</c:v>
                </c:pt>
                <c:pt idx="7">
                  <c:v>1778</c:v>
                </c:pt>
                <c:pt idx="8">
                  <c:v>1664</c:v>
                </c:pt>
                <c:pt idx="9">
                  <c:v>1799</c:v>
                </c:pt>
                <c:pt idx="10">
                  <c:v>1783</c:v>
                </c:pt>
                <c:pt idx="11">
                  <c:v>1998</c:v>
                </c:pt>
                <c:pt idx="12">
                  <c:v>1619</c:v>
                </c:pt>
                <c:pt idx="13">
                  <c:v>1620</c:v>
                </c:pt>
                <c:pt idx="14">
                  <c:v>1806</c:v>
                </c:pt>
                <c:pt idx="15">
                  <c:v>1759</c:v>
                </c:pt>
                <c:pt idx="16">
                  <c:v>1951</c:v>
                </c:pt>
                <c:pt idx="17">
                  <c:v>1844</c:v>
                </c:pt>
                <c:pt idx="18">
                  <c:v>1834</c:v>
                </c:pt>
                <c:pt idx="19">
                  <c:v>1848</c:v>
                </c:pt>
                <c:pt idx="20">
                  <c:v>1853</c:v>
                </c:pt>
                <c:pt idx="21">
                  <c:v>1904</c:v>
                </c:pt>
                <c:pt idx="22">
                  <c:v>1857</c:v>
                </c:pt>
                <c:pt idx="23">
                  <c:v>2064</c:v>
                </c:pt>
                <c:pt idx="24">
                  <c:v>1670</c:v>
                </c:pt>
                <c:pt idx="25">
                  <c:v>1763</c:v>
                </c:pt>
                <c:pt idx="26">
                  <c:v>1900</c:v>
                </c:pt>
                <c:pt idx="27">
                  <c:v>1866</c:v>
                </c:pt>
                <c:pt idx="28">
                  <c:v>1955</c:v>
                </c:pt>
                <c:pt idx="29">
                  <c:v>1916</c:v>
                </c:pt>
                <c:pt idx="30">
                  <c:v>2069</c:v>
                </c:pt>
                <c:pt idx="31">
                  <c:v>2040</c:v>
                </c:pt>
                <c:pt idx="32">
                  <c:v>2027</c:v>
                </c:pt>
                <c:pt idx="33">
                  <c:v>2029</c:v>
                </c:pt>
                <c:pt idx="34">
                  <c:v>1991</c:v>
                </c:pt>
                <c:pt idx="35">
                  <c:v>2401</c:v>
                </c:pt>
                <c:pt idx="36">
                  <c:v>1777</c:v>
                </c:pt>
                <c:pt idx="37">
                  <c:v>1902</c:v>
                </c:pt>
                <c:pt idx="38">
                  <c:v>2220</c:v>
                </c:pt>
                <c:pt idx="39">
                  <c:v>2059</c:v>
                </c:pt>
                <c:pt idx="40">
                  <c:v>2162</c:v>
                </c:pt>
                <c:pt idx="41">
                  <c:v>2192</c:v>
                </c:pt>
                <c:pt idx="42">
                  <c:v>2293</c:v>
                </c:pt>
                <c:pt idx="43">
                  <c:v>2221</c:v>
                </c:pt>
                <c:pt idx="44">
                  <c:v>2261</c:v>
                </c:pt>
                <c:pt idx="45">
                  <c:v>2311</c:v>
                </c:pt>
                <c:pt idx="46">
                  <c:v>2274</c:v>
                </c:pt>
                <c:pt idx="47">
                  <c:v>2525</c:v>
                </c:pt>
                <c:pt idx="48">
                  <c:v>1931</c:v>
                </c:pt>
                <c:pt idx="49">
                  <c:v>2107</c:v>
                </c:pt>
                <c:pt idx="50">
                  <c:v>2274</c:v>
                </c:pt>
                <c:pt idx="51">
                  <c:v>2127</c:v>
                </c:pt>
                <c:pt idx="52">
                  <c:v>2260</c:v>
                </c:pt>
                <c:pt idx="53">
                  <c:v>2195</c:v>
                </c:pt>
                <c:pt idx="54">
                  <c:v>2253</c:v>
                </c:pt>
                <c:pt idx="55">
                  <c:v>2398</c:v>
                </c:pt>
                <c:pt idx="56">
                  <c:v>2306</c:v>
                </c:pt>
                <c:pt idx="57">
                  <c:v>2175</c:v>
                </c:pt>
                <c:pt idx="58">
                  <c:v>2387</c:v>
                </c:pt>
                <c:pt idx="59">
                  <c:v>2495</c:v>
                </c:pt>
              </c:numCache>
            </c:numRef>
          </c:val>
          <c:smooth val="0"/>
        </c:ser>
        <c:ser>
          <c:idx val="3"/>
          <c:order val="3"/>
          <c:tx>
            <c:strRef>
              <c:f>rectal!$E$3:$E$4</c:f>
              <c:strCache>
                <c:ptCount val="1"/>
                <c:pt idx="0">
                  <c:v>HYDROCORTISONE + CINCHOCAINE</c:v>
                </c:pt>
              </c:strCache>
            </c:strRef>
          </c:tx>
          <c:cat>
            <c:strRef>
              <c:f>rectal!$A$5:$A$65</c:f>
              <c:strCache>
                <c:ptCount val="60"/>
                <c:pt idx="0">
                  <c:v>201201</c:v>
                </c:pt>
                <c:pt idx="1">
                  <c:v>201202</c:v>
                </c:pt>
                <c:pt idx="2">
                  <c:v>201203</c:v>
                </c:pt>
                <c:pt idx="3">
                  <c:v>201204</c:v>
                </c:pt>
                <c:pt idx="4">
                  <c:v>201205</c:v>
                </c:pt>
                <c:pt idx="5">
                  <c:v>201206</c:v>
                </c:pt>
                <c:pt idx="6">
                  <c:v>201207</c:v>
                </c:pt>
                <c:pt idx="7">
                  <c:v>201208</c:v>
                </c:pt>
                <c:pt idx="8">
                  <c:v>201209</c:v>
                </c:pt>
                <c:pt idx="9">
                  <c:v>201210</c:v>
                </c:pt>
                <c:pt idx="10">
                  <c:v>201211</c:v>
                </c:pt>
                <c:pt idx="11">
                  <c:v>201212</c:v>
                </c:pt>
                <c:pt idx="12">
                  <c:v>201301</c:v>
                </c:pt>
                <c:pt idx="13">
                  <c:v>201302</c:v>
                </c:pt>
                <c:pt idx="14">
                  <c:v>201303</c:v>
                </c:pt>
                <c:pt idx="15">
                  <c:v>201304</c:v>
                </c:pt>
                <c:pt idx="16">
                  <c:v>201305</c:v>
                </c:pt>
                <c:pt idx="17">
                  <c:v>201306</c:v>
                </c:pt>
                <c:pt idx="18">
                  <c:v>201307</c:v>
                </c:pt>
                <c:pt idx="19">
                  <c:v>201308</c:v>
                </c:pt>
                <c:pt idx="20">
                  <c:v>201309</c:v>
                </c:pt>
                <c:pt idx="21">
                  <c:v>201310</c:v>
                </c:pt>
                <c:pt idx="22">
                  <c:v>201311</c:v>
                </c:pt>
                <c:pt idx="23">
                  <c:v>201312</c:v>
                </c:pt>
                <c:pt idx="24">
                  <c:v>201401</c:v>
                </c:pt>
                <c:pt idx="25">
                  <c:v>201402</c:v>
                </c:pt>
                <c:pt idx="26">
                  <c:v>201403</c:v>
                </c:pt>
                <c:pt idx="27">
                  <c:v>201404</c:v>
                </c:pt>
                <c:pt idx="28">
                  <c:v>201405</c:v>
                </c:pt>
                <c:pt idx="29">
                  <c:v>201406</c:v>
                </c:pt>
                <c:pt idx="30">
                  <c:v>201407</c:v>
                </c:pt>
                <c:pt idx="31">
                  <c:v>201408</c:v>
                </c:pt>
                <c:pt idx="32">
                  <c:v>201409</c:v>
                </c:pt>
                <c:pt idx="33">
                  <c:v>201410</c:v>
                </c:pt>
                <c:pt idx="34">
                  <c:v>201411</c:v>
                </c:pt>
                <c:pt idx="35">
                  <c:v>201412</c:v>
                </c:pt>
                <c:pt idx="36">
                  <c:v>201501</c:v>
                </c:pt>
                <c:pt idx="37">
                  <c:v>201502</c:v>
                </c:pt>
                <c:pt idx="38">
                  <c:v>201503</c:v>
                </c:pt>
                <c:pt idx="39">
                  <c:v>201504</c:v>
                </c:pt>
                <c:pt idx="40">
                  <c:v>201505</c:v>
                </c:pt>
                <c:pt idx="41">
                  <c:v>201506</c:v>
                </c:pt>
                <c:pt idx="42">
                  <c:v>201507</c:v>
                </c:pt>
                <c:pt idx="43">
                  <c:v>201508</c:v>
                </c:pt>
                <c:pt idx="44">
                  <c:v>201509</c:v>
                </c:pt>
                <c:pt idx="45">
                  <c:v>201510</c:v>
                </c:pt>
                <c:pt idx="46">
                  <c:v>201511</c:v>
                </c:pt>
                <c:pt idx="47">
                  <c:v>201512</c:v>
                </c:pt>
                <c:pt idx="48">
                  <c:v>201601</c:v>
                </c:pt>
                <c:pt idx="49">
                  <c:v>201602</c:v>
                </c:pt>
                <c:pt idx="50">
                  <c:v>201603</c:v>
                </c:pt>
                <c:pt idx="51">
                  <c:v>201604</c:v>
                </c:pt>
                <c:pt idx="52">
                  <c:v>201605</c:v>
                </c:pt>
                <c:pt idx="53">
                  <c:v>201606</c:v>
                </c:pt>
                <c:pt idx="54">
                  <c:v>201607</c:v>
                </c:pt>
                <c:pt idx="55">
                  <c:v>201608</c:v>
                </c:pt>
                <c:pt idx="56">
                  <c:v>201609</c:v>
                </c:pt>
                <c:pt idx="57">
                  <c:v>201610</c:v>
                </c:pt>
                <c:pt idx="58">
                  <c:v>201611</c:v>
                </c:pt>
                <c:pt idx="59">
                  <c:v>201612</c:v>
                </c:pt>
              </c:strCache>
            </c:strRef>
          </c:cat>
          <c:val>
            <c:numRef>
              <c:f>rectal!$E$5:$E$65</c:f>
              <c:numCache>
                <c:formatCode>General</c:formatCode>
                <c:ptCount val="60"/>
                <c:pt idx="0">
                  <c:v>1</c:v>
                </c:pt>
                <c:pt idx="2">
                  <c:v>3</c:v>
                </c:pt>
                <c:pt idx="9">
                  <c:v>2</c:v>
                </c:pt>
                <c:pt idx="10">
                  <c:v>1</c:v>
                </c:pt>
                <c:pt idx="11">
                  <c:v>2</c:v>
                </c:pt>
                <c:pt idx="12">
                  <c:v>3</c:v>
                </c:pt>
              </c:numCache>
            </c:numRef>
          </c:val>
          <c:smooth val="0"/>
        </c:ser>
        <c:ser>
          <c:idx val="4"/>
          <c:order val="4"/>
          <c:tx>
            <c:strRef>
              <c:f>rectal!$F$3:$F$4</c:f>
              <c:strCache>
                <c:ptCount val="1"/>
                <c:pt idx="0">
                  <c:v>PREDNISOLONE SODIUM PHOSPHATE</c:v>
                </c:pt>
              </c:strCache>
            </c:strRef>
          </c:tx>
          <c:cat>
            <c:strRef>
              <c:f>rectal!$A$5:$A$65</c:f>
              <c:strCache>
                <c:ptCount val="60"/>
                <c:pt idx="0">
                  <c:v>201201</c:v>
                </c:pt>
                <c:pt idx="1">
                  <c:v>201202</c:v>
                </c:pt>
                <c:pt idx="2">
                  <c:v>201203</c:v>
                </c:pt>
                <c:pt idx="3">
                  <c:v>201204</c:v>
                </c:pt>
                <c:pt idx="4">
                  <c:v>201205</c:v>
                </c:pt>
                <c:pt idx="5">
                  <c:v>201206</c:v>
                </c:pt>
                <c:pt idx="6">
                  <c:v>201207</c:v>
                </c:pt>
                <c:pt idx="7">
                  <c:v>201208</c:v>
                </c:pt>
                <c:pt idx="8">
                  <c:v>201209</c:v>
                </c:pt>
                <c:pt idx="9">
                  <c:v>201210</c:v>
                </c:pt>
                <c:pt idx="10">
                  <c:v>201211</c:v>
                </c:pt>
                <c:pt idx="11">
                  <c:v>201212</c:v>
                </c:pt>
                <c:pt idx="12">
                  <c:v>201301</c:v>
                </c:pt>
                <c:pt idx="13">
                  <c:v>201302</c:v>
                </c:pt>
                <c:pt idx="14">
                  <c:v>201303</c:v>
                </c:pt>
                <c:pt idx="15">
                  <c:v>201304</c:v>
                </c:pt>
                <c:pt idx="16">
                  <c:v>201305</c:v>
                </c:pt>
                <c:pt idx="17">
                  <c:v>201306</c:v>
                </c:pt>
                <c:pt idx="18">
                  <c:v>201307</c:v>
                </c:pt>
                <c:pt idx="19">
                  <c:v>201308</c:v>
                </c:pt>
                <c:pt idx="20">
                  <c:v>201309</c:v>
                </c:pt>
                <c:pt idx="21">
                  <c:v>201310</c:v>
                </c:pt>
                <c:pt idx="22">
                  <c:v>201311</c:v>
                </c:pt>
                <c:pt idx="23">
                  <c:v>201312</c:v>
                </c:pt>
                <c:pt idx="24">
                  <c:v>201401</c:v>
                </c:pt>
                <c:pt idx="25">
                  <c:v>201402</c:v>
                </c:pt>
                <c:pt idx="26">
                  <c:v>201403</c:v>
                </c:pt>
                <c:pt idx="27">
                  <c:v>201404</c:v>
                </c:pt>
                <c:pt idx="28">
                  <c:v>201405</c:v>
                </c:pt>
                <c:pt idx="29">
                  <c:v>201406</c:v>
                </c:pt>
                <c:pt idx="30">
                  <c:v>201407</c:v>
                </c:pt>
                <c:pt idx="31">
                  <c:v>201408</c:v>
                </c:pt>
                <c:pt idx="32">
                  <c:v>201409</c:v>
                </c:pt>
                <c:pt idx="33">
                  <c:v>201410</c:v>
                </c:pt>
                <c:pt idx="34">
                  <c:v>201411</c:v>
                </c:pt>
                <c:pt idx="35">
                  <c:v>201412</c:v>
                </c:pt>
                <c:pt idx="36">
                  <c:v>201501</c:v>
                </c:pt>
                <c:pt idx="37">
                  <c:v>201502</c:v>
                </c:pt>
                <c:pt idx="38">
                  <c:v>201503</c:v>
                </c:pt>
                <c:pt idx="39">
                  <c:v>201504</c:v>
                </c:pt>
                <c:pt idx="40">
                  <c:v>201505</c:v>
                </c:pt>
                <c:pt idx="41">
                  <c:v>201506</c:v>
                </c:pt>
                <c:pt idx="42">
                  <c:v>201507</c:v>
                </c:pt>
                <c:pt idx="43">
                  <c:v>201508</c:v>
                </c:pt>
                <c:pt idx="44">
                  <c:v>201509</c:v>
                </c:pt>
                <c:pt idx="45">
                  <c:v>201510</c:v>
                </c:pt>
                <c:pt idx="46">
                  <c:v>201511</c:v>
                </c:pt>
                <c:pt idx="47">
                  <c:v>201512</c:v>
                </c:pt>
                <c:pt idx="48">
                  <c:v>201601</c:v>
                </c:pt>
                <c:pt idx="49">
                  <c:v>201602</c:v>
                </c:pt>
                <c:pt idx="50">
                  <c:v>201603</c:v>
                </c:pt>
                <c:pt idx="51">
                  <c:v>201604</c:v>
                </c:pt>
                <c:pt idx="52">
                  <c:v>201605</c:v>
                </c:pt>
                <c:pt idx="53">
                  <c:v>201606</c:v>
                </c:pt>
                <c:pt idx="54">
                  <c:v>201607</c:v>
                </c:pt>
                <c:pt idx="55">
                  <c:v>201608</c:v>
                </c:pt>
                <c:pt idx="56">
                  <c:v>201609</c:v>
                </c:pt>
                <c:pt idx="57">
                  <c:v>201610</c:v>
                </c:pt>
                <c:pt idx="58">
                  <c:v>201611</c:v>
                </c:pt>
                <c:pt idx="59">
                  <c:v>201612</c:v>
                </c:pt>
              </c:strCache>
            </c:strRef>
          </c:cat>
          <c:val>
            <c:numRef>
              <c:f>rectal!$F$5:$F$65</c:f>
              <c:numCache>
                <c:formatCode>General</c:formatCode>
                <c:ptCount val="60"/>
                <c:pt idx="0">
                  <c:v>385</c:v>
                </c:pt>
                <c:pt idx="1">
                  <c:v>408</c:v>
                </c:pt>
                <c:pt idx="2">
                  <c:v>435</c:v>
                </c:pt>
                <c:pt idx="3">
                  <c:v>402</c:v>
                </c:pt>
                <c:pt idx="4">
                  <c:v>470</c:v>
                </c:pt>
                <c:pt idx="5">
                  <c:v>457</c:v>
                </c:pt>
                <c:pt idx="6">
                  <c:v>443</c:v>
                </c:pt>
                <c:pt idx="7">
                  <c:v>457</c:v>
                </c:pt>
                <c:pt idx="8">
                  <c:v>453</c:v>
                </c:pt>
                <c:pt idx="9">
                  <c:v>461</c:v>
                </c:pt>
                <c:pt idx="10">
                  <c:v>467</c:v>
                </c:pt>
                <c:pt idx="11">
                  <c:v>567</c:v>
                </c:pt>
                <c:pt idx="12">
                  <c:v>415</c:v>
                </c:pt>
                <c:pt idx="13">
                  <c:v>412</c:v>
                </c:pt>
                <c:pt idx="14">
                  <c:v>458</c:v>
                </c:pt>
                <c:pt idx="15">
                  <c:v>450</c:v>
                </c:pt>
                <c:pt idx="16">
                  <c:v>452</c:v>
                </c:pt>
                <c:pt idx="17">
                  <c:v>467</c:v>
                </c:pt>
                <c:pt idx="18">
                  <c:v>504</c:v>
                </c:pt>
                <c:pt idx="19">
                  <c:v>500</c:v>
                </c:pt>
                <c:pt idx="20">
                  <c:v>415</c:v>
                </c:pt>
                <c:pt idx="21">
                  <c:v>506</c:v>
                </c:pt>
                <c:pt idx="22">
                  <c:v>491</c:v>
                </c:pt>
                <c:pt idx="23">
                  <c:v>578</c:v>
                </c:pt>
                <c:pt idx="24">
                  <c:v>419</c:v>
                </c:pt>
                <c:pt idx="25">
                  <c:v>392</c:v>
                </c:pt>
                <c:pt idx="26">
                  <c:v>458</c:v>
                </c:pt>
                <c:pt idx="27">
                  <c:v>455</c:v>
                </c:pt>
                <c:pt idx="28">
                  <c:v>441</c:v>
                </c:pt>
                <c:pt idx="29">
                  <c:v>476</c:v>
                </c:pt>
                <c:pt idx="30">
                  <c:v>461</c:v>
                </c:pt>
                <c:pt idx="31">
                  <c:v>461</c:v>
                </c:pt>
                <c:pt idx="32">
                  <c:v>477</c:v>
                </c:pt>
                <c:pt idx="33">
                  <c:v>507</c:v>
                </c:pt>
                <c:pt idx="34">
                  <c:v>508</c:v>
                </c:pt>
                <c:pt idx="35">
                  <c:v>578</c:v>
                </c:pt>
                <c:pt idx="36">
                  <c:v>420</c:v>
                </c:pt>
                <c:pt idx="37">
                  <c:v>451</c:v>
                </c:pt>
                <c:pt idx="38">
                  <c:v>522</c:v>
                </c:pt>
                <c:pt idx="39">
                  <c:v>436</c:v>
                </c:pt>
                <c:pt idx="40">
                  <c:v>463</c:v>
                </c:pt>
                <c:pt idx="41">
                  <c:v>488</c:v>
                </c:pt>
                <c:pt idx="42">
                  <c:v>516</c:v>
                </c:pt>
                <c:pt idx="43">
                  <c:v>508</c:v>
                </c:pt>
                <c:pt idx="44">
                  <c:v>468</c:v>
                </c:pt>
                <c:pt idx="45">
                  <c:v>489</c:v>
                </c:pt>
                <c:pt idx="46">
                  <c:v>432</c:v>
                </c:pt>
                <c:pt idx="47">
                  <c:v>530</c:v>
                </c:pt>
                <c:pt idx="48">
                  <c:v>342</c:v>
                </c:pt>
                <c:pt idx="49">
                  <c:v>432</c:v>
                </c:pt>
                <c:pt idx="50">
                  <c:v>484</c:v>
                </c:pt>
                <c:pt idx="51">
                  <c:v>430</c:v>
                </c:pt>
                <c:pt idx="52">
                  <c:v>444</c:v>
                </c:pt>
                <c:pt idx="53">
                  <c:v>410</c:v>
                </c:pt>
                <c:pt idx="54">
                  <c:v>442</c:v>
                </c:pt>
                <c:pt idx="55">
                  <c:v>460</c:v>
                </c:pt>
                <c:pt idx="56">
                  <c:v>430</c:v>
                </c:pt>
                <c:pt idx="57">
                  <c:v>451</c:v>
                </c:pt>
                <c:pt idx="58">
                  <c:v>447</c:v>
                </c:pt>
                <c:pt idx="59">
                  <c:v>501</c:v>
                </c:pt>
              </c:numCache>
            </c:numRef>
          </c:val>
          <c:smooth val="0"/>
        </c:ser>
        <c:dLbls>
          <c:showLegendKey val="0"/>
          <c:showVal val="0"/>
          <c:showCatName val="0"/>
          <c:showSerName val="0"/>
          <c:showPercent val="0"/>
          <c:showBubbleSize val="0"/>
        </c:dLbls>
        <c:marker val="1"/>
        <c:smooth val="0"/>
        <c:axId val="431212032"/>
        <c:axId val="431213568"/>
      </c:lineChart>
      <c:catAx>
        <c:axId val="431212032"/>
        <c:scaling>
          <c:orientation val="minMax"/>
        </c:scaling>
        <c:delete val="0"/>
        <c:axPos val="b"/>
        <c:majorTickMark val="out"/>
        <c:minorTickMark val="none"/>
        <c:tickLblPos val="nextTo"/>
        <c:crossAx val="431213568"/>
        <c:crosses val="autoZero"/>
        <c:auto val="1"/>
        <c:lblAlgn val="ctr"/>
        <c:lblOffset val="100"/>
        <c:noMultiLvlLbl val="0"/>
      </c:catAx>
      <c:valAx>
        <c:axId val="431213568"/>
        <c:scaling>
          <c:orientation val="minMax"/>
        </c:scaling>
        <c:delete val="0"/>
        <c:axPos val="l"/>
        <c:majorGridlines/>
        <c:numFmt formatCode="#,##0" sourceLinked="0"/>
        <c:majorTickMark val="out"/>
        <c:minorTickMark val="none"/>
        <c:tickLblPos val="nextTo"/>
        <c:crossAx val="431212032"/>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[Prescriptions by Drug using ALL cohort.xlsx]oral steroid immuno!PivotTable3</c:name>
    <c:fmtId val="24"/>
  </c:pivotSource>
  <c:chart>
    <c:autoTitleDeleted val="0"/>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s>
    <c:plotArea>
      <c:layout/>
      <c:lineChart>
        <c:grouping val="standard"/>
        <c:varyColors val="0"/>
        <c:ser>
          <c:idx val="0"/>
          <c:order val="0"/>
          <c:tx>
            <c:strRef>
              <c:f>'oral steroid immuno'!$B$3:$B$4</c:f>
              <c:strCache>
                <c:ptCount val="1"/>
                <c:pt idx="0">
                  <c:v>AZATHIOPRINE</c:v>
                </c:pt>
              </c:strCache>
            </c:strRef>
          </c:tx>
          <c:cat>
            <c:strRef>
              <c:f>'oral steroid immuno'!$A$5:$A$65</c:f>
              <c:strCache>
                <c:ptCount val="60"/>
                <c:pt idx="0">
                  <c:v>201201</c:v>
                </c:pt>
                <c:pt idx="1">
                  <c:v>201202</c:v>
                </c:pt>
                <c:pt idx="2">
                  <c:v>201203</c:v>
                </c:pt>
                <c:pt idx="3">
                  <c:v>201204</c:v>
                </c:pt>
                <c:pt idx="4">
                  <c:v>201205</c:v>
                </c:pt>
                <c:pt idx="5">
                  <c:v>201206</c:v>
                </c:pt>
                <c:pt idx="6">
                  <c:v>201207</c:v>
                </c:pt>
                <c:pt idx="7">
                  <c:v>201208</c:v>
                </c:pt>
                <c:pt idx="8">
                  <c:v>201209</c:v>
                </c:pt>
                <c:pt idx="9">
                  <c:v>201210</c:v>
                </c:pt>
                <c:pt idx="10">
                  <c:v>201211</c:v>
                </c:pt>
                <c:pt idx="11">
                  <c:v>201212</c:v>
                </c:pt>
                <c:pt idx="12">
                  <c:v>201301</c:v>
                </c:pt>
                <c:pt idx="13">
                  <c:v>201302</c:v>
                </c:pt>
                <c:pt idx="14">
                  <c:v>201303</c:v>
                </c:pt>
                <c:pt idx="15">
                  <c:v>201304</c:v>
                </c:pt>
                <c:pt idx="16">
                  <c:v>201305</c:v>
                </c:pt>
                <c:pt idx="17">
                  <c:v>201306</c:v>
                </c:pt>
                <c:pt idx="18">
                  <c:v>201307</c:v>
                </c:pt>
                <c:pt idx="19">
                  <c:v>201308</c:v>
                </c:pt>
                <c:pt idx="20">
                  <c:v>201309</c:v>
                </c:pt>
                <c:pt idx="21">
                  <c:v>201310</c:v>
                </c:pt>
                <c:pt idx="22">
                  <c:v>201311</c:v>
                </c:pt>
                <c:pt idx="23">
                  <c:v>201312</c:v>
                </c:pt>
                <c:pt idx="24">
                  <c:v>201401</c:v>
                </c:pt>
                <c:pt idx="25">
                  <c:v>201402</c:v>
                </c:pt>
                <c:pt idx="26">
                  <c:v>201403</c:v>
                </c:pt>
                <c:pt idx="27">
                  <c:v>201404</c:v>
                </c:pt>
                <c:pt idx="28">
                  <c:v>201405</c:v>
                </c:pt>
                <c:pt idx="29">
                  <c:v>201406</c:v>
                </c:pt>
                <c:pt idx="30">
                  <c:v>201407</c:v>
                </c:pt>
                <c:pt idx="31">
                  <c:v>201408</c:v>
                </c:pt>
                <c:pt idx="32">
                  <c:v>201409</c:v>
                </c:pt>
                <c:pt idx="33">
                  <c:v>201410</c:v>
                </c:pt>
                <c:pt idx="34">
                  <c:v>201411</c:v>
                </c:pt>
                <c:pt idx="35">
                  <c:v>201412</c:v>
                </c:pt>
                <c:pt idx="36">
                  <c:v>201501</c:v>
                </c:pt>
                <c:pt idx="37">
                  <c:v>201502</c:v>
                </c:pt>
                <c:pt idx="38">
                  <c:v>201503</c:v>
                </c:pt>
                <c:pt idx="39">
                  <c:v>201504</c:v>
                </c:pt>
                <c:pt idx="40">
                  <c:v>201505</c:v>
                </c:pt>
                <c:pt idx="41">
                  <c:v>201506</c:v>
                </c:pt>
                <c:pt idx="42">
                  <c:v>201507</c:v>
                </c:pt>
                <c:pt idx="43">
                  <c:v>201508</c:v>
                </c:pt>
                <c:pt idx="44">
                  <c:v>201509</c:v>
                </c:pt>
                <c:pt idx="45">
                  <c:v>201510</c:v>
                </c:pt>
                <c:pt idx="46">
                  <c:v>201511</c:v>
                </c:pt>
                <c:pt idx="47">
                  <c:v>201512</c:v>
                </c:pt>
                <c:pt idx="48">
                  <c:v>201601</c:v>
                </c:pt>
                <c:pt idx="49">
                  <c:v>201602</c:v>
                </c:pt>
                <c:pt idx="50">
                  <c:v>201603</c:v>
                </c:pt>
                <c:pt idx="51">
                  <c:v>201604</c:v>
                </c:pt>
                <c:pt idx="52">
                  <c:v>201605</c:v>
                </c:pt>
                <c:pt idx="53">
                  <c:v>201606</c:v>
                </c:pt>
                <c:pt idx="54">
                  <c:v>201607</c:v>
                </c:pt>
                <c:pt idx="55">
                  <c:v>201608</c:v>
                </c:pt>
                <c:pt idx="56">
                  <c:v>201609</c:v>
                </c:pt>
                <c:pt idx="57">
                  <c:v>201610</c:v>
                </c:pt>
                <c:pt idx="58">
                  <c:v>201611</c:v>
                </c:pt>
                <c:pt idx="59">
                  <c:v>201612</c:v>
                </c:pt>
              </c:strCache>
            </c:strRef>
          </c:cat>
          <c:val>
            <c:numRef>
              <c:f>'oral steroid immuno'!$B$5:$B$65</c:f>
              <c:numCache>
                <c:formatCode>General</c:formatCode>
                <c:ptCount val="60"/>
                <c:pt idx="0">
                  <c:v>1980</c:v>
                </c:pt>
                <c:pt idx="1">
                  <c:v>2039</c:v>
                </c:pt>
                <c:pt idx="2">
                  <c:v>2365</c:v>
                </c:pt>
                <c:pt idx="3">
                  <c:v>2146</c:v>
                </c:pt>
                <c:pt idx="4">
                  <c:v>2374</c:v>
                </c:pt>
                <c:pt idx="5">
                  <c:v>2310</c:v>
                </c:pt>
                <c:pt idx="6">
                  <c:v>2414</c:v>
                </c:pt>
                <c:pt idx="7">
                  <c:v>2448</c:v>
                </c:pt>
                <c:pt idx="8">
                  <c:v>2339</c:v>
                </c:pt>
                <c:pt idx="9">
                  <c:v>2469</c:v>
                </c:pt>
                <c:pt idx="10">
                  <c:v>2437</c:v>
                </c:pt>
                <c:pt idx="11">
                  <c:v>2782</c:v>
                </c:pt>
                <c:pt idx="12">
                  <c:v>2163</c:v>
                </c:pt>
                <c:pt idx="13">
                  <c:v>2205</c:v>
                </c:pt>
                <c:pt idx="14">
                  <c:v>2440</c:v>
                </c:pt>
                <c:pt idx="15">
                  <c:v>2468</c:v>
                </c:pt>
                <c:pt idx="16">
                  <c:v>2555</c:v>
                </c:pt>
                <c:pt idx="17">
                  <c:v>2408</c:v>
                </c:pt>
                <c:pt idx="18">
                  <c:v>2671</c:v>
                </c:pt>
                <c:pt idx="19">
                  <c:v>2652</c:v>
                </c:pt>
                <c:pt idx="20">
                  <c:v>2527</c:v>
                </c:pt>
                <c:pt idx="21">
                  <c:v>2657</c:v>
                </c:pt>
                <c:pt idx="22">
                  <c:v>2632</c:v>
                </c:pt>
                <c:pt idx="23">
                  <c:v>2984</c:v>
                </c:pt>
                <c:pt idx="24">
                  <c:v>2380</c:v>
                </c:pt>
                <c:pt idx="25">
                  <c:v>2302</c:v>
                </c:pt>
                <c:pt idx="26">
                  <c:v>2563</c:v>
                </c:pt>
                <c:pt idx="27">
                  <c:v>2546</c:v>
                </c:pt>
                <c:pt idx="28">
                  <c:v>2744</c:v>
                </c:pt>
                <c:pt idx="29">
                  <c:v>2607</c:v>
                </c:pt>
                <c:pt idx="30">
                  <c:v>2723</c:v>
                </c:pt>
                <c:pt idx="31">
                  <c:v>2710</c:v>
                </c:pt>
                <c:pt idx="32">
                  <c:v>2718</c:v>
                </c:pt>
                <c:pt idx="33">
                  <c:v>2866</c:v>
                </c:pt>
                <c:pt idx="34">
                  <c:v>2666</c:v>
                </c:pt>
                <c:pt idx="35">
                  <c:v>3353</c:v>
                </c:pt>
                <c:pt idx="36">
                  <c:v>2436</c:v>
                </c:pt>
                <c:pt idx="37">
                  <c:v>2474</c:v>
                </c:pt>
                <c:pt idx="38">
                  <c:v>2802</c:v>
                </c:pt>
                <c:pt idx="39">
                  <c:v>2596</c:v>
                </c:pt>
                <c:pt idx="40">
                  <c:v>2778</c:v>
                </c:pt>
                <c:pt idx="41">
                  <c:v>2813</c:v>
                </c:pt>
                <c:pt idx="42">
                  <c:v>2985</c:v>
                </c:pt>
                <c:pt idx="43">
                  <c:v>2806</c:v>
                </c:pt>
                <c:pt idx="44">
                  <c:v>2809</c:v>
                </c:pt>
                <c:pt idx="45">
                  <c:v>2857</c:v>
                </c:pt>
                <c:pt idx="46">
                  <c:v>2920</c:v>
                </c:pt>
                <c:pt idx="47">
                  <c:v>3321</c:v>
                </c:pt>
                <c:pt idx="48">
                  <c:v>2545</c:v>
                </c:pt>
                <c:pt idx="49">
                  <c:v>2638</c:v>
                </c:pt>
                <c:pt idx="50">
                  <c:v>2858</c:v>
                </c:pt>
                <c:pt idx="51">
                  <c:v>2837</c:v>
                </c:pt>
                <c:pt idx="52">
                  <c:v>2882</c:v>
                </c:pt>
                <c:pt idx="53">
                  <c:v>2843</c:v>
                </c:pt>
                <c:pt idx="54">
                  <c:v>2905</c:v>
                </c:pt>
                <c:pt idx="55">
                  <c:v>2922</c:v>
                </c:pt>
                <c:pt idx="56">
                  <c:v>2909</c:v>
                </c:pt>
                <c:pt idx="57">
                  <c:v>2888</c:v>
                </c:pt>
                <c:pt idx="58">
                  <c:v>2996</c:v>
                </c:pt>
                <c:pt idx="59">
                  <c:v>3319</c:v>
                </c:pt>
              </c:numCache>
            </c:numRef>
          </c:val>
          <c:smooth val="0"/>
        </c:ser>
        <c:ser>
          <c:idx val="1"/>
          <c:order val="1"/>
          <c:tx>
            <c:strRef>
              <c:f>'oral steroid immuno'!$C$3:$C$4</c:f>
              <c:strCache>
                <c:ptCount val="1"/>
                <c:pt idx="0">
                  <c:v>CYCLOSPORIN</c:v>
                </c:pt>
              </c:strCache>
            </c:strRef>
          </c:tx>
          <c:cat>
            <c:strRef>
              <c:f>'oral steroid immuno'!$A$5:$A$65</c:f>
              <c:strCache>
                <c:ptCount val="60"/>
                <c:pt idx="0">
                  <c:v>201201</c:v>
                </c:pt>
                <c:pt idx="1">
                  <c:v>201202</c:v>
                </c:pt>
                <c:pt idx="2">
                  <c:v>201203</c:v>
                </c:pt>
                <c:pt idx="3">
                  <c:v>201204</c:v>
                </c:pt>
                <c:pt idx="4">
                  <c:v>201205</c:v>
                </c:pt>
                <c:pt idx="5">
                  <c:v>201206</c:v>
                </c:pt>
                <c:pt idx="6">
                  <c:v>201207</c:v>
                </c:pt>
                <c:pt idx="7">
                  <c:v>201208</c:v>
                </c:pt>
                <c:pt idx="8">
                  <c:v>201209</c:v>
                </c:pt>
                <c:pt idx="9">
                  <c:v>201210</c:v>
                </c:pt>
                <c:pt idx="10">
                  <c:v>201211</c:v>
                </c:pt>
                <c:pt idx="11">
                  <c:v>201212</c:v>
                </c:pt>
                <c:pt idx="12">
                  <c:v>201301</c:v>
                </c:pt>
                <c:pt idx="13">
                  <c:v>201302</c:v>
                </c:pt>
                <c:pt idx="14">
                  <c:v>201303</c:v>
                </c:pt>
                <c:pt idx="15">
                  <c:v>201304</c:v>
                </c:pt>
                <c:pt idx="16">
                  <c:v>201305</c:v>
                </c:pt>
                <c:pt idx="17">
                  <c:v>201306</c:v>
                </c:pt>
                <c:pt idx="18">
                  <c:v>201307</c:v>
                </c:pt>
                <c:pt idx="19">
                  <c:v>201308</c:v>
                </c:pt>
                <c:pt idx="20">
                  <c:v>201309</c:v>
                </c:pt>
                <c:pt idx="21">
                  <c:v>201310</c:v>
                </c:pt>
                <c:pt idx="22">
                  <c:v>201311</c:v>
                </c:pt>
                <c:pt idx="23">
                  <c:v>201312</c:v>
                </c:pt>
                <c:pt idx="24">
                  <c:v>201401</c:v>
                </c:pt>
                <c:pt idx="25">
                  <c:v>201402</c:v>
                </c:pt>
                <c:pt idx="26">
                  <c:v>201403</c:v>
                </c:pt>
                <c:pt idx="27">
                  <c:v>201404</c:v>
                </c:pt>
                <c:pt idx="28">
                  <c:v>201405</c:v>
                </c:pt>
                <c:pt idx="29">
                  <c:v>201406</c:v>
                </c:pt>
                <c:pt idx="30">
                  <c:v>201407</c:v>
                </c:pt>
                <c:pt idx="31">
                  <c:v>201408</c:v>
                </c:pt>
                <c:pt idx="32">
                  <c:v>201409</c:v>
                </c:pt>
                <c:pt idx="33">
                  <c:v>201410</c:v>
                </c:pt>
                <c:pt idx="34">
                  <c:v>201411</c:v>
                </c:pt>
                <c:pt idx="35">
                  <c:v>201412</c:v>
                </c:pt>
                <c:pt idx="36">
                  <c:v>201501</c:v>
                </c:pt>
                <c:pt idx="37">
                  <c:v>201502</c:v>
                </c:pt>
                <c:pt idx="38">
                  <c:v>201503</c:v>
                </c:pt>
                <c:pt idx="39">
                  <c:v>201504</c:v>
                </c:pt>
                <c:pt idx="40">
                  <c:v>201505</c:v>
                </c:pt>
                <c:pt idx="41">
                  <c:v>201506</c:v>
                </c:pt>
                <c:pt idx="42">
                  <c:v>201507</c:v>
                </c:pt>
                <c:pt idx="43">
                  <c:v>201508</c:v>
                </c:pt>
                <c:pt idx="44">
                  <c:v>201509</c:v>
                </c:pt>
                <c:pt idx="45">
                  <c:v>201510</c:v>
                </c:pt>
                <c:pt idx="46">
                  <c:v>201511</c:v>
                </c:pt>
                <c:pt idx="47">
                  <c:v>201512</c:v>
                </c:pt>
                <c:pt idx="48">
                  <c:v>201601</c:v>
                </c:pt>
                <c:pt idx="49">
                  <c:v>201602</c:v>
                </c:pt>
                <c:pt idx="50">
                  <c:v>201603</c:v>
                </c:pt>
                <c:pt idx="51">
                  <c:v>201604</c:v>
                </c:pt>
                <c:pt idx="52">
                  <c:v>201605</c:v>
                </c:pt>
                <c:pt idx="53">
                  <c:v>201606</c:v>
                </c:pt>
                <c:pt idx="54">
                  <c:v>201607</c:v>
                </c:pt>
                <c:pt idx="55">
                  <c:v>201608</c:v>
                </c:pt>
                <c:pt idx="56">
                  <c:v>201609</c:v>
                </c:pt>
                <c:pt idx="57">
                  <c:v>201610</c:v>
                </c:pt>
                <c:pt idx="58">
                  <c:v>201611</c:v>
                </c:pt>
                <c:pt idx="59">
                  <c:v>201612</c:v>
                </c:pt>
              </c:strCache>
            </c:strRef>
          </c:cat>
          <c:val>
            <c:numRef>
              <c:f>'oral steroid immuno'!$C$5:$C$65</c:f>
              <c:numCache>
                <c:formatCode>General</c:formatCode>
                <c:ptCount val="60"/>
                <c:pt idx="0">
                  <c:v>4</c:v>
                </c:pt>
                <c:pt idx="1">
                  <c:v>2</c:v>
                </c:pt>
                <c:pt idx="2">
                  <c:v>7</c:v>
                </c:pt>
                <c:pt idx="3">
                  <c:v>2</c:v>
                </c:pt>
                <c:pt idx="4">
                  <c:v>2</c:v>
                </c:pt>
                <c:pt idx="5">
                  <c:v>4</c:v>
                </c:pt>
                <c:pt idx="6">
                  <c:v>4</c:v>
                </c:pt>
                <c:pt idx="8">
                  <c:v>2</c:v>
                </c:pt>
                <c:pt idx="9">
                  <c:v>1</c:v>
                </c:pt>
                <c:pt idx="10">
                  <c:v>10</c:v>
                </c:pt>
                <c:pt idx="12">
                  <c:v>3</c:v>
                </c:pt>
                <c:pt idx="13">
                  <c:v>11</c:v>
                </c:pt>
                <c:pt idx="14">
                  <c:v>7</c:v>
                </c:pt>
                <c:pt idx="15">
                  <c:v>9</c:v>
                </c:pt>
                <c:pt idx="16">
                  <c:v>11</c:v>
                </c:pt>
                <c:pt idx="17">
                  <c:v>10</c:v>
                </c:pt>
                <c:pt idx="18">
                  <c:v>12</c:v>
                </c:pt>
                <c:pt idx="19">
                  <c:v>9</c:v>
                </c:pt>
                <c:pt idx="20">
                  <c:v>5</c:v>
                </c:pt>
                <c:pt idx="21">
                  <c:v>12</c:v>
                </c:pt>
                <c:pt idx="22">
                  <c:v>15</c:v>
                </c:pt>
                <c:pt idx="23">
                  <c:v>6</c:v>
                </c:pt>
                <c:pt idx="24">
                  <c:v>11</c:v>
                </c:pt>
                <c:pt idx="25">
                  <c:v>13</c:v>
                </c:pt>
                <c:pt idx="26">
                  <c:v>9</c:v>
                </c:pt>
                <c:pt idx="27">
                  <c:v>11</c:v>
                </c:pt>
                <c:pt idx="28">
                  <c:v>12</c:v>
                </c:pt>
                <c:pt idx="29">
                  <c:v>8</c:v>
                </c:pt>
                <c:pt idx="30">
                  <c:v>17</c:v>
                </c:pt>
                <c:pt idx="39">
                  <c:v>1</c:v>
                </c:pt>
                <c:pt idx="40">
                  <c:v>5</c:v>
                </c:pt>
                <c:pt idx="41">
                  <c:v>19</c:v>
                </c:pt>
                <c:pt idx="42">
                  <c:v>14</c:v>
                </c:pt>
                <c:pt idx="43">
                  <c:v>17</c:v>
                </c:pt>
                <c:pt idx="44">
                  <c:v>19</c:v>
                </c:pt>
                <c:pt idx="45">
                  <c:v>29</c:v>
                </c:pt>
                <c:pt idx="46">
                  <c:v>37</c:v>
                </c:pt>
                <c:pt idx="47">
                  <c:v>40</c:v>
                </c:pt>
                <c:pt idx="48">
                  <c:v>27</c:v>
                </c:pt>
                <c:pt idx="49">
                  <c:v>41</c:v>
                </c:pt>
                <c:pt idx="50">
                  <c:v>36</c:v>
                </c:pt>
                <c:pt idx="51">
                  <c:v>38</c:v>
                </c:pt>
                <c:pt idx="52">
                  <c:v>35</c:v>
                </c:pt>
                <c:pt idx="53">
                  <c:v>40</c:v>
                </c:pt>
                <c:pt idx="54">
                  <c:v>26</c:v>
                </c:pt>
                <c:pt idx="55">
                  <c:v>42</c:v>
                </c:pt>
                <c:pt idx="56">
                  <c:v>28</c:v>
                </c:pt>
                <c:pt idx="57">
                  <c:v>34</c:v>
                </c:pt>
                <c:pt idx="58">
                  <c:v>32</c:v>
                </c:pt>
                <c:pt idx="59">
                  <c:v>51</c:v>
                </c:pt>
              </c:numCache>
            </c:numRef>
          </c:val>
          <c:smooth val="0"/>
        </c:ser>
        <c:ser>
          <c:idx val="2"/>
          <c:order val="2"/>
          <c:tx>
            <c:strRef>
              <c:f>'oral steroid immuno'!$D$3:$D$4</c:f>
              <c:strCache>
                <c:ptCount val="1"/>
                <c:pt idx="0">
                  <c:v>HYDROCORTISONE</c:v>
                </c:pt>
              </c:strCache>
            </c:strRef>
          </c:tx>
          <c:cat>
            <c:strRef>
              <c:f>'oral steroid immuno'!$A$5:$A$65</c:f>
              <c:strCache>
                <c:ptCount val="60"/>
                <c:pt idx="0">
                  <c:v>201201</c:v>
                </c:pt>
                <c:pt idx="1">
                  <c:v>201202</c:v>
                </c:pt>
                <c:pt idx="2">
                  <c:v>201203</c:v>
                </c:pt>
                <c:pt idx="3">
                  <c:v>201204</c:v>
                </c:pt>
                <c:pt idx="4">
                  <c:v>201205</c:v>
                </c:pt>
                <c:pt idx="5">
                  <c:v>201206</c:v>
                </c:pt>
                <c:pt idx="6">
                  <c:v>201207</c:v>
                </c:pt>
                <c:pt idx="7">
                  <c:v>201208</c:v>
                </c:pt>
                <c:pt idx="8">
                  <c:v>201209</c:v>
                </c:pt>
                <c:pt idx="9">
                  <c:v>201210</c:v>
                </c:pt>
                <c:pt idx="10">
                  <c:v>201211</c:v>
                </c:pt>
                <c:pt idx="11">
                  <c:v>201212</c:v>
                </c:pt>
                <c:pt idx="12">
                  <c:v>201301</c:v>
                </c:pt>
                <c:pt idx="13">
                  <c:v>201302</c:v>
                </c:pt>
                <c:pt idx="14">
                  <c:v>201303</c:v>
                </c:pt>
                <c:pt idx="15">
                  <c:v>201304</c:v>
                </c:pt>
                <c:pt idx="16">
                  <c:v>201305</c:v>
                </c:pt>
                <c:pt idx="17">
                  <c:v>201306</c:v>
                </c:pt>
                <c:pt idx="18">
                  <c:v>201307</c:v>
                </c:pt>
                <c:pt idx="19">
                  <c:v>201308</c:v>
                </c:pt>
                <c:pt idx="20">
                  <c:v>201309</c:v>
                </c:pt>
                <c:pt idx="21">
                  <c:v>201310</c:v>
                </c:pt>
                <c:pt idx="22">
                  <c:v>201311</c:v>
                </c:pt>
                <c:pt idx="23">
                  <c:v>201312</c:v>
                </c:pt>
                <c:pt idx="24">
                  <c:v>201401</c:v>
                </c:pt>
                <c:pt idx="25">
                  <c:v>201402</c:v>
                </c:pt>
                <c:pt idx="26">
                  <c:v>201403</c:v>
                </c:pt>
                <c:pt idx="27">
                  <c:v>201404</c:v>
                </c:pt>
                <c:pt idx="28">
                  <c:v>201405</c:v>
                </c:pt>
                <c:pt idx="29">
                  <c:v>201406</c:v>
                </c:pt>
                <c:pt idx="30">
                  <c:v>201407</c:v>
                </c:pt>
                <c:pt idx="31">
                  <c:v>201408</c:v>
                </c:pt>
                <c:pt idx="32">
                  <c:v>201409</c:v>
                </c:pt>
                <c:pt idx="33">
                  <c:v>201410</c:v>
                </c:pt>
                <c:pt idx="34">
                  <c:v>201411</c:v>
                </c:pt>
                <c:pt idx="35">
                  <c:v>201412</c:v>
                </c:pt>
                <c:pt idx="36">
                  <c:v>201501</c:v>
                </c:pt>
                <c:pt idx="37">
                  <c:v>201502</c:v>
                </c:pt>
                <c:pt idx="38">
                  <c:v>201503</c:v>
                </c:pt>
                <c:pt idx="39">
                  <c:v>201504</c:v>
                </c:pt>
                <c:pt idx="40">
                  <c:v>201505</c:v>
                </c:pt>
                <c:pt idx="41">
                  <c:v>201506</c:v>
                </c:pt>
                <c:pt idx="42">
                  <c:v>201507</c:v>
                </c:pt>
                <c:pt idx="43">
                  <c:v>201508</c:v>
                </c:pt>
                <c:pt idx="44">
                  <c:v>201509</c:v>
                </c:pt>
                <c:pt idx="45">
                  <c:v>201510</c:v>
                </c:pt>
                <c:pt idx="46">
                  <c:v>201511</c:v>
                </c:pt>
                <c:pt idx="47">
                  <c:v>201512</c:v>
                </c:pt>
                <c:pt idx="48">
                  <c:v>201601</c:v>
                </c:pt>
                <c:pt idx="49">
                  <c:v>201602</c:v>
                </c:pt>
                <c:pt idx="50">
                  <c:v>201603</c:v>
                </c:pt>
                <c:pt idx="51">
                  <c:v>201604</c:v>
                </c:pt>
                <c:pt idx="52">
                  <c:v>201605</c:v>
                </c:pt>
                <c:pt idx="53">
                  <c:v>201606</c:v>
                </c:pt>
                <c:pt idx="54">
                  <c:v>201607</c:v>
                </c:pt>
                <c:pt idx="55">
                  <c:v>201608</c:v>
                </c:pt>
                <c:pt idx="56">
                  <c:v>201609</c:v>
                </c:pt>
                <c:pt idx="57">
                  <c:v>201610</c:v>
                </c:pt>
                <c:pt idx="58">
                  <c:v>201611</c:v>
                </c:pt>
                <c:pt idx="59">
                  <c:v>201612</c:v>
                </c:pt>
              </c:strCache>
            </c:strRef>
          </c:cat>
          <c:val>
            <c:numRef>
              <c:f>'oral steroid immuno'!$D$5:$D$65</c:f>
              <c:numCache>
                <c:formatCode>General</c:formatCode>
                <c:ptCount val="60"/>
                <c:pt idx="0">
                  <c:v>20</c:v>
                </c:pt>
                <c:pt idx="1">
                  <c:v>20</c:v>
                </c:pt>
                <c:pt idx="2">
                  <c:v>19</c:v>
                </c:pt>
                <c:pt idx="3">
                  <c:v>35</c:v>
                </c:pt>
                <c:pt idx="4">
                  <c:v>32</c:v>
                </c:pt>
                <c:pt idx="5">
                  <c:v>25</c:v>
                </c:pt>
                <c:pt idx="6">
                  <c:v>42</c:v>
                </c:pt>
                <c:pt idx="7">
                  <c:v>31</c:v>
                </c:pt>
                <c:pt idx="8">
                  <c:v>38</c:v>
                </c:pt>
                <c:pt idx="9">
                  <c:v>35</c:v>
                </c:pt>
                <c:pt idx="10">
                  <c:v>40</c:v>
                </c:pt>
                <c:pt idx="11">
                  <c:v>24</c:v>
                </c:pt>
                <c:pt idx="12">
                  <c:v>28</c:v>
                </c:pt>
                <c:pt idx="13">
                  <c:v>30</c:v>
                </c:pt>
                <c:pt idx="14">
                  <c:v>27</c:v>
                </c:pt>
                <c:pt idx="15">
                  <c:v>26</c:v>
                </c:pt>
                <c:pt idx="16">
                  <c:v>35</c:v>
                </c:pt>
                <c:pt idx="17">
                  <c:v>40</c:v>
                </c:pt>
                <c:pt idx="18">
                  <c:v>42</c:v>
                </c:pt>
                <c:pt idx="19">
                  <c:v>45</c:v>
                </c:pt>
                <c:pt idx="20">
                  <c:v>50</c:v>
                </c:pt>
                <c:pt idx="21">
                  <c:v>42</c:v>
                </c:pt>
                <c:pt idx="22">
                  <c:v>33</c:v>
                </c:pt>
                <c:pt idx="23">
                  <c:v>45</c:v>
                </c:pt>
                <c:pt idx="24">
                  <c:v>14</c:v>
                </c:pt>
                <c:pt idx="25">
                  <c:v>37</c:v>
                </c:pt>
                <c:pt idx="26">
                  <c:v>40</c:v>
                </c:pt>
                <c:pt idx="27">
                  <c:v>47</c:v>
                </c:pt>
                <c:pt idx="28">
                  <c:v>31</c:v>
                </c:pt>
                <c:pt idx="29">
                  <c:v>42</c:v>
                </c:pt>
                <c:pt idx="30">
                  <c:v>40</c:v>
                </c:pt>
                <c:pt idx="31">
                  <c:v>40</c:v>
                </c:pt>
                <c:pt idx="32">
                  <c:v>46</c:v>
                </c:pt>
                <c:pt idx="33">
                  <c:v>47</c:v>
                </c:pt>
                <c:pt idx="34">
                  <c:v>38</c:v>
                </c:pt>
                <c:pt idx="35">
                  <c:v>58</c:v>
                </c:pt>
                <c:pt idx="36">
                  <c:v>32</c:v>
                </c:pt>
                <c:pt idx="37">
                  <c:v>33</c:v>
                </c:pt>
                <c:pt idx="38">
                  <c:v>43</c:v>
                </c:pt>
                <c:pt idx="39">
                  <c:v>40</c:v>
                </c:pt>
                <c:pt idx="40">
                  <c:v>39</c:v>
                </c:pt>
                <c:pt idx="41">
                  <c:v>39</c:v>
                </c:pt>
                <c:pt idx="42">
                  <c:v>41</c:v>
                </c:pt>
                <c:pt idx="43">
                  <c:v>36</c:v>
                </c:pt>
                <c:pt idx="44">
                  <c:v>31</c:v>
                </c:pt>
                <c:pt idx="45">
                  <c:v>45</c:v>
                </c:pt>
                <c:pt idx="46">
                  <c:v>47</c:v>
                </c:pt>
                <c:pt idx="47">
                  <c:v>44</c:v>
                </c:pt>
                <c:pt idx="48">
                  <c:v>31</c:v>
                </c:pt>
                <c:pt idx="49">
                  <c:v>36</c:v>
                </c:pt>
                <c:pt idx="50">
                  <c:v>37</c:v>
                </c:pt>
                <c:pt idx="51">
                  <c:v>38</c:v>
                </c:pt>
                <c:pt idx="52">
                  <c:v>41</c:v>
                </c:pt>
                <c:pt idx="53">
                  <c:v>36</c:v>
                </c:pt>
                <c:pt idx="54">
                  <c:v>49</c:v>
                </c:pt>
                <c:pt idx="55">
                  <c:v>50</c:v>
                </c:pt>
                <c:pt idx="56">
                  <c:v>56</c:v>
                </c:pt>
                <c:pt idx="57">
                  <c:v>46</c:v>
                </c:pt>
                <c:pt idx="58">
                  <c:v>53</c:v>
                </c:pt>
                <c:pt idx="59">
                  <c:v>61</c:v>
                </c:pt>
              </c:numCache>
            </c:numRef>
          </c:val>
          <c:smooth val="0"/>
        </c:ser>
        <c:ser>
          <c:idx val="3"/>
          <c:order val="3"/>
          <c:tx>
            <c:strRef>
              <c:f>'oral steroid immuno'!$E$3:$E$4</c:f>
              <c:strCache>
                <c:ptCount val="1"/>
                <c:pt idx="0">
                  <c:v>MERCAPTOPURINE</c:v>
                </c:pt>
              </c:strCache>
            </c:strRef>
          </c:tx>
          <c:cat>
            <c:strRef>
              <c:f>'oral steroid immuno'!$A$5:$A$65</c:f>
              <c:strCache>
                <c:ptCount val="60"/>
                <c:pt idx="0">
                  <c:v>201201</c:v>
                </c:pt>
                <c:pt idx="1">
                  <c:v>201202</c:v>
                </c:pt>
                <c:pt idx="2">
                  <c:v>201203</c:v>
                </c:pt>
                <c:pt idx="3">
                  <c:v>201204</c:v>
                </c:pt>
                <c:pt idx="4">
                  <c:v>201205</c:v>
                </c:pt>
                <c:pt idx="5">
                  <c:v>201206</c:v>
                </c:pt>
                <c:pt idx="6">
                  <c:v>201207</c:v>
                </c:pt>
                <c:pt idx="7">
                  <c:v>201208</c:v>
                </c:pt>
                <c:pt idx="8">
                  <c:v>201209</c:v>
                </c:pt>
                <c:pt idx="9">
                  <c:v>201210</c:v>
                </c:pt>
                <c:pt idx="10">
                  <c:v>201211</c:v>
                </c:pt>
                <c:pt idx="11">
                  <c:v>201212</c:v>
                </c:pt>
                <c:pt idx="12">
                  <c:v>201301</c:v>
                </c:pt>
                <c:pt idx="13">
                  <c:v>201302</c:v>
                </c:pt>
                <c:pt idx="14">
                  <c:v>201303</c:v>
                </c:pt>
                <c:pt idx="15">
                  <c:v>201304</c:v>
                </c:pt>
                <c:pt idx="16">
                  <c:v>201305</c:v>
                </c:pt>
                <c:pt idx="17">
                  <c:v>201306</c:v>
                </c:pt>
                <c:pt idx="18">
                  <c:v>201307</c:v>
                </c:pt>
                <c:pt idx="19">
                  <c:v>201308</c:v>
                </c:pt>
                <c:pt idx="20">
                  <c:v>201309</c:v>
                </c:pt>
                <c:pt idx="21">
                  <c:v>201310</c:v>
                </c:pt>
                <c:pt idx="22">
                  <c:v>201311</c:v>
                </c:pt>
                <c:pt idx="23">
                  <c:v>201312</c:v>
                </c:pt>
                <c:pt idx="24">
                  <c:v>201401</c:v>
                </c:pt>
                <c:pt idx="25">
                  <c:v>201402</c:v>
                </c:pt>
                <c:pt idx="26">
                  <c:v>201403</c:v>
                </c:pt>
                <c:pt idx="27">
                  <c:v>201404</c:v>
                </c:pt>
                <c:pt idx="28">
                  <c:v>201405</c:v>
                </c:pt>
                <c:pt idx="29">
                  <c:v>201406</c:v>
                </c:pt>
                <c:pt idx="30">
                  <c:v>201407</c:v>
                </c:pt>
                <c:pt idx="31">
                  <c:v>201408</c:v>
                </c:pt>
                <c:pt idx="32">
                  <c:v>201409</c:v>
                </c:pt>
                <c:pt idx="33">
                  <c:v>201410</c:v>
                </c:pt>
                <c:pt idx="34">
                  <c:v>201411</c:v>
                </c:pt>
                <c:pt idx="35">
                  <c:v>201412</c:v>
                </c:pt>
                <c:pt idx="36">
                  <c:v>201501</c:v>
                </c:pt>
                <c:pt idx="37">
                  <c:v>201502</c:v>
                </c:pt>
                <c:pt idx="38">
                  <c:v>201503</c:v>
                </c:pt>
                <c:pt idx="39">
                  <c:v>201504</c:v>
                </c:pt>
                <c:pt idx="40">
                  <c:v>201505</c:v>
                </c:pt>
                <c:pt idx="41">
                  <c:v>201506</c:v>
                </c:pt>
                <c:pt idx="42">
                  <c:v>201507</c:v>
                </c:pt>
                <c:pt idx="43">
                  <c:v>201508</c:v>
                </c:pt>
                <c:pt idx="44">
                  <c:v>201509</c:v>
                </c:pt>
                <c:pt idx="45">
                  <c:v>201510</c:v>
                </c:pt>
                <c:pt idx="46">
                  <c:v>201511</c:v>
                </c:pt>
                <c:pt idx="47">
                  <c:v>201512</c:v>
                </c:pt>
                <c:pt idx="48">
                  <c:v>201601</c:v>
                </c:pt>
                <c:pt idx="49">
                  <c:v>201602</c:v>
                </c:pt>
                <c:pt idx="50">
                  <c:v>201603</c:v>
                </c:pt>
                <c:pt idx="51">
                  <c:v>201604</c:v>
                </c:pt>
                <c:pt idx="52">
                  <c:v>201605</c:v>
                </c:pt>
                <c:pt idx="53">
                  <c:v>201606</c:v>
                </c:pt>
                <c:pt idx="54">
                  <c:v>201607</c:v>
                </c:pt>
                <c:pt idx="55">
                  <c:v>201608</c:v>
                </c:pt>
                <c:pt idx="56">
                  <c:v>201609</c:v>
                </c:pt>
                <c:pt idx="57">
                  <c:v>201610</c:v>
                </c:pt>
                <c:pt idx="58">
                  <c:v>201611</c:v>
                </c:pt>
                <c:pt idx="59">
                  <c:v>201612</c:v>
                </c:pt>
              </c:strCache>
            </c:strRef>
          </c:cat>
          <c:val>
            <c:numRef>
              <c:f>'oral steroid immuno'!$E$5:$E$65</c:f>
              <c:numCache>
                <c:formatCode>General</c:formatCode>
                <c:ptCount val="60"/>
                <c:pt idx="0">
                  <c:v>429</c:v>
                </c:pt>
                <c:pt idx="1">
                  <c:v>461</c:v>
                </c:pt>
                <c:pt idx="2">
                  <c:v>515</c:v>
                </c:pt>
                <c:pt idx="3">
                  <c:v>475</c:v>
                </c:pt>
                <c:pt idx="4">
                  <c:v>545</c:v>
                </c:pt>
                <c:pt idx="5">
                  <c:v>512</c:v>
                </c:pt>
                <c:pt idx="6">
                  <c:v>552</c:v>
                </c:pt>
                <c:pt idx="7">
                  <c:v>515</c:v>
                </c:pt>
                <c:pt idx="8">
                  <c:v>547</c:v>
                </c:pt>
                <c:pt idx="9">
                  <c:v>568</c:v>
                </c:pt>
                <c:pt idx="10">
                  <c:v>587</c:v>
                </c:pt>
                <c:pt idx="11">
                  <c:v>626</c:v>
                </c:pt>
                <c:pt idx="12">
                  <c:v>523</c:v>
                </c:pt>
                <c:pt idx="13">
                  <c:v>500</c:v>
                </c:pt>
                <c:pt idx="14">
                  <c:v>520</c:v>
                </c:pt>
                <c:pt idx="15">
                  <c:v>535</c:v>
                </c:pt>
                <c:pt idx="16">
                  <c:v>596</c:v>
                </c:pt>
                <c:pt idx="17">
                  <c:v>566</c:v>
                </c:pt>
                <c:pt idx="18">
                  <c:v>612</c:v>
                </c:pt>
                <c:pt idx="19">
                  <c:v>638</c:v>
                </c:pt>
                <c:pt idx="20">
                  <c:v>612</c:v>
                </c:pt>
                <c:pt idx="21">
                  <c:v>658</c:v>
                </c:pt>
                <c:pt idx="22">
                  <c:v>614</c:v>
                </c:pt>
                <c:pt idx="23">
                  <c:v>735</c:v>
                </c:pt>
                <c:pt idx="24">
                  <c:v>565</c:v>
                </c:pt>
                <c:pt idx="25">
                  <c:v>585</c:v>
                </c:pt>
                <c:pt idx="26">
                  <c:v>642</c:v>
                </c:pt>
                <c:pt idx="27">
                  <c:v>639</c:v>
                </c:pt>
                <c:pt idx="28">
                  <c:v>647</c:v>
                </c:pt>
                <c:pt idx="29">
                  <c:v>688</c:v>
                </c:pt>
                <c:pt idx="30">
                  <c:v>666</c:v>
                </c:pt>
                <c:pt idx="31">
                  <c:v>656</c:v>
                </c:pt>
                <c:pt idx="32">
                  <c:v>650</c:v>
                </c:pt>
                <c:pt idx="33">
                  <c:v>690</c:v>
                </c:pt>
                <c:pt idx="34">
                  <c:v>725</c:v>
                </c:pt>
                <c:pt idx="35">
                  <c:v>826</c:v>
                </c:pt>
                <c:pt idx="36">
                  <c:v>625</c:v>
                </c:pt>
                <c:pt idx="37">
                  <c:v>629</c:v>
                </c:pt>
                <c:pt idx="38">
                  <c:v>692</c:v>
                </c:pt>
                <c:pt idx="39">
                  <c:v>702</c:v>
                </c:pt>
                <c:pt idx="40">
                  <c:v>693</c:v>
                </c:pt>
                <c:pt idx="41">
                  <c:v>761</c:v>
                </c:pt>
                <c:pt idx="42">
                  <c:v>718</c:v>
                </c:pt>
                <c:pt idx="43">
                  <c:v>750</c:v>
                </c:pt>
                <c:pt idx="44">
                  <c:v>743</c:v>
                </c:pt>
                <c:pt idx="45">
                  <c:v>805</c:v>
                </c:pt>
                <c:pt idx="46">
                  <c:v>725</c:v>
                </c:pt>
                <c:pt idx="47">
                  <c:v>876</c:v>
                </c:pt>
                <c:pt idx="48">
                  <c:v>640</c:v>
                </c:pt>
                <c:pt idx="49">
                  <c:v>701</c:v>
                </c:pt>
                <c:pt idx="50">
                  <c:v>759</c:v>
                </c:pt>
                <c:pt idx="51">
                  <c:v>716</c:v>
                </c:pt>
                <c:pt idx="52">
                  <c:v>750</c:v>
                </c:pt>
                <c:pt idx="53">
                  <c:v>745</c:v>
                </c:pt>
                <c:pt idx="54">
                  <c:v>769</c:v>
                </c:pt>
                <c:pt idx="55">
                  <c:v>788</c:v>
                </c:pt>
                <c:pt idx="56">
                  <c:v>726</c:v>
                </c:pt>
                <c:pt idx="57">
                  <c:v>758</c:v>
                </c:pt>
                <c:pt idx="58">
                  <c:v>819</c:v>
                </c:pt>
                <c:pt idx="59">
                  <c:v>850</c:v>
                </c:pt>
              </c:numCache>
            </c:numRef>
          </c:val>
          <c:smooth val="0"/>
        </c:ser>
        <c:ser>
          <c:idx val="4"/>
          <c:order val="4"/>
          <c:tx>
            <c:strRef>
              <c:f>'oral steroid immuno'!$F$3:$F$4</c:f>
              <c:strCache>
                <c:ptCount val="1"/>
                <c:pt idx="0">
                  <c:v>METHOTREXATE</c:v>
                </c:pt>
              </c:strCache>
            </c:strRef>
          </c:tx>
          <c:cat>
            <c:strRef>
              <c:f>'oral steroid immuno'!$A$5:$A$65</c:f>
              <c:strCache>
                <c:ptCount val="60"/>
                <c:pt idx="0">
                  <c:v>201201</c:v>
                </c:pt>
                <c:pt idx="1">
                  <c:v>201202</c:v>
                </c:pt>
                <c:pt idx="2">
                  <c:v>201203</c:v>
                </c:pt>
                <c:pt idx="3">
                  <c:v>201204</c:v>
                </c:pt>
                <c:pt idx="4">
                  <c:v>201205</c:v>
                </c:pt>
                <c:pt idx="5">
                  <c:v>201206</c:v>
                </c:pt>
                <c:pt idx="6">
                  <c:v>201207</c:v>
                </c:pt>
                <c:pt idx="7">
                  <c:v>201208</c:v>
                </c:pt>
                <c:pt idx="8">
                  <c:v>201209</c:v>
                </c:pt>
                <c:pt idx="9">
                  <c:v>201210</c:v>
                </c:pt>
                <c:pt idx="10">
                  <c:v>201211</c:v>
                </c:pt>
                <c:pt idx="11">
                  <c:v>201212</c:v>
                </c:pt>
                <c:pt idx="12">
                  <c:v>201301</c:v>
                </c:pt>
                <c:pt idx="13">
                  <c:v>201302</c:v>
                </c:pt>
                <c:pt idx="14">
                  <c:v>201303</c:v>
                </c:pt>
                <c:pt idx="15">
                  <c:v>201304</c:v>
                </c:pt>
                <c:pt idx="16">
                  <c:v>201305</c:v>
                </c:pt>
                <c:pt idx="17">
                  <c:v>201306</c:v>
                </c:pt>
                <c:pt idx="18">
                  <c:v>201307</c:v>
                </c:pt>
                <c:pt idx="19">
                  <c:v>201308</c:v>
                </c:pt>
                <c:pt idx="20">
                  <c:v>201309</c:v>
                </c:pt>
                <c:pt idx="21">
                  <c:v>201310</c:v>
                </c:pt>
                <c:pt idx="22">
                  <c:v>201311</c:v>
                </c:pt>
                <c:pt idx="23">
                  <c:v>201312</c:v>
                </c:pt>
                <c:pt idx="24">
                  <c:v>201401</c:v>
                </c:pt>
                <c:pt idx="25">
                  <c:v>201402</c:v>
                </c:pt>
                <c:pt idx="26">
                  <c:v>201403</c:v>
                </c:pt>
                <c:pt idx="27">
                  <c:v>201404</c:v>
                </c:pt>
                <c:pt idx="28">
                  <c:v>201405</c:v>
                </c:pt>
                <c:pt idx="29">
                  <c:v>201406</c:v>
                </c:pt>
                <c:pt idx="30">
                  <c:v>201407</c:v>
                </c:pt>
                <c:pt idx="31">
                  <c:v>201408</c:v>
                </c:pt>
                <c:pt idx="32">
                  <c:v>201409</c:v>
                </c:pt>
                <c:pt idx="33">
                  <c:v>201410</c:v>
                </c:pt>
                <c:pt idx="34">
                  <c:v>201411</c:v>
                </c:pt>
                <c:pt idx="35">
                  <c:v>201412</c:v>
                </c:pt>
                <c:pt idx="36">
                  <c:v>201501</c:v>
                </c:pt>
                <c:pt idx="37">
                  <c:v>201502</c:v>
                </c:pt>
                <c:pt idx="38">
                  <c:v>201503</c:v>
                </c:pt>
                <c:pt idx="39">
                  <c:v>201504</c:v>
                </c:pt>
                <c:pt idx="40">
                  <c:v>201505</c:v>
                </c:pt>
                <c:pt idx="41">
                  <c:v>201506</c:v>
                </c:pt>
                <c:pt idx="42">
                  <c:v>201507</c:v>
                </c:pt>
                <c:pt idx="43">
                  <c:v>201508</c:v>
                </c:pt>
                <c:pt idx="44">
                  <c:v>201509</c:v>
                </c:pt>
                <c:pt idx="45">
                  <c:v>201510</c:v>
                </c:pt>
                <c:pt idx="46">
                  <c:v>201511</c:v>
                </c:pt>
                <c:pt idx="47">
                  <c:v>201512</c:v>
                </c:pt>
                <c:pt idx="48">
                  <c:v>201601</c:v>
                </c:pt>
                <c:pt idx="49">
                  <c:v>201602</c:v>
                </c:pt>
                <c:pt idx="50">
                  <c:v>201603</c:v>
                </c:pt>
                <c:pt idx="51">
                  <c:v>201604</c:v>
                </c:pt>
                <c:pt idx="52">
                  <c:v>201605</c:v>
                </c:pt>
                <c:pt idx="53">
                  <c:v>201606</c:v>
                </c:pt>
                <c:pt idx="54">
                  <c:v>201607</c:v>
                </c:pt>
                <c:pt idx="55">
                  <c:v>201608</c:v>
                </c:pt>
                <c:pt idx="56">
                  <c:v>201609</c:v>
                </c:pt>
                <c:pt idx="57">
                  <c:v>201610</c:v>
                </c:pt>
                <c:pt idx="58">
                  <c:v>201611</c:v>
                </c:pt>
                <c:pt idx="59">
                  <c:v>201612</c:v>
                </c:pt>
              </c:strCache>
            </c:strRef>
          </c:cat>
          <c:val>
            <c:numRef>
              <c:f>'oral steroid immuno'!$F$5:$F$65</c:f>
              <c:numCache>
                <c:formatCode>General</c:formatCode>
                <c:ptCount val="60"/>
                <c:pt idx="0">
                  <c:v>97</c:v>
                </c:pt>
                <c:pt idx="1">
                  <c:v>115</c:v>
                </c:pt>
                <c:pt idx="2">
                  <c:v>123</c:v>
                </c:pt>
                <c:pt idx="3">
                  <c:v>150</c:v>
                </c:pt>
                <c:pt idx="4">
                  <c:v>160</c:v>
                </c:pt>
                <c:pt idx="5">
                  <c:v>157</c:v>
                </c:pt>
                <c:pt idx="6">
                  <c:v>164</c:v>
                </c:pt>
                <c:pt idx="7">
                  <c:v>181</c:v>
                </c:pt>
                <c:pt idx="8">
                  <c:v>196</c:v>
                </c:pt>
                <c:pt idx="9">
                  <c:v>179</c:v>
                </c:pt>
                <c:pt idx="10">
                  <c:v>209</c:v>
                </c:pt>
                <c:pt idx="11">
                  <c:v>281</c:v>
                </c:pt>
                <c:pt idx="12">
                  <c:v>148</c:v>
                </c:pt>
                <c:pt idx="13">
                  <c:v>155</c:v>
                </c:pt>
                <c:pt idx="14">
                  <c:v>156</c:v>
                </c:pt>
                <c:pt idx="15">
                  <c:v>187</c:v>
                </c:pt>
                <c:pt idx="16">
                  <c:v>187</c:v>
                </c:pt>
                <c:pt idx="17">
                  <c:v>178</c:v>
                </c:pt>
                <c:pt idx="18">
                  <c:v>210</c:v>
                </c:pt>
                <c:pt idx="19">
                  <c:v>219</c:v>
                </c:pt>
                <c:pt idx="20">
                  <c:v>206</c:v>
                </c:pt>
                <c:pt idx="21">
                  <c:v>229</c:v>
                </c:pt>
                <c:pt idx="22">
                  <c:v>244</c:v>
                </c:pt>
                <c:pt idx="23">
                  <c:v>299</c:v>
                </c:pt>
                <c:pt idx="24">
                  <c:v>150</c:v>
                </c:pt>
                <c:pt idx="25">
                  <c:v>186</c:v>
                </c:pt>
                <c:pt idx="26">
                  <c:v>191</c:v>
                </c:pt>
                <c:pt idx="27">
                  <c:v>187</c:v>
                </c:pt>
                <c:pt idx="28">
                  <c:v>213</c:v>
                </c:pt>
                <c:pt idx="29">
                  <c:v>206</c:v>
                </c:pt>
                <c:pt idx="30">
                  <c:v>205</c:v>
                </c:pt>
                <c:pt idx="31">
                  <c:v>212</c:v>
                </c:pt>
                <c:pt idx="32">
                  <c:v>220</c:v>
                </c:pt>
                <c:pt idx="33">
                  <c:v>217</c:v>
                </c:pt>
                <c:pt idx="34">
                  <c:v>248</c:v>
                </c:pt>
                <c:pt idx="35">
                  <c:v>344</c:v>
                </c:pt>
                <c:pt idx="36">
                  <c:v>184</c:v>
                </c:pt>
                <c:pt idx="37">
                  <c:v>170</c:v>
                </c:pt>
                <c:pt idx="38">
                  <c:v>201</c:v>
                </c:pt>
                <c:pt idx="39">
                  <c:v>214</c:v>
                </c:pt>
                <c:pt idx="40">
                  <c:v>237</c:v>
                </c:pt>
                <c:pt idx="41">
                  <c:v>195</c:v>
                </c:pt>
                <c:pt idx="42">
                  <c:v>234</c:v>
                </c:pt>
                <c:pt idx="43">
                  <c:v>217</c:v>
                </c:pt>
                <c:pt idx="44">
                  <c:v>247</c:v>
                </c:pt>
                <c:pt idx="45">
                  <c:v>262</c:v>
                </c:pt>
                <c:pt idx="46">
                  <c:v>247</c:v>
                </c:pt>
                <c:pt idx="47">
                  <c:v>331</c:v>
                </c:pt>
                <c:pt idx="48">
                  <c:v>187</c:v>
                </c:pt>
                <c:pt idx="49">
                  <c:v>214</c:v>
                </c:pt>
                <c:pt idx="50">
                  <c:v>252</c:v>
                </c:pt>
                <c:pt idx="51">
                  <c:v>238</c:v>
                </c:pt>
                <c:pt idx="52">
                  <c:v>240</c:v>
                </c:pt>
                <c:pt idx="53">
                  <c:v>228</c:v>
                </c:pt>
                <c:pt idx="54">
                  <c:v>221</c:v>
                </c:pt>
                <c:pt idx="55">
                  <c:v>278</c:v>
                </c:pt>
                <c:pt idx="56">
                  <c:v>258</c:v>
                </c:pt>
                <c:pt idx="57">
                  <c:v>244</c:v>
                </c:pt>
                <c:pt idx="58">
                  <c:v>303</c:v>
                </c:pt>
                <c:pt idx="59">
                  <c:v>326</c:v>
                </c:pt>
              </c:numCache>
            </c:numRef>
          </c:val>
          <c:smooth val="0"/>
        </c:ser>
        <c:ser>
          <c:idx val="5"/>
          <c:order val="5"/>
          <c:tx>
            <c:strRef>
              <c:f>'oral steroid immuno'!$G$3:$G$4</c:f>
              <c:strCache>
                <c:ptCount val="1"/>
                <c:pt idx="0">
                  <c:v>PREDNISOLONE</c:v>
                </c:pt>
              </c:strCache>
            </c:strRef>
          </c:tx>
          <c:cat>
            <c:strRef>
              <c:f>'oral steroid immuno'!$A$5:$A$65</c:f>
              <c:strCache>
                <c:ptCount val="60"/>
                <c:pt idx="0">
                  <c:v>201201</c:v>
                </c:pt>
                <c:pt idx="1">
                  <c:v>201202</c:v>
                </c:pt>
                <c:pt idx="2">
                  <c:v>201203</c:v>
                </c:pt>
                <c:pt idx="3">
                  <c:v>201204</c:v>
                </c:pt>
                <c:pt idx="4">
                  <c:v>201205</c:v>
                </c:pt>
                <c:pt idx="5">
                  <c:v>201206</c:v>
                </c:pt>
                <c:pt idx="6">
                  <c:v>201207</c:v>
                </c:pt>
                <c:pt idx="7">
                  <c:v>201208</c:v>
                </c:pt>
                <c:pt idx="8">
                  <c:v>201209</c:v>
                </c:pt>
                <c:pt idx="9">
                  <c:v>201210</c:v>
                </c:pt>
                <c:pt idx="10">
                  <c:v>201211</c:v>
                </c:pt>
                <c:pt idx="11">
                  <c:v>201212</c:v>
                </c:pt>
                <c:pt idx="12">
                  <c:v>201301</c:v>
                </c:pt>
                <c:pt idx="13">
                  <c:v>201302</c:v>
                </c:pt>
                <c:pt idx="14">
                  <c:v>201303</c:v>
                </c:pt>
                <c:pt idx="15">
                  <c:v>201304</c:v>
                </c:pt>
                <c:pt idx="16">
                  <c:v>201305</c:v>
                </c:pt>
                <c:pt idx="17">
                  <c:v>201306</c:v>
                </c:pt>
                <c:pt idx="18">
                  <c:v>201307</c:v>
                </c:pt>
                <c:pt idx="19">
                  <c:v>201308</c:v>
                </c:pt>
                <c:pt idx="20">
                  <c:v>201309</c:v>
                </c:pt>
                <c:pt idx="21">
                  <c:v>201310</c:v>
                </c:pt>
                <c:pt idx="22">
                  <c:v>201311</c:v>
                </c:pt>
                <c:pt idx="23">
                  <c:v>201312</c:v>
                </c:pt>
                <c:pt idx="24">
                  <c:v>201401</c:v>
                </c:pt>
                <c:pt idx="25">
                  <c:v>201402</c:v>
                </c:pt>
                <c:pt idx="26">
                  <c:v>201403</c:v>
                </c:pt>
                <c:pt idx="27">
                  <c:v>201404</c:v>
                </c:pt>
                <c:pt idx="28">
                  <c:v>201405</c:v>
                </c:pt>
                <c:pt idx="29">
                  <c:v>201406</c:v>
                </c:pt>
                <c:pt idx="30">
                  <c:v>201407</c:v>
                </c:pt>
                <c:pt idx="31">
                  <c:v>201408</c:v>
                </c:pt>
                <c:pt idx="32">
                  <c:v>201409</c:v>
                </c:pt>
                <c:pt idx="33">
                  <c:v>201410</c:v>
                </c:pt>
                <c:pt idx="34">
                  <c:v>201411</c:v>
                </c:pt>
                <c:pt idx="35">
                  <c:v>201412</c:v>
                </c:pt>
                <c:pt idx="36">
                  <c:v>201501</c:v>
                </c:pt>
                <c:pt idx="37">
                  <c:v>201502</c:v>
                </c:pt>
                <c:pt idx="38">
                  <c:v>201503</c:v>
                </c:pt>
                <c:pt idx="39">
                  <c:v>201504</c:v>
                </c:pt>
                <c:pt idx="40">
                  <c:v>201505</c:v>
                </c:pt>
                <c:pt idx="41">
                  <c:v>201506</c:v>
                </c:pt>
                <c:pt idx="42">
                  <c:v>201507</c:v>
                </c:pt>
                <c:pt idx="43">
                  <c:v>201508</c:v>
                </c:pt>
                <c:pt idx="44">
                  <c:v>201509</c:v>
                </c:pt>
                <c:pt idx="45">
                  <c:v>201510</c:v>
                </c:pt>
                <c:pt idx="46">
                  <c:v>201511</c:v>
                </c:pt>
                <c:pt idx="47">
                  <c:v>201512</c:v>
                </c:pt>
                <c:pt idx="48">
                  <c:v>201601</c:v>
                </c:pt>
                <c:pt idx="49">
                  <c:v>201602</c:v>
                </c:pt>
                <c:pt idx="50">
                  <c:v>201603</c:v>
                </c:pt>
                <c:pt idx="51">
                  <c:v>201604</c:v>
                </c:pt>
                <c:pt idx="52">
                  <c:v>201605</c:v>
                </c:pt>
                <c:pt idx="53">
                  <c:v>201606</c:v>
                </c:pt>
                <c:pt idx="54">
                  <c:v>201607</c:v>
                </c:pt>
                <c:pt idx="55">
                  <c:v>201608</c:v>
                </c:pt>
                <c:pt idx="56">
                  <c:v>201609</c:v>
                </c:pt>
                <c:pt idx="57">
                  <c:v>201610</c:v>
                </c:pt>
                <c:pt idx="58">
                  <c:v>201611</c:v>
                </c:pt>
                <c:pt idx="59">
                  <c:v>201612</c:v>
                </c:pt>
              </c:strCache>
            </c:strRef>
          </c:cat>
          <c:val>
            <c:numRef>
              <c:f>'oral steroid immuno'!$G$5:$G$65</c:f>
              <c:numCache>
                <c:formatCode>General</c:formatCode>
                <c:ptCount val="60"/>
                <c:pt idx="0">
                  <c:v>851</c:v>
                </c:pt>
                <c:pt idx="1">
                  <c:v>1026</c:v>
                </c:pt>
                <c:pt idx="2">
                  <c:v>1076</c:v>
                </c:pt>
                <c:pt idx="3">
                  <c:v>2182</c:v>
                </c:pt>
                <c:pt idx="4">
                  <c:v>2500</c:v>
                </c:pt>
                <c:pt idx="5">
                  <c:v>2462</c:v>
                </c:pt>
                <c:pt idx="6">
                  <c:v>2701</c:v>
                </c:pt>
                <c:pt idx="7">
                  <c:v>2923</c:v>
                </c:pt>
                <c:pt idx="8">
                  <c:v>2645</c:v>
                </c:pt>
                <c:pt idx="9">
                  <c:v>2812</c:v>
                </c:pt>
                <c:pt idx="10">
                  <c:v>2885</c:v>
                </c:pt>
                <c:pt idx="11">
                  <c:v>3330</c:v>
                </c:pt>
                <c:pt idx="12">
                  <c:v>2408</c:v>
                </c:pt>
                <c:pt idx="13">
                  <c:v>2428</c:v>
                </c:pt>
                <c:pt idx="14">
                  <c:v>2739</c:v>
                </c:pt>
                <c:pt idx="15">
                  <c:v>2573</c:v>
                </c:pt>
                <c:pt idx="16">
                  <c:v>2918</c:v>
                </c:pt>
                <c:pt idx="17">
                  <c:v>2706</c:v>
                </c:pt>
                <c:pt idx="18">
                  <c:v>3051</c:v>
                </c:pt>
                <c:pt idx="19">
                  <c:v>2912</c:v>
                </c:pt>
                <c:pt idx="20">
                  <c:v>2674</c:v>
                </c:pt>
                <c:pt idx="21">
                  <c:v>2923</c:v>
                </c:pt>
                <c:pt idx="22">
                  <c:v>2971</c:v>
                </c:pt>
                <c:pt idx="23">
                  <c:v>3423</c:v>
                </c:pt>
                <c:pt idx="24">
                  <c:v>2510</c:v>
                </c:pt>
                <c:pt idx="25">
                  <c:v>2479</c:v>
                </c:pt>
                <c:pt idx="26">
                  <c:v>2746</c:v>
                </c:pt>
                <c:pt idx="27">
                  <c:v>2675</c:v>
                </c:pt>
                <c:pt idx="28">
                  <c:v>2869</c:v>
                </c:pt>
                <c:pt idx="29">
                  <c:v>2835</c:v>
                </c:pt>
                <c:pt idx="30">
                  <c:v>2918</c:v>
                </c:pt>
                <c:pt idx="31">
                  <c:v>2923</c:v>
                </c:pt>
                <c:pt idx="32">
                  <c:v>2887</c:v>
                </c:pt>
                <c:pt idx="33">
                  <c:v>2893</c:v>
                </c:pt>
                <c:pt idx="34">
                  <c:v>2691</c:v>
                </c:pt>
                <c:pt idx="35">
                  <c:v>3489</c:v>
                </c:pt>
                <c:pt idx="36">
                  <c:v>2443</c:v>
                </c:pt>
                <c:pt idx="37">
                  <c:v>2574</c:v>
                </c:pt>
                <c:pt idx="38">
                  <c:v>2868</c:v>
                </c:pt>
                <c:pt idx="39">
                  <c:v>2843</c:v>
                </c:pt>
                <c:pt idx="40">
                  <c:v>2915</c:v>
                </c:pt>
                <c:pt idx="41">
                  <c:v>3035</c:v>
                </c:pt>
                <c:pt idx="42">
                  <c:v>3003</c:v>
                </c:pt>
                <c:pt idx="43">
                  <c:v>3128</c:v>
                </c:pt>
                <c:pt idx="44">
                  <c:v>3116</c:v>
                </c:pt>
                <c:pt idx="45">
                  <c:v>3143</c:v>
                </c:pt>
                <c:pt idx="46">
                  <c:v>3103</c:v>
                </c:pt>
                <c:pt idx="47">
                  <c:v>3652</c:v>
                </c:pt>
                <c:pt idx="48">
                  <c:v>2470</c:v>
                </c:pt>
                <c:pt idx="49">
                  <c:v>2699</c:v>
                </c:pt>
                <c:pt idx="50">
                  <c:v>2870</c:v>
                </c:pt>
                <c:pt idx="51">
                  <c:v>2903</c:v>
                </c:pt>
                <c:pt idx="52">
                  <c:v>2977</c:v>
                </c:pt>
                <c:pt idx="53">
                  <c:v>2985</c:v>
                </c:pt>
                <c:pt idx="54">
                  <c:v>2950</c:v>
                </c:pt>
                <c:pt idx="55">
                  <c:v>3172</c:v>
                </c:pt>
                <c:pt idx="56">
                  <c:v>3157</c:v>
                </c:pt>
                <c:pt idx="57">
                  <c:v>3010</c:v>
                </c:pt>
                <c:pt idx="58">
                  <c:v>3090</c:v>
                </c:pt>
                <c:pt idx="59">
                  <c:v>3567</c:v>
                </c:pt>
              </c:numCache>
            </c:numRef>
          </c:val>
          <c:smooth val="0"/>
        </c:ser>
        <c:ser>
          <c:idx val="6"/>
          <c:order val="6"/>
          <c:tx>
            <c:strRef>
              <c:f>'oral steroid immuno'!$H$3:$H$4</c:f>
              <c:strCache>
                <c:ptCount val="1"/>
                <c:pt idx="0">
                  <c:v>PREDNISONE</c:v>
                </c:pt>
              </c:strCache>
            </c:strRef>
          </c:tx>
          <c:cat>
            <c:strRef>
              <c:f>'oral steroid immuno'!$A$5:$A$65</c:f>
              <c:strCache>
                <c:ptCount val="60"/>
                <c:pt idx="0">
                  <c:v>201201</c:v>
                </c:pt>
                <c:pt idx="1">
                  <c:v>201202</c:v>
                </c:pt>
                <c:pt idx="2">
                  <c:v>201203</c:v>
                </c:pt>
                <c:pt idx="3">
                  <c:v>201204</c:v>
                </c:pt>
                <c:pt idx="4">
                  <c:v>201205</c:v>
                </c:pt>
                <c:pt idx="5">
                  <c:v>201206</c:v>
                </c:pt>
                <c:pt idx="6">
                  <c:v>201207</c:v>
                </c:pt>
                <c:pt idx="7">
                  <c:v>201208</c:v>
                </c:pt>
                <c:pt idx="8">
                  <c:v>201209</c:v>
                </c:pt>
                <c:pt idx="9">
                  <c:v>201210</c:v>
                </c:pt>
                <c:pt idx="10">
                  <c:v>201211</c:v>
                </c:pt>
                <c:pt idx="11">
                  <c:v>201212</c:v>
                </c:pt>
                <c:pt idx="12">
                  <c:v>201301</c:v>
                </c:pt>
                <c:pt idx="13">
                  <c:v>201302</c:v>
                </c:pt>
                <c:pt idx="14">
                  <c:v>201303</c:v>
                </c:pt>
                <c:pt idx="15">
                  <c:v>201304</c:v>
                </c:pt>
                <c:pt idx="16">
                  <c:v>201305</c:v>
                </c:pt>
                <c:pt idx="17">
                  <c:v>201306</c:v>
                </c:pt>
                <c:pt idx="18">
                  <c:v>201307</c:v>
                </c:pt>
                <c:pt idx="19">
                  <c:v>201308</c:v>
                </c:pt>
                <c:pt idx="20">
                  <c:v>201309</c:v>
                </c:pt>
                <c:pt idx="21">
                  <c:v>201310</c:v>
                </c:pt>
                <c:pt idx="22">
                  <c:v>201311</c:v>
                </c:pt>
                <c:pt idx="23">
                  <c:v>201312</c:v>
                </c:pt>
                <c:pt idx="24">
                  <c:v>201401</c:v>
                </c:pt>
                <c:pt idx="25">
                  <c:v>201402</c:v>
                </c:pt>
                <c:pt idx="26">
                  <c:v>201403</c:v>
                </c:pt>
                <c:pt idx="27">
                  <c:v>201404</c:v>
                </c:pt>
                <c:pt idx="28">
                  <c:v>201405</c:v>
                </c:pt>
                <c:pt idx="29">
                  <c:v>201406</c:v>
                </c:pt>
                <c:pt idx="30">
                  <c:v>201407</c:v>
                </c:pt>
                <c:pt idx="31">
                  <c:v>201408</c:v>
                </c:pt>
                <c:pt idx="32">
                  <c:v>201409</c:v>
                </c:pt>
                <c:pt idx="33">
                  <c:v>201410</c:v>
                </c:pt>
                <c:pt idx="34">
                  <c:v>201411</c:v>
                </c:pt>
                <c:pt idx="35">
                  <c:v>201412</c:v>
                </c:pt>
                <c:pt idx="36">
                  <c:v>201501</c:v>
                </c:pt>
                <c:pt idx="37">
                  <c:v>201502</c:v>
                </c:pt>
                <c:pt idx="38">
                  <c:v>201503</c:v>
                </c:pt>
                <c:pt idx="39">
                  <c:v>201504</c:v>
                </c:pt>
                <c:pt idx="40">
                  <c:v>201505</c:v>
                </c:pt>
                <c:pt idx="41">
                  <c:v>201506</c:v>
                </c:pt>
                <c:pt idx="42">
                  <c:v>201507</c:v>
                </c:pt>
                <c:pt idx="43">
                  <c:v>201508</c:v>
                </c:pt>
                <c:pt idx="44">
                  <c:v>201509</c:v>
                </c:pt>
                <c:pt idx="45">
                  <c:v>201510</c:v>
                </c:pt>
                <c:pt idx="46">
                  <c:v>201511</c:v>
                </c:pt>
                <c:pt idx="47">
                  <c:v>201512</c:v>
                </c:pt>
                <c:pt idx="48">
                  <c:v>201601</c:v>
                </c:pt>
                <c:pt idx="49">
                  <c:v>201602</c:v>
                </c:pt>
                <c:pt idx="50">
                  <c:v>201603</c:v>
                </c:pt>
                <c:pt idx="51">
                  <c:v>201604</c:v>
                </c:pt>
                <c:pt idx="52">
                  <c:v>201605</c:v>
                </c:pt>
                <c:pt idx="53">
                  <c:v>201606</c:v>
                </c:pt>
                <c:pt idx="54">
                  <c:v>201607</c:v>
                </c:pt>
                <c:pt idx="55">
                  <c:v>201608</c:v>
                </c:pt>
                <c:pt idx="56">
                  <c:v>201609</c:v>
                </c:pt>
                <c:pt idx="57">
                  <c:v>201610</c:v>
                </c:pt>
                <c:pt idx="58">
                  <c:v>201611</c:v>
                </c:pt>
                <c:pt idx="59">
                  <c:v>201612</c:v>
                </c:pt>
              </c:strCache>
            </c:strRef>
          </c:cat>
          <c:val>
            <c:numRef>
              <c:f>'oral steroid immuno'!$H$5:$H$65</c:f>
              <c:numCache>
                <c:formatCode>General</c:formatCode>
                <c:ptCount val="60"/>
                <c:pt idx="0">
                  <c:v>351</c:v>
                </c:pt>
                <c:pt idx="1">
                  <c:v>363</c:v>
                </c:pt>
                <c:pt idx="2">
                  <c:v>437</c:v>
                </c:pt>
                <c:pt idx="3">
                  <c:v>926</c:v>
                </c:pt>
                <c:pt idx="4">
                  <c:v>1003</c:v>
                </c:pt>
                <c:pt idx="5">
                  <c:v>1003</c:v>
                </c:pt>
                <c:pt idx="6">
                  <c:v>1032</c:v>
                </c:pt>
                <c:pt idx="7">
                  <c:v>1113</c:v>
                </c:pt>
                <c:pt idx="8">
                  <c:v>992</c:v>
                </c:pt>
                <c:pt idx="9">
                  <c:v>1019</c:v>
                </c:pt>
                <c:pt idx="10">
                  <c:v>1102</c:v>
                </c:pt>
                <c:pt idx="11">
                  <c:v>1259</c:v>
                </c:pt>
                <c:pt idx="12">
                  <c:v>943</c:v>
                </c:pt>
                <c:pt idx="13">
                  <c:v>922</c:v>
                </c:pt>
                <c:pt idx="14">
                  <c:v>986</c:v>
                </c:pt>
                <c:pt idx="15">
                  <c:v>1027</c:v>
                </c:pt>
                <c:pt idx="16">
                  <c:v>1062</c:v>
                </c:pt>
                <c:pt idx="17">
                  <c:v>1025</c:v>
                </c:pt>
                <c:pt idx="18">
                  <c:v>1069</c:v>
                </c:pt>
                <c:pt idx="19">
                  <c:v>1107</c:v>
                </c:pt>
                <c:pt idx="20">
                  <c:v>1084</c:v>
                </c:pt>
                <c:pt idx="21">
                  <c:v>1120</c:v>
                </c:pt>
                <c:pt idx="22">
                  <c:v>1062</c:v>
                </c:pt>
                <c:pt idx="23">
                  <c:v>1257</c:v>
                </c:pt>
                <c:pt idx="24">
                  <c:v>921</c:v>
                </c:pt>
                <c:pt idx="25">
                  <c:v>934</c:v>
                </c:pt>
                <c:pt idx="26">
                  <c:v>1065</c:v>
                </c:pt>
                <c:pt idx="27">
                  <c:v>1061</c:v>
                </c:pt>
                <c:pt idx="28">
                  <c:v>1130</c:v>
                </c:pt>
                <c:pt idx="29">
                  <c:v>1013</c:v>
                </c:pt>
                <c:pt idx="30">
                  <c:v>1057</c:v>
                </c:pt>
                <c:pt idx="31">
                  <c:v>1051</c:v>
                </c:pt>
                <c:pt idx="32">
                  <c:v>1106</c:v>
                </c:pt>
                <c:pt idx="33">
                  <c:v>1093</c:v>
                </c:pt>
                <c:pt idx="34">
                  <c:v>1074</c:v>
                </c:pt>
                <c:pt idx="35">
                  <c:v>1361</c:v>
                </c:pt>
                <c:pt idx="36">
                  <c:v>926</c:v>
                </c:pt>
                <c:pt idx="37">
                  <c:v>939</c:v>
                </c:pt>
                <c:pt idx="38">
                  <c:v>1065</c:v>
                </c:pt>
                <c:pt idx="39">
                  <c:v>985</c:v>
                </c:pt>
                <c:pt idx="40">
                  <c:v>1102</c:v>
                </c:pt>
                <c:pt idx="41">
                  <c:v>1132</c:v>
                </c:pt>
                <c:pt idx="42">
                  <c:v>1124</c:v>
                </c:pt>
                <c:pt idx="43">
                  <c:v>1133</c:v>
                </c:pt>
                <c:pt idx="44">
                  <c:v>1111</c:v>
                </c:pt>
                <c:pt idx="45">
                  <c:v>1093</c:v>
                </c:pt>
                <c:pt idx="46">
                  <c:v>1091</c:v>
                </c:pt>
                <c:pt idx="47">
                  <c:v>1320</c:v>
                </c:pt>
                <c:pt idx="48">
                  <c:v>981</c:v>
                </c:pt>
                <c:pt idx="49">
                  <c:v>1015</c:v>
                </c:pt>
                <c:pt idx="50">
                  <c:v>1065</c:v>
                </c:pt>
                <c:pt idx="51">
                  <c:v>1100</c:v>
                </c:pt>
                <c:pt idx="52">
                  <c:v>1075</c:v>
                </c:pt>
                <c:pt idx="53">
                  <c:v>1096</c:v>
                </c:pt>
                <c:pt idx="54">
                  <c:v>1012</c:v>
                </c:pt>
                <c:pt idx="55">
                  <c:v>1065</c:v>
                </c:pt>
                <c:pt idx="56">
                  <c:v>1024</c:v>
                </c:pt>
                <c:pt idx="57">
                  <c:v>1037</c:v>
                </c:pt>
                <c:pt idx="58">
                  <c:v>1054</c:v>
                </c:pt>
                <c:pt idx="59">
                  <c:v>1327</c:v>
                </c:pt>
              </c:numCache>
            </c:numRef>
          </c:val>
          <c:smooth val="0"/>
        </c:ser>
        <c:ser>
          <c:idx val="7"/>
          <c:order val="7"/>
          <c:tx>
            <c:strRef>
              <c:f>'oral steroid immuno'!$I$3:$I$4</c:f>
              <c:strCache>
                <c:ptCount val="1"/>
                <c:pt idx="0">
                  <c:v>PREDNISOLONE SODIUM PHOSPHATE</c:v>
                </c:pt>
              </c:strCache>
            </c:strRef>
          </c:tx>
          <c:cat>
            <c:strRef>
              <c:f>'oral steroid immuno'!$A$5:$A$65</c:f>
              <c:strCache>
                <c:ptCount val="60"/>
                <c:pt idx="0">
                  <c:v>201201</c:v>
                </c:pt>
                <c:pt idx="1">
                  <c:v>201202</c:v>
                </c:pt>
                <c:pt idx="2">
                  <c:v>201203</c:v>
                </c:pt>
                <c:pt idx="3">
                  <c:v>201204</c:v>
                </c:pt>
                <c:pt idx="4">
                  <c:v>201205</c:v>
                </c:pt>
                <c:pt idx="5">
                  <c:v>201206</c:v>
                </c:pt>
                <c:pt idx="6">
                  <c:v>201207</c:v>
                </c:pt>
                <c:pt idx="7">
                  <c:v>201208</c:v>
                </c:pt>
                <c:pt idx="8">
                  <c:v>201209</c:v>
                </c:pt>
                <c:pt idx="9">
                  <c:v>201210</c:v>
                </c:pt>
                <c:pt idx="10">
                  <c:v>201211</c:v>
                </c:pt>
                <c:pt idx="11">
                  <c:v>201212</c:v>
                </c:pt>
                <c:pt idx="12">
                  <c:v>201301</c:v>
                </c:pt>
                <c:pt idx="13">
                  <c:v>201302</c:v>
                </c:pt>
                <c:pt idx="14">
                  <c:v>201303</c:v>
                </c:pt>
                <c:pt idx="15">
                  <c:v>201304</c:v>
                </c:pt>
                <c:pt idx="16">
                  <c:v>201305</c:v>
                </c:pt>
                <c:pt idx="17">
                  <c:v>201306</c:v>
                </c:pt>
                <c:pt idx="18">
                  <c:v>201307</c:v>
                </c:pt>
                <c:pt idx="19">
                  <c:v>201308</c:v>
                </c:pt>
                <c:pt idx="20">
                  <c:v>201309</c:v>
                </c:pt>
                <c:pt idx="21">
                  <c:v>201310</c:v>
                </c:pt>
                <c:pt idx="22">
                  <c:v>201311</c:v>
                </c:pt>
                <c:pt idx="23">
                  <c:v>201312</c:v>
                </c:pt>
                <c:pt idx="24">
                  <c:v>201401</c:v>
                </c:pt>
                <c:pt idx="25">
                  <c:v>201402</c:v>
                </c:pt>
                <c:pt idx="26">
                  <c:v>201403</c:v>
                </c:pt>
                <c:pt idx="27">
                  <c:v>201404</c:v>
                </c:pt>
                <c:pt idx="28">
                  <c:v>201405</c:v>
                </c:pt>
                <c:pt idx="29">
                  <c:v>201406</c:v>
                </c:pt>
                <c:pt idx="30">
                  <c:v>201407</c:v>
                </c:pt>
                <c:pt idx="31">
                  <c:v>201408</c:v>
                </c:pt>
                <c:pt idx="32">
                  <c:v>201409</c:v>
                </c:pt>
                <c:pt idx="33">
                  <c:v>201410</c:v>
                </c:pt>
                <c:pt idx="34">
                  <c:v>201411</c:v>
                </c:pt>
                <c:pt idx="35">
                  <c:v>201412</c:v>
                </c:pt>
                <c:pt idx="36">
                  <c:v>201501</c:v>
                </c:pt>
                <c:pt idx="37">
                  <c:v>201502</c:v>
                </c:pt>
                <c:pt idx="38">
                  <c:v>201503</c:v>
                </c:pt>
                <c:pt idx="39">
                  <c:v>201504</c:v>
                </c:pt>
                <c:pt idx="40">
                  <c:v>201505</c:v>
                </c:pt>
                <c:pt idx="41">
                  <c:v>201506</c:v>
                </c:pt>
                <c:pt idx="42">
                  <c:v>201507</c:v>
                </c:pt>
                <c:pt idx="43">
                  <c:v>201508</c:v>
                </c:pt>
                <c:pt idx="44">
                  <c:v>201509</c:v>
                </c:pt>
                <c:pt idx="45">
                  <c:v>201510</c:v>
                </c:pt>
                <c:pt idx="46">
                  <c:v>201511</c:v>
                </c:pt>
                <c:pt idx="47">
                  <c:v>201512</c:v>
                </c:pt>
                <c:pt idx="48">
                  <c:v>201601</c:v>
                </c:pt>
                <c:pt idx="49">
                  <c:v>201602</c:v>
                </c:pt>
                <c:pt idx="50">
                  <c:v>201603</c:v>
                </c:pt>
                <c:pt idx="51">
                  <c:v>201604</c:v>
                </c:pt>
                <c:pt idx="52">
                  <c:v>201605</c:v>
                </c:pt>
                <c:pt idx="53">
                  <c:v>201606</c:v>
                </c:pt>
                <c:pt idx="54">
                  <c:v>201607</c:v>
                </c:pt>
                <c:pt idx="55">
                  <c:v>201608</c:v>
                </c:pt>
                <c:pt idx="56">
                  <c:v>201609</c:v>
                </c:pt>
                <c:pt idx="57">
                  <c:v>201610</c:v>
                </c:pt>
                <c:pt idx="58">
                  <c:v>201611</c:v>
                </c:pt>
                <c:pt idx="59">
                  <c:v>201612</c:v>
                </c:pt>
              </c:strCache>
            </c:strRef>
          </c:cat>
          <c:val>
            <c:numRef>
              <c:f>'oral steroid immuno'!$I$5:$I$65</c:f>
              <c:numCache>
                <c:formatCode>General</c:formatCode>
                <c:ptCount val="60"/>
                <c:pt idx="0">
                  <c:v>11</c:v>
                </c:pt>
                <c:pt idx="1">
                  <c:v>10</c:v>
                </c:pt>
                <c:pt idx="2">
                  <c:v>14</c:v>
                </c:pt>
                <c:pt idx="3">
                  <c:v>20</c:v>
                </c:pt>
                <c:pt idx="4">
                  <c:v>34</c:v>
                </c:pt>
                <c:pt idx="5">
                  <c:v>34</c:v>
                </c:pt>
                <c:pt idx="6">
                  <c:v>30</c:v>
                </c:pt>
                <c:pt idx="7">
                  <c:v>23</c:v>
                </c:pt>
                <c:pt idx="8">
                  <c:v>27</c:v>
                </c:pt>
                <c:pt idx="9">
                  <c:v>10</c:v>
                </c:pt>
                <c:pt idx="10">
                  <c:v>40</c:v>
                </c:pt>
                <c:pt idx="11">
                  <c:v>21</c:v>
                </c:pt>
                <c:pt idx="12">
                  <c:v>18</c:v>
                </c:pt>
                <c:pt idx="13">
                  <c:v>27</c:v>
                </c:pt>
                <c:pt idx="14">
                  <c:v>27</c:v>
                </c:pt>
                <c:pt idx="15">
                  <c:v>37</c:v>
                </c:pt>
                <c:pt idx="16">
                  <c:v>32</c:v>
                </c:pt>
                <c:pt idx="17">
                  <c:v>30</c:v>
                </c:pt>
                <c:pt idx="18">
                  <c:v>19</c:v>
                </c:pt>
                <c:pt idx="19">
                  <c:v>28</c:v>
                </c:pt>
                <c:pt idx="20">
                  <c:v>38</c:v>
                </c:pt>
                <c:pt idx="21">
                  <c:v>17</c:v>
                </c:pt>
                <c:pt idx="22">
                  <c:v>22</c:v>
                </c:pt>
                <c:pt idx="23">
                  <c:v>19</c:v>
                </c:pt>
                <c:pt idx="24">
                  <c:v>16</c:v>
                </c:pt>
                <c:pt idx="25">
                  <c:v>18</c:v>
                </c:pt>
                <c:pt idx="26">
                  <c:v>29</c:v>
                </c:pt>
                <c:pt idx="27">
                  <c:v>23</c:v>
                </c:pt>
                <c:pt idx="28">
                  <c:v>32</c:v>
                </c:pt>
                <c:pt idx="29">
                  <c:v>35</c:v>
                </c:pt>
                <c:pt idx="30">
                  <c:v>37</c:v>
                </c:pt>
                <c:pt idx="31">
                  <c:v>21</c:v>
                </c:pt>
                <c:pt idx="32">
                  <c:v>24</c:v>
                </c:pt>
                <c:pt idx="33">
                  <c:v>31</c:v>
                </c:pt>
                <c:pt idx="34">
                  <c:v>28</c:v>
                </c:pt>
                <c:pt idx="35">
                  <c:v>32</c:v>
                </c:pt>
                <c:pt idx="36">
                  <c:v>27</c:v>
                </c:pt>
                <c:pt idx="37">
                  <c:v>26</c:v>
                </c:pt>
                <c:pt idx="38">
                  <c:v>29</c:v>
                </c:pt>
                <c:pt idx="39">
                  <c:v>34</c:v>
                </c:pt>
                <c:pt idx="40">
                  <c:v>30</c:v>
                </c:pt>
                <c:pt idx="41">
                  <c:v>23</c:v>
                </c:pt>
                <c:pt idx="42">
                  <c:v>34</c:v>
                </c:pt>
                <c:pt idx="43">
                  <c:v>22</c:v>
                </c:pt>
                <c:pt idx="44">
                  <c:v>41</c:v>
                </c:pt>
                <c:pt idx="45">
                  <c:v>34</c:v>
                </c:pt>
                <c:pt idx="46">
                  <c:v>23</c:v>
                </c:pt>
                <c:pt idx="47">
                  <c:v>29</c:v>
                </c:pt>
                <c:pt idx="48">
                  <c:v>38</c:v>
                </c:pt>
                <c:pt idx="49">
                  <c:v>26</c:v>
                </c:pt>
                <c:pt idx="50">
                  <c:v>22</c:v>
                </c:pt>
                <c:pt idx="51">
                  <c:v>30</c:v>
                </c:pt>
                <c:pt idx="52">
                  <c:v>30</c:v>
                </c:pt>
                <c:pt idx="53">
                  <c:v>27</c:v>
                </c:pt>
                <c:pt idx="54">
                  <c:v>30</c:v>
                </c:pt>
                <c:pt idx="55">
                  <c:v>22</c:v>
                </c:pt>
                <c:pt idx="56">
                  <c:v>32</c:v>
                </c:pt>
                <c:pt idx="57">
                  <c:v>29</c:v>
                </c:pt>
                <c:pt idx="58">
                  <c:v>29</c:v>
                </c:pt>
                <c:pt idx="59">
                  <c:v>29</c:v>
                </c:pt>
              </c:numCache>
            </c:numRef>
          </c:val>
          <c:smooth val="0"/>
        </c:ser>
        <c:dLbls>
          <c:showLegendKey val="0"/>
          <c:showVal val="0"/>
          <c:showCatName val="0"/>
          <c:showSerName val="0"/>
          <c:showPercent val="0"/>
          <c:showBubbleSize val="0"/>
        </c:dLbls>
        <c:marker val="1"/>
        <c:smooth val="0"/>
        <c:axId val="442823040"/>
        <c:axId val="442824576"/>
      </c:lineChart>
      <c:catAx>
        <c:axId val="442823040"/>
        <c:scaling>
          <c:orientation val="minMax"/>
        </c:scaling>
        <c:delete val="0"/>
        <c:axPos val="b"/>
        <c:majorTickMark val="out"/>
        <c:minorTickMark val="none"/>
        <c:tickLblPos val="nextTo"/>
        <c:crossAx val="442824576"/>
        <c:crosses val="autoZero"/>
        <c:auto val="1"/>
        <c:lblAlgn val="ctr"/>
        <c:lblOffset val="100"/>
        <c:noMultiLvlLbl val="0"/>
      </c:catAx>
      <c:valAx>
        <c:axId val="442824576"/>
        <c:scaling>
          <c:orientation val="minMax"/>
        </c:scaling>
        <c:delete val="0"/>
        <c:axPos val="l"/>
        <c:majorGridlines/>
        <c:numFmt formatCode="#,##0" sourceLinked="0"/>
        <c:majorTickMark val="out"/>
        <c:minorTickMark val="none"/>
        <c:tickLblPos val="nextTo"/>
        <c:crossAx val="442823040"/>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[Prescriptions by Drug using ALL cohort.xlsx]mesalazine!PivotTable10</c:name>
    <c:fmtId val="12"/>
  </c:pivotSource>
  <c:chart>
    <c:autoTitleDeleted val="0"/>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s>
    <c:plotArea>
      <c:layout/>
      <c:lineChart>
        <c:grouping val="standard"/>
        <c:varyColors val="0"/>
        <c:ser>
          <c:idx val="0"/>
          <c:order val="0"/>
          <c:tx>
            <c:strRef>
              <c:f>mesalazine!$B$3:$B$4</c:f>
              <c:strCache>
                <c:ptCount val="1"/>
                <c:pt idx="0">
                  <c:v>Enemas</c:v>
                </c:pt>
              </c:strCache>
            </c:strRef>
          </c:tx>
          <c:cat>
            <c:strRef>
              <c:f>mesalazine!$A$5:$A$65</c:f>
              <c:strCache>
                <c:ptCount val="60"/>
                <c:pt idx="0">
                  <c:v>201201</c:v>
                </c:pt>
                <c:pt idx="1">
                  <c:v>201202</c:v>
                </c:pt>
                <c:pt idx="2">
                  <c:v>201203</c:v>
                </c:pt>
                <c:pt idx="3">
                  <c:v>201204</c:v>
                </c:pt>
                <c:pt idx="4">
                  <c:v>201205</c:v>
                </c:pt>
                <c:pt idx="5">
                  <c:v>201206</c:v>
                </c:pt>
                <c:pt idx="6">
                  <c:v>201207</c:v>
                </c:pt>
                <c:pt idx="7">
                  <c:v>201208</c:v>
                </c:pt>
                <c:pt idx="8">
                  <c:v>201209</c:v>
                </c:pt>
                <c:pt idx="9">
                  <c:v>201210</c:v>
                </c:pt>
                <c:pt idx="10">
                  <c:v>201211</c:v>
                </c:pt>
                <c:pt idx="11">
                  <c:v>201212</c:v>
                </c:pt>
                <c:pt idx="12">
                  <c:v>201301</c:v>
                </c:pt>
                <c:pt idx="13">
                  <c:v>201302</c:v>
                </c:pt>
                <c:pt idx="14">
                  <c:v>201303</c:v>
                </c:pt>
                <c:pt idx="15">
                  <c:v>201304</c:v>
                </c:pt>
                <c:pt idx="16">
                  <c:v>201305</c:v>
                </c:pt>
                <c:pt idx="17">
                  <c:v>201306</c:v>
                </c:pt>
                <c:pt idx="18">
                  <c:v>201307</c:v>
                </c:pt>
                <c:pt idx="19">
                  <c:v>201308</c:v>
                </c:pt>
                <c:pt idx="20">
                  <c:v>201309</c:v>
                </c:pt>
                <c:pt idx="21">
                  <c:v>201310</c:v>
                </c:pt>
                <c:pt idx="22">
                  <c:v>201311</c:v>
                </c:pt>
                <c:pt idx="23">
                  <c:v>201312</c:v>
                </c:pt>
                <c:pt idx="24">
                  <c:v>201401</c:v>
                </c:pt>
                <c:pt idx="25">
                  <c:v>201402</c:v>
                </c:pt>
                <c:pt idx="26">
                  <c:v>201403</c:v>
                </c:pt>
                <c:pt idx="27">
                  <c:v>201404</c:v>
                </c:pt>
                <c:pt idx="28">
                  <c:v>201405</c:v>
                </c:pt>
                <c:pt idx="29">
                  <c:v>201406</c:v>
                </c:pt>
                <c:pt idx="30">
                  <c:v>201407</c:v>
                </c:pt>
                <c:pt idx="31">
                  <c:v>201408</c:v>
                </c:pt>
                <c:pt idx="32">
                  <c:v>201409</c:v>
                </c:pt>
                <c:pt idx="33">
                  <c:v>201410</c:v>
                </c:pt>
                <c:pt idx="34">
                  <c:v>201411</c:v>
                </c:pt>
                <c:pt idx="35">
                  <c:v>201412</c:v>
                </c:pt>
                <c:pt idx="36">
                  <c:v>201501</c:v>
                </c:pt>
                <c:pt idx="37">
                  <c:v>201502</c:v>
                </c:pt>
                <c:pt idx="38">
                  <c:v>201503</c:v>
                </c:pt>
                <c:pt idx="39">
                  <c:v>201504</c:v>
                </c:pt>
                <c:pt idx="40">
                  <c:v>201505</c:v>
                </c:pt>
                <c:pt idx="41">
                  <c:v>201506</c:v>
                </c:pt>
                <c:pt idx="42">
                  <c:v>201507</c:v>
                </c:pt>
                <c:pt idx="43">
                  <c:v>201508</c:v>
                </c:pt>
                <c:pt idx="44">
                  <c:v>201509</c:v>
                </c:pt>
                <c:pt idx="45">
                  <c:v>201510</c:v>
                </c:pt>
                <c:pt idx="46">
                  <c:v>201511</c:v>
                </c:pt>
                <c:pt idx="47">
                  <c:v>201512</c:v>
                </c:pt>
                <c:pt idx="48">
                  <c:v>201601</c:v>
                </c:pt>
                <c:pt idx="49">
                  <c:v>201602</c:v>
                </c:pt>
                <c:pt idx="50">
                  <c:v>201603</c:v>
                </c:pt>
                <c:pt idx="51">
                  <c:v>201604</c:v>
                </c:pt>
                <c:pt idx="52">
                  <c:v>201605</c:v>
                </c:pt>
                <c:pt idx="53">
                  <c:v>201606</c:v>
                </c:pt>
                <c:pt idx="54">
                  <c:v>201607</c:v>
                </c:pt>
                <c:pt idx="55">
                  <c:v>201608</c:v>
                </c:pt>
                <c:pt idx="56">
                  <c:v>201609</c:v>
                </c:pt>
                <c:pt idx="57">
                  <c:v>201610</c:v>
                </c:pt>
                <c:pt idx="58">
                  <c:v>201611</c:v>
                </c:pt>
                <c:pt idx="59">
                  <c:v>201612</c:v>
                </c:pt>
              </c:strCache>
            </c:strRef>
          </c:cat>
          <c:val>
            <c:numRef>
              <c:f>mesalazine!$B$5:$B$65</c:f>
              <c:numCache>
                <c:formatCode>General</c:formatCode>
                <c:ptCount val="60"/>
                <c:pt idx="0">
                  <c:v>727</c:v>
                </c:pt>
                <c:pt idx="1">
                  <c:v>819</c:v>
                </c:pt>
                <c:pt idx="2">
                  <c:v>991</c:v>
                </c:pt>
                <c:pt idx="3">
                  <c:v>834</c:v>
                </c:pt>
                <c:pt idx="4">
                  <c:v>904</c:v>
                </c:pt>
                <c:pt idx="5">
                  <c:v>852</c:v>
                </c:pt>
                <c:pt idx="6">
                  <c:v>858</c:v>
                </c:pt>
                <c:pt idx="7">
                  <c:v>952</c:v>
                </c:pt>
                <c:pt idx="8">
                  <c:v>831</c:v>
                </c:pt>
                <c:pt idx="9">
                  <c:v>954</c:v>
                </c:pt>
                <c:pt idx="10">
                  <c:v>931</c:v>
                </c:pt>
                <c:pt idx="11">
                  <c:v>1054</c:v>
                </c:pt>
                <c:pt idx="12">
                  <c:v>809</c:v>
                </c:pt>
                <c:pt idx="13">
                  <c:v>837</c:v>
                </c:pt>
                <c:pt idx="14">
                  <c:v>883</c:v>
                </c:pt>
                <c:pt idx="15">
                  <c:v>899</c:v>
                </c:pt>
                <c:pt idx="16">
                  <c:v>995</c:v>
                </c:pt>
                <c:pt idx="17">
                  <c:v>918</c:v>
                </c:pt>
                <c:pt idx="18">
                  <c:v>922</c:v>
                </c:pt>
                <c:pt idx="19">
                  <c:v>903</c:v>
                </c:pt>
                <c:pt idx="20">
                  <c:v>929</c:v>
                </c:pt>
                <c:pt idx="21">
                  <c:v>931</c:v>
                </c:pt>
                <c:pt idx="22">
                  <c:v>953</c:v>
                </c:pt>
                <c:pt idx="23">
                  <c:v>1034</c:v>
                </c:pt>
                <c:pt idx="24">
                  <c:v>818</c:v>
                </c:pt>
                <c:pt idx="25">
                  <c:v>914</c:v>
                </c:pt>
                <c:pt idx="26">
                  <c:v>920</c:v>
                </c:pt>
                <c:pt idx="27">
                  <c:v>947</c:v>
                </c:pt>
                <c:pt idx="28">
                  <c:v>929</c:v>
                </c:pt>
                <c:pt idx="29">
                  <c:v>956</c:v>
                </c:pt>
                <c:pt idx="30">
                  <c:v>1007</c:v>
                </c:pt>
                <c:pt idx="31">
                  <c:v>984</c:v>
                </c:pt>
                <c:pt idx="32">
                  <c:v>935</c:v>
                </c:pt>
                <c:pt idx="33">
                  <c:v>963</c:v>
                </c:pt>
                <c:pt idx="34">
                  <c:v>967</c:v>
                </c:pt>
                <c:pt idx="35">
                  <c:v>1124</c:v>
                </c:pt>
                <c:pt idx="36">
                  <c:v>871</c:v>
                </c:pt>
                <c:pt idx="37">
                  <c:v>912</c:v>
                </c:pt>
                <c:pt idx="38">
                  <c:v>1035</c:v>
                </c:pt>
                <c:pt idx="39">
                  <c:v>987</c:v>
                </c:pt>
                <c:pt idx="40">
                  <c:v>1030</c:v>
                </c:pt>
                <c:pt idx="41">
                  <c:v>1004</c:v>
                </c:pt>
                <c:pt idx="42">
                  <c:v>1099</c:v>
                </c:pt>
                <c:pt idx="43">
                  <c:v>1003</c:v>
                </c:pt>
                <c:pt idx="44">
                  <c:v>1055</c:v>
                </c:pt>
                <c:pt idx="45">
                  <c:v>1073</c:v>
                </c:pt>
                <c:pt idx="46">
                  <c:v>1066</c:v>
                </c:pt>
                <c:pt idx="47">
                  <c:v>1176</c:v>
                </c:pt>
                <c:pt idx="48">
                  <c:v>898</c:v>
                </c:pt>
                <c:pt idx="49">
                  <c:v>995</c:v>
                </c:pt>
                <c:pt idx="50">
                  <c:v>1053</c:v>
                </c:pt>
                <c:pt idx="51">
                  <c:v>988</c:v>
                </c:pt>
                <c:pt idx="52">
                  <c:v>1036</c:v>
                </c:pt>
                <c:pt idx="53">
                  <c:v>989</c:v>
                </c:pt>
                <c:pt idx="54">
                  <c:v>1023</c:v>
                </c:pt>
                <c:pt idx="55">
                  <c:v>1084</c:v>
                </c:pt>
                <c:pt idx="56">
                  <c:v>1022</c:v>
                </c:pt>
                <c:pt idx="57">
                  <c:v>1024</c:v>
                </c:pt>
                <c:pt idx="58">
                  <c:v>1131</c:v>
                </c:pt>
                <c:pt idx="59">
                  <c:v>1157</c:v>
                </c:pt>
              </c:numCache>
            </c:numRef>
          </c:val>
          <c:smooth val="0"/>
        </c:ser>
        <c:ser>
          <c:idx val="1"/>
          <c:order val="1"/>
          <c:tx>
            <c:strRef>
              <c:f>mesalazine!$C$3:$C$4</c:f>
              <c:strCache>
                <c:ptCount val="1"/>
                <c:pt idx="0">
                  <c:v>Granules</c:v>
                </c:pt>
              </c:strCache>
            </c:strRef>
          </c:tx>
          <c:cat>
            <c:strRef>
              <c:f>mesalazine!$A$5:$A$65</c:f>
              <c:strCache>
                <c:ptCount val="60"/>
                <c:pt idx="0">
                  <c:v>201201</c:v>
                </c:pt>
                <c:pt idx="1">
                  <c:v>201202</c:v>
                </c:pt>
                <c:pt idx="2">
                  <c:v>201203</c:v>
                </c:pt>
                <c:pt idx="3">
                  <c:v>201204</c:v>
                </c:pt>
                <c:pt idx="4">
                  <c:v>201205</c:v>
                </c:pt>
                <c:pt idx="5">
                  <c:v>201206</c:v>
                </c:pt>
                <c:pt idx="6">
                  <c:v>201207</c:v>
                </c:pt>
                <c:pt idx="7">
                  <c:v>201208</c:v>
                </c:pt>
                <c:pt idx="8">
                  <c:v>201209</c:v>
                </c:pt>
                <c:pt idx="9">
                  <c:v>201210</c:v>
                </c:pt>
                <c:pt idx="10">
                  <c:v>201211</c:v>
                </c:pt>
                <c:pt idx="11">
                  <c:v>201212</c:v>
                </c:pt>
                <c:pt idx="12">
                  <c:v>201301</c:v>
                </c:pt>
                <c:pt idx="13">
                  <c:v>201302</c:v>
                </c:pt>
                <c:pt idx="14">
                  <c:v>201303</c:v>
                </c:pt>
                <c:pt idx="15">
                  <c:v>201304</c:v>
                </c:pt>
                <c:pt idx="16">
                  <c:v>201305</c:v>
                </c:pt>
                <c:pt idx="17">
                  <c:v>201306</c:v>
                </c:pt>
                <c:pt idx="18">
                  <c:v>201307</c:v>
                </c:pt>
                <c:pt idx="19">
                  <c:v>201308</c:v>
                </c:pt>
                <c:pt idx="20">
                  <c:v>201309</c:v>
                </c:pt>
                <c:pt idx="21">
                  <c:v>201310</c:v>
                </c:pt>
                <c:pt idx="22">
                  <c:v>201311</c:v>
                </c:pt>
                <c:pt idx="23">
                  <c:v>201312</c:v>
                </c:pt>
                <c:pt idx="24">
                  <c:v>201401</c:v>
                </c:pt>
                <c:pt idx="25">
                  <c:v>201402</c:v>
                </c:pt>
                <c:pt idx="26">
                  <c:v>201403</c:v>
                </c:pt>
                <c:pt idx="27">
                  <c:v>201404</c:v>
                </c:pt>
                <c:pt idx="28">
                  <c:v>201405</c:v>
                </c:pt>
                <c:pt idx="29">
                  <c:v>201406</c:v>
                </c:pt>
                <c:pt idx="30">
                  <c:v>201407</c:v>
                </c:pt>
                <c:pt idx="31">
                  <c:v>201408</c:v>
                </c:pt>
                <c:pt idx="32">
                  <c:v>201409</c:v>
                </c:pt>
                <c:pt idx="33">
                  <c:v>201410</c:v>
                </c:pt>
                <c:pt idx="34">
                  <c:v>201411</c:v>
                </c:pt>
                <c:pt idx="35">
                  <c:v>201412</c:v>
                </c:pt>
                <c:pt idx="36">
                  <c:v>201501</c:v>
                </c:pt>
                <c:pt idx="37">
                  <c:v>201502</c:v>
                </c:pt>
                <c:pt idx="38">
                  <c:v>201503</c:v>
                </c:pt>
                <c:pt idx="39">
                  <c:v>201504</c:v>
                </c:pt>
                <c:pt idx="40">
                  <c:v>201505</c:v>
                </c:pt>
                <c:pt idx="41">
                  <c:v>201506</c:v>
                </c:pt>
                <c:pt idx="42">
                  <c:v>201507</c:v>
                </c:pt>
                <c:pt idx="43">
                  <c:v>201508</c:v>
                </c:pt>
                <c:pt idx="44">
                  <c:v>201509</c:v>
                </c:pt>
                <c:pt idx="45">
                  <c:v>201510</c:v>
                </c:pt>
                <c:pt idx="46">
                  <c:v>201511</c:v>
                </c:pt>
                <c:pt idx="47">
                  <c:v>201512</c:v>
                </c:pt>
                <c:pt idx="48">
                  <c:v>201601</c:v>
                </c:pt>
                <c:pt idx="49">
                  <c:v>201602</c:v>
                </c:pt>
                <c:pt idx="50">
                  <c:v>201603</c:v>
                </c:pt>
                <c:pt idx="51">
                  <c:v>201604</c:v>
                </c:pt>
                <c:pt idx="52">
                  <c:v>201605</c:v>
                </c:pt>
                <c:pt idx="53">
                  <c:v>201606</c:v>
                </c:pt>
                <c:pt idx="54">
                  <c:v>201607</c:v>
                </c:pt>
                <c:pt idx="55">
                  <c:v>201608</c:v>
                </c:pt>
                <c:pt idx="56">
                  <c:v>201609</c:v>
                </c:pt>
                <c:pt idx="57">
                  <c:v>201610</c:v>
                </c:pt>
                <c:pt idx="58">
                  <c:v>201611</c:v>
                </c:pt>
                <c:pt idx="59">
                  <c:v>201612</c:v>
                </c:pt>
              </c:strCache>
            </c:strRef>
          </c:cat>
          <c:val>
            <c:numRef>
              <c:f>mesalazine!$C$5:$C$65</c:f>
              <c:numCache>
                <c:formatCode>General</c:formatCode>
                <c:ptCount val="60"/>
                <c:pt idx="0">
                  <c:v>2553</c:v>
                </c:pt>
                <c:pt idx="1">
                  <c:v>2645</c:v>
                </c:pt>
                <c:pt idx="2">
                  <c:v>2968</c:v>
                </c:pt>
                <c:pt idx="3">
                  <c:v>2808</c:v>
                </c:pt>
                <c:pt idx="4">
                  <c:v>3063</c:v>
                </c:pt>
                <c:pt idx="5">
                  <c:v>2899</c:v>
                </c:pt>
                <c:pt idx="6">
                  <c:v>2943</c:v>
                </c:pt>
                <c:pt idx="7">
                  <c:v>3000</c:v>
                </c:pt>
                <c:pt idx="8">
                  <c:v>2814</c:v>
                </c:pt>
                <c:pt idx="9">
                  <c:v>3003</c:v>
                </c:pt>
                <c:pt idx="10">
                  <c:v>3025</c:v>
                </c:pt>
                <c:pt idx="11">
                  <c:v>3544</c:v>
                </c:pt>
                <c:pt idx="12">
                  <c:v>2780</c:v>
                </c:pt>
                <c:pt idx="13">
                  <c:v>2709</c:v>
                </c:pt>
                <c:pt idx="14">
                  <c:v>2946</c:v>
                </c:pt>
                <c:pt idx="15">
                  <c:v>3075</c:v>
                </c:pt>
                <c:pt idx="16">
                  <c:v>3185</c:v>
                </c:pt>
                <c:pt idx="17">
                  <c:v>2930</c:v>
                </c:pt>
                <c:pt idx="18">
                  <c:v>3127</c:v>
                </c:pt>
                <c:pt idx="19">
                  <c:v>3206</c:v>
                </c:pt>
                <c:pt idx="20">
                  <c:v>2988</c:v>
                </c:pt>
                <c:pt idx="21">
                  <c:v>3174</c:v>
                </c:pt>
                <c:pt idx="22">
                  <c:v>3134</c:v>
                </c:pt>
                <c:pt idx="23">
                  <c:v>3539</c:v>
                </c:pt>
                <c:pt idx="24">
                  <c:v>2805</c:v>
                </c:pt>
                <c:pt idx="25">
                  <c:v>2864</c:v>
                </c:pt>
                <c:pt idx="26">
                  <c:v>3047</c:v>
                </c:pt>
                <c:pt idx="27">
                  <c:v>3139</c:v>
                </c:pt>
                <c:pt idx="28">
                  <c:v>3369</c:v>
                </c:pt>
                <c:pt idx="29">
                  <c:v>3088</c:v>
                </c:pt>
                <c:pt idx="30">
                  <c:v>3214</c:v>
                </c:pt>
                <c:pt idx="31">
                  <c:v>3140</c:v>
                </c:pt>
                <c:pt idx="32">
                  <c:v>3193</c:v>
                </c:pt>
                <c:pt idx="33">
                  <c:v>3326</c:v>
                </c:pt>
                <c:pt idx="34">
                  <c:v>3089</c:v>
                </c:pt>
                <c:pt idx="35">
                  <c:v>3736</c:v>
                </c:pt>
                <c:pt idx="36">
                  <c:v>2881</c:v>
                </c:pt>
                <c:pt idx="37">
                  <c:v>2847</c:v>
                </c:pt>
                <c:pt idx="38">
                  <c:v>3282</c:v>
                </c:pt>
                <c:pt idx="39">
                  <c:v>3204</c:v>
                </c:pt>
                <c:pt idx="40">
                  <c:v>3319</c:v>
                </c:pt>
                <c:pt idx="41">
                  <c:v>3457</c:v>
                </c:pt>
                <c:pt idx="42">
                  <c:v>3539</c:v>
                </c:pt>
                <c:pt idx="43">
                  <c:v>3427</c:v>
                </c:pt>
                <c:pt idx="44">
                  <c:v>3346</c:v>
                </c:pt>
                <c:pt idx="45">
                  <c:v>3415</c:v>
                </c:pt>
                <c:pt idx="46">
                  <c:v>3481</c:v>
                </c:pt>
                <c:pt idx="47">
                  <c:v>3942</c:v>
                </c:pt>
                <c:pt idx="48">
                  <c:v>3137</c:v>
                </c:pt>
                <c:pt idx="49">
                  <c:v>3280</c:v>
                </c:pt>
                <c:pt idx="50">
                  <c:v>3570</c:v>
                </c:pt>
                <c:pt idx="51">
                  <c:v>3419</c:v>
                </c:pt>
                <c:pt idx="52">
                  <c:v>3613</c:v>
                </c:pt>
                <c:pt idx="53">
                  <c:v>3474</c:v>
                </c:pt>
                <c:pt idx="54">
                  <c:v>3518</c:v>
                </c:pt>
                <c:pt idx="55">
                  <c:v>3628</c:v>
                </c:pt>
                <c:pt idx="56">
                  <c:v>3536</c:v>
                </c:pt>
                <c:pt idx="57">
                  <c:v>3519</c:v>
                </c:pt>
                <c:pt idx="58">
                  <c:v>3769</c:v>
                </c:pt>
                <c:pt idx="59">
                  <c:v>3994</c:v>
                </c:pt>
              </c:numCache>
            </c:numRef>
          </c:val>
          <c:smooth val="0"/>
        </c:ser>
        <c:ser>
          <c:idx val="2"/>
          <c:order val="2"/>
          <c:tx>
            <c:strRef>
              <c:f>mesalazine!$D$3:$D$4</c:f>
              <c:strCache>
                <c:ptCount val="1"/>
                <c:pt idx="0">
                  <c:v>Rectal foam</c:v>
                </c:pt>
              </c:strCache>
            </c:strRef>
          </c:tx>
          <c:cat>
            <c:strRef>
              <c:f>mesalazine!$A$5:$A$65</c:f>
              <c:strCache>
                <c:ptCount val="60"/>
                <c:pt idx="0">
                  <c:v>201201</c:v>
                </c:pt>
                <c:pt idx="1">
                  <c:v>201202</c:v>
                </c:pt>
                <c:pt idx="2">
                  <c:v>201203</c:v>
                </c:pt>
                <c:pt idx="3">
                  <c:v>201204</c:v>
                </c:pt>
                <c:pt idx="4">
                  <c:v>201205</c:v>
                </c:pt>
                <c:pt idx="5">
                  <c:v>201206</c:v>
                </c:pt>
                <c:pt idx="6">
                  <c:v>201207</c:v>
                </c:pt>
                <c:pt idx="7">
                  <c:v>201208</c:v>
                </c:pt>
                <c:pt idx="8">
                  <c:v>201209</c:v>
                </c:pt>
                <c:pt idx="9">
                  <c:v>201210</c:v>
                </c:pt>
                <c:pt idx="10">
                  <c:v>201211</c:v>
                </c:pt>
                <c:pt idx="11">
                  <c:v>201212</c:v>
                </c:pt>
                <c:pt idx="12">
                  <c:v>201301</c:v>
                </c:pt>
                <c:pt idx="13">
                  <c:v>201302</c:v>
                </c:pt>
                <c:pt idx="14">
                  <c:v>201303</c:v>
                </c:pt>
                <c:pt idx="15">
                  <c:v>201304</c:v>
                </c:pt>
                <c:pt idx="16">
                  <c:v>201305</c:v>
                </c:pt>
                <c:pt idx="17">
                  <c:v>201306</c:v>
                </c:pt>
                <c:pt idx="18">
                  <c:v>201307</c:v>
                </c:pt>
                <c:pt idx="19">
                  <c:v>201308</c:v>
                </c:pt>
                <c:pt idx="20">
                  <c:v>201309</c:v>
                </c:pt>
                <c:pt idx="21">
                  <c:v>201310</c:v>
                </c:pt>
                <c:pt idx="22">
                  <c:v>201311</c:v>
                </c:pt>
                <c:pt idx="23">
                  <c:v>201312</c:v>
                </c:pt>
                <c:pt idx="24">
                  <c:v>201401</c:v>
                </c:pt>
                <c:pt idx="25">
                  <c:v>201402</c:v>
                </c:pt>
                <c:pt idx="26">
                  <c:v>201403</c:v>
                </c:pt>
                <c:pt idx="27">
                  <c:v>201404</c:v>
                </c:pt>
                <c:pt idx="28">
                  <c:v>201405</c:v>
                </c:pt>
                <c:pt idx="29">
                  <c:v>201406</c:v>
                </c:pt>
                <c:pt idx="30">
                  <c:v>201407</c:v>
                </c:pt>
                <c:pt idx="31">
                  <c:v>201408</c:v>
                </c:pt>
                <c:pt idx="32">
                  <c:v>201409</c:v>
                </c:pt>
                <c:pt idx="33">
                  <c:v>201410</c:v>
                </c:pt>
                <c:pt idx="34">
                  <c:v>201411</c:v>
                </c:pt>
                <c:pt idx="35">
                  <c:v>201412</c:v>
                </c:pt>
                <c:pt idx="36">
                  <c:v>201501</c:v>
                </c:pt>
                <c:pt idx="37">
                  <c:v>201502</c:v>
                </c:pt>
                <c:pt idx="38">
                  <c:v>201503</c:v>
                </c:pt>
                <c:pt idx="39">
                  <c:v>201504</c:v>
                </c:pt>
                <c:pt idx="40">
                  <c:v>201505</c:v>
                </c:pt>
                <c:pt idx="41">
                  <c:v>201506</c:v>
                </c:pt>
                <c:pt idx="42">
                  <c:v>201507</c:v>
                </c:pt>
                <c:pt idx="43">
                  <c:v>201508</c:v>
                </c:pt>
                <c:pt idx="44">
                  <c:v>201509</c:v>
                </c:pt>
                <c:pt idx="45">
                  <c:v>201510</c:v>
                </c:pt>
                <c:pt idx="46">
                  <c:v>201511</c:v>
                </c:pt>
                <c:pt idx="47">
                  <c:v>201512</c:v>
                </c:pt>
                <c:pt idx="48">
                  <c:v>201601</c:v>
                </c:pt>
                <c:pt idx="49">
                  <c:v>201602</c:v>
                </c:pt>
                <c:pt idx="50">
                  <c:v>201603</c:v>
                </c:pt>
                <c:pt idx="51">
                  <c:v>201604</c:v>
                </c:pt>
                <c:pt idx="52">
                  <c:v>201605</c:v>
                </c:pt>
                <c:pt idx="53">
                  <c:v>201606</c:v>
                </c:pt>
                <c:pt idx="54">
                  <c:v>201607</c:v>
                </c:pt>
                <c:pt idx="55">
                  <c:v>201608</c:v>
                </c:pt>
                <c:pt idx="56">
                  <c:v>201609</c:v>
                </c:pt>
                <c:pt idx="57">
                  <c:v>201610</c:v>
                </c:pt>
                <c:pt idx="58">
                  <c:v>201611</c:v>
                </c:pt>
                <c:pt idx="59">
                  <c:v>201612</c:v>
                </c:pt>
              </c:strCache>
            </c:strRef>
          </c:cat>
          <c:val>
            <c:numRef>
              <c:f>mesalazine!$D$5:$D$65</c:f>
              <c:numCache>
                <c:formatCode>General</c:formatCode>
                <c:ptCount val="60"/>
                <c:pt idx="0">
                  <c:v>82</c:v>
                </c:pt>
                <c:pt idx="1">
                  <c:v>112</c:v>
                </c:pt>
                <c:pt idx="2">
                  <c:v>102</c:v>
                </c:pt>
                <c:pt idx="3">
                  <c:v>111</c:v>
                </c:pt>
                <c:pt idx="4">
                  <c:v>135</c:v>
                </c:pt>
                <c:pt idx="5">
                  <c:v>109</c:v>
                </c:pt>
                <c:pt idx="6">
                  <c:v>103</c:v>
                </c:pt>
                <c:pt idx="7">
                  <c:v>136</c:v>
                </c:pt>
                <c:pt idx="8">
                  <c:v>129</c:v>
                </c:pt>
                <c:pt idx="9">
                  <c:v>122</c:v>
                </c:pt>
                <c:pt idx="10">
                  <c:v>125</c:v>
                </c:pt>
                <c:pt idx="11">
                  <c:v>142</c:v>
                </c:pt>
                <c:pt idx="12">
                  <c:v>118</c:v>
                </c:pt>
                <c:pt idx="13">
                  <c:v>122</c:v>
                </c:pt>
                <c:pt idx="14">
                  <c:v>107</c:v>
                </c:pt>
                <c:pt idx="15">
                  <c:v>109</c:v>
                </c:pt>
                <c:pt idx="16">
                  <c:v>113</c:v>
                </c:pt>
                <c:pt idx="17">
                  <c:v>110</c:v>
                </c:pt>
                <c:pt idx="18">
                  <c:v>111</c:v>
                </c:pt>
                <c:pt idx="19">
                  <c:v>108</c:v>
                </c:pt>
                <c:pt idx="20">
                  <c:v>92</c:v>
                </c:pt>
                <c:pt idx="21">
                  <c:v>126</c:v>
                </c:pt>
                <c:pt idx="22">
                  <c:v>111</c:v>
                </c:pt>
                <c:pt idx="23">
                  <c:v>116</c:v>
                </c:pt>
                <c:pt idx="24">
                  <c:v>84</c:v>
                </c:pt>
                <c:pt idx="25">
                  <c:v>112</c:v>
                </c:pt>
                <c:pt idx="26">
                  <c:v>103</c:v>
                </c:pt>
                <c:pt idx="27">
                  <c:v>98</c:v>
                </c:pt>
                <c:pt idx="28">
                  <c:v>114</c:v>
                </c:pt>
                <c:pt idx="29">
                  <c:v>113</c:v>
                </c:pt>
                <c:pt idx="30">
                  <c:v>118</c:v>
                </c:pt>
                <c:pt idx="31">
                  <c:v>107</c:v>
                </c:pt>
                <c:pt idx="32">
                  <c:v>141</c:v>
                </c:pt>
                <c:pt idx="33">
                  <c:v>112</c:v>
                </c:pt>
                <c:pt idx="34">
                  <c:v>110</c:v>
                </c:pt>
                <c:pt idx="35">
                  <c:v>133</c:v>
                </c:pt>
                <c:pt idx="36">
                  <c:v>101</c:v>
                </c:pt>
                <c:pt idx="37">
                  <c:v>110</c:v>
                </c:pt>
                <c:pt idx="38">
                  <c:v>130</c:v>
                </c:pt>
                <c:pt idx="39">
                  <c:v>131</c:v>
                </c:pt>
                <c:pt idx="40">
                  <c:v>124</c:v>
                </c:pt>
                <c:pt idx="41">
                  <c:v>123</c:v>
                </c:pt>
                <c:pt idx="42">
                  <c:v>137</c:v>
                </c:pt>
                <c:pt idx="43">
                  <c:v>128</c:v>
                </c:pt>
                <c:pt idx="44">
                  <c:v>107</c:v>
                </c:pt>
                <c:pt idx="45">
                  <c:v>120</c:v>
                </c:pt>
                <c:pt idx="46">
                  <c:v>105</c:v>
                </c:pt>
                <c:pt idx="47">
                  <c:v>137</c:v>
                </c:pt>
                <c:pt idx="48">
                  <c:v>93</c:v>
                </c:pt>
                <c:pt idx="49">
                  <c:v>104</c:v>
                </c:pt>
                <c:pt idx="50">
                  <c:v>125</c:v>
                </c:pt>
                <c:pt idx="51">
                  <c:v>113</c:v>
                </c:pt>
                <c:pt idx="52">
                  <c:v>113</c:v>
                </c:pt>
                <c:pt idx="53">
                  <c:v>119</c:v>
                </c:pt>
                <c:pt idx="54">
                  <c:v>105</c:v>
                </c:pt>
                <c:pt idx="55">
                  <c:v>133</c:v>
                </c:pt>
                <c:pt idx="56">
                  <c:v>126</c:v>
                </c:pt>
                <c:pt idx="57">
                  <c:v>106</c:v>
                </c:pt>
                <c:pt idx="58">
                  <c:v>132</c:v>
                </c:pt>
                <c:pt idx="59">
                  <c:v>109</c:v>
                </c:pt>
              </c:numCache>
            </c:numRef>
          </c:val>
          <c:smooth val="0"/>
        </c:ser>
        <c:ser>
          <c:idx val="3"/>
          <c:order val="3"/>
          <c:tx>
            <c:strRef>
              <c:f>mesalazine!$E$3:$E$4</c:f>
              <c:strCache>
                <c:ptCount val="1"/>
                <c:pt idx="0">
                  <c:v>Suppository</c:v>
                </c:pt>
              </c:strCache>
            </c:strRef>
          </c:tx>
          <c:cat>
            <c:strRef>
              <c:f>mesalazine!$A$5:$A$65</c:f>
              <c:strCache>
                <c:ptCount val="60"/>
                <c:pt idx="0">
                  <c:v>201201</c:v>
                </c:pt>
                <c:pt idx="1">
                  <c:v>201202</c:v>
                </c:pt>
                <c:pt idx="2">
                  <c:v>201203</c:v>
                </c:pt>
                <c:pt idx="3">
                  <c:v>201204</c:v>
                </c:pt>
                <c:pt idx="4">
                  <c:v>201205</c:v>
                </c:pt>
                <c:pt idx="5">
                  <c:v>201206</c:v>
                </c:pt>
                <c:pt idx="6">
                  <c:v>201207</c:v>
                </c:pt>
                <c:pt idx="7">
                  <c:v>201208</c:v>
                </c:pt>
                <c:pt idx="8">
                  <c:v>201209</c:v>
                </c:pt>
                <c:pt idx="9">
                  <c:v>201210</c:v>
                </c:pt>
                <c:pt idx="10">
                  <c:v>201211</c:v>
                </c:pt>
                <c:pt idx="11">
                  <c:v>201212</c:v>
                </c:pt>
                <c:pt idx="12">
                  <c:v>201301</c:v>
                </c:pt>
                <c:pt idx="13">
                  <c:v>201302</c:v>
                </c:pt>
                <c:pt idx="14">
                  <c:v>201303</c:v>
                </c:pt>
                <c:pt idx="15">
                  <c:v>201304</c:v>
                </c:pt>
                <c:pt idx="16">
                  <c:v>201305</c:v>
                </c:pt>
                <c:pt idx="17">
                  <c:v>201306</c:v>
                </c:pt>
                <c:pt idx="18">
                  <c:v>201307</c:v>
                </c:pt>
                <c:pt idx="19">
                  <c:v>201308</c:v>
                </c:pt>
                <c:pt idx="20">
                  <c:v>201309</c:v>
                </c:pt>
                <c:pt idx="21">
                  <c:v>201310</c:v>
                </c:pt>
                <c:pt idx="22">
                  <c:v>201311</c:v>
                </c:pt>
                <c:pt idx="23">
                  <c:v>201312</c:v>
                </c:pt>
                <c:pt idx="24">
                  <c:v>201401</c:v>
                </c:pt>
                <c:pt idx="25">
                  <c:v>201402</c:v>
                </c:pt>
                <c:pt idx="26">
                  <c:v>201403</c:v>
                </c:pt>
                <c:pt idx="27">
                  <c:v>201404</c:v>
                </c:pt>
                <c:pt idx="28">
                  <c:v>201405</c:v>
                </c:pt>
                <c:pt idx="29">
                  <c:v>201406</c:v>
                </c:pt>
                <c:pt idx="30">
                  <c:v>201407</c:v>
                </c:pt>
                <c:pt idx="31">
                  <c:v>201408</c:v>
                </c:pt>
                <c:pt idx="32">
                  <c:v>201409</c:v>
                </c:pt>
                <c:pt idx="33">
                  <c:v>201410</c:v>
                </c:pt>
                <c:pt idx="34">
                  <c:v>201411</c:v>
                </c:pt>
                <c:pt idx="35">
                  <c:v>201412</c:v>
                </c:pt>
                <c:pt idx="36">
                  <c:v>201501</c:v>
                </c:pt>
                <c:pt idx="37">
                  <c:v>201502</c:v>
                </c:pt>
                <c:pt idx="38">
                  <c:v>201503</c:v>
                </c:pt>
                <c:pt idx="39">
                  <c:v>201504</c:v>
                </c:pt>
                <c:pt idx="40">
                  <c:v>201505</c:v>
                </c:pt>
                <c:pt idx="41">
                  <c:v>201506</c:v>
                </c:pt>
                <c:pt idx="42">
                  <c:v>201507</c:v>
                </c:pt>
                <c:pt idx="43">
                  <c:v>201508</c:v>
                </c:pt>
                <c:pt idx="44">
                  <c:v>201509</c:v>
                </c:pt>
                <c:pt idx="45">
                  <c:v>201510</c:v>
                </c:pt>
                <c:pt idx="46">
                  <c:v>201511</c:v>
                </c:pt>
                <c:pt idx="47">
                  <c:v>201512</c:v>
                </c:pt>
                <c:pt idx="48">
                  <c:v>201601</c:v>
                </c:pt>
                <c:pt idx="49">
                  <c:v>201602</c:v>
                </c:pt>
                <c:pt idx="50">
                  <c:v>201603</c:v>
                </c:pt>
                <c:pt idx="51">
                  <c:v>201604</c:v>
                </c:pt>
                <c:pt idx="52">
                  <c:v>201605</c:v>
                </c:pt>
                <c:pt idx="53">
                  <c:v>201606</c:v>
                </c:pt>
                <c:pt idx="54">
                  <c:v>201607</c:v>
                </c:pt>
                <c:pt idx="55">
                  <c:v>201608</c:v>
                </c:pt>
                <c:pt idx="56">
                  <c:v>201609</c:v>
                </c:pt>
                <c:pt idx="57">
                  <c:v>201610</c:v>
                </c:pt>
                <c:pt idx="58">
                  <c:v>201611</c:v>
                </c:pt>
                <c:pt idx="59">
                  <c:v>201612</c:v>
                </c:pt>
              </c:strCache>
            </c:strRef>
          </c:cat>
          <c:val>
            <c:numRef>
              <c:f>mesalazine!$E$5:$E$65</c:f>
              <c:numCache>
                <c:formatCode>General</c:formatCode>
                <c:ptCount val="60"/>
                <c:pt idx="0">
                  <c:v>473</c:v>
                </c:pt>
                <c:pt idx="1">
                  <c:v>565</c:v>
                </c:pt>
                <c:pt idx="2">
                  <c:v>626</c:v>
                </c:pt>
                <c:pt idx="3">
                  <c:v>591</c:v>
                </c:pt>
                <c:pt idx="4">
                  <c:v>701</c:v>
                </c:pt>
                <c:pt idx="5">
                  <c:v>672</c:v>
                </c:pt>
                <c:pt idx="6">
                  <c:v>696</c:v>
                </c:pt>
                <c:pt idx="7">
                  <c:v>690</c:v>
                </c:pt>
                <c:pt idx="8">
                  <c:v>704</c:v>
                </c:pt>
                <c:pt idx="9">
                  <c:v>723</c:v>
                </c:pt>
                <c:pt idx="10">
                  <c:v>727</c:v>
                </c:pt>
                <c:pt idx="11">
                  <c:v>802</c:v>
                </c:pt>
                <c:pt idx="12">
                  <c:v>692</c:v>
                </c:pt>
                <c:pt idx="13">
                  <c:v>661</c:v>
                </c:pt>
                <c:pt idx="14">
                  <c:v>816</c:v>
                </c:pt>
                <c:pt idx="15">
                  <c:v>751</c:v>
                </c:pt>
                <c:pt idx="16">
                  <c:v>843</c:v>
                </c:pt>
                <c:pt idx="17">
                  <c:v>816</c:v>
                </c:pt>
                <c:pt idx="18">
                  <c:v>801</c:v>
                </c:pt>
                <c:pt idx="19">
                  <c:v>837</c:v>
                </c:pt>
                <c:pt idx="20">
                  <c:v>832</c:v>
                </c:pt>
                <c:pt idx="21">
                  <c:v>847</c:v>
                </c:pt>
                <c:pt idx="22">
                  <c:v>793</c:v>
                </c:pt>
                <c:pt idx="23">
                  <c:v>914</c:v>
                </c:pt>
                <c:pt idx="24">
                  <c:v>768</c:v>
                </c:pt>
                <c:pt idx="25">
                  <c:v>737</c:v>
                </c:pt>
                <c:pt idx="26">
                  <c:v>877</c:v>
                </c:pt>
                <c:pt idx="27">
                  <c:v>821</c:v>
                </c:pt>
                <c:pt idx="28">
                  <c:v>912</c:v>
                </c:pt>
                <c:pt idx="29">
                  <c:v>847</c:v>
                </c:pt>
                <c:pt idx="30">
                  <c:v>944</c:v>
                </c:pt>
                <c:pt idx="31">
                  <c:v>949</c:v>
                </c:pt>
                <c:pt idx="32">
                  <c:v>951</c:v>
                </c:pt>
                <c:pt idx="33">
                  <c:v>954</c:v>
                </c:pt>
                <c:pt idx="34">
                  <c:v>914</c:v>
                </c:pt>
                <c:pt idx="35">
                  <c:v>1144</c:v>
                </c:pt>
                <c:pt idx="36">
                  <c:v>805</c:v>
                </c:pt>
                <c:pt idx="37">
                  <c:v>880</c:v>
                </c:pt>
                <c:pt idx="38">
                  <c:v>1055</c:v>
                </c:pt>
                <c:pt idx="39">
                  <c:v>941</c:v>
                </c:pt>
                <c:pt idx="40">
                  <c:v>1008</c:v>
                </c:pt>
                <c:pt idx="41">
                  <c:v>1065</c:v>
                </c:pt>
                <c:pt idx="42">
                  <c:v>1057</c:v>
                </c:pt>
                <c:pt idx="43">
                  <c:v>1090</c:v>
                </c:pt>
                <c:pt idx="44">
                  <c:v>1099</c:v>
                </c:pt>
                <c:pt idx="45">
                  <c:v>1118</c:v>
                </c:pt>
                <c:pt idx="46">
                  <c:v>1103</c:v>
                </c:pt>
                <c:pt idx="47">
                  <c:v>1212</c:v>
                </c:pt>
                <c:pt idx="48">
                  <c:v>940</c:v>
                </c:pt>
                <c:pt idx="49">
                  <c:v>1008</c:v>
                </c:pt>
                <c:pt idx="50">
                  <c:v>1096</c:v>
                </c:pt>
                <c:pt idx="51">
                  <c:v>1026</c:v>
                </c:pt>
                <c:pt idx="52">
                  <c:v>1111</c:v>
                </c:pt>
                <c:pt idx="53">
                  <c:v>1087</c:v>
                </c:pt>
                <c:pt idx="54">
                  <c:v>1125</c:v>
                </c:pt>
                <c:pt idx="55">
                  <c:v>1181</c:v>
                </c:pt>
                <c:pt idx="56">
                  <c:v>1158</c:v>
                </c:pt>
                <c:pt idx="57">
                  <c:v>1045</c:v>
                </c:pt>
                <c:pt idx="58">
                  <c:v>1124</c:v>
                </c:pt>
                <c:pt idx="59">
                  <c:v>1229</c:v>
                </c:pt>
              </c:numCache>
            </c:numRef>
          </c:val>
          <c:smooth val="0"/>
        </c:ser>
        <c:ser>
          <c:idx val="4"/>
          <c:order val="4"/>
          <c:tx>
            <c:strRef>
              <c:f>mesalazine!$F$3:$F$4</c:f>
              <c:strCache>
                <c:ptCount val="1"/>
                <c:pt idx="0">
                  <c:v>Tablet</c:v>
                </c:pt>
              </c:strCache>
            </c:strRef>
          </c:tx>
          <c:cat>
            <c:strRef>
              <c:f>mesalazine!$A$5:$A$65</c:f>
              <c:strCache>
                <c:ptCount val="60"/>
                <c:pt idx="0">
                  <c:v>201201</c:v>
                </c:pt>
                <c:pt idx="1">
                  <c:v>201202</c:v>
                </c:pt>
                <c:pt idx="2">
                  <c:v>201203</c:v>
                </c:pt>
                <c:pt idx="3">
                  <c:v>201204</c:v>
                </c:pt>
                <c:pt idx="4">
                  <c:v>201205</c:v>
                </c:pt>
                <c:pt idx="5">
                  <c:v>201206</c:v>
                </c:pt>
                <c:pt idx="6">
                  <c:v>201207</c:v>
                </c:pt>
                <c:pt idx="7">
                  <c:v>201208</c:v>
                </c:pt>
                <c:pt idx="8">
                  <c:v>201209</c:v>
                </c:pt>
                <c:pt idx="9">
                  <c:v>201210</c:v>
                </c:pt>
                <c:pt idx="10">
                  <c:v>201211</c:v>
                </c:pt>
                <c:pt idx="11">
                  <c:v>201212</c:v>
                </c:pt>
                <c:pt idx="12">
                  <c:v>201301</c:v>
                </c:pt>
                <c:pt idx="13">
                  <c:v>201302</c:v>
                </c:pt>
                <c:pt idx="14">
                  <c:v>201303</c:v>
                </c:pt>
                <c:pt idx="15">
                  <c:v>201304</c:v>
                </c:pt>
                <c:pt idx="16">
                  <c:v>201305</c:v>
                </c:pt>
                <c:pt idx="17">
                  <c:v>201306</c:v>
                </c:pt>
                <c:pt idx="18">
                  <c:v>201307</c:v>
                </c:pt>
                <c:pt idx="19">
                  <c:v>201308</c:v>
                </c:pt>
                <c:pt idx="20">
                  <c:v>201309</c:v>
                </c:pt>
                <c:pt idx="21">
                  <c:v>201310</c:v>
                </c:pt>
                <c:pt idx="22">
                  <c:v>201311</c:v>
                </c:pt>
                <c:pt idx="23">
                  <c:v>201312</c:v>
                </c:pt>
                <c:pt idx="24">
                  <c:v>201401</c:v>
                </c:pt>
                <c:pt idx="25">
                  <c:v>201402</c:v>
                </c:pt>
                <c:pt idx="26">
                  <c:v>201403</c:v>
                </c:pt>
                <c:pt idx="27">
                  <c:v>201404</c:v>
                </c:pt>
                <c:pt idx="28">
                  <c:v>201405</c:v>
                </c:pt>
                <c:pt idx="29">
                  <c:v>201406</c:v>
                </c:pt>
                <c:pt idx="30">
                  <c:v>201407</c:v>
                </c:pt>
                <c:pt idx="31">
                  <c:v>201408</c:v>
                </c:pt>
                <c:pt idx="32">
                  <c:v>201409</c:v>
                </c:pt>
                <c:pt idx="33">
                  <c:v>201410</c:v>
                </c:pt>
                <c:pt idx="34">
                  <c:v>201411</c:v>
                </c:pt>
                <c:pt idx="35">
                  <c:v>201412</c:v>
                </c:pt>
                <c:pt idx="36">
                  <c:v>201501</c:v>
                </c:pt>
                <c:pt idx="37">
                  <c:v>201502</c:v>
                </c:pt>
                <c:pt idx="38">
                  <c:v>201503</c:v>
                </c:pt>
                <c:pt idx="39">
                  <c:v>201504</c:v>
                </c:pt>
                <c:pt idx="40">
                  <c:v>201505</c:v>
                </c:pt>
                <c:pt idx="41">
                  <c:v>201506</c:v>
                </c:pt>
                <c:pt idx="42">
                  <c:v>201507</c:v>
                </c:pt>
                <c:pt idx="43">
                  <c:v>201508</c:v>
                </c:pt>
                <c:pt idx="44">
                  <c:v>201509</c:v>
                </c:pt>
                <c:pt idx="45">
                  <c:v>201510</c:v>
                </c:pt>
                <c:pt idx="46">
                  <c:v>201511</c:v>
                </c:pt>
                <c:pt idx="47">
                  <c:v>201512</c:v>
                </c:pt>
                <c:pt idx="48">
                  <c:v>201601</c:v>
                </c:pt>
                <c:pt idx="49">
                  <c:v>201602</c:v>
                </c:pt>
                <c:pt idx="50">
                  <c:v>201603</c:v>
                </c:pt>
                <c:pt idx="51">
                  <c:v>201604</c:v>
                </c:pt>
                <c:pt idx="52">
                  <c:v>201605</c:v>
                </c:pt>
                <c:pt idx="53">
                  <c:v>201606</c:v>
                </c:pt>
                <c:pt idx="54">
                  <c:v>201607</c:v>
                </c:pt>
                <c:pt idx="55">
                  <c:v>201608</c:v>
                </c:pt>
                <c:pt idx="56">
                  <c:v>201609</c:v>
                </c:pt>
                <c:pt idx="57">
                  <c:v>201610</c:v>
                </c:pt>
                <c:pt idx="58">
                  <c:v>201611</c:v>
                </c:pt>
                <c:pt idx="59">
                  <c:v>201612</c:v>
                </c:pt>
              </c:strCache>
            </c:strRef>
          </c:cat>
          <c:val>
            <c:numRef>
              <c:f>mesalazine!$F$5:$F$65</c:f>
              <c:numCache>
                <c:formatCode>General</c:formatCode>
                <c:ptCount val="60"/>
                <c:pt idx="0">
                  <c:v>5800</c:v>
                </c:pt>
                <c:pt idx="1">
                  <c:v>6198</c:v>
                </c:pt>
                <c:pt idx="2">
                  <c:v>6900</c:v>
                </c:pt>
                <c:pt idx="3">
                  <c:v>6521</c:v>
                </c:pt>
                <c:pt idx="4">
                  <c:v>7103</c:v>
                </c:pt>
                <c:pt idx="5">
                  <c:v>6920</c:v>
                </c:pt>
                <c:pt idx="6">
                  <c:v>7040</c:v>
                </c:pt>
                <c:pt idx="7">
                  <c:v>7497</c:v>
                </c:pt>
                <c:pt idx="8">
                  <c:v>6973</c:v>
                </c:pt>
                <c:pt idx="9">
                  <c:v>7700</c:v>
                </c:pt>
                <c:pt idx="10">
                  <c:v>7886</c:v>
                </c:pt>
                <c:pt idx="11">
                  <c:v>9286</c:v>
                </c:pt>
                <c:pt idx="12">
                  <c:v>7923</c:v>
                </c:pt>
                <c:pt idx="13">
                  <c:v>7664</c:v>
                </c:pt>
                <c:pt idx="14">
                  <c:v>8321</c:v>
                </c:pt>
                <c:pt idx="15">
                  <c:v>8470</c:v>
                </c:pt>
                <c:pt idx="16">
                  <c:v>8834</c:v>
                </c:pt>
                <c:pt idx="17">
                  <c:v>8546</c:v>
                </c:pt>
                <c:pt idx="18">
                  <c:v>9008</c:v>
                </c:pt>
                <c:pt idx="19">
                  <c:v>9051</c:v>
                </c:pt>
                <c:pt idx="20">
                  <c:v>8613</c:v>
                </c:pt>
                <c:pt idx="21">
                  <c:v>9320</c:v>
                </c:pt>
                <c:pt idx="22">
                  <c:v>9090</c:v>
                </c:pt>
                <c:pt idx="23">
                  <c:v>10312</c:v>
                </c:pt>
                <c:pt idx="24">
                  <c:v>8524</c:v>
                </c:pt>
                <c:pt idx="25">
                  <c:v>8411</c:v>
                </c:pt>
                <c:pt idx="26">
                  <c:v>9472</c:v>
                </c:pt>
                <c:pt idx="27">
                  <c:v>9432</c:v>
                </c:pt>
                <c:pt idx="28">
                  <c:v>10018</c:v>
                </c:pt>
                <c:pt idx="29">
                  <c:v>9764</c:v>
                </c:pt>
                <c:pt idx="30">
                  <c:v>10111</c:v>
                </c:pt>
                <c:pt idx="31">
                  <c:v>9902</c:v>
                </c:pt>
                <c:pt idx="32">
                  <c:v>9954</c:v>
                </c:pt>
                <c:pt idx="33">
                  <c:v>10414</c:v>
                </c:pt>
                <c:pt idx="34">
                  <c:v>9918</c:v>
                </c:pt>
                <c:pt idx="35">
                  <c:v>11935</c:v>
                </c:pt>
                <c:pt idx="36">
                  <c:v>9294</c:v>
                </c:pt>
                <c:pt idx="37">
                  <c:v>9448</c:v>
                </c:pt>
                <c:pt idx="38">
                  <c:v>10846</c:v>
                </c:pt>
                <c:pt idx="39">
                  <c:v>10270</c:v>
                </c:pt>
                <c:pt idx="40">
                  <c:v>10651</c:v>
                </c:pt>
                <c:pt idx="41">
                  <c:v>10948</c:v>
                </c:pt>
                <c:pt idx="42">
                  <c:v>11478</c:v>
                </c:pt>
                <c:pt idx="43">
                  <c:v>11201</c:v>
                </c:pt>
                <c:pt idx="44">
                  <c:v>11064</c:v>
                </c:pt>
                <c:pt idx="45">
                  <c:v>11698</c:v>
                </c:pt>
                <c:pt idx="46">
                  <c:v>11629</c:v>
                </c:pt>
                <c:pt idx="47">
                  <c:v>13249</c:v>
                </c:pt>
                <c:pt idx="48">
                  <c:v>10597</c:v>
                </c:pt>
                <c:pt idx="49">
                  <c:v>11172</c:v>
                </c:pt>
                <c:pt idx="50">
                  <c:v>12316</c:v>
                </c:pt>
                <c:pt idx="51">
                  <c:v>12007</c:v>
                </c:pt>
                <c:pt idx="52">
                  <c:v>12349</c:v>
                </c:pt>
                <c:pt idx="53">
                  <c:v>11923</c:v>
                </c:pt>
                <c:pt idx="54">
                  <c:v>11774</c:v>
                </c:pt>
                <c:pt idx="55">
                  <c:v>12072</c:v>
                </c:pt>
                <c:pt idx="56">
                  <c:v>11535</c:v>
                </c:pt>
                <c:pt idx="57">
                  <c:v>11788</c:v>
                </c:pt>
                <c:pt idx="58">
                  <c:v>11823</c:v>
                </c:pt>
                <c:pt idx="59">
                  <c:v>12943</c:v>
                </c:pt>
              </c:numCache>
            </c:numRef>
          </c:val>
          <c:smooth val="0"/>
        </c:ser>
        <c:dLbls>
          <c:showLegendKey val="0"/>
          <c:showVal val="0"/>
          <c:showCatName val="0"/>
          <c:showSerName val="0"/>
          <c:showPercent val="0"/>
          <c:showBubbleSize val="0"/>
        </c:dLbls>
        <c:marker val="1"/>
        <c:smooth val="0"/>
        <c:axId val="442868864"/>
        <c:axId val="442870400"/>
      </c:lineChart>
      <c:catAx>
        <c:axId val="442868864"/>
        <c:scaling>
          <c:orientation val="minMax"/>
        </c:scaling>
        <c:delete val="0"/>
        <c:axPos val="b"/>
        <c:majorTickMark val="out"/>
        <c:minorTickMark val="none"/>
        <c:tickLblPos val="nextTo"/>
        <c:crossAx val="442870400"/>
        <c:crosses val="autoZero"/>
        <c:auto val="1"/>
        <c:lblAlgn val="ctr"/>
        <c:lblOffset val="100"/>
        <c:noMultiLvlLbl val="0"/>
      </c:catAx>
      <c:valAx>
        <c:axId val="442870400"/>
        <c:scaling>
          <c:orientation val="minMax"/>
        </c:scaling>
        <c:delete val="0"/>
        <c:axPos val="l"/>
        <c:majorGridlines/>
        <c:numFmt formatCode="#,##0" sourceLinked="0"/>
        <c:majorTickMark val="out"/>
        <c:minorTickMark val="none"/>
        <c:tickLblPos val="nextTo"/>
        <c:crossAx val="442868864"/>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[PRD CHANGES Prescriptions by Drug using ALL cohort.xlsx]IV or injection!PivotTable4</c:name>
    <c:fmtId val="28"/>
  </c:pivotSource>
  <c:chart>
    <c:autoTitleDeleted val="0"/>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s>
    <c:plotArea>
      <c:layout/>
      <c:lineChart>
        <c:grouping val="standard"/>
        <c:varyColors val="0"/>
        <c:ser>
          <c:idx val="0"/>
          <c:order val="0"/>
          <c:tx>
            <c:strRef>
              <c:f>'IV or injection'!$B$3:$B$4</c:f>
              <c:strCache>
                <c:ptCount val="1"/>
                <c:pt idx="0">
                  <c:v>ADALIMUMAB</c:v>
                </c:pt>
              </c:strCache>
            </c:strRef>
          </c:tx>
          <c:cat>
            <c:strRef>
              <c:f>'IV or injection'!$A$5:$A$65</c:f>
              <c:strCache>
                <c:ptCount val="60"/>
                <c:pt idx="0">
                  <c:v>201201</c:v>
                </c:pt>
                <c:pt idx="1">
                  <c:v>201202</c:v>
                </c:pt>
                <c:pt idx="2">
                  <c:v>201203</c:v>
                </c:pt>
                <c:pt idx="3">
                  <c:v>201204</c:v>
                </c:pt>
                <c:pt idx="4">
                  <c:v>201205</c:v>
                </c:pt>
                <c:pt idx="5">
                  <c:v>201206</c:v>
                </c:pt>
                <c:pt idx="6">
                  <c:v>201207</c:v>
                </c:pt>
                <c:pt idx="7">
                  <c:v>201208</c:v>
                </c:pt>
                <c:pt idx="8">
                  <c:v>201209</c:v>
                </c:pt>
                <c:pt idx="9">
                  <c:v>201210</c:v>
                </c:pt>
                <c:pt idx="10">
                  <c:v>201211</c:v>
                </c:pt>
                <c:pt idx="11">
                  <c:v>201212</c:v>
                </c:pt>
                <c:pt idx="12">
                  <c:v>201301</c:v>
                </c:pt>
                <c:pt idx="13">
                  <c:v>201302</c:v>
                </c:pt>
                <c:pt idx="14">
                  <c:v>201303</c:v>
                </c:pt>
                <c:pt idx="15">
                  <c:v>201304</c:v>
                </c:pt>
                <c:pt idx="16">
                  <c:v>201305</c:v>
                </c:pt>
                <c:pt idx="17">
                  <c:v>201306</c:v>
                </c:pt>
                <c:pt idx="18">
                  <c:v>201307</c:v>
                </c:pt>
                <c:pt idx="19">
                  <c:v>201308</c:v>
                </c:pt>
                <c:pt idx="20">
                  <c:v>201309</c:v>
                </c:pt>
                <c:pt idx="21">
                  <c:v>201310</c:v>
                </c:pt>
                <c:pt idx="22">
                  <c:v>201311</c:v>
                </c:pt>
                <c:pt idx="23">
                  <c:v>201312</c:v>
                </c:pt>
                <c:pt idx="24">
                  <c:v>201401</c:v>
                </c:pt>
                <c:pt idx="25">
                  <c:v>201402</c:v>
                </c:pt>
                <c:pt idx="26">
                  <c:v>201403</c:v>
                </c:pt>
                <c:pt idx="27">
                  <c:v>201404</c:v>
                </c:pt>
                <c:pt idx="28">
                  <c:v>201405</c:v>
                </c:pt>
                <c:pt idx="29">
                  <c:v>201406</c:v>
                </c:pt>
                <c:pt idx="30">
                  <c:v>201407</c:v>
                </c:pt>
                <c:pt idx="31">
                  <c:v>201408</c:v>
                </c:pt>
                <c:pt idx="32">
                  <c:v>201409</c:v>
                </c:pt>
                <c:pt idx="33">
                  <c:v>201410</c:v>
                </c:pt>
                <c:pt idx="34">
                  <c:v>201411</c:v>
                </c:pt>
                <c:pt idx="35">
                  <c:v>201412</c:v>
                </c:pt>
                <c:pt idx="36">
                  <c:v>201501</c:v>
                </c:pt>
                <c:pt idx="37">
                  <c:v>201502</c:v>
                </c:pt>
                <c:pt idx="38">
                  <c:v>201503</c:v>
                </c:pt>
                <c:pt idx="39">
                  <c:v>201504</c:v>
                </c:pt>
                <c:pt idx="40">
                  <c:v>201505</c:v>
                </c:pt>
                <c:pt idx="41">
                  <c:v>201506</c:v>
                </c:pt>
                <c:pt idx="42">
                  <c:v>201507</c:v>
                </c:pt>
                <c:pt idx="43">
                  <c:v>201508</c:v>
                </c:pt>
                <c:pt idx="44">
                  <c:v>201509</c:v>
                </c:pt>
                <c:pt idx="45">
                  <c:v>201510</c:v>
                </c:pt>
                <c:pt idx="46">
                  <c:v>201511</c:v>
                </c:pt>
                <c:pt idx="47">
                  <c:v>201512</c:v>
                </c:pt>
                <c:pt idx="48">
                  <c:v>201601</c:v>
                </c:pt>
                <c:pt idx="49">
                  <c:v>201602</c:v>
                </c:pt>
                <c:pt idx="50">
                  <c:v>201603</c:v>
                </c:pt>
                <c:pt idx="51">
                  <c:v>201604</c:v>
                </c:pt>
                <c:pt idx="52">
                  <c:v>201605</c:v>
                </c:pt>
                <c:pt idx="53">
                  <c:v>201606</c:v>
                </c:pt>
                <c:pt idx="54">
                  <c:v>201607</c:v>
                </c:pt>
                <c:pt idx="55">
                  <c:v>201608</c:v>
                </c:pt>
                <c:pt idx="56">
                  <c:v>201609</c:v>
                </c:pt>
                <c:pt idx="57">
                  <c:v>201610</c:v>
                </c:pt>
                <c:pt idx="58">
                  <c:v>201611</c:v>
                </c:pt>
                <c:pt idx="59">
                  <c:v>201612</c:v>
                </c:pt>
              </c:strCache>
            </c:strRef>
          </c:cat>
          <c:val>
            <c:numRef>
              <c:f>'IV or injection'!$B$5:$B$65</c:f>
              <c:numCache>
                <c:formatCode>General</c:formatCode>
                <c:ptCount val="60"/>
                <c:pt idx="59">
                  <c:v>7</c:v>
                </c:pt>
              </c:numCache>
            </c:numRef>
          </c:val>
          <c:smooth val="0"/>
        </c:ser>
        <c:ser>
          <c:idx val="1"/>
          <c:order val="1"/>
          <c:tx>
            <c:strRef>
              <c:f>'IV or injection'!$C$3:$C$4</c:f>
              <c:strCache>
                <c:ptCount val="1"/>
                <c:pt idx="0">
                  <c:v>INFLIXIMAB</c:v>
                </c:pt>
              </c:strCache>
            </c:strRef>
          </c:tx>
          <c:cat>
            <c:strRef>
              <c:f>'IV or injection'!$A$5:$A$65</c:f>
              <c:strCache>
                <c:ptCount val="60"/>
                <c:pt idx="0">
                  <c:v>201201</c:v>
                </c:pt>
                <c:pt idx="1">
                  <c:v>201202</c:v>
                </c:pt>
                <c:pt idx="2">
                  <c:v>201203</c:v>
                </c:pt>
                <c:pt idx="3">
                  <c:v>201204</c:v>
                </c:pt>
                <c:pt idx="4">
                  <c:v>201205</c:v>
                </c:pt>
                <c:pt idx="5">
                  <c:v>201206</c:v>
                </c:pt>
                <c:pt idx="6">
                  <c:v>201207</c:v>
                </c:pt>
                <c:pt idx="7">
                  <c:v>201208</c:v>
                </c:pt>
                <c:pt idx="8">
                  <c:v>201209</c:v>
                </c:pt>
                <c:pt idx="9">
                  <c:v>201210</c:v>
                </c:pt>
                <c:pt idx="10">
                  <c:v>201211</c:v>
                </c:pt>
                <c:pt idx="11">
                  <c:v>201212</c:v>
                </c:pt>
                <c:pt idx="12">
                  <c:v>201301</c:v>
                </c:pt>
                <c:pt idx="13">
                  <c:v>201302</c:v>
                </c:pt>
                <c:pt idx="14">
                  <c:v>201303</c:v>
                </c:pt>
                <c:pt idx="15">
                  <c:v>201304</c:v>
                </c:pt>
                <c:pt idx="16">
                  <c:v>201305</c:v>
                </c:pt>
                <c:pt idx="17">
                  <c:v>201306</c:v>
                </c:pt>
                <c:pt idx="18">
                  <c:v>201307</c:v>
                </c:pt>
                <c:pt idx="19">
                  <c:v>201308</c:v>
                </c:pt>
                <c:pt idx="20">
                  <c:v>201309</c:v>
                </c:pt>
                <c:pt idx="21">
                  <c:v>201310</c:v>
                </c:pt>
                <c:pt idx="22">
                  <c:v>201311</c:v>
                </c:pt>
                <c:pt idx="23">
                  <c:v>201312</c:v>
                </c:pt>
                <c:pt idx="24">
                  <c:v>201401</c:v>
                </c:pt>
                <c:pt idx="25">
                  <c:v>201402</c:v>
                </c:pt>
                <c:pt idx="26">
                  <c:v>201403</c:v>
                </c:pt>
                <c:pt idx="27">
                  <c:v>201404</c:v>
                </c:pt>
                <c:pt idx="28">
                  <c:v>201405</c:v>
                </c:pt>
                <c:pt idx="29">
                  <c:v>201406</c:v>
                </c:pt>
                <c:pt idx="30">
                  <c:v>201407</c:v>
                </c:pt>
                <c:pt idx="31">
                  <c:v>201408</c:v>
                </c:pt>
                <c:pt idx="32">
                  <c:v>201409</c:v>
                </c:pt>
                <c:pt idx="33">
                  <c:v>201410</c:v>
                </c:pt>
                <c:pt idx="34">
                  <c:v>201411</c:v>
                </c:pt>
                <c:pt idx="35">
                  <c:v>201412</c:v>
                </c:pt>
                <c:pt idx="36">
                  <c:v>201501</c:v>
                </c:pt>
                <c:pt idx="37">
                  <c:v>201502</c:v>
                </c:pt>
                <c:pt idx="38">
                  <c:v>201503</c:v>
                </c:pt>
                <c:pt idx="39">
                  <c:v>201504</c:v>
                </c:pt>
                <c:pt idx="40">
                  <c:v>201505</c:v>
                </c:pt>
                <c:pt idx="41">
                  <c:v>201506</c:v>
                </c:pt>
                <c:pt idx="42">
                  <c:v>201507</c:v>
                </c:pt>
                <c:pt idx="43">
                  <c:v>201508</c:v>
                </c:pt>
                <c:pt idx="44">
                  <c:v>201509</c:v>
                </c:pt>
                <c:pt idx="45">
                  <c:v>201510</c:v>
                </c:pt>
                <c:pt idx="46">
                  <c:v>201511</c:v>
                </c:pt>
                <c:pt idx="47">
                  <c:v>201512</c:v>
                </c:pt>
                <c:pt idx="48">
                  <c:v>201601</c:v>
                </c:pt>
                <c:pt idx="49">
                  <c:v>201602</c:v>
                </c:pt>
                <c:pt idx="50">
                  <c:v>201603</c:v>
                </c:pt>
                <c:pt idx="51">
                  <c:v>201604</c:v>
                </c:pt>
                <c:pt idx="52">
                  <c:v>201605</c:v>
                </c:pt>
                <c:pt idx="53">
                  <c:v>201606</c:v>
                </c:pt>
                <c:pt idx="54">
                  <c:v>201607</c:v>
                </c:pt>
                <c:pt idx="55">
                  <c:v>201608</c:v>
                </c:pt>
                <c:pt idx="56">
                  <c:v>201609</c:v>
                </c:pt>
                <c:pt idx="57">
                  <c:v>201610</c:v>
                </c:pt>
                <c:pt idx="58">
                  <c:v>201611</c:v>
                </c:pt>
                <c:pt idx="59">
                  <c:v>201612</c:v>
                </c:pt>
              </c:strCache>
            </c:strRef>
          </c:cat>
          <c:val>
            <c:numRef>
              <c:f>'IV or injection'!$C$5:$C$65</c:f>
              <c:numCache>
                <c:formatCode>General</c:formatCode>
                <c:ptCount val="60"/>
                <c:pt idx="27">
                  <c:v>17</c:v>
                </c:pt>
                <c:pt idx="28">
                  <c:v>23</c:v>
                </c:pt>
                <c:pt idx="29">
                  <c:v>22</c:v>
                </c:pt>
                <c:pt idx="30">
                  <c:v>31</c:v>
                </c:pt>
                <c:pt idx="31">
                  <c:v>36</c:v>
                </c:pt>
                <c:pt idx="32">
                  <c:v>53</c:v>
                </c:pt>
                <c:pt idx="33">
                  <c:v>52</c:v>
                </c:pt>
                <c:pt idx="34">
                  <c:v>39</c:v>
                </c:pt>
                <c:pt idx="35">
                  <c:v>92</c:v>
                </c:pt>
                <c:pt idx="36">
                  <c:v>167</c:v>
                </c:pt>
                <c:pt idx="37">
                  <c:v>245</c:v>
                </c:pt>
                <c:pt idx="38">
                  <c:v>312</c:v>
                </c:pt>
                <c:pt idx="39">
                  <c:v>338</c:v>
                </c:pt>
                <c:pt idx="40">
                  <c:v>344</c:v>
                </c:pt>
                <c:pt idx="41">
                  <c:v>389</c:v>
                </c:pt>
                <c:pt idx="42">
                  <c:v>424</c:v>
                </c:pt>
                <c:pt idx="43">
                  <c:v>397</c:v>
                </c:pt>
                <c:pt idx="44">
                  <c:v>433</c:v>
                </c:pt>
                <c:pt idx="45">
                  <c:v>445</c:v>
                </c:pt>
                <c:pt idx="46">
                  <c:v>444</c:v>
                </c:pt>
                <c:pt idx="47">
                  <c:v>495</c:v>
                </c:pt>
                <c:pt idx="48">
                  <c:v>437</c:v>
                </c:pt>
                <c:pt idx="49">
                  <c:v>480</c:v>
                </c:pt>
                <c:pt idx="50">
                  <c:v>541</c:v>
                </c:pt>
                <c:pt idx="51">
                  <c:v>522</c:v>
                </c:pt>
                <c:pt idx="52">
                  <c:v>531</c:v>
                </c:pt>
                <c:pt idx="53">
                  <c:v>607</c:v>
                </c:pt>
                <c:pt idx="54">
                  <c:v>547</c:v>
                </c:pt>
                <c:pt idx="55">
                  <c:v>608</c:v>
                </c:pt>
                <c:pt idx="56">
                  <c:v>612</c:v>
                </c:pt>
                <c:pt idx="57">
                  <c:v>564</c:v>
                </c:pt>
                <c:pt idx="58">
                  <c:v>635</c:v>
                </c:pt>
                <c:pt idx="59">
                  <c:v>601</c:v>
                </c:pt>
              </c:numCache>
            </c:numRef>
          </c:val>
          <c:smooth val="0"/>
        </c:ser>
        <c:ser>
          <c:idx val="2"/>
          <c:order val="2"/>
          <c:tx>
            <c:strRef>
              <c:f>'IV or injection'!$D$3:$D$4</c:f>
              <c:strCache>
                <c:ptCount val="1"/>
                <c:pt idx="0">
                  <c:v>METHOTREXATE</c:v>
                </c:pt>
              </c:strCache>
            </c:strRef>
          </c:tx>
          <c:cat>
            <c:strRef>
              <c:f>'IV or injection'!$A$5:$A$65</c:f>
              <c:strCache>
                <c:ptCount val="60"/>
                <c:pt idx="0">
                  <c:v>201201</c:v>
                </c:pt>
                <c:pt idx="1">
                  <c:v>201202</c:v>
                </c:pt>
                <c:pt idx="2">
                  <c:v>201203</c:v>
                </c:pt>
                <c:pt idx="3">
                  <c:v>201204</c:v>
                </c:pt>
                <c:pt idx="4">
                  <c:v>201205</c:v>
                </c:pt>
                <c:pt idx="5">
                  <c:v>201206</c:v>
                </c:pt>
                <c:pt idx="6">
                  <c:v>201207</c:v>
                </c:pt>
                <c:pt idx="7">
                  <c:v>201208</c:v>
                </c:pt>
                <c:pt idx="8">
                  <c:v>201209</c:v>
                </c:pt>
                <c:pt idx="9">
                  <c:v>201210</c:v>
                </c:pt>
                <c:pt idx="10">
                  <c:v>201211</c:v>
                </c:pt>
                <c:pt idx="11">
                  <c:v>201212</c:v>
                </c:pt>
                <c:pt idx="12">
                  <c:v>201301</c:v>
                </c:pt>
                <c:pt idx="13">
                  <c:v>201302</c:v>
                </c:pt>
                <c:pt idx="14">
                  <c:v>201303</c:v>
                </c:pt>
                <c:pt idx="15">
                  <c:v>201304</c:v>
                </c:pt>
                <c:pt idx="16">
                  <c:v>201305</c:v>
                </c:pt>
                <c:pt idx="17">
                  <c:v>201306</c:v>
                </c:pt>
                <c:pt idx="18">
                  <c:v>201307</c:v>
                </c:pt>
                <c:pt idx="19">
                  <c:v>201308</c:v>
                </c:pt>
                <c:pt idx="20">
                  <c:v>201309</c:v>
                </c:pt>
                <c:pt idx="21">
                  <c:v>201310</c:v>
                </c:pt>
                <c:pt idx="22">
                  <c:v>201311</c:v>
                </c:pt>
                <c:pt idx="23">
                  <c:v>201312</c:v>
                </c:pt>
                <c:pt idx="24">
                  <c:v>201401</c:v>
                </c:pt>
                <c:pt idx="25">
                  <c:v>201402</c:v>
                </c:pt>
                <c:pt idx="26">
                  <c:v>201403</c:v>
                </c:pt>
                <c:pt idx="27">
                  <c:v>201404</c:v>
                </c:pt>
                <c:pt idx="28">
                  <c:v>201405</c:v>
                </c:pt>
                <c:pt idx="29">
                  <c:v>201406</c:v>
                </c:pt>
                <c:pt idx="30">
                  <c:v>201407</c:v>
                </c:pt>
                <c:pt idx="31">
                  <c:v>201408</c:v>
                </c:pt>
                <c:pt idx="32">
                  <c:v>201409</c:v>
                </c:pt>
                <c:pt idx="33">
                  <c:v>201410</c:v>
                </c:pt>
                <c:pt idx="34">
                  <c:v>201411</c:v>
                </c:pt>
                <c:pt idx="35">
                  <c:v>201412</c:v>
                </c:pt>
                <c:pt idx="36">
                  <c:v>201501</c:v>
                </c:pt>
                <c:pt idx="37">
                  <c:v>201502</c:v>
                </c:pt>
                <c:pt idx="38">
                  <c:v>201503</c:v>
                </c:pt>
                <c:pt idx="39">
                  <c:v>201504</c:v>
                </c:pt>
                <c:pt idx="40">
                  <c:v>201505</c:v>
                </c:pt>
                <c:pt idx="41">
                  <c:v>201506</c:v>
                </c:pt>
                <c:pt idx="42">
                  <c:v>201507</c:v>
                </c:pt>
                <c:pt idx="43">
                  <c:v>201508</c:v>
                </c:pt>
                <c:pt idx="44">
                  <c:v>201509</c:v>
                </c:pt>
                <c:pt idx="45">
                  <c:v>201510</c:v>
                </c:pt>
                <c:pt idx="46">
                  <c:v>201511</c:v>
                </c:pt>
                <c:pt idx="47">
                  <c:v>201512</c:v>
                </c:pt>
                <c:pt idx="48">
                  <c:v>201601</c:v>
                </c:pt>
                <c:pt idx="49">
                  <c:v>201602</c:v>
                </c:pt>
                <c:pt idx="50">
                  <c:v>201603</c:v>
                </c:pt>
                <c:pt idx="51">
                  <c:v>201604</c:v>
                </c:pt>
                <c:pt idx="52">
                  <c:v>201605</c:v>
                </c:pt>
                <c:pt idx="53">
                  <c:v>201606</c:v>
                </c:pt>
                <c:pt idx="54">
                  <c:v>201607</c:v>
                </c:pt>
                <c:pt idx="55">
                  <c:v>201608</c:v>
                </c:pt>
                <c:pt idx="56">
                  <c:v>201609</c:v>
                </c:pt>
                <c:pt idx="57">
                  <c:v>201610</c:v>
                </c:pt>
                <c:pt idx="58">
                  <c:v>201611</c:v>
                </c:pt>
                <c:pt idx="59">
                  <c:v>201612</c:v>
                </c:pt>
              </c:strCache>
            </c:strRef>
          </c:cat>
          <c:val>
            <c:numRef>
              <c:f>'IV or injection'!$D$5:$D$65</c:f>
              <c:numCache>
                <c:formatCode>General</c:formatCode>
                <c:ptCount val="60"/>
                <c:pt idx="0">
                  <c:v>49</c:v>
                </c:pt>
                <c:pt idx="1">
                  <c:v>53</c:v>
                </c:pt>
                <c:pt idx="2">
                  <c:v>69</c:v>
                </c:pt>
                <c:pt idx="3">
                  <c:v>56</c:v>
                </c:pt>
                <c:pt idx="4">
                  <c:v>63</c:v>
                </c:pt>
                <c:pt idx="5">
                  <c:v>60</c:v>
                </c:pt>
                <c:pt idx="6">
                  <c:v>74</c:v>
                </c:pt>
                <c:pt idx="7">
                  <c:v>82</c:v>
                </c:pt>
                <c:pt idx="8">
                  <c:v>65</c:v>
                </c:pt>
                <c:pt idx="9">
                  <c:v>87</c:v>
                </c:pt>
                <c:pt idx="10">
                  <c:v>73</c:v>
                </c:pt>
                <c:pt idx="11">
                  <c:v>123</c:v>
                </c:pt>
                <c:pt idx="12">
                  <c:v>65</c:v>
                </c:pt>
                <c:pt idx="13">
                  <c:v>60</c:v>
                </c:pt>
                <c:pt idx="14">
                  <c:v>90</c:v>
                </c:pt>
                <c:pt idx="15">
                  <c:v>72</c:v>
                </c:pt>
                <c:pt idx="16">
                  <c:v>90</c:v>
                </c:pt>
                <c:pt idx="17">
                  <c:v>68</c:v>
                </c:pt>
                <c:pt idx="18">
                  <c:v>72</c:v>
                </c:pt>
                <c:pt idx="19">
                  <c:v>70</c:v>
                </c:pt>
                <c:pt idx="20">
                  <c:v>68</c:v>
                </c:pt>
                <c:pt idx="21">
                  <c:v>86</c:v>
                </c:pt>
                <c:pt idx="22">
                  <c:v>77</c:v>
                </c:pt>
                <c:pt idx="23">
                  <c:v>90</c:v>
                </c:pt>
                <c:pt idx="24">
                  <c:v>50</c:v>
                </c:pt>
                <c:pt idx="25">
                  <c:v>89</c:v>
                </c:pt>
                <c:pt idx="26">
                  <c:v>89</c:v>
                </c:pt>
                <c:pt idx="27">
                  <c:v>78</c:v>
                </c:pt>
                <c:pt idx="28">
                  <c:v>76</c:v>
                </c:pt>
                <c:pt idx="29">
                  <c:v>66</c:v>
                </c:pt>
                <c:pt idx="30">
                  <c:v>80</c:v>
                </c:pt>
                <c:pt idx="31">
                  <c:v>72</c:v>
                </c:pt>
                <c:pt idx="32">
                  <c:v>74</c:v>
                </c:pt>
                <c:pt idx="33">
                  <c:v>85</c:v>
                </c:pt>
                <c:pt idx="34">
                  <c:v>74</c:v>
                </c:pt>
                <c:pt idx="35">
                  <c:v>66</c:v>
                </c:pt>
                <c:pt idx="36">
                  <c:v>63</c:v>
                </c:pt>
                <c:pt idx="37">
                  <c:v>58</c:v>
                </c:pt>
                <c:pt idx="38">
                  <c:v>68</c:v>
                </c:pt>
                <c:pt idx="39">
                  <c:v>68</c:v>
                </c:pt>
                <c:pt idx="40">
                  <c:v>87</c:v>
                </c:pt>
                <c:pt idx="41">
                  <c:v>72</c:v>
                </c:pt>
                <c:pt idx="42">
                  <c:v>90</c:v>
                </c:pt>
                <c:pt idx="43">
                  <c:v>75</c:v>
                </c:pt>
                <c:pt idx="44">
                  <c:v>64</c:v>
                </c:pt>
                <c:pt idx="45">
                  <c:v>89</c:v>
                </c:pt>
                <c:pt idx="46">
                  <c:v>96</c:v>
                </c:pt>
                <c:pt idx="47">
                  <c:v>95</c:v>
                </c:pt>
                <c:pt idx="48">
                  <c:v>54</c:v>
                </c:pt>
                <c:pt idx="49">
                  <c:v>119</c:v>
                </c:pt>
                <c:pt idx="50">
                  <c:v>94</c:v>
                </c:pt>
                <c:pt idx="51">
                  <c:v>111</c:v>
                </c:pt>
                <c:pt idx="52">
                  <c:v>98</c:v>
                </c:pt>
                <c:pt idx="53">
                  <c:v>108</c:v>
                </c:pt>
                <c:pt idx="54">
                  <c:v>38</c:v>
                </c:pt>
                <c:pt idx="55">
                  <c:v>46</c:v>
                </c:pt>
                <c:pt idx="56">
                  <c:v>64</c:v>
                </c:pt>
                <c:pt idx="57">
                  <c:v>61</c:v>
                </c:pt>
                <c:pt idx="58">
                  <c:v>48</c:v>
                </c:pt>
                <c:pt idx="59">
                  <c:v>141</c:v>
                </c:pt>
              </c:numCache>
            </c:numRef>
          </c:val>
          <c:smooth val="0"/>
        </c:ser>
        <c:ser>
          <c:idx val="3"/>
          <c:order val="3"/>
          <c:tx>
            <c:strRef>
              <c:f>'IV or injection'!$E$3:$E$4</c:f>
              <c:strCache>
                <c:ptCount val="1"/>
                <c:pt idx="0">
                  <c:v>METHYLPREDNISOLONE</c:v>
                </c:pt>
              </c:strCache>
            </c:strRef>
          </c:tx>
          <c:cat>
            <c:strRef>
              <c:f>'IV or injection'!$A$5:$A$65</c:f>
              <c:strCache>
                <c:ptCount val="60"/>
                <c:pt idx="0">
                  <c:v>201201</c:v>
                </c:pt>
                <c:pt idx="1">
                  <c:v>201202</c:v>
                </c:pt>
                <c:pt idx="2">
                  <c:v>201203</c:v>
                </c:pt>
                <c:pt idx="3">
                  <c:v>201204</c:v>
                </c:pt>
                <c:pt idx="4">
                  <c:v>201205</c:v>
                </c:pt>
                <c:pt idx="5">
                  <c:v>201206</c:v>
                </c:pt>
                <c:pt idx="6">
                  <c:v>201207</c:v>
                </c:pt>
                <c:pt idx="7">
                  <c:v>201208</c:v>
                </c:pt>
                <c:pt idx="8">
                  <c:v>201209</c:v>
                </c:pt>
                <c:pt idx="9">
                  <c:v>201210</c:v>
                </c:pt>
                <c:pt idx="10">
                  <c:v>201211</c:v>
                </c:pt>
                <c:pt idx="11">
                  <c:v>201212</c:v>
                </c:pt>
                <c:pt idx="12">
                  <c:v>201301</c:v>
                </c:pt>
                <c:pt idx="13">
                  <c:v>201302</c:v>
                </c:pt>
                <c:pt idx="14">
                  <c:v>201303</c:v>
                </c:pt>
                <c:pt idx="15">
                  <c:v>201304</c:v>
                </c:pt>
                <c:pt idx="16">
                  <c:v>201305</c:v>
                </c:pt>
                <c:pt idx="17">
                  <c:v>201306</c:v>
                </c:pt>
                <c:pt idx="18">
                  <c:v>201307</c:v>
                </c:pt>
                <c:pt idx="19">
                  <c:v>201308</c:v>
                </c:pt>
                <c:pt idx="20">
                  <c:v>201309</c:v>
                </c:pt>
                <c:pt idx="21">
                  <c:v>201310</c:v>
                </c:pt>
                <c:pt idx="22">
                  <c:v>201311</c:v>
                </c:pt>
                <c:pt idx="23">
                  <c:v>201312</c:v>
                </c:pt>
                <c:pt idx="24">
                  <c:v>201401</c:v>
                </c:pt>
                <c:pt idx="25">
                  <c:v>201402</c:v>
                </c:pt>
                <c:pt idx="26">
                  <c:v>201403</c:v>
                </c:pt>
                <c:pt idx="27">
                  <c:v>201404</c:v>
                </c:pt>
                <c:pt idx="28">
                  <c:v>201405</c:v>
                </c:pt>
                <c:pt idx="29">
                  <c:v>201406</c:v>
                </c:pt>
                <c:pt idx="30">
                  <c:v>201407</c:v>
                </c:pt>
                <c:pt idx="31">
                  <c:v>201408</c:v>
                </c:pt>
                <c:pt idx="32">
                  <c:v>201409</c:v>
                </c:pt>
                <c:pt idx="33">
                  <c:v>201410</c:v>
                </c:pt>
                <c:pt idx="34">
                  <c:v>201411</c:v>
                </c:pt>
                <c:pt idx="35">
                  <c:v>201412</c:v>
                </c:pt>
                <c:pt idx="36">
                  <c:v>201501</c:v>
                </c:pt>
                <c:pt idx="37">
                  <c:v>201502</c:v>
                </c:pt>
                <c:pt idx="38">
                  <c:v>201503</c:v>
                </c:pt>
                <c:pt idx="39">
                  <c:v>201504</c:v>
                </c:pt>
                <c:pt idx="40">
                  <c:v>201505</c:v>
                </c:pt>
                <c:pt idx="41">
                  <c:v>201506</c:v>
                </c:pt>
                <c:pt idx="42">
                  <c:v>201507</c:v>
                </c:pt>
                <c:pt idx="43">
                  <c:v>201508</c:v>
                </c:pt>
                <c:pt idx="44">
                  <c:v>201509</c:v>
                </c:pt>
                <c:pt idx="45">
                  <c:v>201510</c:v>
                </c:pt>
                <c:pt idx="46">
                  <c:v>201511</c:v>
                </c:pt>
                <c:pt idx="47">
                  <c:v>201512</c:v>
                </c:pt>
                <c:pt idx="48">
                  <c:v>201601</c:v>
                </c:pt>
                <c:pt idx="49">
                  <c:v>201602</c:v>
                </c:pt>
                <c:pt idx="50">
                  <c:v>201603</c:v>
                </c:pt>
                <c:pt idx="51">
                  <c:v>201604</c:v>
                </c:pt>
                <c:pt idx="52">
                  <c:v>201605</c:v>
                </c:pt>
                <c:pt idx="53">
                  <c:v>201606</c:v>
                </c:pt>
                <c:pt idx="54">
                  <c:v>201607</c:v>
                </c:pt>
                <c:pt idx="55">
                  <c:v>201608</c:v>
                </c:pt>
                <c:pt idx="56">
                  <c:v>201609</c:v>
                </c:pt>
                <c:pt idx="57">
                  <c:v>201610</c:v>
                </c:pt>
                <c:pt idx="58">
                  <c:v>201611</c:v>
                </c:pt>
                <c:pt idx="59">
                  <c:v>201612</c:v>
                </c:pt>
              </c:strCache>
            </c:strRef>
          </c:cat>
          <c:val>
            <c:numRef>
              <c:f>'IV or injection'!$E$5:$E$65</c:f>
              <c:numCache>
                <c:formatCode>General</c:formatCode>
                <c:ptCount val="60"/>
                <c:pt idx="0">
                  <c:v>6</c:v>
                </c:pt>
                <c:pt idx="1">
                  <c:v>11</c:v>
                </c:pt>
                <c:pt idx="2">
                  <c:v>12</c:v>
                </c:pt>
                <c:pt idx="3">
                  <c:v>18</c:v>
                </c:pt>
                <c:pt idx="4">
                  <c:v>23</c:v>
                </c:pt>
                <c:pt idx="5">
                  <c:v>22</c:v>
                </c:pt>
                <c:pt idx="6">
                  <c:v>31</c:v>
                </c:pt>
                <c:pt idx="7">
                  <c:v>16</c:v>
                </c:pt>
                <c:pt idx="8">
                  <c:v>30</c:v>
                </c:pt>
                <c:pt idx="9">
                  <c:v>24</c:v>
                </c:pt>
                <c:pt idx="10">
                  <c:v>28</c:v>
                </c:pt>
                <c:pt idx="11">
                  <c:v>19</c:v>
                </c:pt>
                <c:pt idx="12">
                  <c:v>14</c:v>
                </c:pt>
                <c:pt idx="13">
                  <c:v>12</c:v>
                </c:pt>
                <c:pt idx="14">
                  <c:v>21</c:v>
                </c:pt>
                <c:pt idx="15">
                  <c:v>23</c:v>
                </c:pt>
                <c:pt idx="16">
                  <c:v>11</c:v>
                </c:pt>
                <c:pt idx="17">
                  <c:v>13</c:v>
                </c:pt>
                <c:pt idx="18">
                  <c:v>16</c:v>
                </c:pt>
                <c:pt idx="19">
                  <c:v>19</c:v>
                </c:pt>
                <c:pt idx="20">
                  <c:v>23</c:v>
                </c:pt>
                <c:pt idx="21">
                  <c:v>21</c:v>
                </c:pt>
                <c:pt idx="22">
                  <c:v>16</c:v>
                </c:pt>
                <c:pt idx="23">
                  <c:v>15</c:v>
                </c:pt>
                <c:pt idx="24">
                  <c:v>12</c:v>
                </c:pt>
                <c:pt idx="25">
                  <c:v>14</c:v>
                </c:pt>
                <c:pt idx="26">
                  <c:v>13</c:v>
                </c:pt>
                <c:pt idx="27">
                  <c:v>19</c:v>
                </c:pt>
                <c:pt idx="28">
                  <c:v>15</c:v>
                </c:pt>
                <c:pt idx="29">
                  <c:v>22</c:v>
                </c:pt>
                <c:pt idx="30">
                  <c:v>22</c:v>
                </c:pt>
                <c:pt idx="31">
                  <c:v>21</c:v>
                </c:pt>
                <c:pt idx="32">
                  <c:v>29</c:v>
                </c:pt>
                <c:pt idx="33">
                  <c:v>29</c:v>
                </c:pt>
                <c:pt idx="34">
                  <c:v>14</c:v>
                </c:pt>
                <c:pt idx="35">
                  <c:v>21</c:v>
                </c:pt>
                <c:pt idx="36">
                  <c:v>10</c:v>
                </c:pt>
                <c:pt idx="37">
                  <c:v>14</c:v>
                </c:pt>
                <c:pt idx="38">
                  <c:v>17</c:v>
                </c:pt>
                <c:pt idx="39">
                  <c:v>15</c:v>
                </c:pt>
                <c:pt idx="40">
                  <c:v>21</c:v>
                </c:pt>
                <c:pt idx="41">
                  <c:v>31</c:v>
                </c:pt>
                <c:pt idx="42">
                  <c:v>19</c:v>
                </c:pt>
                <c:pt idx="43">
                  <c:v>19</c:v>
                </c:pt>
                <c:pt idx="44">
                  <c:v>26</c:v>
                </c:pt>
                <c:pt idx="45">
                  <c:v>26</c:v>
                </c:pt>
                <c:pt idx="46">
                  <c:v>18</c:v>
                </c:pt>
                <c:pt idx="47">
                  <c:v>19</c:v>
                </c:pt>
                <c:pt idx="48">
                  <c:v>15</c:v>
                </c:pt>
                <c:pt idx="49">
                  <c:v>12</c:v>
                </c:pt>
                <c:pt idx="50">
                  <c:v>19</c:v>
                </c:pt>
                <c:pt idx="51">
                  <c:v>14</c:v>
                </c:pt>
                <c:pt idx="52">
                  <c:v>14</c:v>
                </c:pt>
                <c:pt idx="53">
                  <c:v>11</c:v>
                </c:pt>
                <c:pt idx="54">
                  <c:v>12</c:v>
                </c:pt>
                <c:pt idx="55">
                  <c:v>19</c:v>
                </c:pt>
                <c:pt idx="56">
                  <c:v>18</c:v>
                </c:pt>
                <c:pt idx="57">
                  <c:v>18</c:v>
                </c:pt>
                <c:pt idx="58">
                  <c:v>20</c:v>
                </c:pt>
                <c:pt idx="59">
                  <c:v>12</c:v>
                </c:pt>
              </c:numCache>
            </c:numRef>
          </c:val>
          <c:smooth val="0"/>
        </c:ser>
        <c:ser>
          <c:idx val="4"/>
          <c:order val="4"/>
          <c:tx>
            <c:strRef>
              <c:f>'IV or injection'!$F$3:$F$4</c:f>
              <c:strCache>
                <c:ptCount val="1"/>
                <c:pt idx="0">
                  <c:v>VEDOLIZUMAB</c:v>
                </c:pt>
              </c:strCache>
            </c:strRef>
          </c:tx>
          <c:cat>
            <c:strRef>
              <c:f>'IV or injection'!$A$5:$A$65</c:f>
              <c:strCache>
                <c:ptCount val="60"/>
                <c:pt idx="0">
                  <c:v>201201</c:v>
                </c:pt>
                <c:pt idx="1">
                  <c:v>201202</c:v>
                </c:pt>
                <c:pt idx="2">
                  <c:v>201203</c:v>
                </c:pt>
                <c:pt idx="3">
                  <c:v>201204</c:v>
                </c:pt>
                <c:pt idx="4">
                  <c:v>201205</c:v>
                </c:pt>
                <c:pt idx="5">
                  <c:v>201206</c:v>
                </c:pt>
                <c:pt idx="6">
                  <c:v>201207</c:v>
                </c:pt>
                <c:pt idx="7">
                  <c:v>201208</c:v>
                </c:pt>
                <c:pt idx="8">
                  <c:v>201209</c:v>
                </c:pt>
                <c:pt idx="9">
                  <c:v>201210</c:v>
                </c:pt>
                <c:pt idx="10">
                  <c:v>201211</c:v>
                </c:pt>
                <c:pt idx="11">
                  <c:v>201212</c:v>
                </c:pt>
                <c:pt idx="12">
                  <c:v>201301</c:v>
                </c:pt>
                <c:pt idx="13">
                  <c:v>201302</c:v>
                </c:pt>
                <c:pt idx="14">
                  <c:v>201303</c:v>
                </c:pt>
                <c:pt idx="15">
                  <c:v>201304</c:v>
                </c:pt>
                <c:pt idx="16">
                  <c:v>201305</c:v>
                </c:pt>
                <c:pt idx="17">
                  <c:v>201306</c:v>
                </c:pt>
                <c:pt idx="18">
                  <c:v>201307</c:v>
                </c:pt>
                <c:pt idx="19">
                  <c:v>201308</c:v>
                </c:pt>
                <c:pt idx="20">
                  <c:v>201309</c:v>
                </c:pt>
                <c:pt idx="21">
                  <c:v>201310</c:v>
                </c:pt>
                <c:pt idx="22">
                  <c:v>201311</c:v>
                </c:pt>
                <c:pt idx="23">
                  <c:v>201312</c:v>
                </c:pt>
                <c:pt idx="24">
                  <c:v>201401</c:v>
                </c:pt>
                <c:pt idx="25">
                  <c:v>201402</c:v>
                </c:pt>
                <c:pt idx="26">
                  <c:v>201403</c:v>
                </c:pt>
                <c:pt idx="27">
                  <c:v>201404</c:v>
                </c:pt>
                <c:pt idx="28">
                  <c:v>201405</c:v>
                </c:pt>
                <c:pt idx="29">
                  <c:v>201406</c:v>
                </c:pt>
                <c:pt idx="30">
                  <c:v>201407</c:v>
                </c:pt>
                <c:pt idx="31">
                  <c:v>201408</c:v>
                </c:pt>
                <c:pt idx="32">
                  <c:v>201409</c:v>
                </c:pt>
                <c:pt idx="33">
                  <c:v>201410</c:v>
                </c:pt>
                <c:pt idx="34">
                  <c:v>201411</c:v>
                </c:pt>
                <c:pt idx="35">
                  <c:v>201412</c:v>
                </c:pt>
                <c:pt idx="36">
                  <c:v>201501</c:v>
                </c:pt>
                <c:pt idx="37">
                  <c:v>201502</c:v>
                </c:pt>
                <c:pt idx="38">
                  <c:v>201503</c:v>
                </c:pt>
                <c:pt idx="39">
                  <c:v>201504</c:v>
                </c:pt>
                <c:pt idx="40">
                  <c:v>201505</c:v>
                </c:pt>
                <c:pt idx="41">
                  <c:v>201506</c:v>
                </c:pt>
                <c:pt idx="42">
                  <c:v>201507</c:v>
                </c:pt>
                <c:pt idx="43">
                  <c:v>201508</c:v>
                </c:pt>
                <c:pt idx="44">
                  <c:v>201509</c:v>
                </c:pt>
                <c:pt idx="45">
                  <c:v>201510</c:v>
                </c:pt>
                <c:pt idx="46">
                  <c:v>201511</c:v>
                </c:pt>
                <c:pt idx="47">
                  <c:v>201512</c:v>
                </c:pt>
                <c:pt idx="48">
                  <c:v>201601</c:v>
                </c:pt>
                <c:pt idx="49">
                  <c:v>201602</c:v>
                </c:pt>
                <c:pt idx="50">
                  <c:v>201603</c:v>
                </c:pt>
                <c:pt idx="51">
                  <c:v>201604</c:v>
                </c:pt>
                <c:pt idx="52">
                  <c:v>201605</c:v>
                </c:pt>
                <c:pt idx="53">
                  <c:v>201606</c:v>
                </c:pt>
                <c:pt idx="54">
                  <c:v>201607</c:v>
                </c:pt>
                <c:pt idx="55">
                  <c:v>201608</c:v>
                </c:pt>
                <c:pt idx="56">
                  <c:v>201609</c:v>
                </c:pt>
                <c:pt idx="57">
                  <c:v>201610</c:v>
                </c:pt>
                <c:pt idx="58">
                  <c:v>201611</c:v>
                </c:pt>
                <c:pt idx="59">
                  <c:v>201612</c:v>
                </c:pt>
              </c:strCache>
            </c:strRef>
          </c:cat>
          <c:val>
            <c:numRef>
              <c:f>'IV or injection'!$F$5:$F$65</c:f>
              <c:numCache>
                <c:formatCode>General</c:formatCode>
                <c:ptCount val="60"/>
                <c:pt idx="43">
                  <c:v>14</c:v>
                </c:pt>
                <c:pt idx="44">
                  <c:v>67</c:v>
                </c:pt>
                <c:pt idx="45">
                  <c:v>106</c:v>
                </c:pt>
                <c:pt idx="46">
                  <c:v>122</c:v>
                </c:pt>
                <c:pt idx="47">
                  <c:v>170</c:v>
                </c:pt>
                <c:pt idx="48">
                  <c:v>147</c:v>
                </c:pt>
                <c:pt idx="49">
                  <c:v>190</c:v>
                </c:pt>
                <c:pt idx="50">
                  <c:v>227</c:v>
                </c:pt>
                <c:pt idx="51">
                  <c:v>242</c:v>
                </c:pt>
                <c:pt idx="52">
                  <c:v>264</c:v>
                </c:pt>
                <c:pt idx="53">
                  <c:v>261</c:v>
                </c:pt>
                <c:pt idx="54">
                  <c:v>259</c:v>
                </c:pt>
                <c:pt idx="55">
                  <c:v>327</c:v>
                </c:pt>
                <c:pt idx="56">
                  <c:v>319</c:v>
                </c:pt>
                <c:pt idx="57">
                  <c:v>328</c:v>
                </c:pt>
                <c:pt idx="58">
                  <c:v>377</c:v>
                </c:pt>
                <c:pt idx="59">
                  <c:v>349</c:v>
                </c:pt>
              </c:numCache>
            </c:numRef>
          </c:val>
          <c:smooth val="0"/>
        </c:ser>
        <c:ser>
          <c:idx val="5"/>
          <c:order val="5"/>
          <c:tx>
            <c:strRef>
              <c:f>'IV or injection'!$G$3:$G$4</c:f>
              <c:strCache>
                <c:ptCount val="1"/>
                <c:pt idx="0">
                  <c:v>HYDROCORTISONE SODIUM SUCCINATE</c:v>
                </c:pt>
              </c:strCache>
            </c:strRef>
          </c:tx>
          <c:cat>
            <c:strRef>
              <c:f>'IV or injection'!$A$5:$A$65</c:f>
              <c:strCache>
                <c:ptCount val="60"/>
                <c:pt idx="0">
                  <c:v>201201</c:v>
                </c:pt>
                <c:pt idx="1">
                  <c:v>201202</c:v>
                </c:pt>
                <c:pt idx="2">
                  <c:v>201203</c:v>
                </c:pt>
                <c:pt idx="3">
                  <c:v>201204</c:v>
                </c:pt>
                <c:pt idx="4">
                  <c:v>201205</c:v>
                </c:pt>
                <c:pt idx="5">
                  <c:v>201206</c:v>
                </c:pt>
                <c:pt idx="6">
                  <c:v>201207</c:v>
                </c:pt>
                <c:pt idx="7">
                  <c:v>201208</c:v>
                </c:pt>
                <c:pt idx="8">
                  <c:v>201209</c:v>
                </c:pt>
                <c:pt idx="9">
                  <c:v>201210</c:v>
                </c:pt>
                <c:pt idx="10">
                  <c:v>201211</c:v>
                </c:pt>
                <c:pt idx="11">
                  <c:v>201212</c:v>
                </c:pt>
                <c:pt idx="12">
                  <c:v>201301</c:v>
                </c:pt>
                <c:pt idx="13">
                  <c:v>201302</c:v>
                </c:pt>
                <c:pt idx="14">
                  <c:v>201303</c:v>
                </c:pt>
                <c:pt idx="15">
                  <c:v>201304</c:v>
                </c:pt>
                <c:pt idx="16">
                  <c:v>201305</c:v>
                </c:pt>
                <c:pt idx="17">
                  <c:v>201306</c:v>
                </c:pt>
                <c:pt idx="18">
                  <c:v>201307</c:v>
                </c:pt>
                <c:pt idx="19">
                  <c:v>201308</c:v>
                </c:pt>
                <c:pt idx="20">
                  <c:v>201309</c:v>
                </c:pt>
                <c:pt idx="21">
                  <c:v>201310</c:v>
                </c:pt>
                <c:pt idx="22">
                  <c:v>201311</c:v>
                </c:pt>
                <c:pt idx="23">
                  <c:v>201312</c:v>
                </c:pt>
                <c:pt idx="24">
                  <c:v>201401</c:v>
                </c:pt>
                <c:pt idx="25">
                  <c:v>201402</c:v>
                </c:pt>
                <c:pt idx="26">
                  <c:v>201403</c:v>
                </c:pt>
                <c:pt idx="27">
                  <c:v>201404</c:v>
                </c:pt>
                <c:pt idx="28">
                  <c:v>201405</c:v>
                </c:pt>
                <c:pt idx="29">
                  <c:v>201406</c:v>
                </c:pt>
                <c:pt idx="30">
                  <c:v>201407</c:v>
                </c:pt>
                <c:pt idx="31">
                  <c:v>201408</c:v>
                </c:pt>
                <c:pt idx="32">
                  <c:v>201409</c:v>
                </c:pt>
                <c:pt idx="33">
                  <c:v>201410</c:v>
                </c:pt>
                <c:pt idx="34">
                  <c:v>201411</c:v>
                </c:pt>
                <c:pt idx="35">
                  <c:v>201412</c:v>
                </c:pt>
                <c:pt idx="36">
                  <c:v>201501</c:v>
                </c:pt>
                <c:pt idx="37">
                  <c:v>201502</c:v>
                </c:pt>
                <c:pt idx="38">
                  <c:v>201503</c:v>
                </c:pt>
                <c:pt idx="39">
                  <c:v>201504</c:v>
                </c:pt>
                <c:pt idx="40">
                  <c:v>201505</c:v>
                </c:pt>
                <c:pt idx="41">
                  <c:v>201506</c:v>
                </c:pt>
                <c:pt idx="42">
                  <c:v>201507</c:v>
                </c:pt>
                <c:pt idx="43">
                  <c:v>201508</c:v>
                </c:pt>
                <c:pt idx="44">
                  <c:v>201509</c:v>
                </c:pt>
                <c:pt idx="45">
                  <c:v>201510</c:v>
                </c:pt>
                <c:pt idx="46">
                  <c:v>201511</c:v>
                </c:pt>
                <c:pt idx="47">
                  <c:v>201512</c:v>
                </c:pt>
                <c:pt idx="48">
                  <c:v>201601</c:v>
                </c:pt>
                <c:pt idx="49">
                  <c:v>201602</c:v>
                </c:pt>
                <c:pt idx="50">
                  <c:v>201603</c:v>
                </c:pt>
                <c:pt idx="51">
                  <c:v>201604</c:v>
                </c:pt>
                <c:pt idx="52">
                  <c:v>201605</c:v>
                </c:pt>
                <c:pt idx="53">
                  <c:v>201606</c:v>
                </c:pt>
                <c:pt idx="54">
                  <c:v>201607</c:v>
                </c:pt>
                <c:pt idx="55">
                  <c:v>201608</c:v>
                </c:pt>
                <c:pt idx="56">
                  <c:v>201609</c:v>
                </c:pt>
                <c:pt idx="57">
                  <c:v>201610</c:v>
                </c:pt>
                <c:pt idx="58">
                  <c:v>201611</c:v>
                </c:pt>
                <c:pt idx="59">
                  <c:v>201612</c:v>
                </c:pt>
              </c:strCache>
            </c:strRef>
          </c:cat>
          <c:val>
            <c:numRef>
              <c:f>'IV or injection'!$G$5:$G$65</c:f>
              <c:numCache>
                <c:formatCode>General</c:formatCode>
                <c:ptCount val="60"/>
                <c:pt idx="0">
                  <c:v>25</c:v>
                </c:pt>
                <c:pt idx="1">
                  <c:v>33</c:v>
                </c:pt>
                <c:pt idx="2">
                  <c:v>41</c:v>
                </c:pt>
                <c:pt idx="3">
                  <c:v>45</c:v>
                </c:pt>
                <c:pt idx="4">
                  <c:v>59</c:v>
                </c:pt>
                <c:pt idx="5">
                  <c:v>65</c:v>
                </c:pt>
                <c:pt idx="6">
                  <c:v>35</c:v>
                </c:pt>
                <c:pt idx="7">
                  <c:v>48</c:v>
                </c:pt>
                <c:pt idx="8">
                  <c:v>58</c:v>
                </c:pt>
                <c:pt idx="9">
                  <c:v>34</c:v>
                </c:pt>
                <c:pt idx="10">
                  <c:v>42</c:v>
                </c:pt>
                <c:pt idx="11">
                  <c:v>31</c:v>
                </c:pt>
                <c:pt idx="12">
                  <c:v>43</c:v>
                </c:pt>
                <c:pt idx="13">
                  <c:v>46</c:v>
                </c:pt>
                <c:pt idx="14">
                  <c:v>57</c:v>
                </c:pt>
                <c:pt idx="15">
                  <c:v>79</c:v>
                </c:pt>
                <c:pt idx="16">
                  <c:v>71</c:v>
                </c:pt>
                <c:pt idx="17">
                  <c:v>33</c:v>
                </c:pt>
                <c:pt idx="18">
                  <c:v>30</c:v>
                </c:pt>
                <c:pt idx="19">
                  <c:v>33</c:v>
                </c:pt>
                <c:pt idx="20">
                  <c:v>34</c:v>
                </c:pt>
                <c:pt idx="21">
                  <c:v>35</c:v>
                </c:pt>
                <c:pt idx="22">
                  <c:v>39</c:v>
                </c:pt>
                <c:pt idx="23">
                  <c:v>53</c:v>
                </c:pt>
                <c:pt idx="24">
                  <c:v>36</c:v>
                </c:pt>
                <c:pt idx="25">
                  <c:v>29</c:v>
                </c:pt>
                <c:pt idx="26">
                  <c:v>58</c:v>
                </c:pt>
                <c:pt idx="27">
                  <c:v>52</c:v>
                </c:pt>
                <c:pt idx="28">
                  <c:v>43</c:v>
                </c:pt>
                <c:pt idx="29">
                  <c:v>36</c:v>
                </c:pt>
                <c:pt idx="30">
                  <c:v>36</c:v>
                </c:pt>
                <c:pt idx="31">
                  <c:v>30</c:v>
                </c:pt>
                <c:pt idx="32">
                  <c:v>40</c:v>
                </c:pt>
                <c:pt idx="33">
                  <c:v>44</c:v>
                </c:pt>
                <c:pt idx="34">
                  <c:v>31</c:v>
                </c:pt>
                <c:pt idx="35">
                  <c:v>48</c:v>
                </c:pt>
                <c:pt idx="36">
                  <c:v>34</c:v>
                </c:pt>
                <c:pt idx="37">
                  <c:v>38</c:v>
                </c:pt>
                <c:pt idx="38">
                  <c:v>48</c:v>
                </c:pt>
                <c:pt idx="39">
                  <c:v>31</c:v>
                </c:pt>
                <c:pt idx="40">
                  <c:v>56</c:v>
                </c:pt>
                <c:pt idx="41">
                  <c:v>38</c:v>
                </c:pt>
                <c:pt idx="42">
                  <c:v>44</c:v>
                </c:pt>
                <c:pt idx="43">
                  <c:v>59</c:v>
                </c:pt>
                <c:pt idx="44">
                  <c:v>45</c:v>
                </c:pt>
                <c:pt idx="45">
                  <c:v>52</c:v>
                </c:pt>
                <c:pt idx="46">
                  <c:v>57</c:v>
                </c:pt>
                <c:pt idx="47">
                  <c:v>37</c:v>
                </c:pt>
                <c:pt idx="48">
                  <c:v>27</c:v>
                </c:pt>
                <c:pt idx="49">
                  <c:v>59</c:v>
                </c:pt>
                <c:pt idx="50">
                  <c:v>67</c:v>
                </c:pt>
                <c:pt idx="51">
                  <c:v>43</c:v>
                </c:pt>
                <c:pt idx="52">
                  <c:v>28</c:v>
                </c:pt>
                <c:pt idx="53">
                  <c:v>39</c:v>
                </c:pt>
                <c:pt idx="54">
                  <c:v>42</c:v>
                </c:pt>
                <c:pt idx="55">
                  <c:v>47</c:v>
                </c:pt>
                <c:pt idx="56">
                  <c:v>39</c:v>
                </c:pt>
                <c:pt idx="57">
                  <c:v>24</c:v>
                </c:pt>
                <c:pt idx="58">
                  <c:v>37</c:v>
                </c:pt>
                <c:pt idx="59">
                  <c:v>36</c:v>
                </c:pt>
              </c:numCache>
            </c:numRef>
          </c:val>
          <c:smooth val="0"/>
        </c:ser>
        <c:dLbls>
          <c:showLegendKey val="0"/>
          <c:showVal val="0"/>
          <c:showCatName val="0"/>
          <c:showSerName val="0"/>
          <c:showPercent val="0"/>
          <c:showBubbleSize val="0"/>
        </c:dLbls>
        <c:marker val="1"/>
        <c:smooth val="0"/>
        <c:axId val="442938496"/>
        <c:axId val="442940032"/>
      </c:lineChart>
      <c:catAx>
        <c:axId val="442938496"/>
        <c:scaling>
          <c:orientation val="minMax"/>
        </c:scaling>
        <c:delete val="0"/>
        <c:axPos val="b"/>
        <c:majorTickMark val="out"/>
        <c:minorTickMark val="none"/>
        <c:tickLblPos val="nextTo"/>
        <c:crossAx val="442940032"/>
        <c:crosses val="autoZero"/>
        <c:auto val="1"/>
        <c:lblAlgn val="ctr"/>
        <c:lblOffset val="100"/>
        <c:noMultiLvlLbl val="0"/>
      </c:catAx>
      <c:valAx>
        <c:axId val="442940032"/>
        <c:scaling>
          <c:orientation val="minMax"/>
        </c:scaling>
        <c:delete val="0"/>
        <c:axPos val="l"/>
        <c:majorGridlines/>
        <c:numFmt formatCode="General" sourceLinked="1"/>
        <c:majorTickMark val="out"/>
        <c:minorTickMark val="none"/>
        <c:tickLblPos val="nextTo"/>
        <c:crossAx val="442938496"/>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1"/>
          <c:order val="0"/>
          <c:tx>
            <c:strRef>
              <c:f>'Patient counts'!$B$1</c:f>
              <c:strCache>
                <c:ptCount val="1"/>
                <c:pt idx="0">
                  <c:v>Treated Patients</c:v>
                </c:pt>
              </c:strCache>
            </c:strRef>
          </c:tx>
          <c:marker>
            <c:symbol val="none"/>
          </c:marker>
          <c:cat>
            <c:numRef>
              <c:f>'Patient counts'!$A$2:$A$61</c:f>
              <c:numCache>
                <c:formatCode>General</c:formatCode>
                <c:ptCount val="60"/>
                <c:pt idx="0">
                  <c:v>201201</c:v>
                </c:pt>
                <c:pt idx="1">
                  <c:v>201202</c:v>
                </c:pt>
                <c:pt idx="2">
                  <c:v>201203</c:v>
                </c:pt>
                <c:pt idx="3">
                  <c:v>201204</c:v>
                </c:pt>
                <c:pt idx="4">
                  <c:v>201205</c:v>
                </c:pt>
                <c:pt idx="5">
                  <c:v>201206</c:v>
                </c:pt>
                <c:pt idx="6">
                  <c:v>201207</c:v>
                </c:pt>
                <c:pt idx="7">
                  <c:v>201208</c:v>
                </c:pt>
                <c:pt idx="8">
                  <c:v>201209</c:v>
                </c:pt>
                <c:pt idx="9">
                  <c:v>201210</c:v>
                </c:pt>
                <c:pt idx="10">
                  <c:v>201211</c:v>
                </c:pt>
                <c:pt idx="11">
                  <c:v>201212</c:v>
                </c:pt>
                <c:pt idx="12">
                  <c:v>201301</c:v>
                </c:pt>
                <c:pt idx="13">
                  <c:v>201302</c:v>
                </c:pt>
                <c:pt idx="14">
                  <c:v>201303</c:v>
                </c:pt>
                <c:pt idx="15">
                  <c:v>201304</c:v>
                </c:pt>
                <c:pt idx="16">
                  <c:v>201305</c:v>
                </c:pt>
                <c:pt idx="17">
                  <c:v>201306</c:v>
                </c:pt>
                <c:pt idx="18">
                  <c:v>201307</c:v>
                </c:pt>
                <c:pt idx="19">
                  <c:v>201308</c:v>
                </c:pt>
                <c:pt idx="20">
                  <c:v>201309</c:v>
                </c:pt>
                <c:pt idx="21">
                  <c:v>201310</c:v>
                </c:pt>
                <c:pt idx="22">
                  <c:v>201311</c:v>
                </c:pt>
                <c:pt idx="23">
                  <c:v>201312</c:v>
                </c:pt>
                <c:pt idx="24">
                  <c:v>201401</c:v>
                </c:pt>
                <c:pt idx="25">
                  <c:v>201402</c:v>
                </c:pt>
                <c:pt idx="26">
                  <c:v>201403</c:v>
                </c:pt>
                <c:pt idx="27">
                  <c:v>201404</c:v>
                </c:pt>
                <c:pt idx="28">
                  <c:v>201405</c:v>
                </c:pt>
                <c:pt idx="29">
                  <c:v>201406</c:v>
                </c:pt>
                <c:pt idx="30">
                  <c:v>201407</c:v>
                </c:pt>
                <c:pt idx="31">
                  <c:v>201408</c:v>
                </c:pt>
                <c:pt idx="32">
                  <c:v>201409</c:v>
                </c:pt>
                <c:pt idx="33">
                  <c:v>201410</c:v>
                </c:pt>
                <c:pt idx="34">
                  <c:v>201411</c:v>
                </c:pt>
                <c:pt idx="35">
                  <c:v>201412</c:v>
                </c:pt>
                <c:pt idx="36">
                  <c:v>201501</c:v>
                </c:pt>
                <c:pt idx="37">
                  <c:v>201502</c:v>
                </c:pt>
                <c:pt idx="38">
                  <c:v>201503</c:v>
                </c:pt>
                <c:pt idx="39">
                  <c:v>201504</c:v>
                </c:pt>
                <c:pt idx="40">
                  <c:v>201505</c:v>
                </c:pt>
                <c:pt idx="41">
                  <c:v>201506</c:v>
                </c:pt>
                <c:pt idx="42">
                  <c:v>201507</c:v>
                </c:pt>
                <c:pt idx="43">
                  <c:v>201508</c:v>
                </c:pt>
                <c:pt idx="44">
                  <c:v>201509</c:v>
                </c:pt>
                <c:pt idx="45">
                  <c:v>201510</c:v>
                </c:pt>
                <c:pt idx="46">
                  <c:v>201511</c:v>
                </c:pt>
                <c:pt idx="47">
                  <c:v>201512</c:v>
                </c:pt>
                <c:pt idx="48">
                  <c:v>201601</c:v>
                </c:pt>
                <c:pt idx="49">
                  <c:v>201602</c:v>
                </c:pt>
                <c:pt idx="50">
                  <c:v>201603</c:v>
                </c:pt>
                <c:pt idx="51">
                  <c:v>201604</c:v>
                </c:pt>
                <c:pt idx="52">
                  <c:v>201605</c:v>
                </c:pt>
                <c:pt idx="53">
                  <c:v>201606</c:v>
                </c:pt>
                <c:pt idx="54">
                  <c:v>201607</c:v>
                </c:pt>
                <c:pt idx="55">
                  <c:v>201608</c:v>
                </c:pt>
                <c:pt idx="56">
                  <c:v>201609</c:v>
                </c:pt>
                <c:pt idx="57">
                  <c:v>201610</c:v>
                </c:pt>
                <c:pt idx="58">
                  <c:v>201611</c:v>
                </c:pt>
                <c:pt idx="59">
                  <c:v>201612</c:v>
                </c:pt>
              </c:numCache>
            </c:numRef>
          </c:cat>
          <c:val>
            <c:numRef>
              <c:f>'Patient counts'!$B$2:$B$61</c:f>
              <c:numCache>
                <c:formatCode>General</c:formatCode>
                <c:ptCount val="60"/>
                <c:pt idx="0">
                  <c:v>13739</c:v>
                </c:pt>
                <c:pt idx="1">
                  <c:v>14399</c:v>
                </c:pt>
                <c:pt idx="2">
                  <c:v>15752</c:v>
                </c:pt>
                <c:pt idx="3">
                  <c:v>15357</c:v>
                </c:pt>
                <c:pt idx="4">
                  <c:v>16398</c:v>
                </c:pt>
                <c:pt idx="5">
                  <c:v>16000</c:v>
                </c:pt>
                <c:pt idx="6">
                  <c:v>16298</c:v>
                </c:pt>
                <c:pt idx="7">
                  <c:v>16877</c:v>
                </c:pt>
                <c:pt idx="8">
                  <c:v>16113</c:v>
                </c:pt>
                <c:pt idx="9">
                  <c:v>16993</c:v>
                </c:pt>
                <c:pt idx="10">
                  <c:v>16985</c:v>
                </c:pt>
                <c:pt idx="11">
                  <c:v>17766</c:v>
                </c:pt>
                <c:pt idx="12">
                  <c:v>15413</c:v>
                </c:pt>
                <c:pt idx="13">
                  <c:v>15910</c:v>
                </c:pt>
                <c:pt idx="14">
                  <c:v>16832</c:v>
                </c:pt>
                <c:pt idx="15">
                  <c:v>17051</c:v>
                </c:pt>
                <c:pt idx="16">
                  <c:v>17579</c:v>
                </c:pt>
                <c:pt idx="17">
                  <c:v>17007</c:v>
                </c:pt>
                <c:pt idx="18">
                  <c:v>17847</c:v>
                </c:pt>
                <c:pt idx="19">
                  <c:v>17917</c:v>
                </c:pt>
                <c:pt idx="20">
                  <c:v>17255</c:v>
                </c:pt>
                <c:pt idx="21">
                  <c:v>18234</c:v>
                </c:pt>
                <c:pt idx="22">
                  <c:v>17894</c:v>
                </c:pt>
                <c:pt idx="23">
                  <c:v>18989</c:v>
                </c:pt>
                <c:pt idx="24">
                  <c:v>16532</c:v>
                </c:pt>
                <c:pt idx="25">
                  <c:v>16763</c:v>
                </c:pt>
                <c:pt idx="26">
                  <c:v>18007</c:v>
                </c:pt>
                <c:pt idx="27">
                  <c:v>17799</c:v>
                </c:pt>
                <c:pt idx="28">
                  <c:v>18775</c:v>
                </c:pt>
                <c:pt idx="29">
                  <c:v>18070</c:v>
                </c:pt>
                <c:pt idx="30">
                  <c:v>18769</c:v>
                </c:pt>
                <c:pt idx="31">
                  <c:v>18521</c:v>
                </c:pt>
                <c:pt idx="32">
                  <c:v>18701</c:v>
                </c:pt>
                <c:pt idx="33">
                  <c:v>19265</c:v>
                </c:pt>
                <c:pt idx="34">
                  <c:v>18468</c:v>
                </c:pt>
                <c:pt idx="35">
                  <c:v>20525</c:v>
                </c:pt>
                <c:pt idx="36">
                  <c:v>17242</c:v>
                </c:pt>
                <c:pt idx="37">
                  <c:v>17670</c:v>
                </c:pt>
                <c:pt idx="38">
                  <c:v>19485</c:v>
                </c:pt>
                <c:pt idx="39">
                  <c:v>18765</c:v>
                </c:pt>
                <c:pt idx="40">
                  <c:v>19290</c:v>
                </c:pt>
                <c:pt idx="41">
                  <c:v>19737</c:v>
                </c:pt>
                <c:pt idx="42">
                  <c:v>20152</c:v>
                </c:pt>
                <c:pt idx="43">
                  <c:v>20124</c:v>
                </c:pt>
                <c:pt idx="44">
                  <c:v>19933</c:v>
                </c:pt>
                <c:pt idx="45">
                  <c:v>20437</c:v>
                </c:pt>
                <c:pt idx="46">
                  <c:v>20476</c:v>
                </c:pt>
                <c:pt idx="47">
                  <c:v>21817</c:v>
                </c:pt>
                <c:pt idx="48">
                  <c:v>18587</c:v>
                </c:pt>
                <c:pt idx="49">
                  <c:v>19718</c:v>
                </c:pt>
                <c:pt idx="50">
                  <c:v>20758</c:v>
                </c:pt>
                <c:pt idx="51">
                  <c:v>20600</c:v>
                </c:pt>
                <c:pt idx="52">
                  <c:v>20897</c:v>
                </c:pt>
                <c:pt idx="53">
                  <c:v>20496</c:v>
                </c:pt>
                <c:pt idx="54">
                  <c:v>20579</c:v>
                </c:pt>
                <c:pt idx="55">
                  <c:v>20996</c:v>
                </c:pt>
                <c:pt idx="56">
                  <c:v>20658</c:v>
                </c:pt>
                <c:pt idx="57">
                  <c:v>20783</c:v>
                </c:pt>
                <c:pt idx="58">
                  <c:v>21154</c:v>
                </c:pt>
                <c:pt idx="59">
                  <c:v>21794</c:v>
                </c:pt>
              </c:numCache>
            </c:numRef>
          </c:val>
          <c:smooth val="0"/>
        </c:ser>
        <c:ser>
          <c:idx val="2"/>
          <c:order val="1"/>
          <c:tx>
            <c:strRef>
              <c:f>'Patient counts'!$C$1</c:f>
              <c:strCache>
                <c:ptCount val="1"/>
                <c:pt idx="0">
                  <c:v>Initiating Patients</c:v>
                </c:pt>
              </c:strCache>
            </c:strRef>
          </c:tx>
          <c:marker>
            <c:symbol val="none"/>
          </c:marker>
          <c:cat>
            <c:numRef>
              <c:f>'Patient counts'!$A$2:$A$61</c:f>
              <c:numCache>
                <c:formatCode>General</c:formatCode>
                <c:ptCount val="60"/>
                <c:pt idx="0">
                  <c:v>201201</c:v>
                </c:pt>
                <c:pt idx="1">
                  <c:v>201202</c:v>
                </c:pt>
                <c:pt idx="2">
                  <c:v>201203</c:v>
                </c:pt>
                <c:pt idx="3">
                  <c:v>201204</c:v>
                </c:pt>
                <c:pt idx="4">
                  <c:v>201205</c:v>
                </c:pt>
                <c:pt idx="5">
                  <c:v>201206</c:v>
                </c:pt>
                <c:pt idx="6">
                  <c:v>201207</c:v>
                </c:pt>
                <c:pt idx="7">
                  <c:v>201208</c:v>
                </c:pt>
                <c:pt idx="8">
                  <c:v>201209</c:v>
                </c:pt>
                <c:pt idx="9">
                  <c:v>201210</c:v>
                </c:pt>
                <c:pt idx="10">
                  <c:v>201211</c:v>
                </c:pt>
                <c:pt idx="11">
                  <c:v>201212</c:v>
                </c:pt>
                <c:pt idx="12">
                  <c:v>201301</c:v>
                </c:pt>
                <c:pt idx="13">
                  <c:v>201302</c:v>
                </c:pt>
                <c:pt idx="14">
                  <c:v>201303</c:v>
                </c:pt>
                <c:pt idx="15">
                  <c:v>201304</c:v>
                </c:pt>
                <c:pt idx="16">
                  <c:v>201305</c:v>
                </c:pt>
                <c:pt idx="17">
                  <c:v>201306</c:v>
                </c:pt>
                <c:pt idx="18">
                  <c:v>201307</c:v>
                </c:pt>
                <c:pt idx="19">
                  <c:v>201308</c:v>
                </c:pt>
                <c:pt idx="20">
                  <c:v>201309</c:v>
                </c:pt>
                <c:pt idx="21">
                  <c:v>201310</c:v>
                </c:pt>
                <c:pt idx="22">
                  <c:v>201311</c:v>
                </c:pt>
                <c:pt idx="23">
                  <c:v>201312</c:v>
                </c:pt>
                <c:pt idx="24">
                  <c:v>201401</c:v>
                </c:pt>
                <c:pt idx="25">
                  <c:v>201402</c:v>
                </c:pt>
                <c:pt idx="26">
                  <c:v>201403</c:v>
                </c:pt>
                <c:pt idx="27">
                  <c:v>201404</c:v>
                </c:pt>
                <c:pt idx="28">
                  <c:v>201405</c:v>
                </c:pt>
                <c:pt idx="29">
                  <c:v>201406</c:v>
                </c:pt>
                <c:pt idx="30">
                  <c:v>201407</c:v>
                </c:pt>
                <c:pt idx="31">
                  <c:v>201408</c:v>
                </c:pt>
                <c:pt idx="32">
                  <c:v>201409</c:v>
                </c:pt>
                <c:pt idx="33">
                  <c:v>201410</c:v>
                </c:pt>
                <c:pt idx="34">
                  <c:v>201411</c:v>
                </c:pt>
                <c:pt idx="35">
                  <c:v>201412</c:v>
                </c:pt>
                <c:pt idx="36">
                  <c:v>201501</c:v>
                </c:pt>
                <c:pt idx="37">
                  <c:v>201502</c:v>
                </c:pt>
                <c:pt idx="38">
                  <c:v>201503</c:v>
                </c:pt>
                <c:pt idx="39">
                  <c:v>201504</c:v>
                </c:pt>
                <c:pt idx="40">
                  <c:v>201505</c:v>
                </c:pt>
                <c:pt idx="41">
                  <c:v>201506</c:v>
                </c:pt>
                <c:pt idx="42">
                  <c:v>201507</c:v>
                </c:pt>
                <c:pt idx="43">
                  <c:v>201508</c:v>
                </c:pt>
                <c:pt idx="44">
                  <c:v>201509</c:v>
                </c:pt>
                <c:pt idx="45">
                  <c:v>201510</c:v>
                </c:pt>
                <c:pt idx="46">
                  <c:v>201511</c:v>
                </c:pt>
                <c:pt idx="47">
                  <c:v>201512</c:v>
                </c:pt>
                <c:pt idx="48">
                  <c:v>201601</c:v>
                </c:pt>
                <c:pt idx="49">
                  <c:v>201602</c:v>
                </c:pt>
                <c:pt idx="50">
                  <c:v>201603</c:v>
                </c:pt>
                <c:pt idx="51">
                  <c:v>201604</c:v>
                </c:pt>
                <c:pt idx="52">
                  <c:v>201605</c:v>
                </c:pt>
                <c:pt idx="53">
                  <c:v>201606</c:v>
                </c:pt>
                <c:pt idx="54">
                  <c:v>201607</c:v>
                </c:pt>
                <c:pt idx="55">
                  <c:v>201608</c:v>
                </c:pt>
                <c:pt idx="56">
                  <c:v>201609</c:v>
                </c:pt>
                <c:pt idx="57">
                  <c:v>201610</c:v>
                </c:pt>
                <c:pt idx="58">
                  <c:v>201611</c:v>
                </c:pt>
                <c:pt idx="59">
                  <c:v>201612</c:v>
                </c:pt>
              </c:numCache>
            </c:numRef>
          </c:cat>
          <c:val>
            <c:numRef>
              <c:f>'Patient counts'!$C$2:$C$61</c:f>
              <c:numCache>
                <c:formatCode>General</c:formatCode>
                <c:ptCount val="60"/>
                <c:pt idx="12">
                  <c:v>552</c:v>
                </c:pt>
                <c:pt idx="13">
                  <c:v>626</c:v>
                </c:pt>
                <c:pt idx="14">
                  <c:v>613</c:v>
                </c:pt>
                <c:pt idx="15">
                  <c:v>590</c:v>
                </c:pt>
                <c:pt idx="16">
                  <c:v>646</c:v>
                </c:pt>
                <c:pt idx="17">
                  <c:v>548</c:v>
                </c:pt>
                <c:pt idx="18">
                  <c:v>600</c:v>
                </c:pt>
                <c:pt idx="19">
                  <c:v>572</c:v>
                </c:pt>
                <c:pt idx="20">
                  <c:v>561</c:v>
                </c:pt>
                <c:pt idx="21">
                  <c:v>511</c:v>
                </c:pt>
                <c:pt idx="22">
                  <c:v>507</c:v>
                </c:pt>
                <c:pt idx="23">
                  <c:v>477</c:v>
                </c:pt>
                <c:pt idx="24">
                  <c:v>424</c:v>
                </c:pt>
                <c:pt idx="25">
                  <c:v>443</c:v>
                </c:pt>
                <c:pt idx="26">
                  <c:v>501</c:v>
                </c:pt>
                <c:pt idx="27">
                  <c:v>458</c:v>
                </c:pt>
                <c:pt idx="28">
                  <c:v>466</c:v>
                </c:pt>
                <c:pt idx="29">
                  <c:v>446</c:v>
                </c:pt>
                <c:pt idx="30">
                  <c:v>491</c:v>
                </c:pt>
                <c:pt idx="31">
                  <c:v>480</c:v>
                </c:pt>
                <c:pt idx="32">
                  <c:v>463</c:v>
                </c:pt>
                <c:pt idx="33">
                  <c:v>421</c:v>
                </c:pt>
                <c:pt idx="34">
                  <c:v>395</c:v>
                </c:pt>
                <c:pt idx="35">
                  <c:v>439</c:v>
                </c:pt>
                <c:pt idx="36">
                  <c:v>307</c:v>
                </c:pt>
                <c:pt idx="37">
                  <c:v>411</c:v>
                </c:pt>
                <c:pt idx="38">
                  <c:v>422</c:v>
                </c:pt>
                <c:pt idx="39">
                  <c:v>382</c:v>
                </c:pt>
                <c:pt idx="40">
                  <c:v>441</c:v>
                </c:pt>
                <c:pt idx="41">
                  <c:v>415</c:v>
                </c:pt>
                <c:pt idx="42">
                  <c:v>437</c:v>
                </c:pt>
                <c:pt idx="43">
                  <c:v>391</c:v>
                </c:pt>
                <c:pt idx="44">
                  <c:v>437</c:v>
                </c:pt>
                <c:pt idx="45">
                  <c:v>397</c:v>
                </c:pt>
                <c:pt idx="46">
                  <c:v>367</c:v>
                </c:pt>
                <c:pt idx="47">
                  <c:v>402</c:v>
                </c:pt>
                <c:pt idx="48">
                  <c:v>251</c:v>
                </c:pt>
                <c:pt idx="49">
                  <c:v>362</c:v>
                </c:pt>
                <c:pt idx="50">
                  <c:v>354</c:v>
                </c:pt>
                <c:pt idx="51">
                  <c:v>335</c:v>
                </c:pt>
                <c:pt idx="52">
                  <c:v>338</c:v>
                </c:pt>
                <c:pt idx="53">
                  <c:v>346</c:v>
                </c:pt>
                <c:pt idx="54">
                  <c:v>339</c:v>
                </c:pt>
                <c:pt idx="55">
                  <c:v>361</c:v>
                </c:pt>
                <c:pt idx="56">
                  <c:v>358</c:v>
                </c:pt>
                <c:pt idx="57">
                  <c:v>301</c:v>
                </c:pt>
                <c:pt idx="58">
                  <c:v>385</c:v>
                </c:pt>
                <c:pt idx="59">
                  <c:v>350</c:v>
                </c:pt>
              </c:numCache>
            </c:numRef>
          </c:val>
          <c:smooth val="0"/>
        </c:ser>
        <c:dLbls>
          <c:showLegendKey val="0"/>
          <c:showVal val="0"/>
          <c:showCatName val="0"/>
          <c:showSerName val="0"/>
          <c:showPercent val="0"/>
          <c:showBubbleSize val="0"/>
        </c:dLbls>
        <c:marker val="1"/>
        <c:smooth val="0"/>
        <c:axId val="443236352"/>
        <c:axId val="443237888"/>
      </c:lineChart>
      <c:catAx>
        <c:axId val="443236352"/>
        <c:scaling>
          <c:orientation val="minMax"/>
        </c:scaling>
        <c:delete val="0"/>
        <c:axPos val="b"/>
        <c:numFmt formatCode="General" sourceLinked="1"/>
        <c:majorTickMark val="out"/>
        <c:minorTickMark val="none"/>
        <c:tickLblPos val="nextTo"/>
        <c:crossAx val="443237888"/>
        <c:crosses val="autoZero"/>
        <c:auto val="1"/>
        <c:lblAlgn val="ctr"/>
        <c:lblOffset val="100"/>
        <c:noMultiLvlLbl val="0"/>
      </c:catAx>
      <c:valAx>
        <c:axId val="443237888"/>
        <c:scaling>
          <c:orientation val="minMax"/>
        </c:scaling>
        <c:delete val="0"/>
        <c:axPos val="l"/>
        <c:majorGridlines/>
        <c:numFmt formatCode="#,##0" sourceLinked="0"/>
        <c:majorTickMark val="out"/>
        <c:minorTickMark val="none"/>
        <c:tickLblPos val="nextTo"/>
        <c:crossAx val="44323635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75A4E-35DA-4163-8644-591700B73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9183</Words>
  <Characters>52349</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2017-10-20T01:17:00Z</dcterms:created>
  <dcterms:modified xsi:type="dcterms:W3CDTF">2017-10-26T03:21:00Z</dcterms:modified>
</cp:coreProperties>
</file>