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47600F8B" w:rsidR="00832324" w:rsidRDefault="002B3B9D" w:rsidP="00FE645A">
      <w:pPr>
        <w:pStyle w:val="Title"/>
      </w:pPr>
      <w:bookmarkStart w:id="0" w:name="_GoBack"/>
      <w:bookmarkEnd w:id="0"/>
      <w:r>
        <w:t>Crohn disease</w:t>
      </w:r>
      <w:r w:rsidR="001C4016">
        <w:t xml:space="preserve">: </w:t>
      </w:r>
      <w:r>
        <w:t>infliximab, adalimumab and vedolizumab</w:t>
      </w:r>
      <w:r w:rsidR="001C4016">
        <w:t xml:space="preserve"> </w:t>
      </w:r>
    </w:p>
    <w:p w14:paraId="68F00614" w14:textId="799F8740" w:rsidR="00736041" w:rsidRDefault="009053D3" w:rsidP="00A35800">
      <w:pPr>
        <w:pStyle w:val="Heading1"/>
      </w:pPr>
      <w:r>
        <w:t>D</w:t>
      </w:r>
      <w:r w:rsidR="00832324" w:rsidRPr="0063631C">
        <w:t xml:space="preserve">rug utilisation sub-committee </w:t>
      </w:r>
      <w:r w:rsidR="00832324">
        <w:t>(DUSC)</w:t>
      </w:r>
    </w:p>
    <w:p w14:paraId="78148839" w14:textId="0858A555" w:rsidR="009053D3" w:rsidRPr="000C46BB" w:rsidRDefault="002B3B9D" w:rsidP="000C46BB">
      <w:pPr>
        <w:pStyle w:val="Heading2"/>
      </w:pPr>
      <w:r>
        <w:t>June 2017</w:t>
      </w:r>
    </w:p>
    <w:p w14:paraId="1494B8AD" w14:textId="77777777" w:rsidR="005C6661" w:rsidRDefault="005C6661" w:rsidP="005C6661">
      <w:pPr>
        <w:pStyle w:val="Heading3"/>
      </w:pPr>
      <w:r>
        <w:t>Abstract</w:t>
      </w:r>
    </w:p>
    <w:p w14:paraId="229FC066" w14:textId="70C01385" w:rsidR="007D26D3" w:rsidRPr="007D26D3" w:rsidRDefault="007D26D3" w:rsidP="005C6661">
      <w:pPr>
        <w:pStyle w:val="Heading2"/>
        <w:rPr>
          <w:b w:val="0"/>
          <w:i w:val="0"/>
        </w:rPr>
      </w:pPr>
      <w:r w:rsidRPr="00816856">
        <w:rPr>
          <w:b w:val="0"/>
          <w:i w:val="0"/>
        </w:rPr>
        <w:t xml:space="preserve">Note: </w:t>
      </w:r>
      <w:r w:rsidR="00166FC7">
        <w:rPr>
          <w:b w:val="0"/>
          <w:i w:val="0"/>
        </w:rPr>
        <w:t>By convention the term ‘</w:t>
      </w:r>
      <w:r w:rsidR="00816856" w:rsidRPr="00816856">
        <w:rPr>
          <w:b w:val="0"/>
          <w:i w:val="0"/>
        </w:rPr>
        <w:t>Crohn disease</w:t>
      </w:r>
      <w:r w:rsidR="00166FC7">
        <w:rPr>
          <w:b w:val="0"/>
          <w:i w:val="0"/>
        </w:rPr>
        <w:t>’</w:t>
      </w:r>
      <w:r w:rsidR="00816856" w:rsidRPr="00816856">
        <w:rPr>
          <w:b w:val="0"/>
          <w:i w:val="0"/>
        </w:rPr>
        <w:t xml:space="preserve"> rather than </w:t>
      </w:r>
      <w:r w:rsidR="00166FC7">
        <w:rPr>
          <w:b w:val="0"/>
          <w:i w:val="0"/>
        </w:rPr>
        <w:t>‘</w:t>
      </w:r>
      <w:r w:rsidR="00816856" w:rsidRPr="00816856">
        <w:rPr>
          <w:b w:val="0"/>
          <w:i w:val="0"/>
        </w:rPr>
        <w:t>Crohn’s disease</w:t>
      </w:r>
      <w:r w:rsidR="00166FC7">
        <w:rPr>
          <w:b w:val="0"/>
          <w:i w:val="0"/>
        </w:rPr>
        <w:t>’</w:t>
      </w:r>
      <w:r w:rsidR="00816856" w:rsidRPr="00816856" w:rsidDel="00816856">
        <w:rPr>
          <w:b w:val="0"/>
          <w:i w:val="0"/>
        </w:rPr>
        <w:t xml:space="preserve"> </w:t>
      </w:r>
      <w:r w:rsidRPr="00816856">
        <w:rPr>
          <w:b w:val="0"/>
          <w:i w:val="0"/>
        </w:rPr>
        <w:t>is used in the</w:t>
      </w:r>
      <w:r>
        <w:rPr>
          <w:b w:val="0"/>
          <w:i w:val="0"/>
        </w:rPr>
        <w:t xml:space="preserve"> Pharmaceutical Benefits Schedule (PBS). The same convention is followed in this report. </w:t>
      </w:r>
    </w:p>
    <w:p w14:paraId="287D7939" w14:textId="77777777" w:rsidR="005C6661" w:rsidRDefault="005C6661" w:rsidP="005C6661">
      <w:pPr>
        <w:pStyle w:val="Heading2"/>
      </w:pPr>
      <w:r>
        <w:t>Purpose</w:t>
      </w:r>
    </w:p>
    <w:p w14:paraId="74A6468A" w14:textId="7DD726BF" w:rsidR="00302079" w:rsidRDefault="00CF1987" w:rsidP="00302079">
      <w:pPr>
        <w:keepNext/>
        <w:keepLines/>
        <w:spacing w:after="0"/>
        <w:ind w:left="34"/>
      </w:pPr>
      <w:r>
        <w:t xml:space="preserve">The PBAC considered the February 2015 DUSC review of </w:t>
      </w:r>
      <w:r w:rsidR="00906A0A">
        <w:t xml:space="preserve">biological </w:t>
      </w:r>
      <w:r w:rsidR="002F559B">
        <w:t>disease modifying drugs (bDMDs)</w:t>
      </w:r>
      <w:r w:rsidR="00302079" w:rsidRPr="002F170F">
        <w:t xml:space="preserve"> </w:t>
      </w:r>
      <w:r>
        <w:t xml:space="preserve">for Crohn disease at its March 2015 meeting. </w:t>
      </w:r>
      <w:r w:rsidR="00302079" w:rsidRPr="002F170F">
        <w:t xml:space="preserve">The PBAC noted that a higher than expected proportion of patients was continuing on </w:t>
      </w:r>
      <w:r w:rsidR="002F559B">
        <w:t>bDMDs</w:t>
      </w:r>
      <w:r w:rsidR="00302079" w:rsidRPr="002F170F">
        <w:t xml:space="preserve"> and their use to treat Crohn disease was yet to stab</w:t>
      </w:r>
      <w:r w:rsidR="00302079">
        <w:t>i</w:t>
      </w:r>
      <w:r w:rsidR="00302079" w:rsidRPr="002F170F">
        <w:t>lise.</w:t>
      </w:r>
      <w:r w:rsidR="00302079">
        <w:t xml:space="preserve"> </w:t>
      </w:r>
      <w:r w:rsidR="00302079" w:rsidRPr="002F170F">
        <w:t xml:space="preserve">The PBAC also noted that the cost-effectiveness of infliximab and adalimumab may be affected if patients are continuing treatment without achieving remission. </w:t>
      </w:r>
    </w:p>
    <w:p w14:paraId="06203B1E" w14:textId="77777777" w:rsidR="00302079" w:rsidRDefault="00302079" w:rsidP="00302079">
      <w:pPr>
        <w:keepNext/>
        <w:keepLines/>
        <w:spacing w:after="0"/>
        <w:ind w:left="34"/>
      </w:pPr>
    </w:p>
    <w:p w14:paraId="08E45A46" w14:textId="1B298558" w:rsidR="00DF51D6" w:rsidRPr="00DF51D6" w:rsidRDefault="00CF1987" w:rsidP="00302079">
      <w:pPr>
        <w:keepNext/>
        <w:keepLines/>
        <w:spacing w:after="0"/>
        <w:ind w:left="34"/>
      </w:pPr>
      <w:r>
        <w:t xml:space="preserve">The PBAC requested </w:t>
      </w:r>
      <w:r w:rsidR="00CE0772">
        <w:t xml:space="preserve">for </w:t>
      </w:r>
      <w:r>
        <w:t xml:space="preserve">its </w:t>
      </w:r>
      <w:r w:rsidR="00DF51D6" w:rsidRPr="002F170F">
        <w:t xml:space="preserve">DUSC </w:t>
      </w:r>
      <w:r w:rsidR="00CE0772">
        <w:t xml:space="preserve">to </w:t>
      </w:r>
      <w:r w:rsidR="00DF51D6" w:rsidRPr="002F170F">
        <w:t xml:space="preserve">assess the utilisation of </w:t>
      </w:r>
      <w:r w:rsidR="002F559B">
        <w:t>bDMDs</w:t>
      </w:r>
      <w:r w:rsidR="00302079">
        <w:t xml:space="preserve"> </w:t>
      </w:r>
      <w:r w:rsidR="00F05A0B">
        <w:t>for Crohn d</w:t>
      </w:r>
      <w:r w:rsidR="00DF51D6" w:rsidRPr="002F170F">
        <w:t xml:space="preserve">isease in another two years. </w:t>
      </w:r>
    </w:p>
    <w:p w14:paraId="03538E7F" w14:textId="5760F862" w:rsidR="002D144A" w:rsidRDefault="00444C2F" w:rsidP="005C6661">
      <w:pPr>
        <w:pStyle w:val="Heading2"/>
      </w:pPr>
      <w:r>
        <w:t>L</w:t>
      </w:r>
      <w:r w:rsidR="002D144A">
        <w:t>isting</w:t>
      </w:r>
      <w:r w:rsidR="005235EB">
        <w:t>s</w:t>
      </w:r>
      <w:r w:rsidR="002D144A">
        <w:t xml:space="preserve"> on the P</w:t>
      </w:r>
      <w:r w:rsidR="00A95FA5">
        <w:t xml:space="preserve">harmaceutical </w:t>
      </w:r>
      <w:r w:rsidR="002D144A">
        <w:t>B</w:t>
      </w:r>
      <w:r w:rsidR="00A95FA5">
        <w:t xml:space="preserve">enefits </w:t>
      </w:r>
      <w:r w:rsidR="002D144A">
        <w:t>S</w:t>
      </w:r>
      <w:r w:rsidR="00A95FA5">
        <w:t>cheme (PBS)</w:t>
      </w:r>
    </w:p>
    <w:p w14:paraId="4C1DE3A7" w14:textId="3E25BDD7" w:rsidR="00444C2F" w:rsidRDefault="00BF4DF0" w:rsidP="00BF4DF0">
      <w:r>
        <w:t>Infliximab and vedoli</w:t>
      </w:r>
      <w:r w:rsidR="00444C2F">
        <w:t>z</w:t>
      </w:r>
      <w:r>
        <w:t xml:space="preserve">umab are Section 100 Authority Required listings. Adalimumab has Authority Required General Schedule listings. </w:t>
      </w:r>
    </w:p>
    <w:tbl>
      <w:tblPr>
        <w:tblStyle w:val="TableGrid"/>
        <w:tblW w:w="9180" w:type="dxa"/>
        <w:tblLook w:val="04A0" w:firstRow="1" w:lastRow="0" w:firstColumn="1" w:lastColumn="0" w:noHBand="0" w:noVBand="1"/>
        <w:tblCaption w:val="PBS listing dates"/>
        <w:tblDescription w:val="A table that outlines the date of first PBS listing for certain drugs for Crohn disease"/>
      </w:tblPr>
      <w:tblGrid>
        <w:gridCol w:w="1951"/>
        <w:gridCol w:w="1277"/>
        <w:gridCol w:w="5952"/>
      </w:tblGrid>
      <w:tr w:rsidR="00444C2F" w14:paraId="6C4CC98F" w14:textId="77777777" w:rsidTr="002D57CC">
        <w:trPr>
          <w:tblHeader/>
        </w:trPr>
        <w:tc>
          <w:tcPr>
            <w:tcW w:w="1951" w:type="dxa"/>
            <w:shd w:val="clear" w:color="auto" w:fill="F2F2F2" w:themeFill="background1" w:themeFillShade="F2"/>
          </w:tcPr>
          <w:p w14:paraId="6D5D1F05" w14:textId="77777777" w:rsidR="00444C2F" w:rsidRPr="00F026A3" w:rsidRDefault="00444C2F" w:rsidP="00444C2F">
            <w:pPr>
              <w:rPr>
                <w:b/>
                <w:sz w:val="20"/>
                <w:szCs w:val="20"/>
              </w:rPr>
            </w:pPr>
            <w:r w:rsidRPr="00F026A3">
              <w:rPr>
                <w:b/>
                <w:sz w:val="20"/>
                <w:szCs w:val="20"/>
              </w:rPr>
              <w:t>PBS first listing date</w:t>
            </w:r>
          </w:p>
        </w:tc>
        <w:tc>
          <w:tcPr>
            <w:tcW w:w="1277" w:type="dxa"/>
            <w:shd w:val="clear" w:color="auto" w:fill="F2F2F2" w:themeFill="background1" w:themeFillShade="F2"/>
          </w:tcPr>
          <w:p w14:paraId="287BE6FF" w14:textId="77777777" w:rsidR="00444C2F" w:rsidRPr="00F026A3" w:rsidRDefault="00444C2F" w:rsidP="00444C2F">
            <w:pPr>
              <w:rPr>
                <w:b/>
                <w:sz w:val="20"/>
                <w:szCs w:val="20"/>
              </w:rPr>
            </w:pPr>
            <w:r w:rsidRPr="00F026A3">
              <w:rPr>
                <w:b/>
                <w:sz w:val="20"/>
                <w:szCs w:val="20"/>
              </w:rPr>
              <w:t>Drug</w:t>
            </w:r>
          </w:p>
        </w:tc>
        <w:tc>
          <w:tcPr>
            <w:tcW w:w="5952" w:type="dxa"/>
            <w:shd w:val="clear" w:color="auto" w:fill="F2F2F2" w:themeFill="background1" w:themeFillShade="F2"/>
          </w:tcPr>
          <w:p w14:paraId="345998EF" w14:textId="77777777" w:rsidR="00444C2F" w:rsidRPr="00F026A3" w:rsidRDefault="00444C2F" w:rsidP="00444C2F">
            <w:pPr>
              <w:rPr>
                <w:b/>
                <w:sz w:val="20"/>
                <w:szCs w:val="20"/>
              </w:rPr>
            </w:pPr>
            <w:r w:rsidRPr="00F026A3">
              <w:rPr>
                <w:b/>
                <w:sz w:val="20"/>
                <w:szCs w:val="20"/>
              </w:rPr>
              <w:t>Listed indication</w:t>
            </w:r>
          </w:p>
        </w:tc>
      </w:tr>
      <w:tr w:rsidR="00444C2F" w14:paraId="565856C3" w14:textId="77777777" w:rsidTr="00764825">
        <w:tc>
          <w:tcPr>
            <w:tcW w:w="1951" w:type="dxa"/>
            <w:vAlign w:val="center"/>
          </w:tcPr>
          <w:p w14:paraId="58DD70C1" w14:textId="77777777" w:rsidR="00444C2F" w:rsidRPr="00F026A3" w:rsidRDefault="00444C2F" w:rsidP="00764825">
            <w:pPr>
              <w:rPr>
                <w:sz w:val="20"/>
                <w:szCs w:val="20"/>
              </w:rPr>
            </w:pPr>
            <w:r w:rsidRPr="00F026A3">
              <w:rPr>
                <w:sz w:val="20"/>
                <w:szCs w:val="20"/>
              </w:rPr>
              <w:t>1 October 2007</w:t>
            </w:r>
          </w:p>
        </w:tc>
        <w:tc>
          <w:tcPr>
            <w:tcW w:w="1277" w:type="dxa"/>
            <w:vAlign w:val="center"/>
          </w:tcPr>
          <w:p w14:paraId="423B750E" w14:textId="77777777" w:rsidR="00444C2F" w:rsidRPr="00F026A3" w:rsidRDefault="00444C2F" w:rsidP="00764825">
            <w:pPr>
              <w:rPr>
                <w:sz w:val="20"/>
                <w:szCs w:val="20"/>
              </w:rPr>
            </w:pPr>
            <w:r w:rsidRPr="00F026A3">
              <w:rPr>
                <w:sz w:val="20"/>
                <w:szCs w:val="20"/>
              </w:rPr>
              <w:t>Infliximab</w:t>
            </w:r>
          </w:p>
        </w:tc>
        <w:tc>
          <w:tcPr>
            <w:tcW w:w="5952" w:type="dxa"/>
            <w:vAlign w:val="center"/>
          </w:tcPr>
          <w:p w14:paraId="7E0664DC" w14:textId="77777777" w:rsidR="00444C2F" w:rsidRPr="00F026A3" w:rsidRDefault="00444C2F" w:rsidP="00764825">
            <w:pPr>
              <w:rPr>
                <w:sz w:val="20"/>
                <w:szCs w:val="20"/>
              </w:rPr>
            </w:pPr>
            <w:r w:rsidRPr="00F026A3">
              <w:rPr>
                <w:sz w:val="20"/>
                <w:szCs w:val="20"/>
              </w:rPr>
              <w:t>Patient aged 6 to 17 years inclusive with moderate to severe refractory Crohn disease</w:t>
            </w:r>
          </w:p>
        </w:tc>
      </w:tr>
      <w:tr w:rsidR="00444C2F" w14:paraId="698F1B6C" w14:textId="77777777" w:rsidTr="00764825">
        <w:tc>
          <w:tcPr>
            <w:tcW w:w="1951" w:type="dxa"/>
            <w:vAlign w:val="center"/>
          </w:tcPr>
          <w:p w14:paraId="16056703" w14:textId="77777777" w:rsidR="00444C2F" w:rsidRPr="00F026A3" w:rsidRDefault="00444C2F" w:rsidP="00764825">
            <w:pPr>
              <w:rPr>
                <w:sz w:val="20"/>
                <w:szCs w:val="20"/>
              </w:rPr>
            </w:pPr>
            <w:r w:rsidRPr="00F026A3">
              <w:rPr>
                <w:sz w:val="20"/>
                <w:szCs w:val="20"/>
              </w:rPr>
              <w:t>1 October 2007</w:t>
            </w:r>
          </w:p>
        </w:tc>
        <w:tc>
          <w:tcPr>
            <w:tcW w:w="1277" w:type="dxa"/>
            <w:vAlign w:val="center"/>
          </w:tcPr>
          <w:p w14:paraId="684D8E57" w14:textId="77777777" w:rsidR="00444C2F" w:rsidRPr="00F026A3" w:rsidRDefault="00444C2F" w:rsidP="00764825">
            <w:pPr>
              <w:rPr>
                <w:sz w:val="20"/>
                <w:szCs w:val="20"/>
              </w:rPr>
            </w:pPr>
            <w:r w:rsidRPr="00F026A3">
              <w:rPr>
                <w:sz w:val="20"/>
                <w:szCs w:val="20"/>
              </w:rPr>
              <w:t>Infliximab</w:t>
            </w:r>
          </w:p>
        </w:tc>
        <w:tc>
          <w:tcPr>
            <w:tcW w:w="5952" w:type="dxa"/>
            <w:vAlign w:val="center"/>
          </w:tcPr>
          <w:p w14:paraId="025A9EEA" w14:textId="77777777" w:rsidR="00444C2F" w:rsidRPr="00F026A3" w:rsidRDefault="00444C2F" w:rsidP="00764825">
            <w:pPr>
              <w:rPr>
                <w:sz w:val="20"/>
                <w:szCs w:val="20"/>
              </w:rPr>
            </w:pPr>
            <w:r w:rsidRPr="00F026A3">
              <w:rPr>
                <w:sz w:val="20"/>
                <w:szCs w:val="20"/>
              </w:rPr>
              <w:t>Severe refractory Crohn disease in adults</w:t>
            </w:r>
          </w:p>
        </w:tc>
      </w:tr>
      <w:tr w:rsidR="00444C2F" w14:paraId="1FF5C533" w14:textId="77777777" w:rsidTr="00764825">
        <w:tc>
          <w:tcPr>
            <w:tcW w:w="1951" w:type="dxa"/>
            <w:vAlign w:val="center"/>
          </w:tcPr>
          <w:p w14:paraId="321BE2B7" w14:textId="77777777" w:rsidR="00444C2F" w:rsidRPr="00F026A3" w:rsidRDefault="00444C2F" w:rsidP="00764825">
            <w:pPr>
              <w:rPr>
                <w:sz w:val="20"/>
                <w:szCs w:val="20"/>
              </w:rPr>
            </w:pPr>
            <w:r w:rsidRPr="00F026A3">
              <w:rPr>
                <w:sz w:val="20"/>
                <w:szCs w:val="20"/>
              </w:rPr>
              <w:t>1 August 2008</w:t>
            </w:r>
          </w:p>
        </w:tc>
        <w:tc>
          <w:tcPr>
            <w:tcW w:w="1277" w:type="dxa"/>
            <w:vAlign w:val="center"/>
          </w:tcPr>
          <w:p w14:paraId="72D56736" w14:textId="77777777" w:rsidR="00444C2F" w:rsidRPr="00F026A3" w:rsidRDefault="00444C2F" w:rsidP="00764825">
            <w:pPr>
              <w:rPr>
                <w:sz w:val="20"/>
                <w:szCs w:val="20"/>
              </w:rPr>
            </w:pPr>
            <w:r w:rsidRPr="00F026A3">
              <w:rPr>
                <w:sz w:val="20"/>
                <w:szCs w:val="20"/>
              </w:rPr>
              <w:t>Adalimumab</w:t>
            </w:r>
          </w:p>
        </w:tc>
        <w:tc>
          <w:tcPr>
            <w:tcW w:w="5952" w:type="dxa"/>
            <w:vAlign w:val="center"/>
          </w:tcPr>
          <w:p w14:paraId="7FE56F8F" w14:textId="77777777" w:rsidR="00444C2F" w:rsidRPr="00F026A3" w:rsidRDefault="00444C2F" w:rsidP="00764825">
            <w:pPr>
              <w:rPr>
                <w:sz w:val="20"/>
                <w:szCs w:val="20"/>
              </w:rPr>
            </w:pPr>
            <w:r w:rsidRPr="00F026A3">
              <w:rPr>
                <w:sz w:val="20"/>
                <w:szCs w:val="20"/>
              </w:rPr>
              <w:t>Severe refractory Crohn disease in adults</w:t>
            </w:r>
          </w:p>
        </w:tc>
      </w:tr>
      <w:tr w:rsidR="00444C2F" w14:paraId="62476EBD" w14:textId="77777777" w:rsidTr="00764825">
        <w:tc>
          <w:tcPr>
            <w:tcW w:w="1951" w:type="dxa"/>
            <w:vAlign w:val="center"/>
          </w:tcPr>
          <w:p w14:paraId="329AFFEF" w14:textId="77777777" w:rsidR="00444C2F" w:rsidRPr="00F026A3" w:rsidRDefault="00444C2F" w:rsidP="00764825">
            <w:pPr>
              <w:rPr>
                <w:sz w:val="20"/>
                <w:szCs w:val="20"/>
              </w:rPr>
            </w:pPr>
            <w:r w:rsidRPr="00F026A3">
              <w:rPr>
                <w:sz w:val="20"/>
                <w:szCs w:val="20"/>
              </w:rPr>
              <w:t>1 August 2010</w:t>
            </w:r>
          </w:p>
        </w:tc>
        <w:tc>
          <w:tcPr>
            <w:tcW w:w="1277" w:type="dxa"/>
            <w:vAlign w:val="center"/>
          </w:tcPr>
          <w:p w14:paraId="7F593575" w14:textId="77777777" w:rsidR="00444C2F" w:rsidRPr="00F026A3" w:rsidRDefault="00444C2F" w:rsidP="00764825">
            <w:pPr>
              <w:rPr>
                <w:sz w:val="20"/>
                <w:szCs w:val="20"/>
              </w:rPr>
            </w:pPr>
            <w:r w:rsidRPr="00F026A3">
              <w:rPr>
                <w:sz w:val="20"/>
                <w:szCs w:val="20"/>
              </w:rPr>
              <w:t>Infliximab</w:t>
            </w:r>
          </w:p>
        </w:tc>
        <w:tc>
          <w:tcPr>
            <w:tcW w:w="5952" w:type="dxa"/>
            <w:vAlign w:val="center"/>
          </w:tcPr>
          <w:p w14:paraId="1C64CE34" w14:textId="77777777" w:rsidR="00444C2F" w:rsidRPr="00F026A3" w:rsidRDefault="00444C2F" w:rsidP="00764825">
            <w:pPr>
              <w:rPr>
                <w:sz w:val="20"/>
                <w:szCs w:val="20"/>
              </w:rPr>
            </w:pPr>
            <w:r w:rsidRPr="00F026A3">
              <w:rPr>
                <w:sz w:val="20"/>
                <w:szCs w:val="20"/>
              </w:rPr>
              <w:t>Fistulising Crohn disease</w:t>
            </w:r>
          </w:p>
        </w:tc>
      </w:tr>
      <w:tr w:rsidR="00444C2F" w14:paraId="376A2354" w14:textId="77777777" w:rsidTr="00764825">
        <w:tc>
          <w:tcPr>
            <w:tcW w:w="1951" w:type="dxa"/>
            <w:vAlign w:val="center"/>
          </w:tcPr>
          <w:p w14:paraId="69703E4C" w14:textId="77777777" w:rsidR="00444C2F" w:rsidRPr="00F026A3" w:rsidRDefault="00444C2F" w:rsidP="00764825">
            <w:pPr>
              <w:rPr>
                <w:sz w:val="20"/>
                <w:szCs w:val="20"/>
              </w:rPr>
            </w:pPr>
            <w:r w:rsidRPr="00F026A3">
              <w:rPr>
                <w:sz w:val="20"/>
                <w:szCs w:val="20"/>
              </w:rPr>
              <w:t>1 April 2011</w:t>
            </w:r>
          </w:p>
        </w:tc>
        <w:tc>
          <w:tcPr>
            <w:tcW w:w="1277" w:type="dxa"/>
            <w:vAlign w:val="center"/>
          </w:tcPr>
          <w:p w14:paraId="1212CA32" w14:textId="77777777" w:rsidR="00444C2F" w:rsidRPr="00F026A3" w:rsidRDefault="00444C2F" w:rsidP="00764825">
            <w:pPr>
              <w:rPr>
                <w:sz w:val="20"/>
                <w:szCs w:val="20"/>
              </w:rPr>
            </w:pPr>
            <w:r w:rsidRPr="00F026A3">
              <w:rPr>
                <w:sz w:val="20"/>
                <w:szCs w:val="20"/>
              </w:rPr>
              <w:t>Adalimumab</w:t>
            </w:r>
          </w:p>
        </w:tc>
        <w:tc>
          <w:tcPr>
            <w:tcW w:w="5952" w:type="dxa"/>
            <w:vAlign w:val="center"/>
          </w:tcPr>
          <w:p w14:paraId="75E398CF" w14:textId="77777777" w:rsidR="00444C2F" w:rsidRPr="00F026A3" w:rsidRDefault="00444C2F" w:rsidP="00764825">
            <w:pPr>
              <w:rPr>
                <w:sz w:val="20"/>
                <w:szCs w:val="20"/>
              </w:rPr>
            </w:pPr>
            <w:r w:rsidRPr="00F026A3">
              <w:rPr>
                <w:sz w:val="20"/>
                <w:szCs w:val="20"/>
              </w:rPr>
              <w:t>Fistulising Crohn disease</w:t>
            </w:r>
          </w:p>
        </w:tc>
      </w:tr>
      <w:tr w:rsidR="00444C2F" w14:paraId="25CC6C95" w14:textId="77777777" w:rsidTr="00764825">
        <w:tc>
          <w:tcPr>
            <w:tcW w:w="1951" w:type="dxa"/>
            <w:vAlign w:val="center"/>
          </w:tcPr>
          <w:p w14:paraId="7DDA172B" w14:textId="77777777" w:rsidR="00444C2F" w:rsidRPr="00F026A3" w:rsidRDefault="00444C2F" w:rsidP="00764825">
            <w:pPr>
              <w:rPr>
                <w:sz w:val="20"/>
                <w:szCs w:val="20"/>
              </w:rPr>
            </w:pPr>
            <w:r w:rsidRPr="00F026A3">
              <w:rPr>
                <w:sz w:val="20"/>
                <w:szCs w:val="20"/>
              </w:rPr>
              <w:t>1 August 2015</w:t>
            </w:r>
          </w:p>
        </w:tc>
        <w:tc>
          <w:tcPr>
            <w:tcW w:w="1277" w:type="dxa"/>
            <w:vAlign w:val="center"/>
          </w:tcPr>
          <w:p w14:paraId="32B7BBAA" w14:textId="77777777" w:rsidR="00444C2F" w:rsidRPr="00F026A3" w:rsidRDefault="00444C2F" w:rsidP="00764825">
            <w:pPr>
              <w:rPr>
                <w:sz w:val="20"/>
                <w:szCs w:val="20"/>
              </w:rPr>
            </w:pPr>
            <w:r w:rsidRPr="00F026A3">
              <w:rPr>
                <w:sz w:val="20"/>
                <w:szCs w:val="20"/>
              </w:rPr>
              <w:t>Infliximab</w:t>
            </w:r>
          </w:p>
        </w:tc>
        <w:tc>
          <w:tcPr>
            <w:tcW w:w="5952" w:type="dxa"/>
            <w:vAlign w:val="center"/>
          </w:tcPr>
          <w:p w14:paraId="4DA749F0" w14:textId="77777777" w:rsidR="00444C2F" w:rsidRPr="00F026A3" w:rsidRDefault="00444C2F" w:rsidP="00764825">
            <w:pPr>
              <w:rPr>
                <w:sz w:val="20"/>
                <w:szCs w:val="20"/>
              </w:rPr>
            </w:pPr>
            <w:r w:rsidRPr="00F026A3">
              <w:rPr>
                <w:sz w:val="20"/>
                <w:szCs w:val="20"/>
              </w:rPr>
              <w:t>Moderate to severe Crohn disease</w:t>
            </w:r>
          </w:p>
        </w:tc>
      </w:tr>
      <w:tr w:rsidR="00444C2F" w14:paraId="6A40957A" w14:textId="77777777" w:rsidTr="00764825">
        <w:tc>
          <w:tcPr>
            <w:tcW w:w="1951" w:type="dxa"/>
            <w:vAlign w:val="center"/>
          </w:tcPr>
          <w:p w14:paraId="2E6E554A" w14:textId="77777777" w:rsidR="00444C2F" w:rsidRPr="00F026A3" w:rsidRDefault="00444C2F" w:rsidP="00764825">
            <w:pPr>
              <w:rPr>
                <w:sz w:val="20"/>
                <w:szCs w:val="20"/>
              </w:rPr>
            </w:pPr>
            <w:r w:rsidRPr="00F026A3">
              <w:rPr>
                <w:sz w:val="20"/>
                <w:szCs w:val="20"/>
              </w:rPr>
              <w:t>1 August 2015</w:t>
            </w:r>
          </w:p>
        </w:tc>
        <w:tc>
          <w:tcPr>
            <w:tcW w:w="1277" w:type="dxa"/>
            <w:vAlign w:val="center"/>
          </w:tcPr>
          <w:p w14:paraId="59CAC475" w14:textId="77777777" w:rsidR="00444C2F" w:rsidRPr="00F026A3" w:rsidRDefault="00444C2F" w:rsidP="00764825">
            <w:pPr>
              <w:rPr>
                <w:sz w:val="20"/>
                <w:szCs w:val="20"/>
              </w:rPr>
            </w:pPr>
            <w:r w:rsidRPr="00F026A3">
              <w:rPr>
                <w:sz w:val="20"/>
                <w:szCs w:val="20"/>
              </w:rPr>
              <w:t>Vedolizumab</w:t>
            </w:r>
          </w:p>
        </w:tc>
        <w:tc>
          <w:tcPr>
            <w:tcW w:w="5952" w:type="dxa"/>
            <w:vAlign w:val="center"/>
          </w:tcPr>
          <w:p w14:paraId="52DFAEC5" w14:textId="77777777" w:rsidR="00444C2F" w:rsidRPr="00F026A3" w:rsidRDefault="00444C2F" w:rsidP="00764825">
            <w:pPr>
              <w:rPr>
                <w:sz w:val="20"/>
                <w:szCs w:val="20"/>
              </w:rPr>
            </w:pPr>
            <w:r w:rsidRPr="00F026A3">
              <w:rPr>
                <w:sz w:val="20"/>
                <w:szCs w:val="20"/>
              </w:rPr>
              <w:t>Severe refractory Crohn disease</w:t>
            </w:r>
          </w:p>
        </w:tc>
      </w:tr>
      <w:tr w:rsidR="00444C2F" w14:paraId="02CBF7FA" w14:textId="77777777" w:rsidTr="00764825">
        <w:tc>
          <w:tcPr>
            <w:tcW w:w="1951" w:type="dxa"/>
            <w:vAlign w:val="center"/>
          </w:tcPr>
          <w:p w14:paraId="4AB36853" w14:textId="77777777" w:rsidR="00444C2F" w:rsidRPr="00F026A3" w:rsidRDefault="00444C2F" w:rsidP="00764825">
            <w:pPr>
              <w:rPr>
                <w:sz w:val="20"/>
                <w:szCs w:val="20"/>
              </w:rPr>
            </w:pPr>
            <w:r w:rsidRPr="00F026A3">
              <w:rPr>
                <w:sz w:val="20"/>
                <w:szCs w:val="20"/>
              </w:rPr>
              <w:t>1 August 2015</w:t>
            </w:r>
          </w:p>
        </w:tc>
        <w:tc>
          <w:tcPr>
            <w:tcW w:w="1277" w:type="dxa"/>
            <w:vAlign w:val="center"/>
          </w:tcPr>
          <w:p w14:paraId="5FB60D6B" w14:textId="77777777" w:rsidR="00444C2F" w:rsidRPr="00F026A3" w:rsidRDefault="00444C2F" w:rsidP="00764825">
            <w:pPr>
              <w:rPr>
                <w:sz w:val="20"/>
                <w:szCs w:val="20"/>
              </w:rPr>
            </w:pPr>
            <w:r w:rsidRPr="00F026A3">
              <w:rPr>
                <w:sz w:val="20"/>
                <w:szCs w:val="20"/>
              </w:rPr>
              <w:t>Adalimumab</w:t>
            </w:r>
          </w:p>
        </w:tc>
        <w:tc>
          <w:tcPr>
            <w:tcW w:w="5952" w:type="dxa"/>
            <w:vAlign w:val="center"/>
          </w:tcPr>
          <w:p w14:paraId="662DB6D5" w14:textId="77777777" w:rsidR="00444C2F" w:rsidRPr="00F026A3" w:rsidRDefault="00444C2F" w:rsidP="00764825">
            <w:pPr>
              <w:rPr>
                <w:sz w:val="20"/>
                <w:szCs w:val="20"/>
              </w:rPr>
            </w:pPr>
            <w:r w:rsidRPr="00F026A3">
              <w:rPr>
                <w:sz w:val="20"/>
                <w:szCs w:val="20"/>
              </w:rPr>
              <w:t>Patient aged 6 to 17 years inclusive with severe refractory Crohn disease</w:t>
            </w:r>
          </w:p>
        </w:tc>
      </w:tr>
    </w:tbl>
    <w:p w14:paraId="4F77EE40" w14:textId="77777777" w:rsidR="00464C29" w:rsidRDefault="00464C29" w:rsidP="00464C29">
      <w:pPr>
        <w:spacing w:after="0"/>
      </w:pPr>
    </w:p>
    <w:p w14:paraId="482949C4" w14:textId="09CBEC1E" w:rsidR="00625C28" w:rsidRPr="00986704" w:rsidRDefault="00444C2F" w:rsidP="00986704">
      <w:pPr>
        <w:spacing w:after="0"/>
      </w:pPr>
      <w:r>
        <w:t xml:space="preserve">The restrictions are complex and patients must meet eligibility criteria regarding disease severity and </w:t>
      </w:r>
      <w:r w:rsidR="00781EB0">
        <w:t xml:space="preserve">have </w:t>
      </w:r>
      <w:r>
        <w:t>fail</w:t>
      </w:r>
      <w:r w:rsidR="00781EB0">
        <w:t>ed</w:t>
      </w:r>
      <w:r w:rsidR="00BD6B95">
        <w:t xml:space="preserve"> </w:t>
      </w:r>
      <w:r>
        <w:t>a prior course of corticosteroids and immunosuppressive therapy with azathioprine or 6-mercaptopurine or methotrexate, unless contraindicated</w:t>
      </w:r>
      <w:r w:rsidR="00781EB0">
        <w:t>, for non-</w:t>
      </w:r>
      <w:r w:rsidR="00781EB0">
        <w:lastRenderedPageBreak/>
        <w:t>fistulising disease</w:t>
      </w:r>
      <w:r>
        <w:t xml:space="preserve">. Patients also need to achieve a defined response to continue on treatment.  </w:t>
      </w:r>
    </w:p>
    <w:p w14:paraId="526743BB" w14:textId="77777777" w:rsidR="005C6661" w:rsidRDefault="005C6661" w:rsidP="005C6661">
      <w:pPr>
        <w:pStyle w:val="Heading2"/>
      </w:pPr>
      <w:r>
        <w:t>Data Source / methodology</w:t>
      </w:r>
    </w:p>
    <w:p w14:paraId="5C7BADD3" w14:textId="180E28C1" w:rsidR="00A542B5" w:rsidRDefault="007011D4" w:rsidP="007011D4">
      <w:pPr>
        <w:pStyle w:val="Heading2"/>
        <w:rPr>
          <w:b w:val="0"/>
          <w:i w:val="0"/>
        </w:rPr>
      </w:pPr>
      <w:r w:rsidRPr="001F1B00">
        <w:rPr>
          <w:b w:val="0"/>
          <w:i w:val="0"/>
        </w:rPr>
        <w:t xml:space="preserve">The Department of Human Services (DHS) Authority Approvals database was used for the </w:t>
      </w:r>
      <w:r>
        <w:rPr>
          <w:b w:val="0"/>
          <w:i w:val="0"/>
        </w:rPr>
        <w:t xml:space="preserve">analyses of continuation on </w:t>
      </w:r>
      <w:r w:rsidR="002F559B">
        <w:rPr>
          <w:b w:val="0"/>
          <w:i w:val="0"/>
        </w:rPr>
        <w:t>bDMD</w:t>
      </w:r>
      <w:r>
        <w:rPr>
          <w:b w:val="0"/>
          <w:i w:val="0"/>
        </w:rPr>
        <w:t xml:space="preserve"> treatment</w:t>
      </w:r>
      <w:r w:rsidRPr="001F1B00">
        <w:rPr>
          <w:b w:val="0"/>
          <w:i w:val="0"/>
        </w:rPr>
        <w:t xml:space="preserve">. </w:t>
      </w:r>
      <w:r w:rsidR="00A542B5" w:rsidRPr="001F1B00">
        <w:rPr>
          <w:b w:val="0"/>
          <w:i w:val="0"/>
        </w:rPr>
        <w:t xml:space="preserve">The DHS Supplied Prescription database </w:t>
      </w:r>
      <w:r w:rsidR="00A542B5">
        <w:rPr>
          <w:b w:val="0"/>
          <w:i w:val="0"/>
        </w:rPr>
        <w:t>was use</w:t>
      </w:r>
      <w:r w:rsidR="008F09C5">
        <w:rPr>
          <w:b w:val="0"/>
          <w:i w:val="0"/>
        </w:rPr>
        <w:t xml:space="preserve">d to analyse expenditure, </w:t>
      </w:r>
      <w:r w:rsidR="00A542B5">
        <w:rPr>
          <w:b w:val="0"/>
          <w:i w:val="0"/>
        </w:rPr>
        <w:t>derive incident and prevalent patient counts from 2014 to 2016</w:t>
      </w:r>
      <w:r w:rsidR="008F09C5">
        <w:rPr>
          <w:b w:val="0"/>
          <w:i w:val="0"/>
        </w:rPr>
        <w:t xml:space="preserve"> and to examine prior therapy received by a cohort of first time initiators on a </w:t>
      </w:r>
      <w:r w:rsidR="002F559B">
        <w:rPr>
          <w:b w:val="0"/>
          <w:i w:val="0"/>
        </w:rPr>
        <w:t>bDMD</w:t>
      </w:r>
      <w:r w:rsidR="008F09C5">
        <w:rPr>
          <w:b w:val="0"/>
          <w:i w:val="0"/>
        </w:rPr>
        <w:t xml:space="preserve"> in 2016.</w:t>
      </w:r>
      <w:r w:rsidR="00A542B5">
        <w:rPr>
          <w:b w:val="0"/>
          <w:i w:val="0"/>
        </w:rPr>
        <w:t xml:space="preserve"> The DUSC</w:t>
      </w:r>
      <w:r w:rsidR="00A542B5" w:rsidRPr="001F1B00">
        <w:rPr>
          <w:b w:val="0"/>
          <w:i w:val="0"/>
        </w:rPr>
        <w:t xml:space="preserve"> Highly Specialised Drugs database</w:t>
      </w:r>
      <w:r w:rsidR="00A542B5">
        <w:rPr>
          <w:b w:val="0"/>
          <w:i w:val="0"/>
        </w:rPr>
        <w:t xml:space="preserve"> was used to analyse the expenditure for infliximab prior to July 2013. </w:t>
      </w:r>
    </w:p>
    <w:p w14:paraId="7599E7C1" w14:textId="77777777" w:rsidR="005C6661" w:rsidRDefault="005C6661" w:rsidP="005C6661">
      <w:pPr>
        <w:pStyle w:val="Heading2"/>
      </w:pPr>
      <w:r>
        <w:t>Key Findings</w:t>
      </w:r>
    </w:p>
    <w:p w14:paraId="292F7D6D" w14:textId="047CE300" w:rsidR="00D41102" w:rsidRDefault="00144D70" w:rsidP="00FA439D">
      <w:pPr>
        <w:pStyle w:val="ListParagraph"/>
        <w:numPr>
          <w:ilvl w:val="0"/>
          <w:numId w:val="18"/>
        </w:numPr>
        <w:spacing w:before="120" w:after="120"/>
        <w:ind w:left="357" w:hanging="357"/>
        <w:contextualSpacing w:val="0"/>
      </w:pPr>
      <w:r>
        <w:t xml:space="preserve">The number of patients treated with </w:t>
      </w:r>
      <w:r w:rsidR="002F559B">
        <w:t>bDMDs</w:t>
      </w:r>
      <w:r>
        <w:t xml:space="preserve"> for severe refractory adult Crohn disease, fistulising Crohn disease and moderate to severe refractory Crohn disease in children and adolescents had increased steadily </w:t>
      </w:r>
      <w:r w:rsidR="0098275B">
        <w:t>from</w:t>
      </w:r>
      <w:r>
        <w:t xml:space="preserve"> 2007 to 2016.</w:t>
      </w:r>
    </w:p>
    <w:p w14:paraId="23F98DCC" w14:textId="59A08E10" w:rsidR="00316006" w:rsidRDefault="00316006" w:rsidP="00C26911">
      <w:pPr>
        <w:pStyle w:val="NoSpacing"/>
        <w:numPr>
          <w:ilvl w:val="0"/>
          <w:numId w:val="18"/>
        </w:numPr>
        <w:spacing w:before="120" w:after="120"/>
        <w:ind w:left="357" w:hanging="357"/>
      </w:pPr>
      <w:r>
        <w:t xml:space="preserve">In 2016, 7,505 patients received a </w:t>
      </w:r>
      <w:r w:rsidR="002F559B">
        <w:t>bDMD</w:t>
      </w:r>
      <w:r>
        <w:t xml:space="preserve"> for severe adult refractory Crohn disease, 2,135 for fistulising Crohn disease and 824 patients received treatment for paediatric Crohn disease. </w:t>
      </w:r>
    </w:p>
    <w:p w14:paraId="1BE6056C" w14:textId="1030D3D7" w:rsidR="00144D70" w:rsidRDefault="00144D70" w:rsidP="00FA439D">
      <w:pPr>
        <w:pStyle w:val="ListParagraph"/>
        <w:numPr>
          <w:ilvl w:val="0"/>
          <w:numId w:val="18"/>
        </w:numPr>
        <w:spacing w:before="120" w:after="120"/>
        <w:ind w:left="357" w:hanging="357"/>
        <w:contextualSpacing w:val="0"/>
      </w:pPr>
      <w:r>
        <w:t xml:space="preserve">The proportion of patients continuing on </w:t>
      </w:r>
      <w:r w:rsidR="002F559B">
        <w:t>bDMD</w:t>
      </w:r>
      <w:r>
        <w:t xml:space="preserve"> therapy for each of its listed Crohn indications was </w:t>
      </w:r>
      <w:r w:rsidR="000B2DC1">
        <w:t xml:space="preserve">substantially </w:t>
      </w:r>
      <w:r>
        <w:t>higher than anticipated.</w:t>
      </w:r>
    </w:p>
    <w:p w14:paraId="747D1D08" w14:textId="28CA3F8B" w:rsidR="004B6B14" w:rsidRDefault="002F559B" w:rsidP="00FA439D">
      <w:pPr>
        <w:pStyle w:val="ListParagraph"/>
        <w:numPr>
          <w:ilvl w:val="0"/>
          <w:numId w:val="18"/>
        </w:numPr>
        <w:spacing w:before="120" w:after="120"/>
        <w:ind w:left="357" w:hanging="357"/>
        <w:contextualSpacing w:val="0"/>
      </w:pPr>
      <w:r>
        <w:t>bDMDs</w:t>
      </w:r>
      <w:r w:rsidR="004B6B14">
        <w:t xml:space="preserve"> are being initiated as per their restrictions for prior therapies in the majority of cases.</w:t>
      </w:r>
    </w:p>
    <w:p w14:paraId="38B57ECC" w14:textId="52B13CFA" w:rsidR="00BB0D1A" w:rsidRPr="00FD30B3" w:rsidRDefault="00BB0D1A" w:rsidP="002C22B7">
      <w:pPr>
        <w:pStyle w:val="Title"/>
        <w:rPr>
          <w:b w:val="0"/>
          <w:bCs/>
          <w:sz w:val="32"/>
          <w:szCs w:val="26"/>
        </w:rPr>
      </w:pPr>
      <w:r>
        <w:br w:type="page"/>
      </w:r>
    </w:p>
    <w:p w14:paraId="5B262047" w14:textId="525241DC" w:rsidR="00E677DD" w:rsidRDefault="00E677DD" w:rsidP="000C46BB">
      <w:pPr>
        <w:pStyle w:val="Heading4"/>
      </w:pPr>
      <w:r w:rsidRPr="000C46BB">
        <w:lastRenderedPageBreak/>
        <w:t xml:space="preserve">Purpose of </w:t>
      </w:r>
      <w:r w:rsidR="00D151EB" w:rsidRPr="000C46BB">
        <w:t>analysis</w:t>
      </w:r>
    </w:p>
    <w:p w14:paraId="0A9B7F68" w14:textId="41F677C8" w:rsidR="00D72330" w:rsidRDefault="00D72330" w:rsidP="00D72330">
      <w:pPr>
        <w:keepNext/>
        <w:keepLines/>
        <w:spacing w:after="0"/>
        <w:ind w:left="34"/>
      </w:pPr>
      <w:r>
        <w:t>The PBAC considered the February 2015 DUSC review</w:t>
      </w:r>
      <w:r w:rsidR="00D576AE">
        <w:t xml:space="preserve"> of </w:t>
      </w:r>
      <w:r w:rsidR="00906A0A">
        <w:t xml:space="preserve">biological </w:t>
      </w:r>
      <w:r w:rsidR="002F559B">
        <w:t>disease modifying drugs (bDMDs)</w:t>
      </w:r>
      <w:r w:rsidRPr="002F170F">
        <w:t xml:space="preserve"> </w:t>
      </w:r>
      <w:r>
        <w:t xml:space="preserve">for Crohn disease at its March 2015 meeting. </w:t>
      </w:r>
      <w:r w:rsidRPr="002F170F">
        <w:t xml:space="preserve">The PBAC noted that a higher than expected proportion of patients was continuing on </w:t>
      </w:r>
      <w:r w:rsidR="002F559B">
        <w:t>bDMDs</w:t>
      </w:r>
      <w:r w:rsidRPr="002F170F">
        <w:t xml:space="preserve"> and their use to treat Crohn disease was yet to stab</w:t>
      </w:r>
      <w:r>
        <w:t>i</w:t>
      </w:r>
      <w:r w:rsidRPr="002F170F">
        <w:t>lise.</w:t>
      </w:r>
      <w:r>
        <w:t xml:space="preserve"> </w:t>
      </w:r>
      <w:r w:rsidRPr="002F170F">
        <w:t xml:space="preserve">The PBAC also noted that the cost-effectiveness of infliximab and adalimumab may be affected if patients are continuing treatment without achieving remission. </w:t>
      </w:r>
    </w:p>
    <w:p w14:paraId="0A73624C" w14:textId="77777777" w:rsidR="00D72330" w:rsidRDefault="00D72330" w:rsidP="00D72330">
      <w:pPr>
        <w:keepNext/>
        <w:keepLines/>
        <w:spacing w:after="0"/>
        <w:ind w:left="34"/>
      </w:pPr>
    </w:p>
    <w:p w14:paraId="078EA2DA" w14:textId="3C46C3D7" w:rsidR="00D72330" w:rsidRPr="00DF51D6" w:rsidRDefault="00D72330" w:rsidP="00D72330">
      <w:pPr>
        <w:keepNext/>
        <w:keepLines/>
        <w:spacing w:after="0"/>
        <w:ind w:left="34"/>
      </w:pPr>
      <w:r>
        <w:t xml:space="preserve">The PBAC requested its </w:t>
      </w:r>
      <w:r w:rsidRPr="002F170F">
        <w:t xml:space="preserve">DUSC assess the utilisation of </w:t>
      </w:r>
      <w:r w:rsidR="002F559B">
        <w:t>bDMDs</w:t>
      </w:r>
      <w:r>
        <w:t xml:space="preserve"> </w:t>
      </w:r>
      <w:r w:rsidRPr="002F170F">
        <w:t xml:space="preserve">for Crohn Disease in another two years. </w:t>
      </w:r>
    </w:p>
    <w:p w14:paraId="0A7F0B57" w14:textId="034D22D5" w:rsidR="006537D9" w:rsidRDefault="00736041" w:rsidP="001E4CAB">
      <w:pPr>
        <w:pStyle w:val="Heading4"/>
      </w:pPr>
      <w:r w:rsidRPr="005E22C2">
        <w:t>Background</w:t>
      </w:r>
    </w:p>
    <w:p w14:paraId="72E6C6E9" w14:textId="77777777" w:rsidR="00AB18C3" w:rsidRPr="007247B9" w:rsidRDefault="00AB18C3" w:rsidP="00AB18C3">
      <w:pPr>
        <w:pStyle w:val="Heading3"/>
      </w:pPr>
      <w:r w:rsidRPr="007247B9">
        <w:t>Clinical situation</w:t>
      </w:r>
    </w:p>
    <w:p w14:paraId="1A69BBDA" w14:textId="28F6ED04" w:rsidR="00AB18C3" w:rsidRDefault="00AB18C3" w:rsidP="00AB18C3">
      <w:pPr>
        <w:spacing w:before="240" w:after="240" w:line="300" w:lineRule="atLeast"/>
      </w:pPr>
      <w:r>
        <w:t>Crohn disease is a</w:t>
      </w:r>
      <w:r w:rsidR="00121315">
        <w:t>n</w:t>
      </w:r>
      <w:r>
        <w:t xml:space="preserve"> inflammatory bowel disease (IBD) which can occur in any part of the digestive system. Ulcerative colitis is also a major type of IBD which is typically confined in the large intestine (GESA Guidelines</w:t>
      </w:r>
      <w:r w:rsidR="005F0745">
        <w:t>,</w:t>
      </w:r>
      <w:r>
        <w:t xml:space="preserve"> 2013). Between 5 to 15% of patients are estimated to have features of both conditions, referred to as ‘IBD unclassified’ (GESA Guidelines</w:t>
      </w:r>
      <w:r w:rsidR="005F0745">
        <w:t xml:space="preserve">, </w:t>
      </w:r>
      <w:r>
        <w:t>2013).</w:t>
      </w:r>
    </w:p>
    <w:p w14:paraId="6558608D" w14:textId="29A27811" w:rsidR="00AB18C3" w:rsidRDefault="00AB18C3" w:rsidP="00AB18C3">
      <w:pPr>
        <w:spacing w:before="240" w:after="240" w:line="300" w:lineRule="atLeast"/>
      </w:pPr>
      <w:r>
        <w:t>In Western countries, the age at diagnosis for IBD appears to be bimodal. An initial peak in diagnosis occurs between 20 to 30 years for Crohn disease and 30 to 40 y</w:t>
      </w:r>
      <w:r w:rsidR="005F0745">
        <w:t>ears for ulcerative colitis</w:t>
      </w:r>
      <w:r>
        <w:t>. A second peak is seen in both diseases between 60 to 70 years of age (Ng et al., 2016). The predominance of a gender having IBD appears to vary depending on ethnicity and geographic region (Zelinkova and van der Woude, 2014). For instance</w:t>
      </w:r>
      <w:r w:rsidR="005F0745">
        <w:t>,</w:t>
      </w:r>
      <w:r>
        <w:t xml:space="preserve"> in Asian countries, Crohn disease is more prominent in males whereas in North America and Europe there seems to be an equal distribution to female predominance (Zelinkova and van der Woude, 2014).</w:t>
      </w:r>
    </w:p>
    <w:p w14:paraId="0A7CF092" w14:textId="09F1F458" w:rsidR="00AB18C3" w:rsidRDefault="00AB18C3" w:rsidP="00A37415">
      <w:pPr>
        <w:spacing w:before="240" w:after="240"/>
      </w:pPr>
      <w:r>
        <w:t>The mechanisms underlying Cro</w:t>
      </w:r>
      <w:r w:rsidR="005F0745">
        <w:t xml:space="preserve">hn disease are complex and </w:t>
      </w:r>
      <w:r>
        <w:t xml:space="preserve">not fully understood. It is thought that the disease is the result of an abnormal immune response in the gut from either: an alteration in the balance of microorganisms (microbiota) in the intestinal tract; </w:t>
      </w:r>
      <w:r w:rsidR="00A37415">
        <w:t xml:space="preserve">or </w:t>
      </w:r>
      <w:r>
        <w:t>environmental factors which disturb the mucosal layer within the bowel; or an immune response is triggered in an atypical way in genetically susceptible individuals (Guinane and Cotter, 2013; Boyapati et al., 2015). Environmental factors which are associated with a higher risk of developing Crohn disease include smoking, appendectomy and the use of antibiotics and nonsteroidal anti-inflammatory drugs (Ananthakrishnan 2013; Zelinkova and van der Woude, 2014; Ng et al., 2016).</w:t>
      </w:r>
    </w:p>
    <w:p w14:paraId="7625C15D" w14:textId="78E1E5E7" w:rsidR="00AB18C3" w:rsidRDefault="00AB18C3" w:rsidP="00AB18C3">
      <w:pPr>
        <w:spacing w:before="240" w:after="240" w:line="300" w:lineRule="atLeast"/>
      </w:pPr>
      <w:r>
        <w:t xml:space="preserve">Inflamed tissue within the bowel can become swollen and thick </w:t>
      </w:r>
      <w:r w:rsidR="00A37415">
        <w:t>that</w:t>
      </w:r>
      <w:r>
        <w:t xml:space="preserve"> can cause obstructions which may require surgery. Open sores (ulcers) may develop on the surface of the intestine. If ulcers break through the intestinal wall, fistulas (cavities) may develop forming abnormal connections</w:t>
      </w:r>
      <w:r w:rsidRPr="00AC6D4A">
        <w:t xml:space="preserve"> </w:t>
      </w:r>
      <w:r>
        <w:t>in</w:t>
      </w:r>
      <w:r w:rsidRPr="00AC6D4A">
        <w:t xml:space="preserve"> the </w:t>
      </w:r>
      <w:r>
        <w:t>intestine</w:t>
      </w:r>
      <w:r w:rsidRPr="00AC6D4A">
        <w:t xml:space="preserve"> or between the intestine and </w:t>
      </w:r>
      <w:r>
        <w:t xml:space="preserve">other organs such as the skin and bladder. Fistulas may cause food to bypass the areas of the bowel which are important for absorption. Fistulas that result in the drainage of bowel contents to the skin </w:t>
      </w:r>
      <w:r>
        <w:lastRenderedPageBreak/>
        <w:t>and other tissues can become infected and form an abscess which can become life threatening if untreated.</w:t>
      </w:r>
    </w:p>
    <w:p w14:paraId="16D91915" w14:textId="48ECFE26" w:rsidR="00AB18C3" w:rsidRDefault="00AB18C3" w:rsidP="00986704">
      <w:pPr>
        <w:spacing w:before="240" w:after="240" w:line="300" w:lineRule="atLeast"/>
      </w:pPr>
      <w:r>
        <w:t>Common symptoms of Crohn disease include diarrhoea, abdominal pain, appetite loss, weight loss, fatigue and fever. There is no cure for Crohn disease</w:t>
      </w:r>
      <w:r w:rsidR="00A37415">
        <w:t>.</w:t>
      </w:r>
      <w:r>
        <w:t xml:space="preserve"> </w:t>
      </w:r>
      <w:r w:rsidR="00A37415">
        <w:t>T</w:t>
      </w:r>
      <w:r>
        <w:t xml:space="preserve">reatment aims to alleviate symptoms, maintain disease remission and to prevent relapses. </w:t>
      </w:r>
    </w:p>
    <w:p w14:paraId="7F4127C3" w14:textId="77777777" w:rsidR="00AB18C3" w:rsidRDefault="00AB18C3" w:rsidP="00AB18C3">
      <w:pPr>
        <w:pStyle w:val="Heading3"/>
      </w:pPr>
      <w:r>
        <w:t>Dosage and administration</w:t>
      </w:r>
    </w:p>
    <w:p w14:paraId="4E2E1036" w14:textId="44976B7F" w:rsidR="0044194F" w:rsidRPr="00731076" w:rsidRDefault="00AB18C3" w:rsidP="00A37415">
      <w:pPr>
        <w:pStyle w:val="Tabletitle"/>
        <w:spacing w:before="0" w:after="0"/>
      </w:pPr>
      <w:r>
        <w:t>Table 1</w:t>
      </w:r>
      <w:r w:rsidRPr="00731076">
        <w:t xml:space="preserve">: Dosage and administration of infliximab, adalimumab and vedolizumab for moderate to severe Crohn in adults and children and fistulising Crohn  </w:t>
      </w:r>
    </w:p>
    <w:tbl>
      <w:tblPr>
        <w:tblStyle w:val="TableGrid"/>
        <w:tblW w:w="9180" w:type="dxa"/>
        <w:tblLook w:val="04A0" w:firstRow="1" w:lastRow="0" w:firstColumn="1" w:lastColumn="0" w:noHBand="0" w:noVBand="1"/>
        <w:tblCaption w:val="Dosage and administration of infliximab, adalimumab and vedolizumab for moderate to severe Crohn in adults and children and fistulising Crohn  "/>
        <w:tblDescription w:val="A table outlining the brand name and sponsor, dose and administration for the drugs"/>
      </w:tblPr>
      <w:tblGrid>
        <w:gridCol w:w="2353"/>
        <w:gridCol w:w="1277"/>
        <w:gridCol w:w="5550"/>
      </w:tblGrid>
      <w:tr w:rsidR="00AB18C3" w:rsidRPr="00A35800" w14:paraId="590F6CD1" w14:textId="77777777" w:rsidTr="00881981">
        <w:trPr>
          <w:tblHeader/>
        </w:trPr>
        <w:tc>
          <w:tcPr>
            <w:tcW w:w="2376" w:type="dxa"/>
            <w:shd w:val="clear" w:color="auto" w:fill="BFBFBF" w:themeFill="background1" w:themeFillShade="BF"/>
          </w:tcPr>
          <w:p w14:paraId="5AAB4D4B" w14:textId="77777777" w:rsidR="00AB18C3" w:rsidRPr="00A35800" w:rsidRDefault="00AB18C3" w:rsidP="00881981">
            <w:pPr>
              <w:pStyle w:val="Tableheading"/>
              <w:rPr>
                <w:sz w:val="20"/>
                <w:szCs w:val="20"/>
              </w:rPr>
            </w:pPr>
            <w:r w:rsidRPr="00A35800">
              <w:rPr>
                <w:sz w:val="20"/>
                <w:szCs w:val="20"/>
              </w:rPr>
              <w:t>Brand name and sponsor</w:t>
            </w:r>
          </w:p>
        </w:tc>
        <w:tc>
          <w:tcPr>
            <w:tcW w:w="1134" w:type="dxa"/>
            <w:shd w:val="clear" w:color="auto" w:fill="BFBFBF" w:themeFill="background1" w:themeFillShade="BF"/>
          </w:tcPr>
          <w:p w14:paraId="78C121B1" w14:textId="77777777" w:rsidR="00AB18C3" w:rsidRPr="00A35800" w:rsidRDefault="00AB18C3" w:rsidP="00881981">
            <w:pPr>
              <w:pStyle w:val="Tableheading"/>
              <w:rPr>
                <w:sz w:val="20"/>
                <w:szCs w:val="20"/>
              </w:rPr>
            </w:pPr>
            <w:r w:rsidRPr="00A35800">
              <w:rPr>
                <w:sz w:val="20"/>
                <w:szCs w:val="20"/>
              </w:rPr>
              <w:t>Product</w:t>
            </w:r>
          </w:p>
        </w:tc>
        <w:tc>
          <w:tcPr>
            <w:tcW w:w="5670" w:type="dxa"/>
            <w:shd w:val="clear" w:color="auto" w:fill="BFBFBF" w:themeFill="background1" w:themeFillShade="BF"/>
          </w:tcPr>
          <w:p w14:paraId="24367ABD" w14:textId="77777777" w:rsidR="00AB18C3" w:rsidRPr="00A35800" w:rsidRDefault="00AB18C3" w:rsidP="00881981">
            <w:pPr>
              <w:pStyle w:val="Tableheading"/>
              <w:rPr>
                <w:sz w:val="20"/>
                <w:szCs w:val="20"/>
              </w:rPr>
            </w:pPr>
            <w:r w:rsidRPr="00A35800">
              <w:rPr>
                <w:sz w:val="20"/>
                <w:szCs w:val="20"/>
              </w:rPr>
              <w:t xml:space="preserve">Dose and frequency of administration </w:t>
            </w:r>
          </w:p>
        </w:tc>
      </w:tr>
      <w:tr w:rsidR="00AB18C3" w:rsidRPr="00A35800" w14:paraId="1F2D4971" w14:textId="77777777" w:rsidTr="00881981">
        <w:tc>
          <w:tcPr>
            <w:tcW w:w="2376" w:type="dxa"/>
          </w:tcPr>
          <w:p w14:paraId="3FCE64B1" w14:textId="6EECB39D" w:rsidR="00AB18C3" w:rsidRDefault="001124DC" w:rsidP="00881981">
            <w:pPr>
              <w:pStyle w:val="Tablewriting"/>
            </w:pPr>
            <w:r>
              <w:t>Remicade®</w:t>
            </w:r>
            <w:r w:rsidR="00AB18C3">
              <w:t>, Janssen-Cilag Pty Ltd</w:t>
            </w:r>
          </w:p>
          <w:p w14:paraId="6BF9C12D" w14:textId="77777777" w:rsidR="00AB18C3" w:rsidRDefault="00AB18C3" w:rsidP="00881981">
            <w:pPr>
              <w:pStyle w:val="Tablewriting"/>
            </w:pPr>
          </w:p>
          <w:p w14:paraId="6774C43F" w14:textId="19D50189" w:rsidR="00AB18C3" w:rsidRDefault="00AB18C3" w:rsidP="00881981">
            <w:pPr>
              <w:pStyle w:val="Tablewriting"/>
            </w:pPr>
            <w:r>
              <w:t>Inflectra</w:t>
            </w:r>
            <w:r w:rsidRPr="00E76709">
              <w:rPr>
                <w:sz w:val="22"/>
                <w:szCs w:val="22"/>
              </w:rPr>
              <w:t>®</w:t>
            </w:r>
            <w:r w:rsidR="007759B4">
              <w:t>, Pf</w:t>
            </w:r>
            <w:r>
              <w:t>izer Australia Pty Ltd</w:t>
            </w:r>
          </w:p>
          <w:p w14:paraId="05998A1E" w14:textId="77777777" w:rsidR="00AB18C3" w:rsidRPr="00A35800" w:rsidRDefault="00AB18C3" w:rsidP="00881981">
            <w:pPr>
              <w:pStyle w:val="Tablewriting"/>
            </w:pPr>
          </w:p>
        </w:tc>
        <w:tc>
          <w:tcPr>
            <w:tcW w:w="1134" w:type="dxa"/>
          </w:tcPr>
          <w:p w14:paraId="6E546395" w14:textId="77777777" w:rsidR="00AB18C3" w:rsidRPr="00A35800" w:rsidRDefault="00AB18C3" w:rsidP="00881981">
            <w:pPr>
              <w:pStyle w:val="Tablewriting"/>
            </w:pPr>
            <w:r>
              <w:t>Infliximab</w:t>
            </w:r>
          </w:p>
        </w:tc>
        <w:tc>
          <w:tcPr>
            <w:tcW w:w="5670" w:type="dxa"/>
          </w:tcPr>
          <w:p w14:paraId="367D3E4B" w14:textId="48E0022E" w:rsidR="00AB18C3" w:rsidRPr="0031665A" w:rsidRDefault="00AB18C3" w:rsidP="00881981">
            <w:pPr>
              <w:pStyle w:val="Tablewriting"/>
              <w:rPr>
                <w:b/>
              </w:rPr>
            </w:pPr>
            <w:r w:rsidRPr="0031665A">
              <w:rPr>
                <w:b/>
              </w:rPr>
              <w:t xml:space="preserve">Moderate to severe </w:t>
            </w:r>
            <w:r>
              <w:rPr>
                <w:b/>
              </w:rPr>
              <w:t xml:space="preserve">disease in children, adolescents and </w:t>
            </w:r>
            <w:r w:rsidRPr="0031665A">
              <w:rPr>
                <w:b/>
              </w:rPr>
              <w:t xml:space="preserve">adults </w:t>
            </w:r>
          </w:p>
          <w:p w14:paraId="7DCBA420" w14:textId="1FE12432" w:rsidR="00AB18C3" w:rsidRDefault="00AB18C3" w:rsidP="00881981">
            <w:pPr>
              <w:pStyle w:val="Tablewriting"/>
            </w:pPr>
            <w:r>
              <w:t>Induction regimen: 5 mg/kg given as a single intravenous infusion at 0, 2 and 6 weeks.</w:t>
            </w:r>
          </w:p>
          <w:p w14:paraId="08645A83" w14:textId="77777777" w:rsidR="00AB18C3" w:rsidRDefault="00AB18C3" w:rsidP="00881981">
            <w:pPr>
              <w:pStyle w:val="Tablewriting"/>
            </w:pPr>
            <w:r>
              <w:t>Maintenance regimen:  After an induction course, 5 mg/kg every 8 weeks.</w:t>
            </w:r>
          </w:p>
          <w:p w14:paraId="0CF102DF" w14:textId="77777777" w:rsidR="00AB18C3" w:rsidRDefault="00AB18C3" w:rsidP="00881981">
            <w:pPr>
              <w:pStyle w:val="Tablewriting"/>
            </w:pPr>
            <w:r>
              <w:t>For patients who have an incomplete response during maintenance treatment, consideration may be given to adjusting the dose up to 10 mg/kg. PBS subsidy is for the 5 mg/kg dose only.</w:t>
            </w:r>
          </w:p>
          <w:p w14:paraId="1507F018" w14:textId="58CBC395" w:rsidR="00AB18C3" w:rsidRDefault="00AB18C3" w:rsidP="00881981">
            <w:pPr>
              <w:pStyle w:val="Tablewriting"/>
            </w:pPr>
            <w:r>
              <w:t>Paediatric Crohn patients with an adjusted dose of more than 5</w:t>
            </w:r>
            <w:r w:rsidR="00121315">
              <w:t> </w:t>
            </w:r>
            <w:r>
              <w:t xml:space="preserve">mg/kg every 8 weeks may be at greater risk for adverse reactions. </w:t>
            </w:r>
          </w:p>
          <w:p w14:paraId="6C927C58" w14:textId="77777777" w:rsidR="00AB18C3" w:rsidRDefault="00AB18C3" w:rsidP="00881981">
            <w:pPr>
              <w:pStyle w:val="Tablewriting"/>
            </w:pPr>
            <w:r>
              <w:t>Continuing use in children and adolescents (6-17 years) who do not respond within 10 weeks of the initial infusion is not supported by available data.</w:t>
            </w:r>
          </w:p>
          <w:p w14:paraId="4AB91B94" w14:textId="77777777" w:rsidR="00AB18C3" w:rsidRPr="000F5776" w:rsidRDefault="00AB18C3" w:rsidP="00881981">
            <w:pPr>
              <w:pStyle w:val="Tablewriting"/>
              <w:rPr>
                <w:b/>
              </w:rPr>
            </w:pPr>
            <w:r>
              <w:rPr>
                <w:b/>
              </w:rPr>
              <w:t>Fistulising Crohn</w:t>
            </w:r>
          </w:p>
          <w:p w14:paraId="3A63CDEA" w14:textId="77777777" w:rsidR="00AB18C3" w:rsidRDefault="00AB18C3" w:rsidP="00881981">
            <w:pPr>
              <w:pStyle w:val="Tablewriting"/>
            </w:pPr>
            <w:r>
              <w:t>Induction regimen: 5 mg/kg given as a single intravenous infusion at 0, 2 and 6 weeks.</w:t>
            </w:r>
          </w:p>
          <w:p w14:paraId="21DF58FC" w14:textId="0EB8381F" w:rsidR="00AB18C3" w:rsidRDefault="00AB18C3" w:rsidP="00881981">
            <w:pPr>
              <w:pStyle w:val="Tablewriting"/>
            </w:pPr>
            <w:r>
              <w:t>Infliximab should cease if there is no response after the initial three doses.</w:t>
            </w:r>
          </w:p>
          <w:p w14:paraId="10658042" w14:textId="77777777" w:rsidR="00AB18C3" w:rsidRDefault="00AB18C3" w:rsidP="00881981">
            <w:pPr>
              <w:pStyle w:val="Tablewriting"/>
            </w:pPr>
            <w:r>
              <w:t>Maintenance regimen: 5 mg/kg every 8 weeks.</w:t>
            </w:r>
          </w:p>
          <w:p w14:paraId="20F62D1C" w14:textId="77777777" w:rsidR="00AB18C3" w:rsidRPr="00A35800" w:rsidRDefault="00AB18C3" w:rsidP="00881981">
            <w:pPr>
              <w:pStyle w:val="Tablewriting"/>
            </w:pPr>
            <w:r>
              <w:t>There are no efficacy and safety data on the use of infliximab for the treatment of refractory fistulising Crohn disease beyond 54 weeks.</w:t>
            </w:r>
          </w:p>
        </w:tc>
      </w:tr>
      <w:tr w:rsidR="00AB18C3" w:rsidRPr="00A35800" w14:paraId="2BAF091C" w14:textId="77777777" w:rsidTr="00881981">
        <w:tc>
          <w:tcPr>
            <w:tcW w:w="2376" w:type="dxa"/>
          </w:tcPr>
          <w:p w14:paraId="2767255B" w14:textId="77777777" w:rsidR="00AB18C3" w:rsidRDefault="00AB18C3" w:rsidP="00881981">
            <w:pPr>
              <w:pStyle w:val="Tablewriting"/>
            </w:pPr>
            <w:r>
              <w:t>Humira</w:t>
            </w:r>
            <w:r w:rsidRPr="00E76709">
              <w:rPr>
                <w:sz w:val="22"/>
                <w:szCs w:val="22"/>
              </w:rPr>
              <w:t>®</w:t>
            </w:r>
            <w:r>
              <w:t>, AbbVie Pty Ltd</w:t>
            </w:r>
          </w:p>
          <w:p w14:paraId="3B10DB77" w14:textId="77777777" w:rsidR="00AB18C3" w:rsidRPr="00A35800" w:rsidRDefault="00AB18C3" w:rsidP="00881981">
            <w:pPr>
              <w:pStyle w:val="Tablewriting"/>
            </w:pPr>
          </w:p>
        </w:tc>
        <w:tc>
          <w:tcPr>
            <w:tcW w:w="1134" w:type="dxa"/>
          </w:tcPr>
          <w:p w14:paraId="10C0420B" w14:textId="77777777" w:rsidR="00AB18C3" w:rsidRPr="00A35800" w:rsidRDefault="00AB18C3" w:rsidP="00881981">
            <w:pPr>
              <w:pStyle w:val="Tablewriting"/>
            </w:pPr>
            <w:r>
              <w:t>Adalimumab</w:t>
            </w:r>
          </w:p>
        </w:tc>
        <w:tc>
          <w:tcPr>
            <w:tcW w:w="5670" w:type="dxa"/>
          </w:tcPr>
          <w:p w14:paraId="3AB2635B" w14:textId="54C073C1" w:rsidR="00AB18C3" w:rsidRPr="0031665A" w:rsidRDefault="00AB18C3" w:rsidP="00881981">
            <w:pPr>
              <w:pStyle w:val="Tablewriting"/>
              <w:rPr>
                <w:b/>
              </w:rPr>
            </w:pPr>
            <w:r w:rsidRPr="0031665A">
              <w:rPr>
                <w:b/>
              </w:rPr>
              <w:t xml:space="preserve">Moderate to severe </w:t>
            </w:r>
            <w:r>
              <w:rPr>
                <w:b/>
              </w:rPr>
              <w:t xml:space="preserve">disease in </w:t>
            </w:r>
            <w:r w:rsidRPr="0031665A">
              <w:rPr>
                <w:b/>
              </w:rPr>
              <w:t>adults</w:t>
            </w:r>
          </w:p>
          <w:p w14:paraId="689A7F36" w14:textId="77777777" w:rsidR="00AB18C3" w:rsidRDefault="00AB18C3" w:rsidP="00881981">
            <w:pPr>
              <w:pStyle w:val="Tablewriting"/>
            </w:pPr>
            <w:r>
              <w:t>Induction regimen: On Day 0, initial dose of 160 mg either as four injections or two injections on Day 0 and two injections on Day 1.</w:t>
            </w:r>
          </w:p>
          <w:p w14:paraId="0A0F1CB4" w14:textId="77777777" w:rsidR="00AB18C3" w:rsidRDefault="00AB18C3" w:rsidP="00881981">
            <w:pPr>
              <w:pStyle w:val="Tablewriting"/>
            </w:pPr>
            <w:r>
              <w:t>Second dose of 80 mg as two injections on Day 14.</w:t>
            </w:r>
          </w:p>
          <w:p w14:paraId="00CCCFF4" w14:textId="77777777" w:rsidR="00AB18C3" w:rsidRDefault="00AB18C3" w:rsidP="00881981">
            <w:pPr>
              <w:pStyle w:val="Tablewriting"/>
            </w:pPr>
            <w:r>
              <w:t>Maintenance regimen: 40 mg starting at Day 28 and continuing fortnightly.</w:t>
            </w:r>
          </w:p>
          <w:p w14:paraId="36040304" w14:textId="77777777" w:rsidR="0070014B" w:rsidRDefault="0070014B" w:rsidP="00881981">
            <w:pPr>
              <w:pStyle w:val="Tablewriting"/>
            </w:pPr>
          </w:p>
          <w:p w14:paraId="4C527DB6" w14:textId="77777777" w:rsidR="00AB18C3" w:rsidRDefault="00AB18C3" w:rsidP="00881981">
            <w:pPr>
              <w:pStyle w:val="Tablewriting"/>
              <w:rPr>
                <w:b/>
              </w:rPr>
            </w:pPr>
            <w:r w:rsidRPr="0031665A">
              <w:rPr>
                <w:b/>
              </w:rPr>
              <w:t xml:space="preserve">Moderate to severe </w:t>
            </w:r>
            <w:r>
              <w:rPr>
                <w:b/>
              </w:rPr>
              <w:t>disease in children and adolescents aged 6 to 17 years</w:t>
            </w:r>
          </w:p>
          <w:p w14:paraId="13AD8032" w14:textId="77777777" w:rsidR="00AB18C3" w:rsidRPr="00C037D4" w:rsidRDefault="00AB18C3" w:rsidP="00881981">
            <w:pPr>
              <w:pStyle w:val="Tablewriting"/>
              <w:rPr>
                <w:u w:val="single"/>
              </w:rPr>
            </w:pPr>
            <w:r w:rsidRPr="00C037D4">
              <w:rPr>
                <w:u w:val="single"/>
              </w:rPr>
              <w:t>For less than 40 kg bodyweight</w:t>
            </w:r>
          </w:p>
          <w:p w14:paraId="021BAB46" w14:textId="77777777" w:rsidR="00AB18C3" w:rsidRDefault="00AB18C3" w:rsidP="00881981">
            <w:pPr>
              <w:pStyle w:val="Tablewriting"/>
            </w:pPr>
            <w:r>
              <w:t xml:space="preserve">Induction regimen (for both moderate and severe disease): Initial dose of 80 mg as two injections of 40 mg on Day 0. Second dose </w:t>
            </w:r>
            <w:r>
              <w:lastRenderedPageBreak/>
              <w:t xml:space="preserve">on Day 14 as one 40 mg injection or two 20 mg injections. </w:t>
            </w:r>
          </w:p>
          <w:p w14:paraId="7A865D3D" w14:textId="1A8BD395" w:rsidR="00AB18C3" w:rsidRPr="007F65AD" w:rsidRDefault="00AB18C3" w:rsidP="00881981">
            <w:pPr>
              <w:pStyle w:val="Tablewriting"/>
            </w:pPr>
            <w:r>
              <w:t>Maintenance regimen: For moderate disease, 10 mg starting Day</w:t>
            </w:r>
            <w:r w:rsidR="00121315">
              <w:t> </w:t>
            </w:r>
            <w:r>
              <w:t xml:space="preserve">28 and continuing fortnightly. For </w:t>
            </w:r>
            <w:r w:rsidR="00121315">
              <w:t>s</w:t>
            </w:r>
            <w:r>
              <w:t>evere disease, 20 mg starting Day 28 and continuing fortnightly.</w:t>
            </w:r>
          </w:p>
          <w:p w14:paraId="0FB3F1F0" w14:textId="77777777" w:rsidR="00AB18C3" w:rsidRPr="00C037D4" w:rsidRDefault="00AB18C3" w:rsidP="00881981">
            <w:pPr>
              <w:pStyle w:val="Tablewriting"/>
              <w:rPr>
                <w:u w:val="single"/>
              </w:rPr>
            </w:pPr>
            <w:r w:rsidRPr="00C037D4">
              <w:rPr>
                <w:u w:val="single"/>
              </w:rPr>
              <w:t xml:space="preserve">For </w:t>
            </w:r>
            <w:r>
              <w:rPr>
                <w:u w:val="single"/>
              </w:rPr>
              <w:t>patients weighting</w:t>
            </w:r>
            <w:r w:rsidRPr="00C037D4">
              <w:rPr>
                <w:u w:val="single"/>
              </w:rPr>
              <w:t xml:space="preserve"> 40 kg </w:t>
            </w:r>
            <w:r>
              <w:rPr>
                <w:u w:val="single"/>
              </w:rPr>
              <w:t>or more</w:t>
            </w:r>
          </w:p>
          <w:p w14:paraId="055549A6" w14:textId="77777777" w:rsidR="00AB18C3" w:rsidRDefault="00AB18C3" w:rsidP="00881981">
            <w:pPr>
              <w:pStyle w:val="Tablewriting"/>
            </w:pPr>
            <w:r>
              <w:t xml:space="preserve">Induction regimen (for both moderate and severe disease): Initial dose on Day 0 of 160 mg as four injections of 40 mg or as two 40 mg injections on Day 0 and two 40 mg injections on Day 1.  Second dose on Day 14 of 80 mg as two 40 mg injections. </w:t>
            </w:r>
          </w:p>
          <w:p w14:paraId="33F72764" w14:textId="0140B175" w:rsidR="00AB18C3" w:rsidRPr="00A35800" w:rsidRDefault="00AB18C3" w:rsidP="00121315">
            <w:pPr>
              <w:pStyle w:val="Tablewriting"/>
            </w:pPr>
            <w:r>
              <w:t xml:space="preserve">Maintenance regimen: For moderate disease, 20 mg starting Day 28 and continuing fortnightly. For </w:t>
            </w:r>
            <w:r w:rsidR="00121315">
              <w:t>s</w:t>
            </w:r>
            <w:r>
              <w:t>evere disease, 40 mg starting Day 28 and continuing fortnightly.</w:t>
            </w:r>
          </w:p>
        </w:tc>
      </w:tr>
      <w:tr w:rsidR="00AB18C3" w:rsidRPr="00A35800" w14:paraId="0445FC28" w14:textId="77777777" w:rsidTr="00881981">
        <w:tc>
          <w:tcPr>
            <w:tcW w:w="2376" w:type="dxa"/>
          </w:tcPr>
          <w:p w14:paraId="74FD5295" w14:textId="77777777" w:rsidR="00AB18C3" w:rsidRDefault="00AB18C3" w:rsidP="00881981">
            <w:pPr>
              <w:pStyle w:val="Tablewriting"/>
            </w:pPr>
            <w:r w:rsidRPr="008B1A2A">
              <w:lastRenderedPageBreak/>
              <w:t>Entyvio</w:t>
            </w:r>
            <w:r w:rsidRPr="008B1A2A">
              <w:rPr>
                <w:sz w:val="22"/>
                <w:szCs w:val="22"/>
              </w:rPr>
              <w:t>®</w:t>
            </w:r>
            <w:r>
              <w:t xml:space="preserve">, </w:t>
            </w:r>
            <w:r w:rsidRPr="008B1A2A">
              <w:t>Takeda Pharmaceuticals Australia Pty Ltd</w:t>
            </w:r>
          </w:p>
          <w:p w14:paraId="35560F0C" w14:textId="77777777" w:rsidR="00AB18C3" w:rsidRPr="00A35800" w:rsidRDefault="00AB18C3" w:rsidP="00881981">
            <w:pPr>
              <w:pStyle w:val="Tablewriting"/>
            </w:pPr>
          </w:p>
        </w:tc>
        <w:tc>
          <w:tcPr>
            <w:tcW w:w="1134" w:type="dxa"/>
          </w:tcPr>
          <w:p w14:paraId="418C0F02" w14:textId="77777777" w:rsidR="00AB18C3" w:rsidRPr="00A35800" w:rsidRDefault="00AB18C3" w:rsidP="00881981">
            <w:pPr>
              <w:pStyle w:val="Tablewriting"/>
            </w:pPr>
            <w:r>
              <w:t>Vedolizumab</w:t>
            </w:r>
          </w:p>
        </w:tc>
        <w:tc>
          <w:tcPr>
            <w:tcW w:w="5670" w:type="dxa"/>
          </w:tcPr>
          <w:p w14:paraId="35289CCA" w14:textId="77777777" w:rsidR="00AB18C3" w:rsidRPr="00C61316" w:rsidRDefault="00AB18C3" w:rsidP="00881981">
            <w:pPr>
              <w:pStyle w:val="Tablewriting"/>
              <w:rPr>
                <w:b/>
              </w:rPr>
            </w:pPr>
            <w:r w:rsidRPr="0031665A">
              <w:rPr>
                <w:b/>
              </w:rPr>
              <w:t xml:space="preserve">Moderate to severe </w:t>
            </w:r>
            <w:r>
              <w:rPr>
                <w:b/>
              </w:rPr>
              <w:t xml:space="preserve">disease in </w:t>
            </w:r>
            <w:r w:rsidRPr="0031665A">
              <w:rPr>
                <w:b/>
              </w:rPr>
              <w:t>adults patients</w:t>
            </w:r>
          </w:p>
          <w:p w14:paraId="7213BBC9" w14:textId="77777777" w:rsidR="00AB18C3" w:rsidRDefault="00AB18C3" w:rsidP="00881981">
            <w:pPr>
              <w:pStyle w:val="Tablewriting"/>
            </w:pPr>
            <w:r>
              <w:t xml:space="preserve">The recommended dose regimen is 300 mg administered by intravenous infusion at 0, 2 and 6 weeks and then every 8 weeks thereafter. </w:t>
            </w:r>
          </w:p>
          <w:p w14:paraId="7A17F604" w14:textId="77777777" w:rsidR="00AB18C3" w:rsidRPr="00A35800" w:rsidRDefault="00AB18C3" w:rsidP="00881981">
            <w:pPr>
              <w:pStyle w:val="Tablewriting"/>
            </w:pPr>
            <w:r>
              <w:t>Patients should be reviewed within 6 to 8 weeks of completing the induction regimen, corresponding to 12-14 weeks after initiation of induction treatment. Continued treatment is not recommended for patients who have not shown a clinical response by Week 14. A clinical response is defined as greater than or equal to 70-point decrease in CDAI score from baseline.</w:t>
            </w:r>
          </w:p>
        </w:tc>
      </w:tr>
    </w:tbl>
    <w:p w14:paraId="6E31957F" w14:textId="298C5B2F" w:rsidR="00AB18C3" w:rsidRPr="0016577D" w:rsidRDefault="00AB18C3" w:rsidP="0016577D">
      <w:pPr>
        <w:pStyle w:val="Notes"/>
        <w:rPr>
          <w:rFonts w:cstheme="minorBidi"/>
        </w:rPr>
      </w:pPr>
      <w:r w:rsidRPr="004929FE">
        <w:rPr>
          <w:rFonts w:cstheme="minorBidi"/>
        </w:rPr>
        <w:t xml:space="preserve">Source: </w:t>
      </w:r>
      <w:hyperlink r:id="rId9" w:history="1">
        <w:r w:rsidRPr="004929FE">
          <w:rPr>
            <w:rStyle w:val="Hyperlink"/>
            <w:rFonts w:cstheme="minorBidi"/>
          </w:rPr>
          <w:t>Product information</w:t>
        </w:r>
      </w:hyperlink>
      <w:r>
        <w:rPr>
          <w:rFonts w:cstheme="minorBidi"/>
        </w:rPr>
        <w:t xml:space="preserve"> from the Therapeutic Goods Administration. </w:t>
      </w:r>
    </w:p>
    <w:p w14:paraId="0183A567" w14:textId="413DF87B" w:rsidR="007247B9" w:rsidRDefault="007247B9" w:rsidP="00FE645A">
      <w:pPr>
        <w:pStyle w:val="Heading3"/>
      </w:pPr>
      <w:r>
        <w:t>Pharmacology</w:t>
      </w:r>
    </w:p>
    <w:p w14:paraId="491F7B51" w14:textId="77777777" w:rsidR="00313082" w:rsidRPr="007247B9" w:rsidRDefault="00313082" w:rsidP="00313082">
      <w:r>
        <w:t xml:space="preserve">Infliximab and adalimumab are </w:t>
      </w:r>
      <w:r w:rsidRPr="00DF2F55">
        <w:t>recombinant human immunoglobulin</w:t>
      </w:r>
      <w:r>
        <w:t xml:space="preserve"> </w:t>
      </w:r>
      <w:r w:rsidRPr="00DF2F55">
        <w:t>monoclonal antibod</w:t>
      </w:r>
      <w:r>
        <w:t xml:space="preserve">ies that bind to </w:t>
      </w:r>
      <w:r w:rsidRPr="00DF2F55">
        <w:t>tumour necrosis factor</w:t>
      </w:r>
      <w:r>
        <w:t xml:space="preserve"> (TNF-</w:t>
      </w:r>
      <w:r>
        <w:sym w:font="Symbol" w:char="F061"/>
      </w:r>
      <w:r>
        <w:t>) and inhibit its inflammatory action.</w:t>
      </w:r>
      <w:r>
        <w:rPr>
          <w:rStyle w:val="FootnoteReference"/>
        </w:rPr>
        <w:footnoteReference w:id="1"/>
      </w:r>
      <w:r w:rsidRPr="00F06285">
        <w:rPr>
          <w:vertAlign w:val="superscript"/>
        </w:rPr>
        <w:t>,</w:t>
      </w:r>
      <w:r>
        <w:rPr>
          <w:rStyle w:val="FootnoteReference"/>
        </w:rPr>
        <w:footnoteReference w:id="2"/>
      </w:r>
      <w:r>
        <w:t xml:space="preserve"> </w:t>
      </w:r>
    </w:p>
    <w:p w14:paraId="3547D293" w14:textId="514B6603" w:rsidR="00313082" w:rsidRDefault="00C12468" w:rsidP="00AE4BAC">
      <w:r>
        <w:t>Vedolizumab is a humanised IgG1 monoclonal antibody that binds to the human α4β7 integrin.</w:t>
      </w:r>
      <w:r>
        <w:rPr>
          <w:rStyle w:val="FootnoteReference"/>
        </w:rPr>
        <w:footnoteReference w:id="3"/>
      </w:r>
    </w:p>
    <w:p w14:paraId="27EED8A4" w14:textId="77777777" w:rsidR="00C91B6B" w:rsidRDefault="00C91B6B" w:rsidP="00C91B6B">
      <w:pPr>
        <w:pStyle w:val="Heading3"/>
      </w:pPr>
      <w:r w:rsidRPr="007247B9">
        <w:t>PBS listing details</w:t>
      </w:r>
      <w:r>
        <w:t xml:space="preserve"> (as at April 2017)</w:t>
      </w:r>
    </w:p>
    <w:p w14:paraId="10F9CCD8" w14:textId="5C2B0416" w:rsidR="00C91B6B" w:rsidRDefault="00C91B6B" w:rsidP="00C91B6B">
      <w:r>
        <w:t xml:space="preserve">The listings are summarised separately for the severe Crohn, Fistulising Crohn and paediatric Crohn indications in Appendix </w:t>
      </w:r>
      <w:r w:rsidR="00F93916">
        <w:t>A</w:t>
      </w:r>
      <w:r>
        <w:t>.</w:t>
      </w:r>
    </w:p>
    <w:p w14:paraId="5A3435F6" w14:textId="29E47D11" w:rsidR="00C91B6B" w:rsidRDefault="00C91B6B" w:rsidP="00C91B6B">
      <w:r>
        <w:t>Infliximab and vedoli</w:t>
      </w:r>
      <w:r w:rsidR="00121315">
        <w:t>z</w:t>
      </w:r>
      <w:r>
        <w:t xml:space="preserve">umab are Section 100 Authority Required listings. Adalimumab has Authority Required General Schedule listings. </w:t>
      </w:r>
    </w:p>
    <w:p w14:paraId="0003B4FE" w14:textId="77777777" w:rsidR="00A37415" w:rsidRDefault="00A37415" w:rsidP="00C91B6B">
      <w:pPr>
        <w:pStyle w:val="Heading2"/>
      </w:pPr>
    </w:p>
    <w:p w14:paraId="200700C0" w14:textId="77777777" w:rsidR="00C91B6B" w:rsidRDefault="00C91B6B" w:rsidP="00C91B6B">
      <w:pPr>
        <w:pStyle w:val="Heading2"/>
      </w:pPr>
      <w:r>
        <w:lastRenderedPageBreak/>
        <w:t>Restrictions</w:t>
      </w:r>
    </w:p>
    <w:p w14:paraId="47B48C2F" w14:textId="37AB13F6" w:rsidR="00C91B6B" w:rsidRDefault="00C91B6B" w:rsidP="00C91B6B">
      <w:pPr>
        <w:rPr>
          <w:rStyle w:val="Hyperlink"/>
        </w:rPr>
      </w:pPr>
      <w:r>
        <w:t xml:space="preserve">The </w:t>
      </w:r>
      <w:r w:rsidR="002F559B">
        <w:t>bDMDs</w:t>
      </w:r>
      <w:r>
        <w:t xml:space="preserve"> included in this review have </w:t>
      </w:r>
      <w:r w:rsidRPr="00FA2F46">
        <w:t>complex restrictions</w:t>
      </w:r>
      <w:r w:rsidR="00A37415">
        <w:t>.</w:t>
      </w:r>
      <w:r>
        <w:t xml:space="preserve"> </w:t>
      </w:r>
      <w:r w:rsidR="00A37415">
        <w:t>A</w:t>
      </w:r>
      <w:r>
        <w:t>bridged versions are presented here by indication</w:t>
      </w:r>
      <w:r w:rsidRPr="00FA2F46">
        <w:t xml:space="preserve">. </w:t>
      </w:r>
      <w:r w:rsidRPr="006775F1">
        <w:t xml:space="preserve">For </w:t>
      </w:r>
      <w:r>
        <w:t xml:space="preserve">full details of the current restrictions refer to the </w:t>
      </w:r>
      <w:hyperlink r:id="rId10" w:history="1">
        <w:r w:rsidRPr="00645D51">
          <w:rPr>
            <w:rStyle w:val="Hyperlink"/>
          </w:rPr>
          <w:t>PBS website</w:t>
        </w:r>
      </w:hyperlink>
      <w:r>
        <w:rPr>
          <w:rStyle w:val="Hyperlink"/>
        </w:rPr>
        <w:t>.</w:t>
      </w:r>
    </w:p>
    <w:p w14:paraId="7472B705" w14:textId="77777777" w:rsidR="00C91B6B" w:rsidRDefault="00C91B6B" w:rsidP="00C91B6B">
      <w:r>
        <w:rPr>
          <w:b/>
        </w:rPr>
        <w:t>Severe refractory Crohn</w:t>
      </w:r>
      <w:r w:rsidRPr="006F2A5C">
        <w:rPr>
          <w:b/>
        </w:rPr>
        <w:t xml:space="preserve"> disease</w:t>
      </w:r>
      <w:r w:rsidRPr="00795543">
        <w:rPr>
          <w:b/>
        </w:rPr>
        <w:t>:</w:t>
      </w:r>
    </w:p>
    <w:p w14:paraId="6FE433C0" w14:textId="77777777" w:rsidR="00C91B6B" w:rsidRDefault="00C91B6B" w:rsidP="00C91B6B">
      <w:pPr>
        <w:spacing w:after="0"/>
      </w:pPr>
      <w:r>
        <w:t>For initial treatment, patients must be 18 years or older who meet the following criteria:</w:t>
      </w:r>
    </w:p>
    <w:p w14:paraId="20A22D2F" w14:textId="77777777" w:rsidR="00C91B6B" w:rsidRDefault="00C91B6B" w:rsidP="00C91B6B">
      <w:pPr>
        <w:pStyle w:val="ListParagraph"/>
        <w:numPr>
          <w:ilvl w:val="0"/>
          <w:numId w:val="1"/>
        </w:numPr>
        <w:spacing w:after="0"/>
      </w:pPr>
      <w:r>
        <w:t>Must have a diagnosis of severe Crohn disease diagnosed by a gastroenterologist or a consultant physician (either internal or general medicine specialising in gastroenterology); and</w:t>
      </w:r>
    </w:p>
    <w:p w14:paraId="08AC353A" w14:textId="77777777" w:rsidR="00C91B6B" w:rsidRDefault="00C91B6B" w:rsidP="00C91B6B">
      <w:pPr>
        <w:pStyle w:val="ListParagraph"/>
        <w:numPr>
          <w:ilvl w:val="0"/>
          <w:numId w:val="1"/>
        </w:numPr>
        <w:spacing w:after="0"/>
      </w:pPr>
      <w:r>
        <w:t>Must have either failed a prior course of steroids or have evidence of being intolerant or contraindicated to steroids; and</w:t>
      </w:r>
    </w:p>
    <w:p w14:paraId="51829AAE" w14:textId="77777777" w:rsidR="00C91B6B" w:rsidRDefault="00C91B6B" w:rsidP="00C91B6B">
      <w:pPr>
        <w:pStyle w:val="ListParagraph"/>
        <w:numPr>
          <w:ilvl w:val="0"/>
          <w:numId w:val="1"/>
        </w:numPr>
        <w:spacing w:after="0"/>
      </w:pPr>
      <w:r>
        <w:t>Must have failed prior immunosuppressive therapy with azathioprine or 6-mercaptopurine or methotrexate; and</w:t>
      </w:r>
    </w:p>
    <w:p w14:paraId="1A74F049" w14:textId="77777777" w:rsidR="00C91B6B" w:rsidRDefault="00C91B6B" w:rsidP="00C91B6B">
      <w:pPr>
        <w:pStyle w:val="NormalWeb"/>
        <w:numPr>
          <w:ilvl w:val="0"/>
          <w:numId w:val="1"/>
        </w:numPr>
        <w:spacing w:before="0" w:beforeAutospacing="0" w:after="0" w:afterAutospacing="0"/>
        <w:rPr>
          <w:rFonts w:asciiTheme="minorHAnsi" w:eastAsiaTheme="minorEastAsia" w:hAnsiTheme="minorHAnsi" w:cstheme="minorBidi"/>
        </w:rPr>
      </w:pPr>
      <w:r w:rsidRPr="00795543">
        <w:rPr>
          <w:rFonts w:asciiTheme="minorHAnsi" w:eastAsiaTheme="minorEastAsia" w:hAnsiTheme="minorHAnsi" w:cstheme="minorBidi"/>
        </w:rPr>
        <w:t xml:space="preserve">Crohn Disease Activity Index (CDAI) </w:t>
      </w:r>
      <w:r>
        <w:rPr>
          <w:rFonts w:asciiTheme="minorHAnsi" w:eastAsiaTheme="minorEastAsia" w:hAnsiTheme="minorHAnsi" w:cstheme="minorBidi"/>
        </w:rPr>
        <w:t>score</w:t>
      </w:r>
      <w:r w:rsidRPr="00795543">
        <w:rPr>
          <w:rFonts w:asciiTheme="minorHAnsi" w:eastAsiaTheme="minorEastAsia" w:hAnsiTheme="minorHAnsi" w:cstheme="minorBidi"/>
        </w:rPr>
        <w:t xml:space="preserve"> greater than or equal to 300</w:t>
      </w:r>
      <w:r>
        <w:rPr>
          <w:rFonts w:asciiTheme="minorHAnsi" w:eastAsiaTheme="minorEastAsia" w:hAnsiTheme="minorHAnsi" w:cstheme="minorBidi"/>
        </w:rPr>
        <w:t xml:space="preserve"> (or 220 if affected by extensive small intestine disease).</w:t>
      </w:r>
    </w:p>
    <w:p w14:paraId="1332E9A7" w14:textId="77777777" w:rsidR="00C91B6B" w:rsidRDefault="00C91B6B" w:rsidP="00C91B6B">
      <w:pPr>
        <w:pStyle w:val="Heading2"/>
        <w:rPr>
          <w:b w:val="0"/>
          <w:i w:val="0"/>
        </w:rPr>
      </w:pPr>
      <w:r w:rsidRPr="00FC1AB2">
        <w:rPr>
          <w:b w:val="0"/>
          <w:i w:val="0"/>
        </w:rPr>
        <w:t xml:space="preserve">Patients may receive an initial authority approval for up to 16 weeks of adalimumab treatment or 14 weeks of infliximab treatment. </w:t>
      </w:r>
    </w:p>
    <w:p w14:paraId="233A69EF" w14:textId="6B530208" w:rsidR="00C91B6B" w:rsidRPr="00095EE6" w:rsidRDefault="00C91B6B" w:rsidP="00C91B6B">
      <w:r>
        <w:t>For infliximab a</w:t>
      </w:r>
      <w:r w:rsidRPr="00095EE6">
        <w:t xml:space="preserve"> maximum quantity and number of repeats to provide for an initial course of consisting of 3 doses at 5 mg per kg body weight per dose to be administered at weeks 0, 2 and 6</w:t>
      </w:r>
      <w:r w:rsidR="00A37415">
        <w:t>,</w:t>
      </w:r>
      <w:r w:rsidRPr="00095EE6">
        <w:t xml:space="preserve"> will be authorised.</w:t>
      </w:r>
    </w:p>
    <w:p w14:paraId="12FECD7E" w14:textId="2D6DE0BA" w:rsidR="00C91B6B" w:rsidRDefault="00C91B6B" w:rsidP="00C91B6B">
      <w:pPr>
        <w:pStyle w:val="Heading2"/>
        <w:rPr>
          <w:b w:val="0"/>
          <w:i w:val="0"/>
        </w:rPr>
      </w:pPr>
      <w:r w:rsidRPr="00095EE6">
        <w:rPr>
          <w:b w:val="0"/>
          <w:i w:val="0"/>
        </w:rPr>
        <w:t>For vedolizumab</w:t>
      </w:r>
      <w:r w:rsidR="00A37415">
        <w:rPr>
          <w:b w:val="0"/>
          <w:i w:val="0"/>
        </w:rPr>
        <w:t>,</w:t>
      </w:r>
      <w:r w:rsidRPr="00095EE6">
        <w:rPr>
          <w:b w:val="0"/>
          <w:i w:val="0"/>
        </w:rPr>
        <w:t xml:space="preserve"> a maximum quantity and number of repeats to provide for an initial course of consisting of one vial of 300 mg per dose, with one dose to be administered at weeks 0, 2 and 6</w:t>
      </w:r>
      <w:r w:rsidR="00A37415">
        <w:rPr>
          <w:b w:val="0"/>
          <w:i w:val="0"/>
        </w:rPr>
        <w:t>,</w:t>
      </w:r>
      <w:r w:rsidRPr="00095EE6">
        <w:rPr>
          <w:b w:val="0"/>
          <w:i w:val="0"/>
        </w:rPr>
        <w:t xml:space="preserve"> will be authorised.</w:t>
      </w:r>
    </w:p>
    <w:p w14:paraId="541E222E" w14:textId="77777777" w:rsidR="00C91B6B" w:rsidRDefault="00C91B6B" w:rsidP="00C91B6B">
      <w:pPr>
        <w:pStyle w:val="Heading2"/>
        <w:rPr>
          <w:b w:val="0"/>
          <w:i w:val="0"/>
        </w:rPr>
      </w:pPr>
      <w:r w:rsidRPr="00FC1AB2">
        <w:rPr>
          <w:b w:val="0"/>
          <w:i w:val="0"/>
        </w:rPr>
        <w:t>Patients need to be assessed for response after 12 weeks of adalimumab treatment or</w:t>
      </w:r>
      <w:r>
        <w:rPr>
          <w:b w:val="0"/>
          <w:i w:val="0"/>
        </w:rPr>
        <w:t xml:space="preserve">, for infliximab and vedolizumab, </w:t>
      </w:r>
      <w:r w:rsidRPr="00FC1AB2">
        <w:rPr>
          <w:b w:val="0"/>
          <w:i w:val="0"/>
        </w:rPr>
        <w:t xml:space="preserve">up to 12 weeks after the first </w:t>
      </w:r>
      <w:r>
        <w:rPr>
          <w:b w:val="0"/>
          <w:i w:val="0"/>
        </w:rPr>
        <w:t>dose</w:t>
      </w:r>
      <w:r w:rsidRPr="00FC1AB2">
        <w:rPr>
          <w:b w:val="0"/>
          <w:i w:val="0"/>
        </w:rPr>
        <w:t xml:space="preserve">.  </w:t>
      </w:r>
    </w:p>
    <w:p w14:paraId="23121C86" w14:textId="77777777" w:rsidR="00C91B6B" w:rsidRDefault="00C91B6B" w:rsidP="00C91B6B">
      <w:pPr>
        <w:pStyle w:val="Heading2"/>
        <w:rPr>
          <w:b w:val="0"/>
          <w:i w:val="0"/>
        </w:rPr>
      </w:pPr>
      <w:r>
        <w:rPr>
          <w:b w:val="0"/>
          <w:i w:val="0"/>
        </w:rPr>
        <w:t>To receiving continuing treatment a patient must demonstrate an adequate response defined as a CDAI score of no greater than 150. Other criteria apply if a patient is affected by extensive small intestine disease.</w:t>
      </w:r>
    </w:p>
    <w:p w14:paraId="08DD040B" w14:textId="77777777" w:rsidR="00C91B6B" w:rsidRDefault="00C91B6B" w:rsidP="00C91B6B">
      <w:pPr>
        <w:spacing w:after="0"/>
      </w:pPr>
      <w:r>
        <w:t>A maximum of 24 weeks of treatment can be authorised for each application for continuing treatment.</w:t>
      </w:r>
    </w:p>
    <w:p w14:paraId="21F0D8CA" w14:textId="77777777" w:rsidR="00C91B6B" w:rsidRDefault="00C91B6B" w:rsidP="00C91B6B">
      <w:pPr>
        <w:spacing w:after="0"/>
      </w:pPr>
    </w:p>
    <w:p w14:paraId="16C5CB65" w14:textId="77777777" w:rsidR="00CC5536" w:rsidRDefault="00CC5536" w:rsidP="00C91B6B">
      <w:r>
        <w:t xml:space="preserve">Patients switching between treatments receive the same initial treatment duration and assessment to response as new patients. </w:t>
      </w:r>
    </w:p>
    <w:p w14:paraId="2FB9791A" w14:textId="3D1898EA" w:rsidR="00C91B6B" w:rsidRPr="00593243" w:rsidRDefault="00C91B6B" w:rsidP="00C91B6B">
      <w:pPr>
        <w:rPr>
          <w:b/>
        </w:rPr>
      </w:pPr>
      <w:r w:rsidRPr="00593243">
        <w:rPr>
          <w:b/>
        </w:rPr>
        <w:t>Fistulising Crohn disease</w:t>
      </w:r>
      <w:r>
        <w:rPr>
          <w:b/>
        </w:rPr>
        <w:t>:</w:t>
      </w:r>
    </w:p>
    <w:p w14:paraId="7967AB5D" w14:textId="77777777" w:rsidR="00C91B6B" w:rsidRDefault="00C91B6B" w:rsidP="00C91B6B">
      <w:pPr>
        <w:spacing w:after="0"/>
      </w:pPr>
      <w:r>
        <w:t>Eligibility for initial treatment requires a confirmed diagnosis of Crohn disease by a gastroenterologist or consultant physician with an externally draining enterocutaneous or rectovaginal fistule.</w:t>
      </w:r>
    </w:p>
    <w:p w14:paraId="19261595" w14:textId="77777777" w:rsidR="00C91B6B" w:rsidRDefault="00C91B6B" w:rsidP="00C91B6B">
      <w:pPr>
        <w:spacing w:after="0"/>
      </w:pPr>
    </w:p>
    <w:p w14:paraId="6516C646" w14:textId="77777777" w:rsidR="00C91B6B" w:rsidRDefault="00C91B6B" w:rsidP="00C91B6B">
      <w:pPr>
        <w:spacing w:after="0"/>
      </w:pPr>
      <w:r>
        <w:lastRenderedPageBreak/>
        <w:t>A patient is eligible for continuing treatment if they demonstrate an adequate response following at least 12 weeks of treatment defined as:</w:t>
      </w:r>
    </w:p>
    <w:p w14:paraId="35C160C5" w14:textId="77777777" w:rsidR="00C91B6B" w:rsidRDefault="00C91B6B" w:rsidP="00C91B6B">
      <w:pPr>
        <w:pStyle w:val="ListParagraph"/>
        <w:numPr>
          <w:ilvl w:val="0"/>
          <w:numId w:val="11"/>
        </w:numPr>
        <w:spacing w:after="0"/>
      </w:pPr>
      <w:r>
        <w:t>a reduction of ≥ 50% in the number of open draining fistulae from baseline; and/or</w:t>
      </w:r>
    </w:p>
    <w:p w14:paraId="56AA2A46" w14:textId="77777777" w:rsidR="00C91B6B" w:rsidRPr="00E97273" w:rsidRDefault="00C91B6B" w:rsidP="00C91B6B">
      <w:pPr>
        <w:pStyle w:val="ListParagraph"/>
        <w:numPr>
          <w:ilvl w:val="0"/>
          <w:numId w:val="11"/>
        </w:numPr>
        <w:spacing w:after="0"/>
      </w:pPr>
      <w:r>
        <w:t>a marked decrease in drainage from all fistula(e) from baseline and less induration and pain reported by the patient.</w:t>
      </w:r>
    </w:p>
    <w:p w14:paraId="5924AEEC" w14:textId="77777777" w:rsidR="00C91B6B" w:rsidRDefault="00C91B6B" w:rsidP="00C91B6B">
      <w:pPr>
        <w:spacing w:after="0"/>
        <w:rPr>
          <w:b/>
        </w:rPr>
      </w:pPr>
    </w:p>
    <w:p w14:paraId="6F57785C" w14:textId="77777777" w:rsidR="00C91B6B" w:rsidRDefault="00C91B6B" w:rsidP="00C91B6B">
      <w:pPr>
        <w:spacing w:after="0"/>
      </w:pPr>
      <w:r>
        <w:t>A maximum of 24 weeks of treatment can be authorised for each application for continuing treatment. Patients are allowed to switch between infliximab and adalimumab.</w:t>
      </w:r>
    </w:p>
    <w:p w14:paraId="09B15F74" w14:textId="77777777" w:rsidR="00C91B6B" w:rsidRDefault="00C91B6B" w:rsidP="00C91B6B">
      <w:pPr>
        <w:spacing w:after="0"/>
        <w:rPr>
          <w:b/>
        </w:rPr>
      </w:pPr>
    </w:p>
    <w:p w14:paraId="74A7ACB2" w14:textId="77777777" w:rsidR="00C91B6B" w:rsidRPr="00702B86" w:rsidRDefault="00C91B6B" w:rsidP="00C91B6B">
      <w:pPr>
        <w:rPr>
          <w:b/>
        </w:rPr>
      </w:pPr>
      <w:r>
        <w:rPr>
          <w:b/>
        </w:rPr>
        <w:t xml:space="preserve">Paediatric </w:t>
      </w:r>
      <w:r w:rsidRPr="00702B86">
        <w:rPr>
          <w:b/>
        </w:rPr>
        <w:t>Crohn disease:</w:t>
      </w:r>
    </w:p>
    <w:p w14:paraId="5F991469" w14:textId="77777777" w:rsidR="00C91B6B" w:rsidRDefault="00C91B6B" w:rsidP="00C91B6B">
      <w:pPr>
        <w:pStyle w:val="Heading2"/>
        <w:rPr>
          <w:b w:val="0"/>
          <w:i w:val="0"/>
        </w:rPr>
      </w:pPr>
      <w:r>
        <w:rPr>
          <w:b w:val="0"/>
          <w:i w:val="0"/>
        </w:rPr>
        <w:t>There are separate restrictions for moderate to severe and severe disease.</w:t>
      </w:r>
    </w:p>
    <w:p w14:paraId="0EB0E1C8" w14:textId="77777777" w:rsidR="00C91B6B" w:rsidRDefault="00C91B6B" w:rsidP="00C91B6B">
      <w:pPr>
        <w:rPr>
          <w:u w:val="single"/>
        </w:rPr>
      </w:pPr>
      <w:r>
        <w:rPr>
          <w:u w:val="single"/>
        </w:rPr>
        <w:t>Moderate to severe disease</w:t>
      </w:r>
    </w:p>
    <w:p w14:paraId="32D25CC5" w14:textId="77777777" w:rsidR="00C91B6B" w:rsidRDefault="00C91B6B" w:rsidP="00C91B6B">
      <w:pPr>
        <w:spacing w:after="0"/>
      </w:pPr>
      <w:r>
        <w:t>For initial treatment a patient must be aged 6 to 17 years inclusive and meet the following criteria:</w:t>
      </w:r>
    </w:p>
    <w:p w14:paraId="4B3DC45D" w14:textId="77777777" w:rsidR="00C91B6B" w:rsidRDefault="00C91B6B" w:rsidP="00C91B6B">
      <w:pPr>
        <w:pStyle w:val="ListParagraph"/>
        <w:numPr>
          <w:ilvl w:val="0"/>
          <w:numId w:val="12"/>
        </w:numPr>
        <w:spacing w:after="0"/>
      </w:pPr>
      <w:r>
        <w:t>Have a diagnosis of Crohn disease confirmed by a gastroenterologist, consultant physician, paediatrician or specialist paediatric gastroenterologist; and</w:t>
      </w:r>
    </w:p>
    <w:p w14:paraId="1BA2F29D" w14:textId="77777777" w:rsidR="00C91B6B" w:rsidRDefault="00C91B6B" w:rsidP="00C91B6B">
      <w:pPr>
        <w:pStyle w:val="ListParagraph"/>
        <w:numPr>
          <w:ilvl w:val="0"/>
          <w:numId w:val="12"/>
        </w:numPr>
        <w:spacing w:after="0"/>
      </w:pPr>
      <w:r>
        <w:t>Must have failed to achieve a response to two of the three following therapies: a course of prednisolone or an equivalent steroid over a 6 week period; an 8 week course of enteral nutrition; or 3 or more months of immunosuppressive therapy with either azathioprine, 6-mercaptopurine or methotrexate; or</w:t>
      </w:r>
    </w:p>
    <w:p w14:paraId="554227CF" w14:textId="77777777" w:rsidR="00C91B6B" w:rsidRDefault="00C91B6B" w:rsidP="00C91B6B">
      <w:pPr>
        <w:pStyle w:val="ListParagraph"/>
        <w:numPr>
          <w:ilvl w:val="0"/>
          <w:numId w:val="12"/>
        </w:numPr>
        <w:spacing w:after="0"/>
      </w:pPr>
      <w:r>
        <w:t>Must be intolerant or contraindicated to each of prednisolone  (or equivalent), azathioprine, 6-mercaptopurine and methotrexate; and</w:t>
      </w:r>
    </w:p>
    <w:p w14:paraId="65FE0192" w14:textId="77777777" w:rsidR="00C91B6B" w:rsidRDefault="00C91B6B" w:rsidP="00C91B6B">
      <w:pPr>
        <w:pStyle w:val="ListParagraph"/>
        <w:numPr>
          <w:ilvl w:val="0"/>
          <w:numId w:val="12"/>
        </w:numPr>
        <w:spacing w:after="0"/>
      </w:pPr>
      <w:r>
        <w:t>Demonstrate having moderate to severe disease defined as a Paediatric Crohn Disease Activity Index (PCDAI) score ≥ 30.</w:t>
      </w:r>
    </w:p>
    <w:p w14:paraId="5C8F21EB" w14:textId="77777777" w:rsidR="00C91B6B" w:rsidRDefault="00C91B6B" w:rsidP="00C91B6B">
      <w:pPr>
        <w:spacing w:after="0"/>
      </w:pPr>
    </w:p>
    <w:p w14:paraId="7A151314" w14:textId="77777777" w:rsidR="00C91B6B" w:rsidRPr="000A6BD0" w:rsidRDefault="00C91B6B" w:rsidP="00C91B6B">
      <w:pPr>
        <w:spacing w:after="0"/>
      </w:pPr>
      <w:r w:rsidRPr="000A6BD0">
        <w:t>A maximum quantity and number of repeats to provide for an initial course of this drug consisting of 3 doses at 5 mg per kg body weight per dose to be administered at weeks 0, 2 and 6, will be authorised.</w:t>
      </w:r>
    </w:p>
    <w:p w14:paraId="1589D6E3" w14:textId="77777777" w:rsidR="00C91B6B" w:rsidRPr="000A6BD0" w:rsidRDefault="00C91B6B" w:rsidP="00C91B6B">
      <w:pPr>
        <w:spacing w:after="0"/>
      </w:pPr>
    </w:p>
    <w:p w14:paraId="6405763D" w14:textId="77777777" w:rsidR="00C91B6B" w:rsidRDefault="00C91B6B" w:rsidP="00C91B6B">
      <w:pPr>
        <w:spacing w:after="0"/>
      </w:pPr>
      <w:r w:rsidRPr="000A6BD0">
        <w:t>A PCDAI assessment of the patient's response to this initial course of treatment must be made up to 12 weeks after the first dose (6 weeks following the third dose)</w:t>
      </w:r>
      <w:r>
        <w:t>.</w:t>
      </w:r>
    </w:p>
    <w:p w14:paraId="4095EFB5" w14:textId="77777777" w:rsidR="00C91B6B" w:rsidRDefault="00C91B6B" w:rsidP="00C91B6B">
      <w:pPr>
        <w:spacing w:after="0"/>
      </w:pPr>
    </w:p>
    <w:p w14:paraId="5319BBA9" w14:textId="0FEEAFD6" w:rsidR="00C91B6B" w:rsidRPr="00A37415" w:rsidRDefault="00C91B6B" w:rsidP="00C91B6B">
      <w:pPr>
        <w:spacing w:after="0"/>
        <w:rPr>
          <w:rFonts w:cs="Arial"/>
          <w:shd w:val="clear" w:color="auto" w:fill="FFFFFF"/>
        </w:rPr>
      </w:pPr>
      <w:r w:rsidRPr="00A37415">
        <w:t xml:space="preserve">To be eligible for continuing treatment a patient must demonstrate an adequate response defined as a PCDAI score of at least 15 points compared to baseline </w:t>
      </w:r>
      <w:r w:rsidRPr="00A37415">
        <w:rPr>
          <w:rFonts w:cs="Arial"/>
          <w:shd w:val="clear" w:color="auto" w:fill="FFFFFF"/>
        </w:rPr>
        <w:t>and a total of PCDAI score of 30 points or less with the PCDAI assessment being no more than 1 month old at the time of application.</w:t>
      </w:r>
    </w:p>
    <w:p w14:paraId="1D41121F" w14:textId="77777777" w:rsidR="00C91B6B" w:rsidRDefault="00C91B6B" w:rsidP="00C91B6B">
      <w:pPr>
        <w:spacing w:after="0"/>
      </w:pPr>
    </w:p>
    <w:p w14:paraId="6460ECED" w14:textId="77777777" w:rsidR="00C91B6B" w:rsidRDefault="00C91B6B" w:rsidP="00C91B6B">
      <w:pPr>
        <w:spacing w:after="0"/>
      </w:pPr>
      <w:r>
        <w:t>A maximum of 24 weeks of treatment can be authorised for each application for continuing treatment.</w:t>
      </w:r>
    </w:p>
    <w:p w14:paraId="756E2CBE" w14:textId="77777777" w:rsidR="00C91B6B" w:rsidRDefault="00C91B6B" w:rsidP="00C91B6B">
      <w:pPr>
        <w:spacing w:after="0"/>
      </w:pPr>
    </w:p>
    <w:p w14:paraId="09B37211" w14:textId="77777777" w:rsidR="00F95759" w:rsidRDefault="00F95759" w:rsidP="00C91B6B">
      <w:pPr>
        <w:spacing w:after="0"/>
      </w:pPr>
    </w:p>
    <w:p w14:paraId="442BBC89" w14:textId="77777777" w:rsidR="00F95759" w:rsidRDefault="00F95759" w:rsidP="00C91B6B">
      <w:pPr>
        <w:spacing w:after="0"/>
      </w:pPr>
    </w:p>
    <w:p w14:paraId="5CEC9CC0" w14:textId="77777777" w:rsidR="00F95759" w:rsidRDefault="00F95759" w:rsidP="00C91B6B">
      <w:pPr>
        <w:spacing w:after="0"/>
      </w:pPr>
    </w:p>
    <w:p w14:paraId="1EB75D67" w14:textId="77777777" w:rsidR="00C91B6B" w:rsidRPr="00D90B46" w:rsidRDefault="00C91B6B" w:rsidP="00C91B6B">
      <w:pPr>
        <w:spacing w:after="0"/>
        <w:rPr>
          <w:u w:val="single"/>
        </w:rPr>
      </w:pPr>
      <w:r w:rsidRPr="00D90B46">
        <w:rPr>
          <w:u w:val="single"/>
        </w:rPr>
        <w:lastRenderedPageBreak/>
        <w:t>Severe disease</w:t>
      </w:r>
    </w:p>
    <w:p w14:paraId="7B86ECF0" w14:textId="77777777" w:rsidR="00C91B6B" w:rsidRDefault="00C91B6B" w:rsidP="00C91B6B">
      <w:pPr>
        <w:spacing w:after="0"/>
      </w:pPr>
    </w:p>
    <w:p w14:paraId="023CC00F" w14:textId="77777777" w:rsidR="00C91B6B" w:rsidRDefault="00C91B6B" w:rsidP="00C91B6B">
      <w:pPr>
        <w:spacing w:after="0"/>
      </w:pPr>
      <w:r>
        <w:t>For initial treatment a patient must be aged 6 to 17 years inclusive and meet the following criteria:</w:t>
      </w:r>
    </w:p>
    <w:p w14:paraId="6FA09F24" w14:textId="77777777" w:rsidR="00C91B6B" w:rsidRDefault="00C91B6B" w:rsidP="00C91B6B">
      <w:pPr>
        <w:pStyle w:val="ListParagraph"/>
        <w:numPr>
          <w:ilvl w:val="0"/>
          <w:numId w:val="12"/>
        </w:numPr>
        <w:spacing w:after="0"/>
      </w:pPr>
      <w:r>
        <w:t>Have a diagnosis of Crohn disease confirmed by a gastroenterologist, consultant physician, paediatrician or specialist paediatric gastroenterologist; and</w:t>
      </w:r>
    </w:p>
    <w:p w14:paraId="000621EB" w14:textId="77777777" w:rsidR="00C91B6B" w:rsidRDefault="00C91B6B" w:rsidP="00C91B6B">
      <w:pPr>
        <w:pStyle w:val="ListParagraph"/>
        <w:numPr>
          <w:ilvl w:val="0"/>
          <w:numId w:val="12"/>
        </w:numPr>
        <w:spacing w:after="0"/>
      </w:pPr>
      <w:r>
        <w:t>Must have failed to achieve a response to two of the three following therapies: a course of prednisolone or an equivalent steroid over a 6 week period; an 8 week course of enteral nutrition; or 3 or more months of immunosuppressive therapy with either azathioprine, 6-mercaptopurine or methotrexate; or</w:t>
      </w:r>
    </w:p>
    <w:p w14:paraId="064FE5E7" w14:textId="77777777" w:rsidR="00C91B6B" w:rsidRDefault="00C91B6B" w:rsidP="00C91B6B">
      <w:pPr>
        <w:pStyle w:val="ListParagraph"/>
        <w:numPr>
          <w:ilvl w:val="0"/>
          <w:numId w:val="12"/>
        </w:numPr>
        <w:spacing w:after="0"/>
      </w:pPr>
      <w:r>
        <w:t>Must be intolerant or contraindicated to each of prednisolone  (or equivalent), azathioprine, 6-mercaptopurine and methotrexate; and</w:t>
      </w:r>
    </w:p>
    <w:p w14:paraId="423384DE" w14:textId="77777777" w:rsidR="00C91B6B" w:rsidRDefault="00C91B6B" w:rsidP="00C91B6B">
      <w:pPr>
        <w:pStyle w:val="ListParagraph"/>
        <w:numPr>
          <w:ilvl w:val="0"/>
          <w:numId w:val="12"/>
        </w:numPr>
        <w:spacing w:after="0"/>
      </w:pPr>
      <w:r>
        <w:t>Demonstrate having severe disease defined as a Paediatric Crohn Disease Activity Index (PCDAI) score ≥ 40.</w:t>
      </w:r>
    </w:p>
    <w:p w14:paraId="4D7D17C0" w14:textId="77777777" w:rsidR="00C91B6B" w:rsidRDefault="00C91B6B" w:rsidP="00C91B6B">
      <w:pPr>
        <w:spacing w:after="0"/>
      </w:pPr>
    </w:p>
    <w:p w14:paraId="530505FA" w14:textId="77777777" w:rsidR="00C91B6B" w:rsidRDefault="00C91B6B" w:rsidP="00C91B6B">
      <w:pPr>
        <w:spacing w:after="0"/>
      </w:pPr>
      <w:r w:rsidRPr="001F13FA">
        <w:t xml:space="preserve">A PCDAI assessment of the patient's response to </w:t>
      </w:r>
      <w:r>
        <w:t>an initial course of</w:t>
      </w:r>
      <w:r w:rsidRPr="001F13FA">
        <w:t xml:space="preserve"> treatment must be made following a minimum of 12 weeks therapy</w:t>
      </w:r>
      <w:r>
        <w:t>.</w:t>
      </w:r>
    </w:p>
    <w:p w14:paraId="02C330E0" w14:textId="77777777" w:rsidR="00C91B6B" w:rsidRDefault="00C91B6B" w:rsidP="00C91B6B">
      <w:pPr>
        <w:spacing w:after="0"/>
      </w:pPr>
    </w:p>
    <w:p w14:paraId="1536A7D1" w14:textId="6D394B18" w:rsidR="00C91B6B" w:rsidRDefault="00C91B6B" w:rsidP="00C91B6B">
      <w:pPr>
        <w:spacing w:after="0"/>
        <w:rPr>
          <w:rFonts w:cs="Arial"/>
          <w:color w:val="222222"/>
          <w:shd w:val="clear" w:color="auto" w:fill="FFFFFF"/>
        </w:rPr>
      </w:pPr>
      <w:r>
        <w:t>For</w:t>
      </w:r>
      <w:r w:rsidRPr="00160F8E">
        <w:t xml:space="preserve"> continuing treatment a patient </w:t>
      </w:r>
      <w:r>
        <w:t xml:space="preserve">must </w:t>
      </w:r>
      <w:r w:rsidRPr="00160F8E">
        <w:t xml:space="preserve">demonstrate an adequate response defined as a PCDAI score </w:t>
      </w:r>
      <w:r>
        <w:rPr>
          <w:rFonts w:cs="Arial"/>
          <w:color w:val="222222"/>
          <w:shd w:val="clear" w:color="auto" w:fill="FFFFFF"/>
        </w:rPr>
        <w:t>of 4</w:t>
      </w:r>
      <w:r w:rsidRPr="00160F8E">
        <w:rPr>
          <w:rFonts w:cs="Arial"/>
          <w:color w:val="222222"/>
          <w:shd w:val="clear" w:color="auto" w:fill="FFFFFF"/>
        </w:rPr>
        <w:t>0 points or less with the PCDAI assessment being no more than 1 month old at the time of application.</w:t>
      </w:r>
    </w:p>
    <w:p w14:paraId="6CD0B75F" w14:textId="77777777" w:rsidR="00C91B6B" w:rsidRDefault="00C91B6B" w:rsidP="00C91B6B">
      <w:pPr>
        <w:spacing w:after="0"/>
      </w:pPr>
    </w:p>
    <w:p w14:paraId="1E179C11" w14:textId="77777777" w:rsidR="00C91B6B" w:rsidRDefault="00C91B6B" w:rsidP="00C91B6B">
      <w:pPr>
        <w:spacing w:after="0"/>
      </w:pPr>
      <w:r>
        <w:t>A maximum of 24 weeks of treatment can be authorised for each application for continuing treatment.</w:t>
      </w:r>
    </w:p>
    <w:p w14:paraId="0ACB0907" w14:textId="77777777" w:rsidR="00C91B6B" w:rsidRDefault="00C91B6B" w:rsidP="00C91B6B">
      <w:pPr>
        <w:spacing w:after="0"/>
      </w:pPr>
    </w:p>
    <w:p w14:paraId="19DB9DBB" w14:textId="160AE7B2" w:rsidR="00C91B6B" w:rsidRPr="00DB1879" w:rsidRDefault="00C91B6B" w:rsidP="00DB1879">
      <w:pPr>
        <w:spacing w:after="0"/>
      </w:pPr>
      <w:r>
        <w:t>Patients can switch between infliximab and adalimumab.</w:t>
      </w:r>
    </w:p>
    <w:p w14:paraId="6AC18C88" w14:textId="7A398934" w:rsidR="001420B3" w:rsidRPr="005E22C2" w:rsidRDefault="00A52918" w:rsidP="00FE645A">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48C2B1A7" w14:textId="47BC74A5" w:rsidR="0032622F" w:rsidRDefault="0032622F" w:rsidP="0032622F">
      <w:pPr>
        <w:spacing w:after="0"/>
      </w:pPr>
      <w:r>
        <w:t>Infliximab is indicated for the treatment of Crohn disease in adults and in children and adolescents (6-17 years inclusive), specifically:</w:t>
      </w:r>
    </w:p>
    <w:p w14:paraId="07F770FD" w14:textId="44922A77" w:rsidR="0032622F" w:rsidRDefault="0032622F" w:rsidP="006C6621">
      <w:pPr>
        <w:pStyle w:val="ListParagraph"/>
        <w:numPr>
          <w:ilvl w:val="0"/>
          <w:numId w:val="1"/>
        </w:numPr>
        <w:spacing w:after="0"/>
      </w:pPr>
      <w:r>
        <w:t>the treatment of moderate to severe Crohn disease, to reduce the signs and symptoms and to induce and maintain clinical remission in patients who have an inadequate response to conventional therapies; and</w:t>
      </w:r>
    </w:p>
    <w:p w14:paraId="3E6AB8A7" w14:textId="504CCFCA" w:rsidR="00AA246D" w:rsidRDefault="0032622F" w:rsidP="00A35800">
      <w:pPr>
        <w:pStyle w:val="ListParagraph"/>
        <w:numPr>
          <w:ilvl w:val="0"/>
          <w:numId w:val="1"/>
        </w:numPr>
      </w:pPr>
      <w:r>
        <w:t>the treatment of refractory Fistulising Crohn disease, for reducing the number of draining enterocutaneous and rectovaginal fistulas and maintaining fistula closure in adult patients.</w:t>
      </w:r>
    </w:p>
    <w:p w14:paraId="24F5DDB3" w14:textId="4484AB6B" w:rsidR="001C3A5D" w:rsidRDefault="00AA246D" w:rsidP="008506A0">
      <w:pPr>
        <w:spacing w:after="0"/>
      </w:pPr>
      <w:r>
        <w:t xml:space="preserve">Adalimumab is indicated for the treatment of </w:t>
      </w:r>
      <w:r w:rsidR="009E1179">
        <w:t xml:space="preserve">moderate to severe </w:t>
      </w:r>
      <w:r>
        <w:t xml:space="preserve">Crohn disease in </w:t>
      </w:r>
      <w:r w:rsidR="009E1179">
        <w:t xml:space="preserve">patients aged 6 years and older </w:t>
      </w:r>
      <w:r w:rsidR="001C3A5D">
        <w:t xml:space="preserve">who have </w:t>
      </w:r>
      <w:r w:rsidR="001C3A5D" w:rsidRPr="00DF2F55">
        <w:t>had an inadequate response to conventional therapies</w:t>
      </w:r>
      <w:r w:rsidR="001C3A5D">
        <w:t xml:space="preserve"> or have </w:t>
      </w:r>
      <w:r w:rsidR="001C3A5D" w:rsidRPr="00DF2F55">
        <w:t xml:space="preserve">lost </w:t>
      </w:r>
      <w:r w:rsidR="00650131">
        <w:t>response to or are intolerant to</w:t>
      </w:r>
      <w:r w:rsidR="001C3A5D" w:rsidRPr="00DF2F55">
        <w:t xml:space="preserve"> infliximab</w:t>
      </w:r>
      <w:r w:rsidR="001C3A5D">
        <w:t xml:space="preserve">. </w:t>
      </w:r>
    </w:p>
    <w:p w14:paraId="6D0C6914" w14:textId="77777777" w:rsidR="008506A0" w:rsidRDefault="008506A0" w:rsidP="008506A0">
      <w:pPr>
        <w:spacing w:after="0"/>
      </w:pPr>
    </w:p>
    <w:p w14:paraId="45604CA8" w14:textId="30F26DD5" w:rsidR="005450A0" w:rsidRDefault="005450A0" w:rsidP="008506A0">
      <w:pPr>
        <w:spacing w:after="0"/>
      </w:pPr>
      <w:r>
        <w:t>Vedolizumab is indicated for the treatment of adult patients with moderate to severe Crohn disease who have had an inadequate response with, lost response to, or are intolerant to either conventional therapy or a tumour necrosis factor-alpha (TNF-alpha) antagonist.</w:t>
      </w:r>
    </w:p>
    <w:p w14:paraId="4323653C" w14:textId="25C468BF" w:rsidR="00AA246D" w:rsidRDefault="005450A0" w:rsidP="008506A0">
      <w:pPr>
        <w:spacing w:after="0"/>
      </w:pPr>
      <w:r>
        <w:lastRenderedPageBreak/>
        <w:t xml:space="preserve">Infliximab, adalimumab and vedolizumab </w:t>
      </w:r>
      <w:r w:rsidR="00AA246D">
        <w:t xml:space="preserve">are also indicated for </w:t>
      </w:r>
      <w:r w:rsidR="003C205E">
        <w:t xml:space="preserve">the treatment of several </w:t>
      </w:r>
      <w:r>
        <w:t>inflammatory conditions which are summarised in the following table.</w:t>
      </w:r>
    </w:p>
    <w:p w14:paraId="0B1768F5" w14:textId="34A69621" w:rsidR="005450A0" w:rsidRPr="00A005B2" w:rsidRDefault="00A005B2" w:rsidP="00650131">
      <w:pPr>
        <w:spacing w:before="240"/>
        <w:rPr>
          <w:b/>
        </w:rPr>
      </w:pPr>
      <w:r>
        <w:rPr>
          <w:b/>
        </w:rPr>
        <w:t>Summary of approved indications as at April 2017</w:t>
      </w:r>
    </w:p>
    <w:tbl>
      <w:tblPr>
        <w:tblStyle w:val="TableGrid"/>
        <w:tblW w:w="0" w:type="auto"/>
        <w:tblLook w:val="04A0" w:firstRow="1" w:lastRow="0" w:firstColumn="1" w:lastColumn="0" w:noHBand="0" w:noVBand="1"/>
        <w:tblCaption w:val="Summary of approved indications as at April 2017"/>
        <w:tblDescription w:val="A table outlining what conditions infliximab, adalimumab and vedolizumab are indicated for by the TGA"/>
      </w:tblPr>
      <w:tblGrid>
        <w:gridCol w:w="4928"/>
        <w:gridCol w:w="1276"/>
        <w:gridCol w:w="1417"/>
        <w:gridCol w:w="1552"/>
      </w:tblGrid>
      <w:tr w:rsidR="003A4154" w14:paraId="3F41C520" w14:textId="77777777" w:rsidTr="002D57CC">
        <w:trPr>
          <w:tblHeader/>
        </w:trPr>
        <w:tc>
          <w:tcPr>
            <w:tcW w:w="4928" w:type="dxa"/>
            <w:shd w:val="clear" w:color="auto" w:fill="BFBFBF" w:themeFill="background1" w:themeFillShade="BF"/>
          </w:tcPr>
          <w:p w14:paraId="6BBB7EBF" w14:textId="651B9758" w:rsidR="003A4154" w:rsidRPr="00C84FF4" w:rsidRDefault="003A4154" w:rsidP="003A4154">
            <w:pPr>
              <w:jc w:val="center"/>
              <w:rPr>
                <w:b/>
                <w:sz w:val="20"/>
                <w:szCs w:val="20"/>
              </w:rPr>
            </w:pPr>
            <w:r w:rsidRPr="00C84FF4">
              <w:rPr>
                <w:b/>
                <w:sz w:val="20"/>
                <w:szCs w:val="20"/>
              </w:rPr>
              <w:t>Approved indication</w:t>
            </w:r>
          </w:p>
        </w:tc>
        <w:tc>
          <w:tcPr>
            <w:tcW w:w="1276" w:type="dxa"/>
            <w:shd w:val="clear" w:color="auto" w:fill="BFBFBF" w:themeFill="background1" w:themeFillShade="BF"/>
          </w:tcPr>
          <w:p w14:paraId="12FA5243" w14:textId="6E89F9B6" w:rsidR="003A4154" w:rsidRPr="00C84FF4" w:rsidRDefault="003A4154" w:rsidP="003A4154">
            <w:pPr>
              <w:jc w:val="center"/>
              <w:rPr>
                <w:b/>
                <w:sz w:val="20"/>
                <w:szCs w:val="20"/>
              </w:rPr>
            </w:pPr>
            <w:r w:rsidRPr="00C84FF4">
              <w:rPr>
                <w:b/>
                <w:sz w:val="20"/>
                <w:szCs w:val="20"/>
              </w:rPr>
              <w:t>Infliximab</w:t>
            </w:r>
          </w:p>
        </w:tc>
        <w:tc>
          <w:tcPr>
            <w:tcW w:w="1417" w:type="dxa"/>
            <w:shd w:val="clear" w:color="auto" w:fill="BFBFBF" w:themeFill="background1" w:themeFillShade="BF"/>
          </w:tcPr>
          <w:p w14:paraId="283284F8" w14:textId="3E3DA6CA" w:rsidR="003A4154" w:rsidRPr="00C84FF4" w:rsidRDefault="003A4154" w:rsidP="003A4154">
            <w:pPr>
              <w:jc w:val="center"/>
              <w:rPr>
                <w:b/>
                <w:sz w:val="20"/>
                <w:szCs w:val="20"/>
              </w:rPr>
            </w:pPr>
            <w:r w:rsidRPr="00C84FF4">
              <w:rPr>
                <w:b/>
                <w:sz w:val="20"/>
                <w:szCs w:val="20"/>
              </w:rPr>
              <w:t>Adalimumab</w:t>
            </w:r>
          </w:p>
        </w:tc>
        <w:tc>
          <w:tcPr>
            <w:tcW w:w="1552" w:type="dxa"/>
            <w:shd w:val="clear" w:color="auto" w:fill="BFBFBF" w:themeFill="background1" w:themeFillShade="BF"/>
          </w:tcPr>
          <w:p w14:paraId="3523F383" w14:textId="5E346DF8" w:rsidR="003A4154" w:rsidRPr="00C84FF4" w:rsidRDefault="003A4154" w:rsidP="003A4154">
            <w:pPr>
              <w:jc w:val="center"/>
              <w:rPr>
                <w:b/>
                <w:sz w:val="20"/>
                <w:szCs w:val="20"/>
              </w:rPr>
            </w:pPr>
            <w:r w:rsidRPr="00C84FF4">
              <w:rPr>
                <w:b/>
                <w:sz w:val="20"/>
                <w:szCs w:val="20"/>
              </w:rPr>
              <w:t>Vedolizumab</w:t>
            </w:r>
          </w:p>
        </w:tc>
      </w:tr>
      <w:tr w:rsidR="001A13A1" w14:paraId="3C3A7808" w14:textId="77777777" w:rsidTr="00764825">
        <w:tc>
          <w:tcPr>
            <w:tcW w:w="4928" w:type="dxa"/>
          </w:tcPr>
          <w:p w14:paraId="1B74BDFA" w14:textId="3A85D4AF" w:rsidR="001A13A1" w:rsidRPr="00C84FF4" w:rsidRDefault="001A13A1" w:rsidP="00AA246D">
            <w:pPr>
              <w:rPr>
                <w:sz w:val="20"/>
                <w:szCs w:val="20"/>
              </w:rPr>
            </w:pPr>
            <w:r w:rsidRPr="00C84FF4">
              <w:rPr>
                <w:sz w:val="20"/>
                <w:szCs w:val="20"/>
              </w:rPr>
              <w:t>Moderate to severe Crohn disease in adults</w:t>
            </w:r>
          </w:p>
        </w:tc>
        <w:tc>
          <w:tcPr>
            <w:tcW w:w="1276" w:type="dxa"/>
            <w:vAlign w:val="center"/>
          </w:tcPr>
          <w:p w14:paraId="68A8D1CC" w14:textId="143FB6F0" w:rsidR="001A13A1" w:rsidRPr="00C84FF4" w:rsidRDefault="00B819C3" w:rsidP="00764825">
            <w:pPr>
              <w:jc w:val="center"/>
              <w:rPr>
                <w:sz w:val="20"/>
                <w:szCs w:val="20"/>
              </w:rPr>
            </w:pPr>
            <w:r w:rsidRPr="00C84FF4">
              <w:rPr>
                <w:sz w:val="20"/>
                <w:szCs w:val="20"/>
              </w:rPr>
              <w:t>X</w:t>
            </w:r>
          </w:p>
        </w:tc>
        <w:tc>
          <w:tcPr>
            <w:tcW w:w="1417" w:type="dxa"/>
            <w:vAlign w:val="center"/>
          </w:tcPr>
          <w:p w14:paraId="2F855EDE" w14:textId="0CE6F992" w:rsidR="001A13A1" w:rsidRPr="00C84FF4" w:rsidRDefault="00920DE4" w:rsidP="00764825">
            <w:pPr>
              <w:jc w:val="center"/>
              <w:rPr>
                <w:sz w:val="20"/>
                <w:szCs w:val="20"/>
              </w:rPr>
            </w:pPr>
            <w:r w:rsidRPr="00C84FF4">
              <w:rPr>
                <w:sz w:val="20"/>
                <w:szCs w:val="20"/>
              </w:rPr>
              <w:t>X</w:t>
            </w:r>
          </w:p>
        </w:tc>
        <w:tc>
          <w:tcPr>
            <w:tcW w:w="1552" w:type="dxa"/>
            <w:vAlign w:val="center"/>
          </w:tcPr>
          <w:p w14:paraId="2A9549BC" w14:textId="2E04A587" w:rsidR="001A13A1" w:rsidRPr="00C84FF4" w:rsidRDefault="006452B1" w:rsidP="00764825">
            <w:pPr>
              <w:jc w:val="center"/>
              <w:rPr>
                <w:sz w:val="20"/>
                <w:szCs w:val="20"/>
              </w:rPr>
            </w:pPr>
            <w:r w:rsidRPr="00C84FF4">
              <w:rPr>
                <w:sz w:val="20"/>
                <w:szCs w:val="20"/>
              </w:rPr>
              <w:t>X</w:t>
            </w:r>
          </w:p>
        </w:tc>
      </w:tr>
      <w:tr w:rsidR="001A13A1" w14:paraId="28A78392" w14:textId="77777777" w:rsidTr="00764825">
        <w:tc>
          <w:tcPr>
            <w:tcW w:w="4928" w:type="dxa"/>
          </w:tcPr>
          <w:p w14:paraId="2F7B60CF" w14:textId="3B3D06B4" w:rsidR="001A13A1" w:rsidRPr="00C84FF4" w:rsidRDefault="001A13A1" w:rsidP="001A13A1">
            <w:pPr>
              <w:rPr>
                <w:sz w:val="20"/>
                <w:szCs w:val="20"/>
              </w:rPr>
            </w:pPr>
            <w:r w:rsidRPr="00C84FF4">
              <w:rPr>
                <w:sz w:val="20"/>
                <w:szCs w:val="20"/>
              </w:rPr>
              <w:t>Moderate to severe Crohn disease in children and adolescents (6 to 17 years)</w:t>
            </w:r>
          </w:p>
        </w:tc>
        <w:tc>
          <w:tcPr>
            <w:tcW w:w="1276" w:type="dxa"/>
            <w:vAlign w:val="center"/>
          </w:tcPr>
          <w:p w14:paraId="2B3DC3C3" w14:textId="6B59CEBB" w:rsidR="001A13A1" w:rsidRPr="00C84FF4" w:rsidRDefault="00B819C3" w:rsidP="00764825">
            <w:pPr>
              <w:jc w:val="center"/>
              <w:rPr>
                <w:sz w:val="20"/>
                <w:szCs w:val="20"/>
              </w:rPr>
            </w:pPr>
            <w:r w:rsidRPr="00C84FF4">
              <w:rPr>
                <w:sz w:val="20"/>
                <w:szCs w:val="20"/>
              </w:rPr>
              <w:t>X</w:t>
            </w:r>
          </w:p>
        </w:tc>
        <w:tc>
          <w:tcPr>
            <w:tcW w:w="1417" w:type="dxa"/>
            <w:vAlign w:val="center"/>
          </w:tcPr>
          <w:p w14:paraId="7B8BCC27" w14:textId="14010F23" w:rsidR="001A13A1" w:rsidRPr="00C84FF4" w:rsidRDefault="00920DE4"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3D23FCD6" w14:textId="77777777" w:rsidR="001A13A1" w:rsidRPr="00C84FF4" w:rsidRDefault="001A13A1" w:rsidP="00764825">
            <w:pPr>
              <w:jc w:val="center"/>
              <w:rPr>
                <w:sz w:val="20"/>
                <w:szCs w:val="20"/>
              </w:rPr>
            </w:pPr>
          </w:p>
        </w:tc>
      </w:tr>
      <w:tr w:rsidR="00621881" w14:paraId="4F5B5FB8" w14:textId="77777777" w:rsidTr="00764825">
        <w:tc>
          <w:tcPr>
            <w:tcW w:w="4928" w:type="dxa"/>
          </w:tcPr>
          <w:p w14:paraId="3F677935" w14:textId="2F370C05" w:rsidR="00621881" w:rsidRPr="00C84FF4" w:rsidRDefault="00621881" w:rsidP="00AA246D">
            <w:pPr>
              <w:rPr>
                <w:sz w:val="20"/>
                <w:szCs w:val="20"/>
              </w:rPr>
            </w:pPr>
            <w:r w:rsidRPr="00C84FF4">
              <w:rPr>
                <w:sz w:val="20"/>
                <w:szCs w:val="20"/>
              </w:rPr>
              <w:t>Refractory Fistulising Crohn Disease in adults</w:t>
            </w:r>
          </w:p>
        </w:tc>
        <w:tc>
          <w:tcPr>
            <w:tcW w:w="1276" w:type="dxa"/>
            <w:vAlign w:val="center"/>
          </w:tcPr>
          <w:p w14:paraId="7FA1A9C3" w14:textId="451ED0AA" w:rsidR="00621881" w:rsidRPr="00C84FF4" w:rsidRDefault="00621881" w:rsidP="00764825">
            <w:pPr>
              <w:jc w:val="center"/>
              <w:rPr>
                <w:sz w:val="20"/>
                <w:szCs w:val="20"/>
              </w:rPr>
            </w:pPr>
            <w:r w:rsidRPr="00C84FF4">
              <w:rPr>
                <w:sz w:val="20"/>
                <w:szCs w:val="20"/>
              </w:rPr>
              <w:t>X</w:t>
            </w:r>
          </w:p>
        </w:tc>
        <w:tc>
          <w:tcPr>
            <w:tcW w:w="1417" w:type="dxa"/>
            <w:vAlign w:val="center"/>
          </w:tcPr>
          <w:p w14:paraId="77FA90ED" w14:textId="56FC4E31" w:rsidR="00621881" w:rsidRPr="00C84FF4" w:rsidRDefault="00C823A0"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6296D44C" w14:textId="77777777" w:rsidR="00621881" w:rsidRPr="00C84FF4" w:rsidRDefault="00621881" w:rsidP="00764825">
            <w:pPr>
              <w:jc w:val="center"/>
              <w:rPr>
                <w:sz w:val="20"/>
                <w:szCs w:val="20"/>
              </w:rPr>
            </w:pPr>
          </w:p>
        </w:tc>
      </w:tr>
      <w:tr w:rsidR="00621881" w14:paraId="2BD72EED" w14:textId="77777777" w:rsidTr="00764825">
        <w:tc>
          <w:tcPr>
            <w:tcW w:w="4928" w:type="dxa"/>
          </w:tcPr>
          <w:p w14:paraId="72D256E7" w14:textId="425418E5" w:rsidR="00621881" w:rsidRPr="00C84FF4" w:rsidRDefault="00621881" w:rsidP="00AA246D">
            <w:pPr>
              <w:rPr>
                <w:sz w:val="20"/>
                <w:szCs w:val="20"/>
              </w:rPr>
            </w:pPr>
            <w:r w:rsidRPr="00C84FF4">
              <w:rPr>
                <w:sz w:val="20"/>
                <w:szCs w:val="20"/>
              </w:rPr>
              <w:t>Ankylosing Spondylitis</w:t>
            </w:r>
          </w:p>
        </w:tc>
        <w:tc>
          <w:tcPr>
            <w:tcW w:w="1276" w:type="dxa"/>
            <w:vAlign w:val="center"/>
          </w:tcPr>
          <w:p w14:paraId="0A5CD215" w14:textId="2F4BDB50" w:rsidR="00621881" w:rsidRPr="00C84FF4" w:rsidRDefault="00621881" w:rsidP="00764825">
            <w:pPr>
              <w:jc w:val="center"/>
              <w:rPr>
                <w:sz w:val="20"/>
                <w:szCs w:val="20"/>
              </w:rPr>
            </w:pPr>
            <w:r w:rsidRPr="00C84FF4">
              <w:rPr>
                <w:sz w:val="20"/>
                <w:szCs w:val="20"/>
              </w:rPr>
              <w:t>X</w:t>
            </w:r>
          </w:p>
        </w:tc>
        <w:tc>
          <w:tcPr>
            <w:tcW w:w="1417" w:type="dxa"/>
            <w:vAlign w:val="center"/>
          </w:tcPr>
          <w:p w14:paraId="25F43457" w14:textId="39C31AC6" w:rsidR="00621881" w:rsidRPr="00C84FF4" w:rsidRDefault="00920DE4"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2488B6BD" w14:textId="77777777" w:rsidR="00621881" w:rsidRPr="00C84FF4" w:rsidRDefault="00621881" w:rsidP="00764825">
            <w:pPr>
              <w:jc w:val="center"/>
              <w:rPr>
                <w:sz w:val="20"/>
                <w:szCs w:val="20"/>
              </w:rPr>
            </w:pPr>
          </w:p>
        </w:tc>
      </w:tr>
      <w:tr w:rsidR="00920DE4" w14:paraId="7C2157E1" w14:textId="77777777" w:rsidTr="00764825">
        <w:tc>
          <w:tcPr>
            <w:tcW w:w="4928" w:type="dxa"/>
          </w:tcPr>
          <w:p w14:paraId="3403A70D" w14:textId="259C41C8" w:rsidR="00920DE4" w:rsidRPr="00C84FF4" w:rsidRDefault="00563856" w:rsidP="00AA246D">
            <w:pPr>
              <w:rPr>
                <w:sz w:val="20"/>
                <w:szCs w:val="20"/>
              </w:rPr>
            </w:pPr>
            <w:r>
              <w:rPr>
                <w:sz w:val="20"/>
                <w:szCs w:val="20"/>
              </w:rPr>
              <w:t>E</w:t>
            </w:r>
            <w:r w:rsidR="00920DE4" w:rsidRPr="00C84FF4">
              <w:rPr>
                <w:sz w:val="20"/>
                <w:szCs w:val="20"/>
              </w:rPr>
              <w:t>nthesitis-related arthritis in children</w:t>
            </w:r>
          </w:p>
        </w:tc>
        <w:tc>
          <w:tcPr>
            <w:tcW w:w="1276" w:type="dxa"/>
            <w:shd w:val="clear" w:color="auto" w:fill="F2F2F2" w:themeFill="background1" w:themeFillShade="F2"/>
            <w:vAlign w:val="center"/>
          </w:tcPr>
          <w:p w14:paraId="0B2C740B" w14:textId="77777777" w:rsidR="00920DE4" w:rsidRPr="00C84FF4" w:rsidRDefault="00920DE4" w:rsidP="00764825">
            <w:pPr>
              <w:jc w:val="center"/>
              <w:rPr>
                <w:sz w:val="20"/>
                <w:szCs w:val="20"/>
              </w:rPr>
            </w:pPr>
          </w:p>
        </w:tc>
        <w:tc>
          <w:tcPr>
            <w:tcW w:w="1417" w:type="dxa"/>
            <w:vAlign w:val="center"/>
          </w:tcPr>
          <w:p w14:paraId="436C8710" w14:textId="17C13442" w:rsidR="00920DE4" w:rsidRPr="00C84FF4" w:rsidRDefault="00920DE4"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35864C13" w14:textId="77777777" w:rsidR="00920DE4" w:rsidRPr="00C84FF4" w:rsidRDefault="00920DE4" w:rsidP="00764825">
            <w:pPr>
              <w:jc w:val="center"/>
              <w:rPr>
                <w:sz w:val="20"/>
                <w:szCs w:val="20"/>
              </w:rPr>
            </w:pPr>
          </w:p>
        </w:tc>
      </w:tr>
      <w:tr w:rsidR="00621881" w14:paraId="57D222A4" w14:textId="77777777" w:rsidTr="00764825">
        <w:tc>
          <w:tcPr>
            <w:tcW w:w="4928" w:type="dxa"/>
          </w:tcPr>
          <w:p w14:paraId="43B94BB4" w14:textId="33645FFE" w:rsidR="00621881" w:rsidRPr="00C84FF4" w:rsidRDefault="00472774" w:rsidP="00AA246D">
            <w:pPr>
              <w:rPr>
                <w:sz w:val="20"/>
                <w:szCs w:val="20"/>
              </w:rPr>
            </w:pPr>
            <w:r w:rsidRPr="00C84FF4">
              <w:rPr>
                <w:sz w:val="20"/>
                <w:szCs w:val="20"/>
              </w:rPr>
              <w:t>Moderately to severely active polyarticular juvenile idiopathic arthritis</w:t>
            </w:r>
          </w:p>
        </w:tc>
        <w:tc>
          <w:tcPr>
            <w:tcW w:w="1276" w:type="dxa"/>
            <w:shd w:val="clear" w:color="auto" w:fill="F2F2F2" w:themeFill="background1" w:themeFillShade="F2"/>
            <w:vAlign w:val="center"/>
          </w:tcPr>
          <w:p w14:paraId="369A1F7E" w14:textId="77777777" w:rsidR="00621881" w:rsidRPr="00C84FF4" w:rsidRDefault="00621881" w:rsidP="00764825">
            <w:pPr>
              <w:jc w:val="center"/>
              <w:rPr>
                <w:sz w:val="20"/>
                <w:szCs w:val="20"/>
              </w:rPr>
            </w:pPr>
          </w:p>
        </w:tc>
        <w:tc>
          <w:tcPr>
            <w:tcW w:w="1417" w:type="dxa"/>
            <w:vAlign w:val="center"/>
          </w:tcPr>
          <w:p w14:paraId="51B6FC37" w14:textId="391B54D6" w:rsidR="00621881" w:rsidRPr="00C84FF4" w:rsidRDefault="00472774"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73F6A2D8" w14:textId="77777777" w:rsidR="00621881" w:rsidRPr="00C84FF4" w:rsidRDefault="00621881" w:rsidP="00764825">
            <w:pPr>
              <w:jc w:val="center"/>
              <w:rPr>
                <w:sz w:val="20"/>
                <w:szCs w:val="20"/>
              </w:rPr>
            </w:pPr>
          </w:p>
        </w:tc>
      </w:tr>
      <w:tr w:rsidR="00621881" w14:paraId="36E1AA9E" w14:textId="77777777" w:rsidTr="00764825">
        <w:tc>
          <w:tcPr>
            <w:tcW w:w="4928" w:type="dxa"/>
          </w:tcPr>
          <w:p w14:paraId="17A2180D" w14:textId="35920350" w:rsidR="00621881" w:rsidRPr="00C84FF4" w:rsidRDefault="00563856" w:rsidP="00AA246D">
            <w:pPr>
              <w:rPr>
                <w:sz w:val="20"/>
                <w:szCs w:val="20"/>
              </w:rPr>
            </w:pPr>
            <w:r>
              <w:rPr>
                <w:sz w:val="20"/>
                <w:szCs w:val="20"/>
              </w:rPr>
              <w:t>M</w:t>
            </w:r>
            <w:r w:rsidR="00570B83" w:rsidRPr="00C84FF4">
              <w:rPr>
                <w:sz w:val="20"/>
                <w:szCs w:val="20"/>
              </w:rPr>
              <w:t>oderate to severe chronic plaque psoriasis in adult patients</w:t>
            </w:r>
          </w:p>
        </w:tc>
        <w:tc>
          <w:tcPr>
            <w:tcW w:w="1276" w:type="dxa"/>
            <w:vAlign w:val="center"/>
          </w:tcPr>
          <w:p w14:paraId="4081641E" w14:textId="6489D026" w:rsidR="00621881" w:rsidRPr="00C84FF4" w:rsidRDefault="00621881" w:rsidP="00764825">
            <w:pPr>
              <w:jc w:val="center"/>
              <w:rPr>
                <w:sz w:val="20"/>
                <w:szCs w:val="20"/>
              </w:rPr>
            </w:pPr>
            <w:r w:rsidRPr="00C84FF4">
              <w:rPr>
                <w:sz w:val="20"/>
                <w:szCs w:val="20"/>
              </w:rPr>
              <w:t>X</w:t>
            </w:r>
          </w:p>
        </w:tc>
        <w:tc>
          <w:tcPr>
            <w:tcW w:w="1417" w:type="dxa"/>
            <w:vAlign w:val="center"/>
          </w:tcPr>
          <w:p w14:paraId="3EEAB1FC" w14:textId="6E3409C3" w:rsidR="00621881" w:rsidRPr="00C84FF4" w:rsidRDefault="00570B83"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4CBAD747" w14:textId="77777777" w:rsidR="00621881" w:rsidRPr="00C84FF4" w:rsidRDefault="00621881" w:rsidP="00764825">
            <w:pPr>
              <w:jc w:val="center"/>
              <w:rPr>
                <w:sz w:val="20"/>
                <w:szCs w:val="20"/>
              </w:rPr>
            </w:pPr>
          </w:p>
        </w:tc>
      </w:tr>
      <w:tr w:rsidR="00F22765" w14:paraId="55288B1D" w14:textId="77777777" w:rsidTr="00764825">
        <w:tc>
          <w:tcPr>
            <w:tcW w:w="4928" w:type="dxa"/>
          </w:tcPr>
          <w:p w14:paraId="23BD972F" w14:textId="39FD1DCD" w:rsidR="00F22765" w:rsidRPr="00C84FF4" w:rsidRDefault="00563856" w:rsidP="00F22765">
            <w:pPr>
              <w:rPr>
                <w:sz w:val="20"/>
                <w:szCs w:val="20"/>
              </w:rPr>
            </w:pPr>
            <w:r>
              <w:rPr>
                <w:sz w:val="20"/>
                <w:szCs w:val="20"/>
              </w:rPr>
              <w:t>M</w:t>
            </w:r>
            <w:r w:rsidR="00F22765" w:rsidRPr="00C84FF4">
              <w:rPr>
                <w:sz w:val="20"/>
                <w:szCs w:val="20"/>
              </w:rPr>
              <w:t>oderate to severe chronic plaque psoriasis in children and adolescents from 4 years of age</w:t>
            </w:r>
          </w:p>
        </w:tc>
        <w:tc>
          <w:tcPr>
            <w:tcW w:w="1276" w:type="dxa"/>
            <w:shd w:val="clear" w:color="auto" w:fill="F2F2F2" w:themeFill="background1" w:themeFillShade="F2"/>
            <w:vAlign w:val="center"/>
          </w:tcPr>
          <w:p w14:paraId="3B5DAE28" w14:textId="77777777" w:rsidR="00F22765" w:rsidRPr="00C84FF4" w:rsidRDefault="00F22765" w:rsidP="00764825">
            <w:pPr>
              <w:jc w:val="center"/>
              <w:rPr>
                <w:sz w:val="20"/>
                <w:szCs w:val="20"/>
              </w:rPr>
            </w:pPr>
          </w:p>
        </w:tc>
        <w:tc>
          <w:tcPr>
            <w:tcW w:w="1417" w:type="dxa"/>
            <w:vAlign w:val="center"/>
          </w:tcPr>
          <w:p w14:paraId="13EF0455" w14:textId="09BE02A2" w:rsidR="00F22765" w:rsidRPr="00C84FF4" w:rsidRDefault="00F22765"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5385F583" w14:textId="77777777" w:rsidR="00F22765" w:rsidRPr="00C84FF4" w:rsidRDefault="00F22765" w:rsidP="00764825">
            <w:pPr>
              <w:jc w:val="center"/>
              <w:rPr>
                <w:sz w:val="20"/>
                <w:szCs w:val="20"/>
              </w:rPr>
            </w:pPr>
          </w:p>
        </w:tc>
      </w:tr>
      <w:tr w:rsidR="00621881" w14:paraId="1847F488" w14:textId="77777777" w:rsidTr="00764825">
        <w:tc>
          <w:tcPr>
            <w:tcW w:w="4928" w:type="dxa"/>
          </w:tcPr>
          <w:p w14:paraId="0A5B317D" w14:textId="7878F7DB" w:rsidR="00621881" w:rsidRPr="00C84FF4" w:rsidRDefault="00563856" w:rsidP="00AA246D">
            <w:pPr>
              <w:rPr>
                <w:sz w:val="20"/>
                <w:szCs w:val="20"/>
              </w:rPr>
            </w:pPr>
            <w:r>
              <w:rPr>
                <w:sz w:val="20"/>
                <w:szCs w:val="20"/>
              </w:rPr>
              <w:t>M</w:t>
            </w:r>
            <w:r w:rsidR="00920DE4" w:rsidRPr="00C84FF4">
              <w:rPr>
                <w:sz w:val="20"/>
                <w:szCs w:val="20"/>
              </w:rPr>
              <w:t>oderate to severely active psoriatic arthritis in adult patients</w:t>
            </w:r>
          </w:p>
        </w:tc>
        <w:tc>
          <w:tcPr>
            <w:tcW w:w="1276" w:type="dxa"/>
            <w:vAlign w:val="center"/>
          </w:tcPr>
          <w:p w14:paraId="678643D4" w14:textId="5F38D41B" w:rsidR="00621881" w:rsidRPr="00C84FF4" w:rsidRDefault="00621881" w:rsidP="00764825">
            <w:pPr>
              <w:jc w:val="center"/>
              <w:rPr>
                <w:sz w:val="20"/>
                <w:szCs w:val="20"/>
              </w:rPr>
            </w:pPr>
            <w:r w:rsidRPr="00C84FF4">
              <w:rPr>
                <w:sz w:val="20"/>
                <w:szCs w:val="20"/>
              </w:rPr>
              <w:t>X</w:t>
            </w:r>
          </w:p>
        </w:tc>
        <w:tc>
          <w:tcPr>
            <w:tcW w:w="1417" w:type="dxa"/>
            <w:vAlign w:val="center"/>
          </w:tcPr>
          <w:p w14:paraId="24E4F76E" w14:textId="69FE81BE" w:rsidR="00621881" w:rsidRPr="00C84FF4" w:rsidRDefault="00920DE4"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7EF50183" w14:textId="77777777" w:rsidR="00621881" w:rsidRPr="00C84FF4" w:rsidRDefault="00621881" w:rsidP="00764825">
            <w:pPr>
              <w:jc w:val="center"/>
              <w:rPr>
                <w:sz w:val="20"/>
                <w:szCs w:val="20"/>
              </w:rPr>
            </w:pPr>
          </w:p>
        </w:tc>
      </w:tr>
      <w:tr w:rsidR="003A4154" w14:paraId="7B2B2578" w14:textId="77777777" w:rsidTr="00764825">
        <w:tc>
          <w:tcPr>
            <w:tcW w:w="4928" w:type="dxa"/>
          </w:tcPr>
          <w:p w14:paraId="593442FA" w14:textId="1D8DA375" w:rsidR="003A4154" w:rsidRPr="00C84FF4" w:rsidRDefault="00621881" w:rsidP="00AA246D">
            <w:pPr>
              <w:rPr>
                <w:sz w:val="20"/>
                <w:szCs w:val="20"/>
              </w:rPr>
            </w:pPr>
            <w:r w:rsidRPr="00C84FF4">
              <w:rPr>
                <w:sz w:val="20"/>
                <w:szCs w:val="20"/>
              </w:rPr>
              <w:t>Moderate to severely active rheumatoid arthritis in adults</w:t>
            </w:r>
          </w:p>
        </w:tc>
        <w:tc>
          <w:tcPr>
            <w:tcW w:w="1276" w:type="dxa"/>
            <w:vAlign w:val="center"/>
          </w:tcPr>
          <w:p w14:paraId="44FA4F4E" w14:textId="6F5CC8F4" w:rsidR="003A4154" w:rsidRPr="00C84FF4" w:rsidRDefault="00B819C3" w:rsidP="00764825">
            <w:pPr>
              <w:jc w:val="center"/>
              <w:rPr>
                <w:sz w:val="20"/>
                <w:szCs w:val="20"/>
              </w:rPr>
            </w:pPr>
            <w:r w:rsidRPr="00C84FF4">
              <w:rPr>
                <w:sz w:val="20"/>
                <w:szCs w:val="20"/>
              </w:rPr>
              <w:t>X</w:t>
            </w:r>
          </w:p>
        </w:tc>
        <w:tc>
          <w:tcPr>
            <w:tcW w:w="1417" w:type="dxa"/>
            <w:vAlign w:val="center"/>
          </w:tcPr>
          <w:p w14:paraId="51C13F0C" w14:textId="737F13DB" w:rsidR="003A4154" w:rsidRPr="00C84FF4" w:rsidRDefault="00621881"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7D9C95C8" w14:textId="77777777" w:rsidR="003A4154" w:rsidRPr="00C84FF4" w:rsidRDefault="003A4154" w:rsidP="00764825">
            <w:pPr>
              <w:jc w:val="center"/>
              <w:rPr>
                <w:sz w:val="20"/>
                <w:szCs w:val="20"/>
              </w:rPr>
            </w:pPr>
          </w:p>
        </w:tc>
      </w:tr>
      <w:tr w:rsidR="0091667E" w14:paraId="53FF4860" w14:textId="77777777" w:rsidTr="00764825">
        <w:tc>
          <w:tcPr>
            <w:tcW w:w="4928" w:type="dxa"/>
          </w:tcPr>
          <w:p w14:paraId="41496A8C" w14:textId="745DFB47" w:rsidR="0091667E" w:rsidRPr="00C84FF4" w:rsidRDefault="00563856" w:rsidP="00AA246D">
            <w:pPr>
              <w:rPr>
                <w:sz w:val="20"/>
                <w:szCs w:val="20"/>
              </w:rPr>
            </w:pPr>
            <w:r>
              <w:rPr>
                <w:sz w:val="20"/>
                <w:szCs w:val="20"/>
              </w:rPr>
              <w:t>M</w:t>
            </w:r>
            <w:r w:rsidR="00570B83" w:rsidRPr="00C84FF4">
              <w:rPr>
                <w:sz w:val="20"/>
                <w:szCs w:val="20"/>
              </w:rPr>
              <w:t>oderate to severe ulcera</w:t>
            </w:r>
            <w:r w:rsidR="00F12545" w:rsidRPr="00C84FF4">
              <w:rPr>
                <w:sz w:val="20"/>
                <w:szCs w:val="20"/>
              </w:rPr>
              <w:t>tive colitis in adults</w:t>
            </w:r>
          </w:p>
        </w:tc>
        <w:tc>
          <w:tcPr>
            <w:tcW w:w="1276" w:type="dxa"/>
            <w:vAlign w:val="center"/>
          </w:tcPr>
          <w:p w14:paraId="388963BD" w14:textId="0A76C3BD" w:rsidR="0091667E" w:rsidRPr="00C84FF4" w:rsidRDefault="0091667E" w:rsidP="00764825">
            <w:pPr>
              <w:jc w:val="center"/>
              <w:rPr>
                <w:sz w:val="20"/>
                <w:szCs w:val="20"/>
              </w:rPr>
            </w:pPr>
            <w:r w:rsidRPr="00C84FF4">
              <w:rPr>
                <w:sz w:val="20"/>
                <w:szCs w:val="20"/>
              </w:rPr>
              <w:t>X</w:t>
            </w:r>
          </w:p>
        </w:tc>
        <w:tc>
          <w:tcPr>
            <w:tcW w:w="1417" w:type="dxa"/>
            <w:vAlign w:val="center"/>
          </w:tcPr>
          <w:p w14:paraId="09C40C33" w14:textId="437506E0" w:rsidR="0091667E" w:rsidRPr="00C84FF4" w:rsidRDefault="00570B83" w:rsidP="00764825">
            <w:pPr>
              <w:jc w:val="center"/>
              <w:rPr>
                <w:sz w:val="20"/>
                <w:szCs w:val="20"/>
              </w:rPr>
            </w:pPr>
            <w:r w:rsidRPr="00C84FF4">
              <w:rPr>
                <w:sz w:val="20"/>
                <w:szCs w:val="20"/>
              </w:rPr>
              <w:t>X</w:t>
            </w:r>
          </w:p>
        </w:tc>
        <w:tc>
          <w:tcPr>
            <w:tcW w:w="1552" w:type="dxa"/>
            <w:vAlign w:val="center"/>
          </w:tcPr>
          <w:p w14:paraId="4114BF64" w14:textId="197B65FF" w:rsidR="0091667E" w:rsidRPr="00C84FF4" w:rsidRDefault="006452B1" w:rsidP="00764825">
            <w:pPr>
              <w:jc w:val="center"/>
              <w:rPr>
                <w:sz w:val="20"/>
                <w:szCs w:val="20"/>
              </w:rPr>
            </w:pPr>
            <w:r w:rsidRPr="00C84FF4">
              <w:rPr>
                <w:sz w:val="20"/>
                <w:szCs w:val="20"/>
              </w:rPr>
              <w:t>X</w:t>
            </w:r>
          </w:p>
        </w:tc>
      </w:tr>
      <w:tr w:rsidR="00F12545" w14:paraId="3991CB55" w14:textId="77777777" w:rsidTr="00764825">
        <w:tc>
          <w:tcPr>
            <w:tcW w:w="4928" w:type="dxa"/>
          </w:tcPr>
          <w:p w14:paraId="2EE490D2" w14:textId="76629CDB" w:rsidR="00F12545" w:rsidRPr="00C84FF4" w:rsidRDefault="00563856" w:rsidP="00F12545">
            <w:pPr>
              <w:rPr>
                <w:sz w:val="20"/>
                <w:szCs w:val="20"/>
              </w:rPr>
            </w:pPr>
            <w:r>
              <w:rPr>
                <w:sz w:val="20"/>
                <w:szCs w:val="20"/>
              </w:rPr>
              <w:t>M</w:t>
            </w:r>
            <w:r w:rsidR="00F12545" w:rsidRPr="00C84FF4">
              <w:rPr>
                <w:sz w:val="20"/>
                <w:szCs w:val="20"/>
              </w:rPr>
              <w:t>oderate to severe ulcerative colitis in children and adolescents (aged 6 to 17 years inclusive)</w:t>
            </w:r>
          </w:p>
        </w:tc>
        <w:tc>
          <w:tcPr>
            <w:tcW w:w="1276" w:type="dxa"/>
            <w:shd w:val="clear" w:color="auto" w:fill="F2F2F2" w:themeFill="background1" w:themeFillShade="F2"/>
            <w:vAlign w:val="center"/>
          </w:tcPr>
          <w:p w14:paraId="11948968" w14:textId="77777777" w:rsidR="00F12545" w:rsidRPr="00C84FF4" w:rsidRDefault="00F12545" w:rsidP="00764825">
            <w:pPr>
              <w:jc w:val="center"/>
              <w:rPr>
                <w:sz w:val="20"/>
                <w:szCs w:val="20"/>
              </w:rPr>
            </w:pPr>
          </w:p>
        </w:tc>
        <w:tc>
          <w:tcPr>
            <w:tcW w:w="1417" w:type="dxa"/>
            <w:vAlign w:val="center"/>
          </w:tcPr>
          <w:p w14:paraId="0A680857" w14:textId="77777777" w:rsidR="00F12545" w:rsidRPr="00C84FF4" w:rsidRDefault="00F12545" w:rsidP="00764825">
            <w:pPr>
              <w:jc w:val="center"/>
              <w:rPr>
                <w:sz w:val="20"/>
                <w:szCs w:val="20"/>
              </w:rPr>
            </w:pPr>
          </w:p>
        </w:tc>
        <w:tc>
          <w:tcPr>
            <w:tcW w:w="1552" w:type="dxa"/>
            <w:shd w:val="clear" w:color="auto" w:fill="F2F2F2" w:themeFill="background1" w:themeFillShade="F2"/>
            <w:vAlign w:val="center"/>
          </w:tcPr>
          <w:p w14:paraId="5414B5DD" w14:textId="77777777" w:rsidR="00F12545" w:rsidRPr="00C84FF4" w:rsidRDefault="00F12545" w:rsidP="00764825">
            <w:pPr>
              <w:jc w:val="center"/>
              <w:rPr>
                <w:sz w:val="20"/>
                <w:szCs w:val="20"/>
              </w:rPr>
            </w:pPr>
          </w:p>
        </w:tc>
      </w:tr>
      <w:tr w:rsidR="003A4154" w14:paraId="3DF083D2" w14:textId="77777777" w:rsidTr="00764825">
        <w:tc>
          <w:tcPr>
            <w:tcW w:w="4928" w:type="dxa"/>
          </w:tcPr>
          <w:p w14:paraId="03887E0B" w14:textId="68937FDE" w:rsidR="003A4154" w:rsidRPr="00C84FF4" w:rsidRDefault="00563856" w:rsidP="00AA246D">
            <w:pPr>
              <w:rPr>
                <w:sz w:val="20"/>
                <w:szCs w:val="20"/>
              </w:rPr>
            </w:pPr>
            <w:r>
              <w:rPr>
                <w:sz w:val="20"/>
                <w:szCs w:val="20"/>
              </w:rPr>
              <w:t>M</w:t>
            </w:r>
            <w:r w:rsidR="00570B83" w:rsidRPr="00C84FF4">
              <w:rPr>
                <w:sz w:val="20"/>
                <w:szCs w:val="20"/>
              </w:rPr>
              <w:t>oderate to severe hidradenitis suppurativa (acne inversa) in adult patients</w:t>
            </w:r>
          </w:p>
        </w:tc>
        <w:tc>
          <w:tcPr>
            <w:tcW w:w="1276" w:type="dxa"/>
            <w:shd w:val="clear" w:color="auto" w:fill="F2F2F2" w:themeFill="background1" w:themeFillShade="F2"/>
            <w:vAlign w:val="center"/>
          </w:tcPr>
          <w:p w14:paraId="26582671" w14:textId="1CAE8365" w:rsidR="003A4154" w:rsidRPr="00C84FF4" w:rsidRDefault="003A4154" w:rsidP="00764825">
            <w:pPr>
              <w:jc w:val="center"/>
              <w:rPr>
                <w:sz w:val="20"/>
                <w:szCs w:val="20"/>
              </w:rPr>
            </w:pPr>
          </w:p>
        </w:tc>
        <w:tc>
          <w:tcPr>
            <w:tcW w:w="1417" w:type="dxa"/>
            <w:vAlign w:val="center"/>
          </w:tcPr>
          <w:p w14:paraId="1EC78A9B" w14:textId="6C9E934F" w:rsidR="003A4154" w:rsidRPr="00C84FF4" w:rsidRDefault="00570B83"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681D0FB5" w14:textId="77777777" w:rsidR="003A4154" w:rsidRPr="00C84FF4" w:rsidRDefault="003A4154" w:rsidP="00764825">
            <w:pPr>
              <w:jc w:val="center"/>
              <w:rPr>
                <w:sz w:val="20"/>
                <w:szCs w:val="20"/>
              </w:rPr>
            </w:pPr>
          </w:p>
        </w:tc>
      </w:tr>
      <w:tr w:rsidR="003A4154" w14:paraId="57D522B8" w14:textId="77777777" w:rsidTr="00764825">
        <w:tc>
          <w:tcPr>
            <w:tcW w:w="4928" w:type="dxa"/>
          </w:tcPr>
          <w:p w14:paraId="4EFDECCD" w14:textId="19B192DD" w:rsidR="003A4154" w:rsidRPr="00C84FF4" w:rsidRDefault="00563856" w:rsidP="00AA246D">
            <w:pPr>
              <w:rPr>
                <w:sz w:val="20"/>
                <w:szCs w:val="20"/>
              </w:rPr>
            </w:pPr>
            <w:r>
              <w:rPr>
                <w:sz w:val="20"/>
                <w:szCs w:val="20"/>
              </w:rPr>
              <w:t>N</w:t>
            </w:r>
            <w:r w:rsidR="00570B83" w:rsidRPr="00C84FF4">
              <w:rPr>
                <w:sz w:val="20"/>
                <w:szCs w:val="20"/>
              </w:rPr>
              <w:t>on-infectious intermediate, posterior and pan-uveitis in adult patients</w:t>
            </w:r>
          </w:p>
        </w:tc>
        <w:tc>
          <w:tcPr>
            <w:tcW w:w="1276" w:type="dxa"/>
            <w:shd w:val="clear" w:color="auto" w:fill="F2F2F2" w:themeFill="background1" w:themeFillShade="F2"/>
            <w:vAlign w:val="center"/>
          </w:tcPr>
          <w:p w14:paraId="7E724252" w14:textId="31601CC2" w:rsidR="003A4154" w:rsidRPr="00C84FF4" w:rsidRDefault="003A4154" w:rsidP="00764825">
            <w:pPr>
              <w:jc w:val="center"/>
              <w:rPr>
                <w:sz w:val="20"/>
                <w:szCs w:val="20"/>
              </w:rPr>
            </w:pPr>
          </w:p>
        </w:tc>
        <w:tc>
          <w:tcPr>
            <w:tcW w:w="1417" w:type="dxa"/>
            <w:vAlign w:val="center"/>
          </w:tcPr>
          <w:p w14:paraId="0067396E" w14:textId="419C6D6C" w:rsidR="003A4154" w:rsidRPr="00C84FF4" w:rsidRDefault="00570B83" w:rsidP="00764825">
            <w:pPr>
              <w:jc w:val="center"/>
              <w:rPr>
                <w:sz w:val="20"/>
                <w:szCs w:val="20"/>
              </w:rPr>
            </w:pPr>
            <w:r w:rsidRPr="00C84FF4">
              <w:rPr>
                <w:sz w:val="20"/>
                <w:szCs w:val="20"/>
              </w:rPr>
              <w:t>X</w:t>
            </w:r>
          </w:p>
        </w:tc>
        <w:tc>
          <w:tcPr>
            <w:tcW w:w="1552" w:type="dxa"/>
            <w:shd w:val="clear" w:color="auto" w:fill="F2F2F2" w:themeFill="background1" w:themeFillShade="F2"/>
            <w:vAlign w:val="center"/>
          </w:tcPr>
          <w:p w14:paraId="1312EB2F" w14:textId="77777777" w:rsidR="003A4154" w:rsidRPr="00C84FF4" w:rsidRDefault="003A4154" w:rsidP="00764825">
            <w:pPr>
              <w:jc w:val="center"/>
              <w:rPr>
                <w:sz w:val="20"/>
                <w:szCs w:val="20"/>
              </w:rPr>
            </w:pPr>
          </w:p>
        </w:tc>
      </w:tr>
    </w:tbl>
    <w:p w14:paraId="3A8AEFA2" w14:textId="27ED6C6F" w:rsidR="005450A0" w:rsidRPr="00EF54F9" w:rsidRDefault="00A005B2" w:rsidP="00AA246D">
      <w:pPr>
        <w:rPr>
          <w:sz w:val="20"/>
          <w:szCs w:val="20"/>
        </w:rPr>
      </w:pPr>
      <w:r w:rsidRPr="00EF54F9">
        <w:rPr>
          <w:sz w:val="20"/>
          <w:szCs w:val="20"/>
        </w:rPr>
        <w:t xml:space="preserve">Source: </w:t>
      </w:r>
      <w:hyperlink r:id="rId11" w:history="1">
        <w:r w:rsidRPr="00EF54F9">
          <w:rPr>
            <w:rStyle w:val="Hyperlink"/>
            <w:sz w:val="20"/>
            <w:szCs w:val="20"/>
          </w:rPr>
          <w:t>Australian Register of Therapeutic Goods</w:t>
        </w:r>
      </w:hyperlink>
    </w:p>
    <w:p w14:paraId="015B1997" w14:textId="1A76209C" w:rsidR="00F6342E" w:rsidRPr="00F6342E" w:rsidRDefault="00F6342E" w:rsidP="001E0E1B">
      <w:pPr>
        <w:pStyle w:val="Heading2"/>
        <w:rPr>
          <w:i w:val="0"/>
          <w:sz w:val="28"/>
          <w:szCs w:val="28"/>
        </w:rPr>
      </w:pPr>
      <w:r>
        <w:rPr>
          <w:i w:val="0"/>
          <w:sz w:val="28"/>
          <w:szCs w:val="28"/>
        </w:rPr>
        <w:t>Clinical guidelines</w:t>
      </w:r>
    </w:p>
    <w:p w14:paraId="2759B46E" w14:textId="77777777" w:rsidR="00282EF9" w:rsidRDefault="00282EF9" w:rsidP="00282EF9">
      <w:pPr>
        <w:spacing w:after="0" w:line="300" w:lineRule="atLeast"/>
      </w:pPr>
      <w:r>
        <w:t>A similar approach is used in drug therapy for Crohn disease and ulcerative colitis. The following description of the therapeutic approaches used in Australia is based on the GESA Guidelines 2013:</w:t>
      </w:r>
    </w:p>
    <w:p w14:paraId="376B9C0E" w14:textId="38443331" w:rsidR="00282EF9" w:rsidRDefault="00282EF9" w:rsidP="00282EF9">
      <w:pPr>
        <w:pStyle w:val="ListParagraph"/>
        <w:numPr>
          <w:ilvl w:val="0"/>
          <w:numId w:val="13"/>
        </w:numPr>
        <w:spacing w:after="0" w:line="300" w:lineRule="atLeast"/>
      </w:pPr>
      <w:r>
        <w:t xml:space="preserve">Initial therapy aims to alleviate symptoms and promote healing of the mucosa to prevent disease flares and other complications such as the development of ulcers. Common options include: corticosteroids (e.g. prednisolone, prednisone, budesonide); immunosuppressant drugs (methotrexate, 6-mercaptopurine, azathioprine); aminosalicylates (5-ASA) given orally or rectally (e.g. sulfasalazine, mesalazine, </w:t>
      </w:r>
      <w:r w:rsidRPr="00512AC5">
        <w:t>olsalazine, balsalazide</w:t>
      </w:r>
      <w:r>
        <w:t xml:space="preserve">); antibiotics; and </w:t>
      </w:r>
      <w:r w:rsidR="00520C59">
        <w:t xml:space="preserve">biological </w:t>
      </w:r>
      <w:r>
        <w:t xml:space="preserve">agents (e.g. infliximab, adalimumab, vedolizumab). Corticosteroids are mainly used to treat acute flare-ups and to achieve rapid symptom relief. They are not recommended for longer-term therapy as they are associated with significant side effects. </w:t>
      </w:r>
    </w:p>
    <w:p w14:paraId="364E927D" w14:textId="77777777" w:rsidR="00282EF9" w:rsidRDefault="00282EF9" w:rsidP="00282EF9">
      <w:pPr>
        <w:pStyle w:val="ListParagraph"/>
        <w:numPr>
          <w:ilvl w:val="0"/>
          <w:numId w:val="13"/>
        </w:numPr>
        <w:spacing w:after="0" w:line="300" w:lineRule="atLeast"/>
      </w:pPr>
      <w:r>
        <w:t>For maintenance therapy, steroid free drugs which are commonly used for maintaining remission from Crohn disease and ulcerative colitis include:</w:t>
      </w:r>
    </w:p>
    <w:p w14:paraId="7F56913C" w14:textId="3D23E30F" w:rsidR="00282EF9" w:rsidRDefault="00282EF9" w:rsidP="00282EF9">
      <w:pPr>
        <w:pStyle w:val="ListParagraph"/>
        <w:numPr>
          <w:ilvl w:val="0"/>
          <w:numId w:val="14"/>
        </w:numPr>
        <w:spacing w:after="0" w:line="300" w:lineRule="atLeast"/>
      </w:pPr>
      <w:r>
        <w:t>Immunosuppressant therapy including thiopurines (azathioprine, 6</w:t>
      </w:r>
      <w:r w:rsidR="003440B1">
        <w:noBreakHyphen/>
      </w:r>
      <w:r>
        <w:t xml:space="preserve">mercaptopurine); methotrexate; and calcineurin inhibitors (cyclosporin, tacrolimus).  These options enable patients to withdraw from steroid therapy. </w:t>
      </w:r>
      <w:r>
        <w:lastRenderedPageBreak/>
        <w:t>Calcineurin inhibitors are mainly used for severe episodes which do not respond to high dose intravenous steroids.</w:t>
      </w:r>
    </w:p>
    <w:p w14:paraId="13D169A7" w14:textId="54CA541A" w:rsidR="00F267B3" w:rsidRPr="00F267B3" w:rsidRDefault="00906A0A" w:rsidP="00F267B3">
      <w:pPr>
        <w:pStyle w:val="ListParagraph"/>
        <w:numPr>
          <w:ilvl w:val="0"/>
          <w:numId w:val="14"/>
        </w:numPr>
        <w:spacing w:after="0" w:line="300" w:lineRule="atLeast"/>
      </w:pPr>
      <w:r>
        <w:t xml:space="preserve">biological </w:t>
      </w:r>
      <w:r w:rsidR="00282EF9">
        <w:t xml:space="preserve">therapy. To access PBS subsidised </w:t>
      </w:r>
      <w:r w:rsidR="002F559B">
        <w:t>bDMDs</w:t>
      </w:r>
      <w:r w:rsidR="00282EF9">
        <w:t xml:space="preserve"> for Crohn and ulcerative colitis patients must fail conventional therapy with steroids </w:t>
      </w:r>
      <w:r w:rsidR="004B6A65">
        <w:t xml:space="preserve">and </w:t>
      </w:r>
      <w:r w:rsidR="00282EF9">
        <w:t xml:space="preserve">an immunosuppressive drug unless they are intolerant to these drugs. The GESA guidelines (2013) state that </w:t>
      </w:r>
      <w:r w:rsidR="002F559B">
        <w:t>bDMDs</w:t>
      </w:r>
      <w:r w:rsidR="00282EF9">
        <w:t xml:space="preserve"> may also be used in: first-line or as early aggressive therapy in patients who are unable to take standard therapy; </w:t>
      </w:r>
      <w:r w:rsidR="00AB082E">
        <w:t xml:space="preserve">or </w:t>
      </w:r>
      <w:r w:rsidR="00282EF9">
        <w:t xml:space="preserve">as part of concomitant </w:t>
      </w:r>
      <w:r w:rsidR="003440B1">
        <w:t xml:space="preserve">therapy </w:t>
      </w:r>
      <w:r w:rsidR="00282EF9">
        <w:t>with immunosuppression as a short course or episodic therapy, but the benefits of continuing conc</w:t>
      </w:r>
      <w:r w:rsidR="00F267B3">
        <w:t>omitant treatment are unclear.</w:t>
      </w:r>
    </w:p>
    <w:p w14:paraId="2AE01E01" w14:textId="597F61D7" w:rsidR="001E0E1B" w:rsidRPr="00F267B3" w:rsidRDefault="009C35F2" w:rsidP="00650131">
      <w:pPr>
        <w:spacing w:before="240"/>
        <w:rPr>
          <w:b/>
        </w:rPr>
      </w:pPr>
      <w:r w:rsidRPr="00F267B3">
        <w:rPr>
          <w:b/>
        </w:rPr>
        <w:t xml:space="preserve">Date of </w:t>
      </w:r>
      <w:r w:rsidR="000364B9" w:rsidRPr="00F267B3">
        <w:rPr>
          <w:b/>
        </w:rPr>
        <w:t xml:space="preserve">first </w:t>
      </w:r>
      <w:r w:rsidRPr="00F267B3">
        <w:rPr>
          <w:b/>
        </w:rPr>
        <w:t xml:space="preserve">listing </w:t>
      </w:r>
      <w:r w:rsidR="00AC7783" w:rsidRPr="00F267B3">
        <w:rPr>
          <w:b/>
        </w:rPr>
        <w:t xml:space="preserve">for the </w:t>
      </w:r>
      <w:r w:rsidR="002F559B">
        <w:rPr>
          <w:b/>
        </w:rPr>
        <w:t>bDMDs</w:t>
      </w:r>
      <w:r w:rsidR="000364B9" w:rsidRPr="00F267B3">
        <w:rPr>
          <w:b/>
        </w:rPr>
        <w:t xml:space="preserve"> by indication</w:t>
      </w:r>
    </w:p>
    <w:tbl>
      <w:tblPr>
        <w:tblStyle w:val="TableGrid"/>
        <w:tblW w:w="9180" w:type="dxa"/>
        <w:tblLook w:val="04A0" w:firstRow="1" w:lastRow="0" w:firstColumn="1" w:lastColumn="0" w:noHBand="0" w:noVBand="1"/>
        <w:tblCaption w:val="Date of first listing for the bDMARDs by indication"/>
        <w:tblDescription w:val="A table outlining the dates that the drugs were first listed on the PBS for Crohn related conditions"/>
      </w:tblPr>
      <w:tblGrid>
        <w:gridCol w:w="1951"/>
        <w:gridCol w:w="1277"/>
        <w:gridCol w:w="5952"/>
      </w:tblGrid>
      <w:tr w:rsidR="001E0E1B" w14:paraId="1AEC8095" w14:textId="2A0EE8BF" w:rsidTr="002D57CC">
        <w:trPr>
          <w:tblHeader/>
        </w:trPr>
        <w:tc>
          <w:tcPr>
            <w:tcW w:w="1951" w:type="dxa"/>
            <w:shd w:val="clear" w:color="auto" w:fill="BFBFBF" w:themeFill="background1" w:themeFillShade="BF"/>
          </w:tcPr>
          <w:p w14:paraId="78B4AF70" w14:textId="759CB685" w:rsidR="001E0E1B" w:rsidRPr="00F026A3" w:rsidRDefault="001E0E1B" w:rsidP="005A78B4">
            <w:pPr>
              <w:rPr>
                <w:b/>
                <w:sz w:val="20"/>
                <w:szCs w:val="20"/>
              </w:rPr>
            </w:pPr>
            <w:r w:rsidRPr="00F026A3">
              <w:rPr>
                <w:b/>
                <w:sz w:val="20"/>
                <w:szCs w:val="20"/>
              </w:rPr>
              <w:t>PBS first listing date</w:t>
            </w:r>
          </w:p>
        </w:tc>
        <w:tc>
          <w:tcPr>
            <w:tcW w:w="1277" w:type="dxa"/>
            <w:shd w:val="clear" w:color="auto" w:fill="BFBFBF" w:themeFill="background1" w:themeFillShade="BF"/>
          </w:tcPr>
          <w:p w14:paraId="46BB4FAD" w14:textId="5F437322" w:rsidR="001E0E1B" w:rsidRPr="00F026A3" w:rsidRDefault="001E0E1B" w:rsidP="005A78B4">
            <w:pPr>
              <w:rPr>
                <w:b/>
                <w:sz w:val="20"/>
                <w:szCs w:val="20"/>
              </w:rPr>
            </w:pPr>
            <w:r w:rsidRPr="00F026A3">
              <w:rPr>
                <w:b/>
                <w:sz w:val="20"/>
                <w:szCs w:val="20"/>
              </w:rPr>
              <w:t>Drug</w:t>
            </w:r>
          </w:p>
        </w:tc>
        <w:tc>
          <w:tcPr>
            <w:tcW w:w="5952" w:type="dxa"/>
            <w:shd w:val="clear" w:color="auto" w:fill="BFBFBF" w:themeFill="background1" w:themeFillShade="BF"/>
          </w:tcPr>
          <w:p w14:paraId="19039E9D" w14:textId="7A63BC80" w:rsidR="001E0E1B" w:rsidRPr="00F026A3" w:rsidRDefault="001E0E1B" w:rsidP="005A78B4">
            <w:pPr>
              <w:rPr>
                <w:b/>
                <w:sz w:val="20"/>
                <w:szCs w:val="20"/>
              </w:rPr>
            </w:pPr>
            <w:r w:rsidRPr="00F026A3">
              <w:rPr>
                <w:b/>
                <w:sz w:val="20"/>
                <w:szCs w:val="20"/>
              </w:rPr>
              <w:t>Listed indication</w:t>
            </w:r>
          </w:p>
        </w:tc>
      </w:tr>
      <w:tr w:rsidR="001E0E1B" w14:paraId="5759EEC4" w14:textId="3AE89B7E" w:rsidTr="00764825">
        <w:tc>
          <w:tcPr>
            <w:tcW w:w="1951" w:type="dxa"/>
            <w:vAlign w:val="center"/>
          </w:tcPr>
          <w:p w14:paraId="7E0D9AB5" w14:textId="39A4CA20" w:rsidR="001E0E1B" w:rsidRPr="00F026A3" w:rsidRDefault="001E0E1B" w:rsidP="00764825">
            <w:pPr>
              <w:rPr>
                <w:sz w:val="20"/>
                <w:szCs w:val="20"/>
              </w:rPr>
            </w:pPr>
            <w:r w:rsidRPr="00F026A3">
              <w:rPr>
                <w:sz w:val="20"/>
                <w:szCs w:val="20"/>
              </w:rPr>
              <w:t>1 October 2007</w:t>
            </w:r>
          </w:p>
        </w:tc>
        <w:tc>
          <w:tcPr>
            <w:tcW w:w="1277" w:type="dxa"/>
            <w:vAlign w:val="center"/>
          </w:tcPr>
          <w:p w14:paraId="6AF51600" w14:textId="01EB0140" w:rsidR="001E0E1B" w:rsidRPr="00F026A3" w:rsidRDefault="001E0E1B" w:rsidP="00764825">
            <w:pPr>
              <w:rPr>
                <w:sz w:val="20"/>
                <w:szCs w:val="20"/>
              </w:rPr>
            </w:pPr>
            <w:r w:rsidRPr="00F026A3">
              <w:rPr>
                <w:sz w:val="20"/>
                <w:szCs w:val="20"/>
              </w:rPr>
              <w:t>Infliximab</w:t>
            </w:r>
          </w:p>
        </w:tc>
        <w:tc>
          <w:tcPr>
            <w:tcW w:w="5952" w:type="dxa"/>
            <w:vAlign w:val="center"/>
          </w:tcPr>
          <w:p w14:paraId="08A1FBEE" w14:textId="2F9B9CA3" w:rsidR="001E0E1B" w:rsidRPr="00F026A3" w:rsidRDefault="001E0E1B" w:rsidP="00764825">
            <w:pPr>
              <w:rPr>
                <w:sz w:val="20"/>
                <w:szCs w:val="20"/>
              </w:rPr>
            </w:pPr>
            <w:r w:rsidRPr="00F026A3">
              <w:rPr>
                <w:sz w:val="20"/>
                <w:szCs w:val="20"/>
              </w:rPr>
              <w:t>Patient aged 6 to 17 years inclusive with moderate to severe refractory Crohn disease</w:t>
            </w:r>
          </w:p>
        </w:tc>
      </w:tr>
      <w:tr w:rsidR="001E0E1B" w14:paraId="1541B2BD" w14:textId="494A940E" w:rsidTr="00764825">
        <w:tc>
          <w:tcPr>
            <w:tcW w:w="1951" w:type="dxa"/>
            <w:vAlign w:val="center"/>
          </w:tcPr>
          <w:p w14:paraId="3029BD48" w14:textId="0E4BC5D2" w:rsidR="001E0E1B" w:rsidRPr="00F026A3" w:rsidRDefault="001E0E1B" w:rsidP="00764825">
            <w:pPr>
              <w:rPr>
                <w:sz w:val="20"/>
                <w:szCs w:val="20"/>
              </w:rPr>
            </w:pPr>
            <w:r w:rsidRPr="00F026A3">
              <w:rPr>
                <w:sz w:val="20"/>
                <w:szCs w:val="20"/>
              </w:rPr>
              <w:t>1 October 2007</w:t>
            </w:r>
          </w:p>
        </w:tc>
        <w:tc>
          <w:tcPr>
            <w:tcW w:w="1277" w:type="dxa"/>
            <w:vAlign w:val="center"/>
          </w:tcPr>
          <w:p w14:paraId="4C4F3218" w14:textId="430FC26F" w:rsidR="001E0E1B" w:rsidRPr="00F026A3" w:rsidRDefault="001E0E1B" w:rsidP="00764825">
            <w:pPr>
              <w:rPr>
                <w:sz w:val="20"/>
                <w:szCs w:val="20"/>
              </w:rPr>
            </w:pPr>
            <w:r w:rsidRPr="00F026A3">
              <w:rPr>
                <w:sz w:val="20"/>
                <w:szCs w:val="20"/>
              </w:rPr>
              <w:t>Infliximab</w:t>
            </w:r>
          </w:p>
        </w:tc>
        <w:tc>
          <w:tcPr>
            <w:tcW w:w="5952" w:type="dxa"/>
            <w:vAlign w:val="center"/>
          </w:tcPr>
          <w:p w14:paraId="4D1EB893" w14:textId="6044FBE8" w:rsidR="001E0E1B" w:rsidRPr="00F026A3" w:rsidRDefault="001E0E1B" w:rsidP="00764825">
            <w:pPr>
              <w:rPr>
                <w:sz w:val="20"/>
                <w:szCs w:val="20"/>
              </w:rPr>
            </w:pPr>
            <w:r w:rsidRPr="00F026A3">
              <w:rPr>
                <w:sz w:val="20"/>
                <w:szCs w:val="20"/>
              </w:rPr>
              <w:t>Severe refractory Crohn disease</w:t>
            </w:r>
            <w:r w:rsidR="00960678" w:rsidRPr="00F026A3">
              <w:rPr>
                <w:sz w:val="20"/>
                <w:szCs w:val="20"/>
              </w:rPr>
              <w:t xml:space="preserve"> in adults</w:t>
            </w:r>
          </w:p>
        </w:tc>
      </w:tr>
      <w:tr w:rsidR="001E0E1B" w14:paraId="10DEBE6A" w14:textId="2E9BB0ED" w:rsidTr="00764825">
        <w:tc>
          <w:tcPr>
            <w:tcW w:w="1951" w:type="dxa"/>
            <w:vAlign w:val="center"/>
          </w:tcPr>
          <w:p w14:paraId="1472C558" w14:textId="4EA2E215" w:rsidR="001E0E1B" w:rsidRPr="00F026A3" w:rsidRDefault="001E0E1B" w:rsidP="00764825">
            <w:pPr>
              <w:rPr>
                <w:sz w:val="20"/>
                <w:szCs w:val="20"/>
              </w:rPr>
            </w:pPr>
            <w:r w:rsidRPr="00F026A3">
              <w:rPr>
                <w:sz w:val="20"/>
                <w:szCs w:val="20"/>
              </w:rPr>
              <w:t>1 August 2008</w:t>
            </w:r>
          </w:p>
        </w:tc>
        <w:tc>
          <w:tcPr>
            <w:tcW w:w="1277" w:type="dxa"/>
            <w:vAlign w:val="center"/>
          </w:tcPr>
          <w:p w14:paraId="12097BCA" w14:textId="59C81D96" w:rsidR="001E0E1B" w:rsidRPr="00F026A3" w:rsidRDefault="001E0E1B" w:rsidP="00764825">
            <w:pPr>
              <w:rPr>
                <w:sz w:val="20"/>
                <w:szCs w:val="20"/>
              </w:rPr>
            </w:pPr>
            <w:r w:rsidRPr="00F026A3">
              <w:rPr>
                <w:sz w:val="20"/>
                <w:szCs w:val="20"/>
              </w:rPr>
              <w:t>Adalimumab</w:t>
            </w:r>
          </w:p>
        </w:tc>
        <w:tc>
          <w:tcPr>
            <w:tcW w:w="5952" w:type="dxa"/>
            <w:vAlign w:val="center"/>
          </w:tcPr>
          <w:p w14:paraId="25DF3F8D" w14:textId="5180EB8A" w:rsidR="001E0E1B" w:rsidRPr="00F026A3" w:rsidRDefault="001E0E1B" w:rsidP="00764825">
            <w:pPr>
              <w:rPr>
                <w:sz w:val="20"/>
                <w:szCs w:val="20"/>
              </w:rPr>
            </w:pPr>
            <w:r w:rsidRPr="00F026A3">
              <w:rPr>
                <w:sz w:val="20"/>
                <w:szCs w:val="20"/>
              </w:rPr>
              <w:t>Severe refractory Crohn disease</w:t>
            </w:r>
            <w:r w:rsidR="00960678" w:rsidRPr="00F026A3">
              <w:rPr>
                <w:sz w:val="20"/>
                <w:szCs w:val="20"/>
              </w:rPr>
              <w:t xml:space="preserve"> in adults</w:t>
            </w:r>
          </w:p>
        </w:tc>
      </w:tr>
      <w:tr w:rsidR="001E0E1B" w14:paraId="28B8AFEE" w14:textId="0095DAB2" w:rsidTr="00764825">
        <w:tc>
          <w:tcPr>
            <w:tcW w:w="1951" w:type="dxa"/>
            <w:vAlign w:val="center"/>
          </w:tcPr>
          <w:p w14:paraId="4C3BADAB" w14:textId="3C846C3E" w:rsidR="001E0E1B" w:rsidRPr="00F026A3" w:rsidRDefault="00EA62F9" w:rsidP="00764825">
            <w:pPr>
              <w:rPr>
                <w:sz w:val="20"/>
                <w:szCs w:val="20"/>
              </w:rPr>
            </w:pPr>
            <w:r w:rsidRPr="00F026A3">
              <w:rPr>
                <w:sz w:val="20"/>
                <w:szCs w:val="20"/>
              </w:rPr>
              <w:t>1 August 2010</w:t>
            </w:r>
          </w:p>
        </w:tc>
        <w:tc>
          <w:tcPr>
            <w:tcW w:w="1277" w:type="dxa"/>
            <w:vAlign w:val="center"/>
          </w:tcPr>
          <w:p w14:paraId="288245B3" w14:textId="3F396AC7" w:rsidR="001E0E1B" w:rsidRPr="00F026A3" w:rsidRDefault="00EA62F9" w:rsidP="00764825">
            <w:pPr>
              <w:rPr>
                <w:sz w:val="20"/>
                <w:szCs w:val="20"/>
              </w:rPr>
            </w:pPr>
            <w:r w:rsidRPr="00F026A3">
              <w:rPr>
                <w:sz w:val="20"/>
                <w:szCs w:val="20"/>
              </w:rPr>
              <w:t>Infliximab</w:t>
            </w:r>
          </w:p>
        </w:tc>
        <w:tc>
          <w:tcPr>
            <w:tcW w:w="5952" w:type="dxa"/>
            <w:vAlign w:val="center"/>
          </w:tcPr>
          <w:p w14:paraId="0FF3834F" w14:textId="18C22F7C" w:rsidR="001E0E1B" w:rsidRPr="00F026A3" w:rsidRDefault="00EA62F9" w:rsidP="00764825">
            <w:pPr>
              <w:rPr>
                <w:sz w:val="20"/>
                <w:szCs w:val="20"/>
              </w:rPr>
            </w:pPr>
            <w:r w:rsidRPr="00F026A3">
              <w:rPr>
                <w:sz w:val="20"/>
                <w:szCs w:val="20"/>
              </w:rPr>
              <w:t>Fistulising Crohn disease</w:t>
            </w:r>
          </w:p>
        </w:tc>
      </w:tr>
      <w:tr w:rsidR="001E0E1B" w14:paraId="76A61B38" w14:textId="0C011A5C" w:rsidTr="00764825">
        <w:tc>
          <w:tcPr>
            <w:tcW w:w="1951" w:type="dxa"/>
            <w:vAlign w:val="center"/>
          </w:tcPr>
          <w:p w14:paraId="50421760" w14:textId="6CA45DB1" w:rsidR="001E0E1B" w:rsidRPr="00F026A3" w:rsidRDefault="00EA62F9" w:rsidP="00764825">
            <w:pPr>
              <w:rPr>
                <w:sz w:val="20"/>
                <w:szCs w:val="20"/>
              </w:rPr>
            </w:pPr>
            <w:r w:rsidRPr="00F026A3">
              <w:rPr>
                <w:sz w:val="20"/>
                <w:szCs w:val="20"/>
              </w:rPr>
              <w:t>1 April 2011</w:t>
            </w:r>
          </w:p>
        </w:tc>
        <w:tc>
          <w:tcPr>
            <w:tcW w:w="1277" w:type="dxa"/>
            <w:vAlign w:val="center"/>
          </w:tcPr>
          <w:p w14:paraId="12879685" w14:textId="73FDAB0A" w:rsidR="001E0E1B" w:rsidRPr="00F026A3" w:rsidRDefault="00EA62F9" w:rsidP="00764825">
            <w:pPr>
              <w:rPr>
                <w:sz w:val="20"/>
                <w:szCs w:val="20"/>
              </w:rPr>
            </w:pPr>
            <w:r w:rsidRPr="00F026A3">
              <w:rPr>
                <w:sz w:val="20"/>
                <w:szCs w:val="20"/>
              </w:rPr>
              <w:t>Adalimumab</w:t>
            </w:r>
          </w:p>
        </w:tc>
        <w:tc>
          <w:tcPr>
            <w:tcW w:w="5952" w:type="dxa"/>
            <w:vAlign w:val="center"/>
          </w:tcPr>
          <w:p w14:paraId="215D044B" w14:textId="2221C462" w:rsidR="001E0E1B" w:rsidRPr="00F026A3" w:rsidRDefault="00EA62F9" w:rsidP="00764825">
            <w:pPr>
              <w:rPr>
                <w:sz w:val="20"/>
                <w:szCs w:val="20"/>
              </w:rPr>
            </w:pPr>
            <w:r w:rsidRPr="00F026A3">
              <w:rPr>
                <w:sz w:val="20"/>
                <w:szCs w:val="20"/>
              </w:rPr>
              <w:t>Fistulising Crohn disease</w:t>
            </w:r>
          </w:p>
        </w:tc>
      </w:tr>
      <w:tr w:rsidR="001E0E1B" w14:paraId="5F673611" w14:textId="087A6A4F" w:rsidTr="00764825">
        <w:tc>
          <w:tcPr>
            <w:tcW w:w="1951" w:type="dxa"/>
            <w:vAlign w:val="center"/>
          </w:tcPr>
          <w:p w14:paraId="5D6F284E" w14:textId="37A6DC00" w:rsidR="001E0E1B" w:rsidRPr="00F026A3" w:rsidRDefault="00434A9D" w:rsidP="00764825">
            <w:pPr>
              <w:rPr>
                <w:sz w:val="20"/>
                <w:szCs w:val="20"/>
              </w:rPr>
            </w:pPr>
            <w:r w:rsidRPr="00F026A3">
              <w:rPr>
                <w:sz w:val="20"/>
                <w:szCs w:val="20"/>
              </w:rPr>
              <w:t>1 August 2015</w:t>
            </w:r>
          </w:p>
        </w:tc>
        <w:tc>
          <w:tcPr>
            <w:tcW w:w="1277" w:type="dxa"/>
            <w:vAlign w:val="center"/>
          </w:tcPr>
          <w:p w14:paraId="0C6A2702" w14:textId="78DC5B61" w:rsidR="001E0E1B" w:rsidRPr="00F026A3" w:rsidRDefault="00434A9D" w:rsidP="00764825">
            <w:pPr>
              <w:rPr>
                <w:sz w:val="20"/>
                <w:szCs w:val="20"/>
              </w:rPr>
            </w:pPr>
            <w:r w:rsidRPr="00F026A3">
              <w:rPr>
                <w:sz w:val="20"/>
                <w:szCs w:val="20"/>
              </w:rPr>
              <w:t>Infliximab</w:t>
            </w:r>
          </w:p>
        </w:tc>
        <w:tc>
          <w:tcPr>
            <w:tcW w:w="5952" w:type="dxa"/>
            <w:vAlign w:val="center"/>
          </w:tcPr>
          <w:p w14:paraId="5B4D053E" w14:textId="38AA8B1B" w:rsidR="001E0E1B" w:rsidRPr="00F026A3" w:rsidRDefault="00434A9D" w:rsidP="00764825">
            <w:pPr>
              <w:rPr>
                <w:sz w:val="20"/>
                <w:szCs w:val="20"/>
              </w:rPr>
            </w:pPr>
            <w:r w:rsidRPr="00F026A3">
              <w:rPr>
                <w:sz w:val="20"/>
                <w:szCs w:val="20"/>
              </w:rPr>
              <w:t>Moderate to severe Crohn disease</w:t>
            </w:r>
          </w:p>
        </w:tc>
      </w:tr>
      <w:tr w:rsidR="001E0E1B" w14:paraId="37072105" w14:textId="34CF07FC" w:rsidTr="00764825">
        <w:tc>
          <w:tcPr>
            <w:tcW w:w="1951" w:type="dxa"/>
            <w:vAlign w:val="center"/>
          </w:tcPr>
          <w:p w14:paraId="159208D0" w14:textId="1A4B9FD4" w:rsidR="001E0E1B" w:rsidRPr="00F026A3" w:rsidRDefault="00F34D06" w:rsidP="00764825">
            <w:pPr>
              <w:rPr>
                <w:sz w:val="20"/>
                <w:szCs w:val="20"/>
              </w:rPr>
            </w:pPr>
            <w:r w:rsidRPr="00F026A3">
              <w:rPr>
                <w:sz w:val="20"/>
                <w:szCs w:val="20"/>
              </w:rPr>
              <w:t>1 August 2015</w:t>
            </w:r>
          </w:p>
        </w:tc>
        <w:tc>
          <w:tcPr>
            <w:tcW w:w="1277" w:type="dxa"/>
            <w:vAlign w:val="center"/>
          </w:tcPr>
          <w:p w14:paraId="1E68D6DA" w14:textId="623F50D8" w:rsidR="001E0E1B" w:rsidRPr="00F026A3" w:rsidRDefault="00F34D06" w:rsidP="00764825">
            <w:pPr>
              <w:rPr>
                <w:sz w:val="20"/>
                <w:szCs w:val="20"/>
              </w:rPr>
            </w:pPr>
            <w:r w:rsidRPr="00F026A3">
              <w:rPr>
                <w:sz w:val="20"/>
                <w:szCs w:val="20"/>
              </w:rPr>
              <w:t>Vedolizumab</w:t>
            </w:r>
          </w:p>
        </w:tc>
        <w:tc>
          <w:tcPr>
            <w:tcW w:w="5952" w:type="dxa"/>
            <w:vAlign w:val="center"/>
          </w:tcPr>
          <w:p w14:paraId="0572125C" w14:textId="45CC2BA4" w:rsidR="001E0E1B" w:rsidRPr="00F026A3" w:rsidRDefault="00F34D06" w:rsidP="00764825">
            <w:pPr>
              <w:rPr>
                <w:sz w:val="20"/>
                <w:szCs w:val="20"/>
              </w:rPr>
            </w:pPr>
            <w:r w:rsidRPr="00F026A3">
              <w:rPr>
                <w:sz w:val="20"/>
                <w:szCs w:val="20"/>
              </w:rPr>
              <w:t>Severe refractory Crohn disease</w:t>
            </w:r>
          </w:p>
        </w:tc>
      </w:tr>
      <w:tr w:rsidR="001E0E1B" w14:paraId="68C556B8" w14:textId="043715AA" w:rsidTr="00764825">
        <w:tc>
          <w:tcPr>
            <w:tcW w:w="1951" w:type="dxa"/>
            <w:vAlign w:val="center"/>
          </w:tcPr>
          <w:p w14:paraId="278A7CA8" w14:textId="02E54406" w:rsidR="001E0E1B" w:rsidRPr="00F026A3" w:rsidRDefault="009A4F22" w:rsidP="00764825">
            <w:pPr>
              <w:rPr>
                <w:sz w:val="20"/>
                <w:szCs w:val="20"/>
              </w:rPr>
            </w:pPr>
            <w:r w:rsidRPr="00F026A3">
              <w:rPr>
                <w:sz w:val="20"/>
                <w:szCs w:val="20"/>
              </w:rPr>
              <w:t>1 August 2015</w:t>
            </w:r>
          </w:p>
        </w:tc>
        <w:tc>
          <w:tcPr>
            <w:tcW w:w="1277" w:type="dxa"/>
            <w:vAlign w:val="center"/>
          </w:tcPr>
          <w:p w14:paraId="06DD0995" w14:textId="2C9C80C3" w:rsidR="001E0E1B" w:rsidRPr="00F026A3" w:rsidRDefault="009A4F22" w:rsidP="00764825">
            <w:pPr>
              <w:rPr>
                <w:sz w:val="20"/>
                <w:szCs w:val="20"/>
              </w:rPr>
            </w:pPr>
            <w:r w:rsidRPr="00F026A3">
              <w:rPr>
                <w:sz w:val="20"/>
                <w:szCs w:val="20"/>
              </w:rPr>
              <w:t>Adalimumab</w:t>
            </w:r>
          </w:p>
        </w:tc>
        <w:tc>
          <w:tcPr>
            <w:tcW w:w="5952" w:type="dxa"/>
            <w:vAlign w:val="center"/>
          </w:tcPr>
          <w:p w14:paraId="5046BDC0" w14:textId="1DED3D02" w:rsidR="001E0E1B" w:rsidRPr="00F026A3" w:rsidRDefault="009A4F22" w:rsidP="00764825">
            <w:pPr>
              <w:rPr>
                <w:sz w:val="20"/>
                <w:szCs w:val="20"/>
              </w:rPr>
            </w:pPr>
            <w:r w:rsidRPr="00F026A3">
              <w:rPr>
                <w:sz w:val="20"/>
                <w:szCs w:val="20"/>
              </w:rPr>
              <w:t>Patient aged 6 to 17 years inclusive with severe refractory Crohn disease</w:t>
            </w:r>
          </w:p>
        </w:tc>
      </w:tr>
    </w:tbl>
    <w:p w14:paraId="39EF75ED" w14:textId="210A5F9B" w:rsidR="00675BB1" w:rsidRPr="00675BB1" w:rsidRDefault="00675BB1" w:rsidP="00816856">
      <w:pPr>
        <w:pStyle w:val="Heading2"/>
      </w:pPr>
      <w:r w:rsidRPr="00675BB1">
        <w:t>Changes to listing</w:t>
      </w:r>
    </w:p>
    <w:p w14:paraId="70041403" w14:textId="50CF8311" w:rsidR="005A78B4" w:rsidRDefault="005A78B4" w:rsidP="00225F3A">
      <w:pPr>
        <w:spacing w:after="0"/>
      </w:pPr>
      <w:r>
        <w:t xml:space="preserve">At the request of the Paediatric Medicines Advisory Group the corticosteroid dosing was changed </w:t>
      </w:r>
      <w:r w:rsidR="003834F4">
        <w:t>for infliximab’s listings for paediatric Crohn disease from a dose of 40mg daily to 1</w:t>
      </w:r>
      <w:r w:rsidR="00650131">
        <w:t> </w:t>
      </w:r>
      <w:r w:rsidR="003834F4">
        <w:t>mg per kg or 40</w:t>
      </w:r>
      <w:r w:rsidR="00650131">
        <w:t xml:space="preserve"> </w:t>
      </w:r>
      <w:r w:rsidR="003834F4">
        <w:t>mg (whichever is lesser) from 1 January 2011.</w:t>
      </w:r>
    </w:p>
    <w:p w14:paraId="1B302C55" w14:textId="77777777" w:rsidR="00226D1C" w:rsidRDefault="00226D1C" w:rsidP="00226D1C">
      <w:pPr>
        <w:spacing w:after="0"/>
      </w:pPr>
    </w:p>
    <w:p w14:paraId="4C7DC6E1" w14:textId="7CABE310" w:rsidR="00A57300" w:rsidRDefault="00650131" w:rsidP="00A35800">
      <w:r>
        <w:t>A biosimilar for infliximab (</w:t>
      </w:r>
      <w:r w:rsidR="00131174" w:rsidRPr="00131174">
        <w:t>Inflectra</w:t>
      </w:r>
      <w:r w:rsidR="00131174" w:rsidRPr="00131174">
        <w:rPr>
          <w:rFonts w:ascii="Arial" w:hAnsi="Arial" w:cs="Arial"/>
          <w:sz w:val="22"/>
          <w:szCs w:val="22"/>
          <w:vertAlign w:val="superscript"/>
        </w:rPr>
        <w:t>®</w:t>
      </w:r>
      <w:r w:rsidRPr="00650131">
        <w:rPr>
          <w:rFonts w:ascii="Arial" w:hAnsi="Arial" w:cs="Arial"/>
          <w:sz w:val="22"/>
          <w:szCs w:val="22"/>
        </w:rPr>
        <w:t>)</w:t>
      </w:r>
      <w:r w:rsidR="00A57300">
        <w:t xml:space="preserve"> first listed from 1 December 2015.</w:t>
      </w:r>
    </w:p>
    <w:p w14:paraId="64C94A85" w14:textId="3019893D" w:rsidR="00BF544D" w:rsidRPr="002F61CA" w:rsidRDefault="00BF544D" w:rsidP="00BF544D">
      <w:r w:rsidRPr="002F61CA">
        <w:t xml:space="preserve">Current PBS listing details are available from </w:t>
      </w:r>
      <w:r>
        <w:t xml:space="preserve">the </w:t>
      </w:r>
      <w:hyperlink r:id="rId12" w:history="1">
        <w:r w:rsidRPr="00645D51">
          <w:rPr>
            <w:rStyle w:val="Hyperlink"/>
          </w:rPr>
          <w:t>PBS website</w:t>
        </w:r>
      </w:hyperlink>
      <w:r>
        <w:t>.</w:t>
      </w:r>
    </w:p>
    <w:p w14:paraId="383E312E" w14:textId="724CF700" w:rsidR="00736041" w:rsidRDefault="00394AEE" w:rsidP="00FE645A">
      <w:pPr>
        <w:pStyle w:val="Heading3"/>
      </w:pPr>
      <w:r>
        <w:t>Relevant aspects of</w:t>
      </w:r>
      <w:r w:rsidR="00736041" w:rsidRPr="005E22C2">
        <w:t xml:space="preserve"> consideration</w:t>
      </w:r>
      <w:r>
        <w:t xml:space="preserve"> by the Pharmaceutical Benefits Advisory Committee (PBAC)</w:t>
      </w:r>
    </w:p>
    <w:p w14:paraId="3979A5EE" w14:textId="682B18E9" w:rsidR="004D3B76" w:rsidRDefault="00DD7149" w:rsidP="00DD7149">
      <w:r>
        <w:t xml:space="preserve">Infliximab for Crohn disease was </w:t>
      </w:r>
      <w:r w:rsidR="003B3A2D">
        <w:t xml:space="preserve">considered and </w:t>
      </w:r>
      <w:r>
        <w:t xml:space="preserve">not recommended by the PBAC in June 2000, December 2000 and September 2001. </w:t>
      </w:r>
    </w:p>
    <w:p w14:paraId="36CC9D5D" w14:textId="02FCA5C5" w:rsidR="004D3B76" w:rsidRDefault="004D3B76" w:rsidP="004D3B76">
      <w:pPr>
        <w:keepNext/>
        <w:keepLines/>
        <w:spacing w:after="0"/>
        <w:ind w:left="34"/>
        <w:rPr>
          <w:b/>
          <w:i/>
        </w:rPr>
      </w:pPr>
      <w:r w:rsidRPr="00BD65FD">
        <w:rPr>
          <w:b/>
          <w:i/>
        </w:rPr>
        <w:t>**** Committee-in-confidence ****</w:t>
      </w:r>
    </w:p>
    <w:p w14:paraId="4A63B7FC" w14:textId="31702FBD" w:rsidR="00650131" w:rsidRDefault="00650131" w:rsidP="004D3B76">
      <w:pPr>
        <w:keepNext/>
        <w:keepLines/>
        <w:spacing w:after="0"/>
        <w:ind w:left="34"/>
        <w:rPr>
          <w:b/>
          <w:i/>
        </w:rPr>
      </w:pPr>
    </w:p>
    <w:p w14:paraId="539FC637" w14:textId="480C3534" w:rsidR="000C59DA" w:rsidRPr="000C59DA" w:rsidRDefault="000C59DA" w:rsidP="000C59DA">
      <w:r w:rsidRPr="00857C5E">
        <w:rPr>
          <w:highlight w:val="black"/>
        </w:rPr>
        <w:t>XXXXXXXXXXXXXXXXXXXXXXXXXXXXXXXXXXXXXXXXXXXXXXXXXXXXXXXXXXXXXXXXXXXXXXXXXXXXXXXXXXXXXXXXXXXXXXXXXXXXXXXXXXXXXXXXXXXXXXXXXXXXXXXXXXXXXXXXXXXXXXXXXXXXXXXXXXX</w:t>
      </w:r>
    </w:p>
    <w:p w14:paraId="747325AF" w14:textId="22E1FB28" w:rsidR="004D3B76" w:rsidRDefault="004D3B76" w:rsidP="00BD65FD">
      <w:pPr>
        <w:spacing w:after="0"/>
        <w:rPr>
          <w:b/>
          <w:i/>
        </w:rPr>
      </w:pPr>
      <w:r w:rsidRPr="00BD65FD">
        <w:rPr>
          <w:b/>
          <w:i/>
        </w:rPr>
        <w:t>**** End committee-in-confidence ****</w:t>
      </w:r>
    </w:p>
    <w:p w14:paraId="786F312F" w14:textId="77777777" w:rsidR="004C0D54" w:rsidRDefault="004C0D54" w:rsidP="00BD65FD">
      <w:pPr>
        <w:spacing w:after="0"/>
        <w:rPr>
          <w:b/>
          <w:i/>
        </w:rPr>
      </w:pPr>
    </w:p>
    <w:p w14:paraId="4FBD27F2" w14:textId="0CAF5C21" w:rsidR="00004E62" w:rsidRPr="00BD65FD" w:rsidRDefault="00004E62" w:rsidP="00816856">
      <w:pPr>
        <w:spacing w:before="240"/>
        <w:rPr>
          <w:b/>
          <w:i/>
        </w:rPr>
      </w:pPr>
      <w:r w:rsidRPr="00BD65FD">
        <w:rPr>
          <w:b/>
          <w:i/>
        </w:rPr>
        <w:lastRenderedPageBreak/>
        <w:t>March 2007 meeting – Infliximab for severe refractory Crohn disease</w:t>
      </w:r>
    </w:p>
    <w:p w14:paraId="49AD48D8" w14:textId="04A04EF4" w:rsidR="00004E62" w:rsidRDefault="00004E62" w:rsidP="00004E62">
      <w:r>
        <w:t xml:space="preserve">The PBAC recommended infliximab </w:t>
      </w:r>
      <w:r w:rsidR="000C6D1E">
        <w:t xml:space="preserve">as a </w:t>
      </w:r>
      <w:r w:rsidR="000C6D1E" w:rsidRPr="000C6D1E">
        <w:t xml:space="preserve">Section 100 (Highly Specialised Drug) Authority Required listing </w:t>
      </w:r>
      <w:r>
        <w:t xml:space="preserve">for patients with severe Crohn disease (Crohn Disease Activity Index greater than or equal to 300) or patient with a colectomy or ileostomy from Crohn disease on the basis of cost-effectiveness to placebo. </w:t>
      </w:r>
      <w:r w:rsidRPr="00004E62">
        <w:t>The PBAC recommended that where a response to infliximab was not demonstrated</w:t>
      </w:r>
      <w:r w:rsidR="00C05ED1">
        <w:t>,</w:t>
      </w:r>
      <w:r w:rsidRPr="00004E62">
        <w:t xml:space="preserve"> patients would not be eligible to recommence treatment with infliximab within 12 months of the date on which the treatment ceased.</w:t>
      </w:r>
    </w:p>
    <w:p w14:paraId="01D829D3" w14:textId="60A5C52C" w:rsidR="00004E62" w:rsidRDefault="00004E62" w:rsidP="00004E62">
      <w:pPr>
        <w:rPr>
          <w:rFonts w:ascii="Arial" w:hAnsi="Arial" w:cs="Arial"/>
          <w:sz w:val="22"/>
        </w:rPr>
      </w:pPr>
      <w:r w:rsidRPr="003F136F">
        <w:t>For further details refer to the</w:t>
      </w:r>
      <w:r w:rsidRPr="00052CCB">
        <w:rPr>
          <w:rFonts w:ascii="Arial" w:hAnsi="Arial" w:cs="Arial"/>
          <w:sz w:val="22"/>
        </w:rPr>
        <w:t xml:space="preserve"> </w:t>
      </w:r>
      <w:hyperlink r:id="rId13" w:history="1">
        <w:r w:rsidRPr="008854A2">
          <w:rPr>
            <w:rStyle w:val="Hyperlink"/>
            <w:rFonts w:cs="Arial"/>
          </w:rPr>
          <w:t>Public Summary Document</w:t>
        </w:r>
      </w:hyperlink>
      <w:r>
        <w:rPr>
          <w:rFonts w:ascii="Arial" w:hAnsi="Arial" w:cs="Arial"/>
          <w:sz w:val="22"/>
        </w:rPr>
        <w:t xml:space="preserve"> </w:t>
      </w:r>
      <w:r w:rsidRPr="003F136F">
        <w:t>from the March 2007 PBAC meeting.</w:t>
      </w:r>
    </w:p>
    <w:p w14:paraId="5B99329C" w14:textId="65C8D3A2" w:rsidR="00D15F61" w:rsidRPr="00BD65FD" w:rsidRDefault="00D15F61" w:rsidP="00816856">
      <w:pPr>
        <w:spacing w:before="240"/>
        <w:rPr>
          <w:b/>
          <w:i/>
        </w:rPr>
      </w:pPr>
      <w:r w:rsidRPr="00BD65FD">
        <w:rPr>
          <w:b/>
          <w:i/>
        </w:rPr>
        <w:t xml:space="preserve">May 2007 </w:t>
      </w:r>
      <w:r w:rsidR="00287E9A" w:rsidRPr="00BD65FD">
        <w:rPr>
          <w:b/>
          <w:i/>
        </w:rPr>
        <w:t xml:space="preserve">stakeholder meeting – listing criteria for infliximab </w:t>
      </w:r>
    </w:p>
    <w:p w14:paraId="2D8A979B" w14:textId="6932E5DB" w:rsidR="005264BC" w:rsidRDefault="00D15F61" w:rsidP="00004E62">
      <w:r>
        <w:t>On 15 May 2007</w:t>
      </w:r>
      <w:r w:rsidR="00650131">
        <w:t>,</w:t>
      </w:r>
      <w:r>
        <w:t xml:space="preserve"> a stakeholder meeting was held </w:t>
      </w:r>
      <w:r w:rsidR="005264BC">
        <w:t>in relation to the listing criteria for infliximab for Crohn disease.</w:t>
      </w:r>
    </w:p>
    <w:p w14:paraId="10E5AA8E" w14:textId="5EC6C06C" w:rsidR="00A91A3B" w:rsidRDefault="00A91A3B" w:rsidP="000B10AD">
      <w:pPr>
        <w:ind w:left="34"/>
      </w:pPr>
      <w:r>
        <w:t xml:space="preserve">The PBAC, as part of its March 2007 recommendation, </w:t>
      </w:r>
      <w:r w:rsidRPr="00A279DA">
        <w:t xml:space="preserve">agreed to meet with clinicians to </w:t>
      </w:r>
      <w:r>
        <w:t xml:space="preserve">consider restriction criteria </w:t>
      </w:r>
      <w:r w:rsidR="00ED478A">
        <w:t xml:space="preserve">for patients in whom a CDAI was not appropriate. This included patients with ostomies, ileostomies and short bowel syndrome. </w:t>
      </w:r>
      <w:r w:rsidR="00D17E00">
        <w:t xml:space="preserve">For such patients other potential markers to measure disease activity were </w:t>
      </w:r>
      <w:r w:rsidR="00D17E00" w:rsidRPr="00566644">
        <w:t>C-reactive protein, erythrocyte sedimentation rate, platelet count, lactoferrin or</w:t>
      </w:r>
      <w:r w:rsidR="00D17E00">
        <w:t xml:space="preserve"> endoscopy. </w:t>
      </w:r>
    </w:p>
    <w:p w14:paraId="1EBF074F" w14:textId="77777777" w:rsidR="005E7E97" w:rsidRDefault="005E7E97" w:rsidP="005E7E97">
      <w:r>
        <w:t>It was agreed that the PBAC’s recommendation to initiate infliximab based on a CDAI score of 300 was appropriate, with the exception of certain clinical circumstances.</w:t>
      </w:r>
    </w:p>
    <w:p w14:paraId="21881986" w14:textId="7A8A7884" w:rsidR="005E7E97" w:rsidRDefault="005E7E97" w:rsidP="00670D44">
      <w:pPr>
        <w:spacing w:after="0"/>
      </w:pPr>
      <w:r>
        <w:t xml:space="preserve">An improvement in CDAI </w:t>
      </w:r>
      <w:r w:rsidR="00816856">
        <w:t>to</w:t>
      </w:r>
      <w:r>
        <w:t xml:space="preserve"> less than 200 at 12 weeks was considered to be clinically appropriate as criteria for continuing therapy.</w:t>
      </w:r>
    </w:p>
    <w:p w14:paraId="55B869C8" w14:textId="77777777" w:rsidR="005E7E97" w:rsidRPr="00BD65FD" w:rsidRDefault="005E7E97" w:rsidP="00670D44">
      <w:pPr>
        <w:spacing w:after="0"/>
        <w:rPr>
          <w:b/>
          <w:i/>
        </w:rPr>
      </w:pPr>
    </w:p>
    <w:p w14:paraId="7BF1025A" w14:textId="77777777" w:rsidR="005264BC" w:rsidRDefault="005264BC" w:rsidP="00BD65FD">
      <w:pPr>
        <w:spacing w:after="0"/>
        <w:rPr>
          <w:b/>
          <w:i/>
        </w:rPr>
      </w:pPr>
      <w:r w:rsidRPr="00BD65FD">
        <w:rPr>
          <w:b/>
          <w:i/>
        </w:rPr>
        <w:t>**** Committee-in-confidence ****</w:t>
      </w:r>
    </w:p>
    <w:p w14:paraId="60A8E4F0" w14:textId="77777777" w:rsidR="00650131" w:rsidRPr="00BD65FD" w:rsidRDefault="00650131" w:rsidP="00BD65FD">
      <w:pPr>
        <w:spacing w:after="0"/>
        <w:rPr>
          <w:b/>
          <w:i/>
        </w:rPr>
      </w:pPr>
    </w:p>
    <w:p w14:paraId="00486A59" w14:textId="77777777" w:rsidR="004C0D54" w:rsidRDefault="004C0D54" w:rsidP="004C0D54">
      <w:r w:rsidRPr="00857C5E">
        <w:rPr>
          <w:highlight w:val="black"/>
        </w:rPr>
        <w:t>XXXXXXXXXXXXXXXXXXXXXXXXXXXXXXXXXXXXXXXXXXXXXXXXXXXXXXXXXXXXXXXXXXXXXXXXXXXXXXXXXXXXXXXXXXXXXXXXXXXXXXXXXXXXXXXXXXXXXXXXXXXXXXXXXXXXXXXXXXXXXXXXXXXXXXXXXXXX</w:t>
      </w:r>
    </w:p>
    <w:p w14:paraId="75248549" w14:textId="77777777" w:rsidR="004C0D54" w:rsidRDefault="004C0D54" w:rsidP="004C0D54">
      <w:r w:rsidRPr="00857C5E">
        <w:rPr>
          <w:highlight w:val="black"/>
        </w:rPr>
        <w:t>XXXXXXXXXXXXXXXXXXXXXXXXXXXXXXXXXXXXXXXXXXXXXXXXXXXXXXXXXXXXXXXXXXXXXXXXXXXXXXXXXXXXXXXXXXXXXXXXXXXXXXXXXXXXXXXXXXXXXXXXXXXXXXXXXXXXXXXXXXXXXXXXXXXXXXXXXXXXXXXXXXXXXXXXX</w:t>
      </w:r>
    </w:p>
    <w:p w14:paraId="307C39E2" w14:textId="2B41373A" w:rsidR="007279F3" w:rsidRDefault="004C0D54" w:rsidP="004C0D54">
      <w:r w:rsidRPr="00857C5E">
        <w:rPr>
          <w:highlight w:val="black"/>
        </w:rPr>
        <w:t>XXXXXXXXXXXXXXXXXXXXXXXXXXXXXXXXXXXXXXXXXXXXXXXXXXXXXXXXXXXXXXXXXXXXXXXXXXXXXXXXXXXXXXXXXXXXXXXXXXXXXXXXXXXXXXXXXXX</w:t>
      </w:r>
    </w:p>
    <w:p w14:paraId="67BC0197" w14:textId="16413A10" w:rsidR="00930D64" w:rsidRPr="00BD65FD" w:rsidRDefault="005264BC" w:rsidP="00BD65FD">
      <w:pPr>
        <w:spacing w:after="0"/>
        <w:rPr>
          <w:b/>
          <w:i/>
        </w:rPr>
      </w:pPr>
      <w:r w:rsidRPr="00BD65FD">
        <w:rPr>
          <w:b/>
          <w:i/>
        </w:rPr>
        <w:t>**** End committee-in-confidence ****</w:t>
      </w:r>
    </w:p>
    <w:p w14:paraId="6E960E7E" w14:textId="77777777" w:rsidR="00650131" w:rsidRDefault="00650131" w:rsidP="00816856">
      <w:pPr>
        <w:spacing w:before="240"/>
        <w:rPr>
          <w:b/>
          <w:i/>
        </w:rPr>
      </w:pPr>
    </w:p>
    <w:p w14:paraId="22B816CF" w14:textId="77777777" w:rsidR="00DD0425" w:rsidRDefault="00DD0425" w:rsidP="00816856">
      <w:pPr>
        <w:spacing w:before="240"/>
        <w:rPr>
          <w:b/>
          <w:i/>
        </w:rPr>
      </w:pPr>
    </w:p>
    <w:p w14:paraId="50D57B2A" w14:textId="646BCE82" w:rsidR="00287E9A" w:rsidRPr="00BD65FD" w:rsidRDefault="00287E9A" w:rsidP="00816856">
      <w:pPr>
        <w:spacing w:before="240"/>
        <w:rPr>
          <w:b/>
          <w:i/>
        </w:rPr>
      </w:pPr>
      <w:r w:rsidRPr="00BD65FD">
        <w:rPr>
          <w:b/>
          <w:i/>
        </w:rPr>
        <w:lastRenderedPageBreak/>
        <w:t>May 2007 special meeting – Infliximab for severe refractory Crohn disease</w:t>
      </w:r>
    </w:p>
    <w:p w14:paraId="3A421BED" w14:textId="679EFFD0" w:rsidR="004F7394" w:rsidRDefault="00650131" w:rsidP="004F7394">
      <w:r>
        <w:t>The PBAC considered a minor re</w:t>
      </w:r>
      <w:r w:rsidR="004F7394">
        <w:t>submission which sought to change the basis of the March</w:t>
      </w:r>
      <w:r>
        <w:t> </w:t>
      </w:r>
      <w:r w:rsidR="004F7394">
        <w:t xml:space="preserve">2007 recommendation in relation to the continuation criteria for infliximab for Crohn disease. For continuation beyond 12 weeks, the sponsor proposed that a patient achieve a 100-point reduction from their baseline CDAI. The PBAC had recommended the achievement of remission, defined as a CDAI of less than or equal to 150. </w:t>
      </w:r>
    </w:p>
    <w:p w14:paraId="0F676B0A" w14:textId="0507C587" w:rsidR="00287E9A" w:rsidRDefault="00AF3F36" w:rsidP="00004E62">
      <w:pPr>
        <w:rPr>
          <w:noProof/>
          <w:color w:val="000000"/>
        </w:rPr>
      </w:pPr>
      <w:r w:rsidRPr="00BE5A25">
        <w:t xml:space="preserve">The PBAC considered the cost-effectiveness estimates presented in the </w:t>
      </w:r>
      <w:r w:rsidR="00650131">
        <w:t>re</w:t>
      </w:r>
      <w:r w:rsidRPr="00BE5A25">
        <w:t>submission served to heighten rather than allay these concerns</w:t>
      </w:r>
      <w:r>
        <w:rPr>
          <w:noProof/>
          <w:color w:val="000000"/>
        </w:rPr>
        <w:t>.</w:t>
      </w:r>
    </w:p>
    <w:p w14:paraId="585DA688" w14:textId="163190AE" w:rsidR="00C057CC" w:rsidRPr="00DB6DAB" w:rsidRDefault="00C057CC" w:rsidP="00004E62">
      <w:r w:rsidRPr="00BE5A25">
        <w:t xml:space="preserve">The PBAC therefore deferred the submission and requested that the sponsor provide a new submission which addresses the concerns about the economic model and which provides cost-effectiveness estimates using the initiation and continuation criteria recommended by the participants at the stakeholder meeting. The PBAC reaffirmed its recommendation made in March to list infliximab for the treatment of severe </w:t>
      </w:r>
      <w:r w:rsidR="000C2656">
        <w:t>Crohn</w:t>
      </w:r>
      <w:r w:rsidRPr="00BE5A25">
        <w:t xml:space="preserve"> disease with an initial CDAI of ≥ 300 and continuing treatment CDAI ≤</w:t>
      </w:r>
      <w:r w:rsidR="00650131">
        <w:t xml:space="preserve"> </w:t>
      </w:r>
      <w:r w:rsidRPr="00BE5A25">
        <w:t xml:space="preserve">150. </w:t>
      </w:r>
      <w:r>
        <w:t>The sponsor subsequently chose to proceed with the listing recommended at the March 2007 meeting.</w:t>
      </w:r>
    </w:p>
    <w:p w14:paraId="2B5256BB" w14:textId="6A376D27" w:rsidR="00C4241A" w:rsidRPr="00BD65FD" w:rsidRDefault="00C4241A" w:rsidP="00816856">
      <w:pPr>
        <w:spacing w:before="240"/>
        <w:rPr>
          <w:b/>
          <w:i/>
        </w:rPr>
      </w:pPr>
      <w:r w:rsidRPr="00BD65FD">
        <w:rPr>
          <w:b/>
          <w:i/>
        </w:rPr>
        <w:t>July 2007 meeting – Infliximab for severe refractory Crohn disease in paediatric patients</w:t>
      </w:r>
    </w:p>
    <w:p w14:paraId="65458F8B" w14:textId="70AE7F7D" w:rsidR="00B01880" w:rsidRDefault="00B01880" w:rsidP="00004E62">
      <w:r>
        <w:t xml:space="preserve">Infliximab was recommended as a </w:t>
      </w:r>
      <w:r w:rsidRPr="000C6D1E">
        <w:t>Section 100 (Highly Specialised Drug) Authority Required listing</w:t>
      </w:r>
      <w:r>
        <w:t xml:space="preserve"> for patients aged 6 to 17 years inclusive with Crohn disease who are refractory to conventional therapy. The listing was recommended on the basis of an acceptable cost-effectiveness against placebo.</w:t>
      </w:r>
    </w:p>
    <w:p w14:paraId="715DDC83" w14:textId="0B4C5E43" w:rsidR="00B01880" w:rsidRDefault="00B01880" w:rsidP="00004E62">
      <w:pPr>
        <w:rPr>
          <w:rFonts w:ascii="Arial" w:hAnsi="Arial" w:cs="Arial"/>
          <w:sz w:val="22"/>
        </w:rPr>
      </w:pPr>
      <w:r w:rsidRPr="003E0D86">
        <w:t>For further details refer to the</w:t>
      </w:r>
      <w:r w:rsidRPr="00052CCB">
        <w:rPr>
          <w:rFonts w:ascii="Arial" w:hAnsi="Arial" w:cs="Arial"/>
          <w:sz w:val="22"/>
        </w:rPr>
        <w:t xml:space="preserve"> </w:t>
      </w:r>
      <w:hyperlink r:id="rId14" w:history="1">
        <w:r w:rsidRPr="002C3031">
          <w:rPr>
            <w:rStyle w:val="Hyperlink"/>
            <w:rFonts w:cs="Arial"/>
          </w:rPr>
          <w:t>Public Summary Document</w:t>
        </w:r>
      </w:hyperlink>
      <w:r>
        <w:rPr>
          <w:rFonts w:ascii="Arial" w:hAnsi="Arial" w:cs="Arial"/>
          <w:sz w:val="22"/>
        </w:rPr>
        <w:t xml:space="preserve"> </w:t>
      </w:r>
      <w:r w:rsidRPr="003E0D86">
        <w:t>from the July 2007 PBAC meeting.</w:t>
      </w:r>
    </w:p>
    <w:p w14:paraId="67798FB3" w14:textId="077F0A2B" w:rsidR="00DA0299" w:rsidRPr="00BD65FD" w:rsidRDefault="00DA0299" w:rsidP="00816856">
      <w:pPr>
        <w:spacing w:before="240"/>
        <w:rPr>
          <w:b/>
          <w:i/>
        </w:rPr>
      </w:pPr>
      <w:r w:rsidRPr="00BD65FD">
        <w:rPr>
          <w:b/>
          <w:i/>
        </w:rPr>
        <w:t>November 2007 meeting – Adalimumab for severe refractory Crohn disease</w:t>
      </w:r>
    </w:p>
    <w:p w14:paraId="2FB5CBF8" w14:textId="0F5E586A" w:rsidR="00DA0299" w:rsidRDefault="00402D4D" w:rsidP="00402D4D">
      <w:r w:rsidRPr="00402D4D">
        <w:t xml:space="preserve">Adalimumab was recommended as </w:t>
      </w:r>
      <w:r>
        <w:t xml:space="preserve">a </w:t>
      </w:r>
      <w:r w:rsidRPr="000C6D1E">
        <w:t>Section 100 (Highly Specialised Drug) Authority Required listing</w:t>
      </w:r>
      <w:r>
        <w:t xml:space="preserve"> for</w:t>
      </w:r>
      <w:r w:rsidRPr="00402D4D">
        <w:t xml:space="preserve"> moderate to severe Crohn disea</w:t>
      </w:r>
      <w:r w:rsidR="00650131">
        <w:t>se</w:t>
      </w:r>
      <w:r w:rsidRPr="00402D4D">
        <w:t xml:space="preserve"> (CDAI) &gt; 300) or in patients with an ileostomy or colectomy due to Crohn disease on a cost-minimisation basis compared with infliximab.</w:t>
      </w:r>
    </w:p>
    <w:p w14:paraId="1D14C8E4" w14:textId="32BF53A0" w:rsidR="004E701A" w:rsidRDefault="004E701A" w:rsidP="00402D4D">
      <w:r>
        <w:t>It was agreed that the listing should be identical to infliximab, with the exception of use in the paediatric population as adalimumab had not been trialled in children.</w:t>
      </w:r>
    </w:p>
    <w:p w14:paraId="460E6ED9" w14:textId="26366A30" w:rsidR="004E701A" w:rsidRDefault="004E701A" w:rsidP="00FE3A18">
      <w:pPr>
        <w:rPr>
          <w:rFonts w:ascii="Arial" w:hAnsi="Arial" w:cs="Arial"/>
          <w:sz w:val="22"/>
        </w:rPr>
      </w:pPr>
      <w:r w:rsidRPr="002F3AF1">
        <w:t>For further details refer to the</w:t>
      </w:r>
      <w:r w:rsidRPr="00052CCB">
        <w:rPr>
          <w:rFonts w:ascii="Arial" w:hAnsi="Arial" w:cs="Arial"/>
          <w:sz w:val="22"/>
        </w:rPr>
        <w:t xml:space="preserve"> </w:t>
      </w:r>
      <w:hyperlink r:id="rId15" w:history="1">
        <w:r w:rsidRPr="002C3031">
          <w:rPr>
            <w:rStyle w:val="Hyperlink"/>
            <w:rFonts w:cs="Arial"/>
          </w:rPr>
          <w:t>Public Summary Document</w:t>
        </w:r>
      </w:hyperlink>
      <w:r>
        <w:rPr>
          <w:rFonts w:ascii="Arial" w:hAnsi="Arial" w:cs="Arial"/>
          <w:sz w:val="22"/>
        </w:rPr>
        <w:t xml:space="preserve"> </w:t>
      </w:r>
      <w:r w:rsidRPr="002F3AF1">
        <w:t>from the November 2007 PBAC meeting.</w:t>
      </w:r>
    </w:p>
    <w:p w14:paraId="562B34B0" w14:textId="02C7B334" w:rsidR="001C7EB9" w:rsidRPr="00BD65FD" w:rsidRDefault="001C7EB9" w:rsidP="00816856">
      <w:pPr>
        <w:spacing w:before="240"/>
        <w:rPr>
          <w:b/>
          <w:i/>
        </w:rPr>
      </w:pPr>
      <w:r w:rsidRPr="00BD65FD">
        <w:rPr>
          <w:b/>
          <w:i/>
        </w:rPr>
        <w:t>March 2010 meeting – Infliximab for fistulising Crohn disease</w:t>
      </w:r>
    </w:p>
    <w:p w14:paraId="17C64A04" w14:textId="4FF4F582" w:rsidR="001C7EB9" w:rsidRPr="004A6A1E" w:rsidRDefault="001C7EB9" w:rsidP="001C7EB9">
      <w:r w:rsidRPr="004A6A1E">
        <w:t>In</w:t>
      </w:r>
      <w:r w:rsidR="00650131">
        <w:t>fliximab was recommended under S</w:t>
      </w:r>
      <w:r w:rsidRPr="004A6A1E">
        <w:t>ection 100 (Highly Specialised Drugs Program) Public and Private Hospital Authority Required for complex refractory fistulising Crohn disease with a draining enterocutaneous or rectovaginal fistula.</w:t>
      </w:r>
    </w:p>
    <w:p w14:paraId="341D6862" w14:textId="77777777" w:rsidR="001C7EB9" w:rsidRPr="004A6A1E" w:rsidRDefault="001C7EB9" w:rsidP="001C7EB9">
      <w:r w:rsidRPr="004A6A1E">
        <w:lastRenderedPageBreak/>
        <w:t xml:space="preserve">For the continuation criteria, the PBAC accepted that response could be assessed as either closure of at least 50 % in the number of externally draining fistulae (i.e. no drainage despite finger pressure in at least 50 % of fistulae) or a marked reduction in drainage of all fistulae together with less pain and induration as reported by the patient. </w:t>
      </w:r>
    </w:p>
    <w:p w14:paraId="45007D85" w14:textId="151725E7" w:rsidR="001C7EB9" w:rsidRPr="004A6A1E" w:rsidRDefault="001C7EB9" w:rsidP="001C7EB9">
      <w:r w:rsidRPr="004A6A1E">
        <w:t xml:space="preserve">The PBAC did not agree to the request for two extra doses in the initiation phase as this </w:t>
      </w:r>
      <w:r w:rsidR="006D6057" w:rsidRPr="004A6A1E">
        <w:t>was not</w:t>
      </w:r>
      <w:r w:rsidRPr="004A6A1E">
        <w:t xml:space="preserve"> consistent with the doses used in the trials or the TGA-approved dosing schedule.</w:t>
      </w:r>
    </w:p>
    <w:p w14:paraId="7394351B" w14:textId="73634BBA" w:rsidR="001C7EB9" w:rsidRPr="004A6A1E" w:rsidRDefault="001C7EB9" w:rsidP="001C7EB9">
      <w:r w:rsidRPr="004A6A1E">
        <w:t>For further details refer to the</w:t>
      </w:r>
      <w:r w:rsidRPr="00052CCB">
        <w:rPr>
          <w:rFonts w:ascii="Arial" w:hAnsi="Arial" w:cs="Arial"/>
          <w:sz w:val="22"/>
        </w:rPr>
        <w:t xml:space="preserve"> </w:t>
      </w:r>
      <w:hyperlink r:id="rId16" w:history="1">
        <w:r w:rsidRPr="004A6A1E">
          <w:rPr>
            <w:rStyle w:val="Hyperlink"/>
            <w:rFonts w:cs="Arial"/>
          </w:rPr>
          <w:t>Public Summary Document</w:t>
        </w:r>
      </w:hyperlink>
      <w:r>
        <w:rPr>
          <w:rFonts w:ascii="Arial" w:hAnsi="Arial" w:cs="Arial"/>
          <w:sz w:val="22"/>
        </w:rPr>
        <w:t xml:space="preserve"> </w:t>
      </w:r>
      <w:r w:rsidRPr="004A6A1E">
        <w:t>from the March 2010 PBAC meeting.</w:t>
      </w:r>
    </w:p>
    <w:p w14:paraId="6A36E228" w14:textId="404EBAAB" w:rsidR="00A6195B" w:rsidRPr="00BD65FD" w:rsidRDefault="00A6195B" w:rsidP="00816856">
      <w:pPr>
        <w:spacing w:before="240"/>
        <w:rPr>
          <w:b/>
          <w:i/>
        </w:rPr>
      </w:pPr>
      <w:r w:rsidRPr="00BD65FD">
        <w:rPr>
          <w:b/>
          <w:i/>
        </w:rPr>
        <w:t>November 2010 meeting – Adalimumab for fistulising Crohn disease</w:t>
      </w:r>
    </w:p>
    <w:p w14:paraId="70B9BDEC" w14:textId="2C17E644" w:rsidR="00B762F3" w:rsidRDefault="00DC09A4" w:rsidP="00B57ABF">
      <w:pPr>
        <w:spacing w:after="0"/>
      </w:pPr>
      <w:r>
        <w:t xml:space="preserve">Adalimumab was recommended as an Authority Required benefit </w:t>
      </w:r>
      <w:r w:rsidRPr="00320CD0">
        <w:t>for the treatment of complex, refractory fistulising Crohn disease with a draining enterocutaneous or rectovaginal fistula on a cost-minimisation basis with infliximab</w:t>
      </w:r>
      <w:r>
        <w:t>.</w:t>
      </w:r>
    </w:p>
    <w:p w14:paraId="22BFEE9D" w14:textId="77777777" w:rsidR="00F11747" w:rsidRDefault="00F11747" w:rsidP="00F11747">
      <w:pPr>
        <w:spacing w:after="0"/>
      </w:pPr>
    </w:p>
    <w:p w14:paraId="01B434B0" w14:textId="7F09EB9F" w:rsidR="00B762F3" w:rsidRDefault="00B762F3" w:rsidP="00F11747">
      <w:pPr>
        <w:spacing w:after="0"/>
      </w:pPr>
      <w:r>
        <w:t>The PBAC recommended that patients be permitted to cycle between PBS-subsidised infliximab and adalimumab using similar criteria to those for the severe refractory Crohn disease listings.</w:t>
      </w:r>
    </w:p>
    <w:p w14:paraId="7CA78895" w14:textId="77777777" w:rsidR="00F11747" w:rsidRDefault="00F11747" w:rsidP="00F11747">
      <w:pPr>
        <w:spacing w:after="0"/>
      </w:pPr>
    </w:p>
    <w:p w14:paraId="7B25FCA3" w14:textId="3AA12241" w:rsidR="00A6195B" w:rsidRDefault="00B762F3" w:rsidP="00F11747">
      <w:pPr>
        <w:spacing w:after="0"/>
      </w:pPr>
      <w:r>
        <w:t xml:space="preserve">The PBAC noted that a proportion of patients with fistulising </w:t>
      </w:r>
      <w:r w:rsidR="00DC09A4">
        <w:t>disease and a CDAI score ≥ 300 we</w:t>
      </w:r>
      <w:r>
        <w:t xml:space="preserve">re already </w:t>
      </w:r>
      <w:r w:rsidR="00DC09A4">
        <w:t>accessing</w:t>
      </w:r>
      <w:r>
        <w:t xml:space="preserve"> PBS-subsidised adalimumab under the </w:t>
      </w:r>
      <w:r w:rsidR="00DC09A4">
        <w:t>existing</w:t>
      </w:r>
      <w:r>
        <w:t xml:space="preserve"> Crohn disease listing. </w:t>
      </w:r>
      <w:r w:rsidR="00DC09A4">
        <w:t xml:space="preserve">The PBAC noted that there could be </w:t>
      </w:r>
      <w:r>
        <w:t xml:space="preserve">patients </w:t>
      </w:r>
      <w:r w:rsidR="00DC09A4">
        <w:t xml:space="preserve">who were ineligible </w:t>
      </w:r>
      <w:r>
        <w:t xml:space="preserve">with worse fistulae but </w:t>
      </w:r>
      <w:r w:rsidR="00DC09A4">
        <w:t>who have a</w:t>
      </w:r>
      <w:r>
        <w:t xml:space="preserve"> lower CDAI</w:t>
      </w:r>
      <w:r w:rsidR="00DC09A4">
        <w:t>.</w:t>
      </w:r>
      <w:r>
        <w:t xml:space="preserve"> </w:t>
      </w:r>
      <w:r w:rsidR="00DC09A4">
        <w:t xml:space="preserve"> The PBAC considered that this represented</w:t>
      </w:r>
      <w:r>
        <w:t xml:space="preserve"> an equity issue. The PBAC noted that the presence of fistulae adds only around 20 points to the overall CDAI score. The PBAC also noted that there </w:t>
      </w:r>
      <w:r w:rsidR="000D218C">
        <w:t xml:space="preserve">was a high clinical need for </w:t>
      </w:r>
      <w:r>
        <w:t>alternative treatment</w:t>
      </w:r>
      <w:r w:rsidR="000D218C">
        <w:t>s</w:t>
      </w:r>
      <w:r>
        <w:t xml:space="preserve"> that can be given by an alternative route other than intravenously.</w:t>
      </w:r>
    </w:p>
    <w:p w14:paraId="4ABD1F9A" w14:textId="07BFEC6D" w:rsidR="007B6421" w:rsidRPr="00BD65FD" w:rsidRDefault="00650131" w:rsidP="00816856">
      <w:pPr>
        <w:spacing w:before="240"/>
        <w:rPr>
          <w:b/>
          <w:i/>
        </w:rPr>
      </w:pPr>
      <w:r>
        <w:rPr>
          <w:b/>
          <w:i/>
        </w:rPr>
        <w:t>April 2013 special meeting – C</w:t>
      </w:r>
      <w:r w:rsidR="007B6421" w:rsidRPr="00BD65FD">
        <w:rPr>
          <w:b/>
          <w:i/>
        </w:rPr>
        <w:t>onsideration of DUSC review of adalimumab and infliximab</w:t>
      </w:r>
    </w:p>
    <w:p w14:paraId="7DCA1C4A" w14:textId="65C79AF4" w:rsidR="00B27641" w:rsidRDefault="00F50E83" w:rsidP="00FE3A18">
      <w:pPr>
        <w:spacing w:after="0"/>
      </w:pPr>
      <w:r>
        <w:t>The PBAC considered the DUSC predicted versus actual review of adalimumab and infliximab for fistulising Crohn at its April 2013 special meeting.</w:t>
      </w:r>
    </w:p>
    <w:p w14:paraId="47F6E54D" w14:textId="77777777" w:rsidR="00F50E83" w:rsidRDefault="00F50E83" w:rsidP="00FE3A18">
      <w:pPr>
        <w:spacing w:after="0"/>
      </w:pPr>
    </w:p>
    <w:p w14:paraId="2D5A3F1A" w14:textId="5F5D5435" w:rsidR="00700D8F" w:rsidRDefault="00F50E83" w:rsidP="00FE3A18">
      <w:pPr>
        <w:spacing w:after="0"/>
        <w:rPr>
          <w:b/>
        </w:rPr>
      </w:pPr>
      <w:r w:rsidRPr="00F50E83">
        <w:rPr>
          <w:b/>
        </w:rPr>
        <w:t xml:space="preserve">**** </w:t>
      </w:r>
      <w:r>
        <w:rPr>
          <w:b/>
        </w:rPr>
        <w:t>C</w:t>
      </w:r>
      <w:r w:rsidRPr="00F50E83">
        <w:rPr>
          <w:b/>
        </w:rPr>
        <w:t>ommittee-in-confidence ****</w:t>
      </w:r>
    </w:p>
    <w:p w14:paraId="037B67FA" w14:textId="77777777" w:rsidR="00650131" w:rsidRPr="00EE3CEF" w:rsidRDefault="00650131" w:rsidP="00FE3A18">
      <w:pPr>
        <w:spacing w:after="0"/>
        <w:rPr>
          <w:b/>
        </w:rPr>
      </w:pPr>
    </w:p>
    <w:p w14:paraId="2210D710" w14:textId="77777777" w:rsidR="00BE027E" w:rsidRDefault="00BE027E" w:rsidP="00BE027E">
      <w:pPr>
        <w:spacing w:after="0"/>
      </w:pPr>
      <w:r w:rsidRPr="001E5A0F">
        <w:rPr>
          <w:highlight w:val="black"/>
        </w:rPr>
        <w:t>XXXXXXXXXXXXXXXXXXXXXXXXXXXXXXXXXXXXXXXXXXXXXXXXXXXXXXXXXXXXXXXXXXXXXXXXXXXXXXXXXXXXXXXXXXXXXXXXXXXXXXXXXXXXXXXXXXXXXXX</w:t>
      </w:r>
    </w:p>
    <w:p w14:paraId="7B17563A" w14:textId="77777777" w:rsidR="00BE027E" w:rsidRDefault="00BE027E" w:rsidP="00BE027E">
      <w:pPr>
        <w:spacing w:after="0"/>
      </w:pPr>
    </w:p>
    <w:p w14:paraId="4953F1F8" w14:textId="77777777" w:rsidR="00BE027E" w:rsidRDefault="00BE027E" w:rsidP="00BE027E">
      <w:pPr>
        <w:spacing w:after="0"/>
      </w:pPr>
      <w:r w:rsidRPr="001E5A0F">
        <w:rPr>
          <w:highlight w:val="black"/>
        </w:rPr>
        <w:t>XXXXXXXXXXXXXXXXXXXXXXXXXXXXXXXXXXXXXXXXXXXXXXXXXXXXXXXXXXXXXXXXXXXXXXXXXXXXXXXXXXXXXXX</w:t>
      </w:r>
      <w:r>
        <w:rPr>
          <w:highlight w:val="black"/>
        </w:rPr>
        <w:t>XXXXXX</w:t>
      </w:r>
    </w:p>
    <w:p w14:paraId="34769D86" w14:textId="77777777" w:rsidR="00BE027E" w:rsidRPr="00812D5D" w:rsidRDefault="00BE027E" w:rsidP="00BE027E">
      <w:pPr>
        <w:spacing w:after="0"/>
      </w:pPr>
    </w:p>
    <w:p w14:paraId="4A1B47F0" w14:textId="13A39C41" w:rsidR="00BE027E" w:rsidRDefault="00BE027E" w:rsidP="00BE027E">
      <w:pPr>
        <w:spacing w:after="0"/>
      </w:pPr>
      <w:r w:rsidRPr="001E5A0F">
        <w:rPr>
          <w:highlight w:val="black"/>
        </w:rPr>
        <w:t>XXXXXXXXXXXXXXXXXXXXXXXXXXXXXXXXXXXXXXXXXXXXXXXXXXXXXXXXXXXXXXXXXXXXXXXXXXXXXXXXXXXXXXX</w:t>
      </w:r>
      <w:r>
        <w:rPr>
          <w:highlight w:val="black"/>
        </w:rPr>
        <w:t>XXXXXX</w:t>
      </w:r>
      <w:r w:rsidRPr="00BE027E">
        <w:rPr>
          <w:highlight w:val="black"/>
        </w:rPr>
        <w:t>xxxxxxxxxxxxxxxxxxxxxxxx</w:t>
      </w:r>
    </w:p>
    <w:p w14:paraId="3B734928" w14:textId="77777777" w:rsidR="00BE027E" w:rsidRDefault="00BE027E" w:rsidP="00BE027E">
      <w:pPr>
        <w:spacing w:after="0"/>
      </w:pPr>
    </w:p>
    <w:p w14:paraId="50CA6A55" w14:textId="77777777" w:rsidR="00BE027E" w:rsidRDefault="00BE027E" w:rsidP="00BE027E">
      <w:pPr>
        <w:spacing w:after="0"/>
      </w:pPr>
      <w:r w:rsidRPr="001E5A0F">
        <w:rPr>
          <w:highlight w:val="black"/>
        </w:rPr>
        <w:t>XXXXXXXXXXXXXXXXXXXXXXXXXXXXXXXXXXXXXXXXXXXXXXXXXXXXXXXXXXXXXXXXXXXXXXXXXXXXXXXXXXXXXXXXXXXXXXXXXXXXXXXXXXXXXXXXXXXXXXXXXXXXXXXXXXXXXXXXXXXXXX</w:t>
      </w:r>
      <w:r w:rsidRPr="001E5A0F">
        <w:rPr>
          <w:highlight w:val="black"/>
        </w:rPr>
        <w:lastRenderedPageBreak/>
        <w:t>XXXXXXXXXXXXXXXXXXXXXXXXXXXXXXXXXXXXXXXXXXXXXXXXXXXXXXXXXXXXXXXXXXXXXXXXXXXXXXXXXXXXXXXXXXXXXXXXXXXXXXXXX</w:t>
      </w:r>
    </w:p>
    <w:p w14:paraId="005E20D0" w14:textId="77777777" w:rsidR="00BE027E" w:rsidRDefault="00BE027E" w:rsidP="00BE027E">
      <w:pPr>
        <w:spacing w:after="0"/>
      </w:pPr>
    </w:p>
    <w:p w14:paraId="361D8E8D" w14:textId="77777777" w:rsidR="00BE027E" w:rsidRDefault="00BE027E" w:rsidP="00BE027E">
      <w:pPr>
        <w:spacing w:after="0"/>
      </w:pPr>
      <w:r w:rsidRPr="001E5A0F">
        <w:rPr>
          <w:highlight w:val="black"/>
        </w:rPr>
        <w:t>XXXXXXXXXXXXXXXXXXXXXXXXXXXXXXXXXXXXXXXXXXXXXXXXXXXXXXXXXXXXXXXXXXXXXXXXXXXXXXXXXXXXXXXXXXXXXXXXXXXXXXXXXXXXXXXXXXXXXXXXXXX</w:t>
      </w:r>
    </w:p>
    <w:p w14:paraId="30509CF1" w14:textId="77777777" w:rsidR="00650131" w:rsidRDefault="00650131" w:rsidP="00FE3A18">
      <w:pPr>
        <w:spacing w:after="0"/>
        <w:rPr>
          <w:b/>
        </w:rPr>
      </w:pPr>
    </w:p>
    <w:p w14:paraId="45619585" w14:textId="7A5582ED" w:rsidR="00F50E83" w:rsidRPr="00F50E83" w:rsidRDefault="00F50E83" w:rsidP="00FE3A18">
      <w:pPr>
        <w:spacing w:after="0"/>
        <w:rPr>
          <w:b/>
        </w:rPr>
      </w:pPr>
      <w:r w:rsidRPr="00F50E83">
        <w:rPr>
          <w:b/>
        </w:rPr>
        <w:t>**** End committee-in-confidence ****</w:t>
      </w:r>
    </w:p>
    <w:p w14:paraId="15CE0424" w14:textId="36F3D347" w:rsidR="004D0D4C" w:rsidRDefault="00650131" w:rsidP="00816856">
      <w:pPr>
        <w:spacing w:before="240"/>
        <w:rPr>
          <w:b/>
          <w:i/>
        </w:rPr>
      </w:pPr>
      <w:r>
        <w:rPr>
          <w:b/>
          <w:i/>
        </w:rPr>
        <w:t>November 2014 meeting – A</w:t>
      </w:r>
      <w:r w:rsidR="004D0D4C">
        <w:rPr>
          <w:b/>
          <w:i/>
        </w:rPr>
        <w:t>dalimumab for severe refractory Crohn</w:t>
      </w:r>
      <w:r w:rsidR="004D0D4C" w:rsidRPr="004D0D4C">
        <w:rPr>
          <w:b/>
          <w:i/>
        </w:rPr>
        <w:t xml:space="preserve"> disease in paediatric patients</w:t>
      </w:r>
    </w:p>
    <w:p w14:paraId="0C24BA84" w14:textId="563BBD37" w:rsidR="004D0D4C" w:rsidRDefault="00177F96" w:rsidP="00650131">
      <w:pPr>
        <w:spacing w:after="0"/>
      </w:pPr>
      <w:r w:rsidRPr="00177F96">
        <w:t xml:space="preserve">The PBAC recommended extending </w:t>
      </w:r>
      <w:r>
        <w:t xml:space="preserve">the </w:t>
      </w:r>
      <w:r w:rsidRPr="00177F96">
        <w:t>listing of adalimumab to include listing for the treatm</w:t>
      </w:r>
      <w:r>
        <w:t>ent of severe refractory Crohn</w:t>
      </w:r>
      <w:r w:rsidRPr="00177F96">
        <w:t xml:space="preserve"> disease in paediatric patients aged 6 to 17 years</w:t>
      </w:r>
      <w:r>
        <w:t xml:space="preserve"> inclusive on a cost-minimisation basis with infliximab</w:t>
      </w:r>
      <w:r w:rsidRPr="00177F96">
        <w:t>. The PBAC recommended an Authority required (written-only) restriction for both initial and continuing treatment.</w:t>
      </w:r>
    </w:p>
    <w:p w14:paraId="4CD6D041" w14:textId="77777777" w:rsidR="00177F96" w:rsidRDefault="00177F96" w:rsidP="00650131">
      <w:pPr>
        <w:spacing w:after="0"/>
      </w:pPr>
    </w:p>
    <w:p w14:paraId="68002F51" w14:textId="317FA123" w:rsidR="00177F96" w:rsidRPr="00BB385E" w:rsidRDefault="00177F96" w:rsidP="00650131">
      <w:pPr>
        <w:spacing w:after="0"/>
      </w:pPr>
      <w:r w:rsidRPr="00052CCB">
        <w:t xml:space="preserve">For further details refer to the </w:t>
      </w:r>
      <w:hyperlink r:id="rId17" w:history="1">
        <w:r w:rsidRPr="00DB26AD">
          <w:rPr>
            <w:rStyle w:val="Hyperlink"/>
            <w:rFonts w:cs="Arial"/>
          </w:rPr>
          <w:t>Public Summary Document</w:t>
        </w:r>
      </w:hyperlink>
      <w:r>
        <w:t xml:space="preserve"> </w:t>
      </w:r>
      <w:r w:rsidRPr="00052CCB">
        <w:t>from the</w:t>
      </w:r>
      <w:r>
        <w:t xml:space="preserve"> November 2014 </w:t>
      </w:r>
      <w:r w:rsidRPr="00052CCB">
        <w:t>PBAC meeting.</w:t>
      </w:r>
    </w:p>
    <w:p w14:paraId="2EE64ECE" w14:textId="040031B3" w:rsidR="00055633" w:rsidRPr="00BE2FDC" w:rsidRDefault="00650131" w:rsidP="00816856">
      <w:pPr>
        <w:spacing w:before="240"/>
        <w:rPr>
          <w:b/>
          <w:i/>
        </w:rPr>
      </w:pPr>
      <w:r>
        <w:rPr>
          <w:b/>
          <w:i/>
        </w:rPr>
        <w:t>March 2015 meeting – V</w:t>
      </w:r>
      <w:r w:rsidR="00055633" w:rsidRPr="00BE2FDC">
        <w:rPr>
          <w:b/>
          <w:i/>
        </w:rPr>
        <w:t>edolizumab for severe refractory Crohn disease</w:t>
      </w:r>
    </w:p>
    <w:p w14:paraId="37D9591C" w14:textId="2BA54CD4" w:rsidR="00AB66B1" w:rsidRPr="00AB66B1" w:rsidRDefault="00AB66B1" w:rsidP="00650131">
      <w:pPr>
        <w:spacing w:after="0"/>
      </w:pPr>
      <w:r w:rsidRPr="00AB66B1">
        <w:t>Vedolizumab was recommended as a Section 100 (Highly Specialised Drugs Program) Authority required listing for the treatment of severe Crohn disease in adult patients.</w:t>
      </w:r>
    </w:p>
    <w:p w14:paraId="409F14BA" w14:textId="77777777" w:rsidR="00055633" w:rsidRPr="003C1AB5" w:rsidRDefault="00055633" w:rsidP="00650131">
      <w:pPr>
        <w:spacing w:after="0"/>
      </w:pPr>
    </w:p>
    <w:p w14:paraId="0F4F915A" w14:textId="6CDB3760" w:rsidR="00AB66B1" w:rsidRPr="003C1AB5" w:rsidRDefault="003C1AB5" w:rsidP="00650131">
      <w:pPr>
        <w:spacing w:after="0"/>
      </w:pPr>
      <w:r w:rsidRPr="003C1AB5">
        <w:t>The recommendation was on a cost-minimisation basis with infliximab and adalimumab.</w:t>
      </w:r>
    </w:p>
    <w:p w14:paraId="57582DA0" w14:textId="77777777" w:rsidR="003C1AB5" w:rsidRPr="003C1AB5" w:rsidRDefault="003C1AB5" w:rsidP="00650131">
      <w:pPr>
        <w:spacing w:after="0"/>
      </w:pPr>
    </w:p>
    <w:p w14:paraId="1F9D807B" w14:textId="5FF41B65" w:rsidR="003C1AB5" w:rsidRDefault="003C1AB5" w:rsidP="00650131">
      <w:pPr>
        <w:widowControl w:val="0"/>
        <w:spacing w:after="0"/>
        <w:contextualSpacing/>
        <w:jc w:val="both"/>
      </w:pPr>
      <w:r>
        <w:t>Consistent with the restrictions for infliximab and adalimum</w:t>
      </w:r>
      <w:r w:rsidR="00FD3D35">
        <w:t>ab, patients with</w:t>
      </w:r>
      <w:r w:rsidR="009F5411">
        <w:t xml:space="preserve"> short gut syndrome, </w:t>
      </w:r>
      <w:r w:rsidRPr="003C1AB5">
        <w:t xml:space="preserve">an ostomy or extensive small intestine disease </w:t>
      </w:r>
      <w:r>
        <w:t xml:space="preserve">were included </w:t>
      </w:r>
      <w:r w:rsidRPr="003C1AB5">
        <w:t>in th</w:t>
      </w:r>
      <w:r w:rsidR="00BE2FDC">
        <w:t xml:space="preserve">e restriction for vedolizumab. </w:t>
      </w:r>
    </w:p>
    <w:p w14:paraId="1236F9D2" w14:textId="77777777" w:rsidR="003C1AB5" w:rsidRDefault="003C1AB5" w:rsidP="00650131">
      <w:pPr>
        <w:widowControl w:val="0"/>
        <w:spacing w:after="0"/>
        <w:contextualSpacing/>
        <w:jc w:val="both"/>
      </w:pPr>
    </w:p>
    <w:p w14:paraId="30E85F6D" w14:textId="3ADDD28D" w:rsidR="003C1AB5" w:rsidRPr="00EE0651" w:rsidRDefault="00EE0651" w:rsidP="00650131">
      <w:pPr>
        <w:spacing w:after="0"/>
      </w:pPr>
      <w:r w:rsidRPr="00052CCB">
        <w:t xml:space="preserve">For further details refer to the </w:t>
      </w:r>
      <w:hyperlink r:id="rId18" w:history="1">
        <w:r w:rsidRPr="00932B55">
          <w:rPr>
            <w:rStyle w:val="Hyperlink"/>
            <w:rFonts w:cs="Arial"/>
          </w:rPr>
          <w:t>Public Summary Document</w:t>
        </w:r>
      </w:hyperlink>
      <w:r>
        <w:t xml:space="preserve"> </w:t>
      </w:r>
      <w:r w:rsidRPr="00052CCB">
        <w:t>from the</w:t>
      </w:r>
      <w:r>
        <w:t xml:space="preserve"> March 2015 </w:t>
      </w:r>
      <w:r w:rsidRPr="00052CCB">
        <w:t>PBAC meeting.</w:t>
      </w:r>
    </w:p>
    <w:p w14:paraId="1237ACE9" w14:textId="7E4D11EF" w:rsidR="007B6421" w:rsidRPr="00083DC1" w:rsidRDefault="007B6421" w:rsidP="00816856">
      <w:pPr>
        <w:spacing w:before="240"/>
        <w:rPr>
          <w:b/>
          <w:i/>
        </w:rPr>
      </w:pPr>
      <w:r w:rsidRPr="00083DC1">
        <w:rPr>
          <w:b/>
          <w:i/>
        </w:rPr>
        <w:t>March 2015 meeting –</w:t>
      </w:r>
      <w:r w:rsidR="00DB388D" w:rsidRPr="00083DC1">
        <w:rPr>
          <w:b/>
          <w:i/>
        </w:rPr>
        <w:t xml:space="preserve"> C</w:t>
      </w:r>
      <w:r w:rsidRPr="00083DC1">
        <w:rPr>
          <w:b/>
          <w:i/>
        </w:rPr>
        <w:t>onsideration of DUSC review of adalimumab and infliximab</w:t>
      </w:r>
    </w:p>
    <w:p w14:paraId="599E212A" w14:textId="68DA4BAB" w:rsidR="00914342" w:rsidRPr="002F170F" w:rsidRDefault="00D84C72" w:rsidP="00083DC1">
      <w:pPr>
        <w:spacing w:after="0"/>
      </w:pPr>
      <w:r w:rsidRPr="002F170F">
        <w:t xml:space="preserve">In March 2015 </w:t>
      </w:r>
      <w:r w:rsidR="00914342" w:rsidRPr="002F170F">
        <w:t>the PBAC</w:t>
      </w:r>
      <w:r w:rsidRPr="002F170F">
        <w:t xml:space="preserve"> considered the February 2015 DUSC review on Crohn disease. The PBAC</w:t>
      </w:r>
      <w:r w:rsidR="00914342" w:rsidRPr="002F170F">
        <w:t xml:space="preserve"> noted that the proportion of patients continuing treatment with infliximab or adalimumab was substantially higher than the rates of remission in the key clinical trials.  The PBAC noted that that the </w:t>
      </w:r>
      <w:r w:rsidR="002E59F6" w:rsidRPr="002F170F">
        <w:t>CDAI</w:t>
      </w:r>
      <w:r w:rsidR="00914342" w:rsidRPr="002F170F">
        <w:t>, which is used to assess response and eligibility for continuing treatment for severe Crohn disease, has a number of subjective measures.</w:t>
      </w:r>
    </w:p>
    <w:p w14:paraId="6BED2F44" w14:textId="77777777" w:rsidR="00C446B7" w:rsidRPr="002F170F" w:rsidRDefault="00C446B7" w:rsidP="00083DC1">
      <w:pPr>
        <w:spacing w:after="0"/>
      </w:pPr>
    </w:p>
    <w:p w14:paraId="20DF133A" w14:textId="5D260403" w:rsidR="00C446B7" w:rsidRPr="002F170F" w:rsidRDefault="00C446B7" w:rsidP="00083DC1">
      <w:pPr>
        <w:spacing w:after="0"/>
      </w:pPr>
      <w:r w:rsidRPr="002F170F">
        <w:t xml:space="preserve">The PBAC noted that a higher than expected proportion </w:t>
      </w:r>
      <w:r w:rsidR="00052CCB" w:rsidRPr="002F170F">
        <w:t>of patients was</w:t>
      </w:r>
      <w:r w:rsidRPr="002F170F">
        <w:t xml:space="preserve"> continuing on </w:t>
      </w:r>
      <w:r w:rsidR="002F559B">
        <w:t>bDMDs</w:t>
      </w:r>
      <w:r w:rsidRPr="002F170F">
        <w:t xml:space="preserve"> and their use to treat Crohn disease was yet to stab</w:t>
      </w:r>
      <w:r w:rsidR="00352BCA">
        <w:t>i</w:t>
      </w:r>
      <w:r w:rsidRPr="002F170F">
        <w:t>lise.</w:t>
      </w:r>
    </w:p>
    <w:p w14:paraId="33E6795E" w14:textId="290EFEFB" w:rsidR="00914342" w:rsidRPr="002F170F" w:rsidRDefault="00914342" w:rsidP="00083DC1">
      <w:pPr>
        <w:spacing w:after="0"/>
      </w:pPr>
    </w:p>
    <w:p w14:paraId="2BCAE823" w14:textId="75153FE7" w:rsidR="00914342" w:rsidRPr="002F170F" w:rsidRDefault="00914342" w:rsidP="00083DC1">
      <w:pPr>
        <w:spacing w:after="0"/>
      </w:pPr>
      <w:r w:rsidRPr="002F170F">
        <w:t xml:space="preserve">The PBAC also noted that the cost-effectiveness of infliximab and adalimumab may be affected if patients are continuing treatment without achieving remission. </w:t>
      </w:r>
      <w:r w:rsidR="00D84C72" w:rsidRPr="002F170F">
        <w:t>The PBAC considered that</w:t>
      </w:r>
      <w:r w:rsidRPr="002F170F">
        <w:t xml:space="preserve"> if a larger proportion of PBS patients are able to achieve remission due to </w:t>
      </w:r>
      <w:r w:rsidRPr="002F170F">
        <w:lastRenderedPageBreak/>
        <w:t xml:space="preserve">differences in clinical management or other factors, the use of these medicines may still be cost-effective. </w:t>
      </w:r>
    </w:p>
    <w:p w14:paraId="0796F640" w14:textId="77777777" w:rsidR="00914342" w:rsidRPr="002F170F" w:rsidRDefault="00914342" w:rsidP="00083DC1">
      <w:pPr>
        <w:spacing w:after="0"/>
      </w:pPr>
    </w:p>
    <w:p w14:paraId="22384A27" w14:textId="18C6B460" w:rsidR="00914342" w:rsidRPr="002F170F" w:rsidRDefault="00914342" w:rsidP="00083DC1">
      <w:pPr>
        <w:spacing w:after="0"/>
      </w:pPr>
      <w:r w:rsidRPr="002F170F">
        <w:t xml:space="preserve">The PBAC requested the DUSC assess the utilisation of </w:t>
      </w:r>
      <w:r w:rsidR="002F559B">
        <w:t>bDMDs</w:t>
      </w:r>
      <w:r w:rsidRPr="002F170F">
        <w:t xml:space="preserve"> </w:t>
      </w:r>
      <w:r w:rsidR="00D84C72" w:rsidRPr="002F170F">
        <w:t xml:space="preserve">for Crohn </w:t>
      </w:r>
      <w:r w:rsidR="009F5411">
        <w:t>d</w:t>
      </w:r>
      <w:r w:rsidR="00D84C72" w:rsidRPr="002F170F">
        <w:t>isease in another two</w:t>
      </w:r>
      <w:r w:rsidRPr="002F170F">
        <w:t xml:space="preserve"> years. </w:t>
      </w:r>
    </w:p>
    <w:p w14:paraId="3931BAAF" w14:textId="77777777" w:rsidR="00052CCB" w:rsidRPr="00914342" w:rsidRDefault="00052CCB" w:rsidP="00083DC1">
      <w:pPr>
        <w:spacing w:after="0"/>
        <w:rPr>
          <w:rFonts w:ascii="Arial" w:hAnsi="Arial"/>
          <w:sz w:val="22"/>
        </w:rPr>
      </w:pPr>
    </w:p>
    <w:p w14:paraId="63290F02" w14:textId="17D8FB0B" w:rsidR="00052CCB" w:rsidRDefault="00052CCB" w:rsidP="00083DC1">
      <w:pPr>
        <w:spacing w:after="0"/>
      </w:pPr>
      <w:r w:rsidRPr="002F170F">
        <w:t xml:space="preserve">For further details refer to the </w:t>
      </w:r>
      <w:hyperlink r:id="rId19" w:history="1">
        <w:r w:rsidRPr="002F170F">
          <w:rPr>
            <w:rStyle w:val="Hyperlink"/>
            <w:rFonts w:cs="Arial"/>
          </w:rPr>
          <w:t>Consideration of the report of the Drug Utilisation Sub-committee</w:t>
        </w:r>
      </w:hyperlink>
      <w:r>
        <w:rPr>
          <w:rFonts w:ascii="Arial" w:hAnsi="Arial"/>
          <w:sz w:val="22"/>
        </w:rPr>
        <w:t xml:space="preserve"> </w:t>
      </w:r>
      <w:r w:rsidRPr="002F170F">
        <w:t>from the March 2015 PBAC meeting.</w:t>
      </w:r>
    </w:p>
    <w:p w14:paraId="2C298CC3" w14:textId="15BA105A" w:rsidR="00147064" w:rsidRPr="00816856" w:rsidRDefault="00147064" w:rsidP="00816856">
      <w:pPr>
        <w:spacing w:before="240"/>
        <w:rPr>
          <w:b/>
          <w:i/>
        </w:rPr>
      </w:pPr>
      <w:r w:rsidRPr="00816856">
        <w:rPr>
          <w:b/>
          <w:i/>
        </w:rPr>
        <w:t>July 2015 meeting – Recommendation of Inflectra as biosimilar of infliximab</w:t>
      </w:r>
    </w:p>
    <w:p w14:paraId="1E1207D1" w14:textId="40F45B92" w:rsidR="00147064" w:rsidRPr="00FA6A67" w:rsidRDefault="00554AAD" w:rsidP="00083DC1">
      <w:pPr>
        <w:spacing w:after="0"/>
      </w:pPr>
      <w:r w:rsidRPr="00FA6A67">
        <w:t>The PBAC recommended the listing of infliximab (</w:t>
      </w:r>
      <w:r w:rsidR="00131174" w:rsidRPr="00131174">
        <w:t>Inflectra</w:t>
      </w:r>
      <w:r w:rsidR="00131174" w:rsidRPr="00131174">
        <w:rPr>
          <w:rFonts w:ascii="Arial" w:hAnsi="Arial"/>
          <w:sz w:val="22"/>
          <w:szCs w:val="22"/>
          <w:vertAlign w:val="superscript"/>
        </w:rPr>
        <w:t>®</w:t>
      </w:r>
      <w:r w:rsidRPr="00FA6A67">
        <w:t>) as a biosimilar of infliximab (</w:t>
      </w:r>
      <w:r w:rsidR="001124DC">
        <w:t>Remicade®</w:t>
      </w:r>
      <w:r w:rsidRPr="00FA6A67">
        <w:t>) on a cost-minimisation basis to infliximab (</w:t>
      </w:r>
      <w:r w:rsidR="001124DC">
        <w:t>Remicade®</w:t>
      </w:r>
      <w:r w:rsidRPr="00FA6A67">
        <w:t xml:space="preserve">). The PBAC recommended that </w:t>
      </w:r>
      <w:r w:rsidR="00FA6A67" w:rsidRPr="00FA6A67">
        <w:t>infliximab (</w:t>
      </w:r>
      <w:r w:rsidR="00131174" w:rsidRPr="00131174">
        <w:t>Inflectra</w:t>
      </w:r>
      <w:r w:rsidR="00131174" w:rsidRPr="00131174">
        <w:rPr>
          <w:rFonts w:ascii="Arial" w:hAnsi="Arial"/>
          <w:sz w:val="22"/>
          <w:szCs w:val="22"/>
          <w:vertAlign w:val="superscript"/>
        </w:rPr>
        <w:t>®</w:t>
      </w:r>
      <w:r w:rsidR="00FA6A67" w:rsidRPr="00FA6A67">
        <w:t xml:space="preserve">) </w:t>
      </w:r>
      <w:r w:rsidRPr="00FA6A67">
        <w:t xml:space="preserve">should have </w:t>
      </w:r>
      <w:r w:rsidR="00FA6A67">
        <w:t xml:space="preserve">the same indications as </w:t>
      </w:r>
      <w:r w:rsidR="00FA6A67" w:rsidRPr="00FA6A67">
        <w:t>infliximab (</w:t>
      </w:r>
      <w:r w:rsidR="001124DC">
        <w:t>Remicade®</w:t>
      </w:r>
      <w:r w:rsidR="00FA6A67" w:rsidRPr="00FA6A67">
        <w:t>)</w:t>
      </w:r>
      <w:r w:rsidRPr="00FA6A67">
        <w:t>.</w:t>
      </w:r>
    </w:p>
    <w:p w14:paraId="07E6D8D3" w14:textId="77777777" w:rsidR="00554AAD" w:rsidRDefault="00554AAD" w:rsidP="00083DC1">
      <w:pPr>
        <w:spacing w:after="0"/>
        <w:rPr>
          <w:rFonts w:ascii="Arial" w:hAnsi="Arial"/>
          <w:sz w:val="22"/>
        </w:rPr>
      </w:pPr>
    </w:p>
    <w:p w14:paraId="74855255" w14:textId="4D88D870" w:rsidR="00E6447B" w:rsidRPr="00F072F7" w:rsidRDefault="00554AAD" w:rsidP="00083DC1">
      <w:pPr>
        <w:spacing w:after="0"/>
      </w:pPr>
      <w:r w:rsidRPr="002F170F">
        <w:t xml:space="preserve">For further details refer to the </w:t>
      </w:r>
      <w:hyperlink r:id="rId20" w:history="1">
        <w:r>
          <w:rPr>
            <w:rStyle w:val="Hyperlink"/>
            <w:rFonts w:cs="Arial"/>
          </w:rPr>
          <w:t>PBAC outcomes statement</w:t>
        </w:r>
      </w:hyperlink>
      <w:r>
        <w:rPr>
          <w:rFonts w:ascii="Arial" w:hAnsi="Arial"/>
          <w:sz w:val="22"/>
        </w:rPr>
        <w:t xml:space="preserve"> </w:t>
      </w:r>
      <w:r>
        <w:t>from the July</w:t>
      </w:r>
      <w:r w:rsidRPr="002F170F">
        <w:t xml:space="preserve"> 2015 PBAC meeting.</w:t>
      </w:r>
    </w:p>
    <w:p w14:paraId="0DEBD50F" w14:textId="69B931E7" w:rsidR="00094DCF" w:rsidRDefault="00ED633B" w:rsidP="00FE645A">
      <w:pPr>
        <w:pStyle w:val="Heading3"/>
      </w:pPr>
      <w:r>
        <w:t xml:space="preserve">Previous reviews by </w:t>
      </w:r>
      <w:r w:rsidR="00177B86">
        <w:t xml:space="preserve">the </w:t>
      </w:r>
      <w:r>
        <w:t>DUSC</w:t>
      </w:r>
    </w:p>
    <w:p w14:paraId="67AE8F36" w14:textId="6F3BBC69" w:rsidR="00065F4D" w:rsidRPr="00065F4D" w:rsidRDefault="00065F4D" w:rsidP="00A35800">
      <w:r w:rsidRPr="00065F4D">
        <w:t xml:space="preserve">The utilisation of </w:t>
      </w:r>
      <w:r w:rsidR="002F559B">
        <w:t>bDMDs</w:t>
      </w:r>
      <w:r w:rsidRPr="00065F4D">
        <w:t xml:space="preserve"> to treat severe Crohn disease was first reviewed by DUSC at its February 2011 meeting.</w:t>
      </w:r>
    </w:p>
    <w:p w14:paraId="6657FA50" w14:textId="73738BF9" w:rsidR="00065F4D" w:rsidRDefault="00065F4D" w:rsidP="00A35800">
      <w:pPr>
        <w:rPr>
          <w:b/>
        </w:rPr>
      </w:pPr>
      <w:r w:rsidRPr="00375685">
        <w:rPr>
          <w:b/>
        </w:rPr>
        <w:t>**** Committee-in-confidence ****</w:t>
      </w:r>
    </w:p>
    <w:p w14:paraId="321F40D7" w14:textId="77777777" w:rsidR="00957CDD" w:rsidRPr="000C6D39" w:rsidRDefault="00957CDD" w:rsidP="00957CDD">
      <w:pPr>
        <w:spacing w:after="0"/>
        <w:rPr>
          <w:highlight w:val="black"/>
        </w:rPr>
      </w:pPr>
      <w:r w:rsidRPr="000C6D39">
        <w:rPr>
          <w:highlight w:val="black"/>
        </w:rPr>
        <w:t>XXXXXXXXXXXXXXXXXXXXXXXXXXXXXXXXXXXXXXXXXXXXXXXXXXXXXXXXXXXXXXXXXXXXXXXXXXXXXXXXXXXXXXXXXXXXXXXXXXXXXXXXXXXXXXXXXXXXXXXXXXXXXXXXXXXXXXXXXXXXXX</w:t>
      </w:r>
    </w:p>
    <w:p w14:paraId="74074C66" w14:textId="77777777" w:rsidR="00957CDD" w:rsidRPr="000C6D39" w:rsidRDefault="00957CDD" w:rsidP="00957CDD">
      <w:pPr>
        <w:spacing w:after="0"/>
        <w:rPr>
          <w:highlight w:val="black"/>
        </w:rPr>
      </w:pPr>
      <w:r w:rsidRPr="000C6D39">
        <w:rPr>
          <w:highlight w:val="black"/>
        </w:rPr>
        <w:t>XXXXXXXXXXXXXXXXXXXXXXXXXXXXXXXXXXXXXXXXXXXXXXXXXXXXXXXXXXXXXXXXXXXXXXXXXXXXXXXXXXXXXXXXXXXXXXXXXXXXXXXXXXXXXXXXXXXXXXXXXXXXXXXXXXXXXXXXXXXXXX</w:t>
      </w:r>
    </w:p>
    <w:p w14:paraId="170366B5" w14:textId="3744E2A4" w:rsidR="004F46A9" w:rsidRDefault="00957CDD" w:rsidP="00957CDD">
      <w:pPr>
        <w:spacing w:after="0"/>
        <w:rPr>
          <w:highlight w:val="black"/>
        </w:rPr>
      </w:pPr>
      <w:r w:rsidRPr="000C6D39">
        <w:rPr>
          <w:highlight w:val="black"/>
        </w:rPr>
        <w:t>XXXXXXXXXXXXXXXXXXXXXXXXXXXXXXXXXXXXXXXXXXXXXXXXXXXXXXXXXXXXXXXXXXXXXXXXXXXXXXXXXXXXXXXXXXXXXXXXXXXXXXXXXXXXXXXXXXXXXXXXXXXXXXX</w:t>
      </w:r>
    </w:p>
    <w:p w14:paraId="68B77FD9" w14:textId="77777777" w:rsidR="00957CDD" w:rsidRPr="00957CDD" w:rsidRDefault="00957CDD" w:rsidP="00957CDD">
      <w:pPr>
        <w:spacing w:after="0"/>
        <w:rPr>
          <w:highlight w:val="black"/>
        </w:rPr>
      </w:pPr>
    </w:p>
    <w:p w14:paraId="49D91D73" w14:textId="77777777" w:rsidR="00957CDD" w:rsidRPr="000C6D39" w:rsidRDefault="00957CDD" w:rsidP="00957CDD">
      <w:pPr>
        <w:spacing w:after="0"/>
        <w:rPr>
          <w:highlight w:val="black"/>
        </w:rPr>
      </w:pPr>
      <w:r w:rsidRPr="000C6D39">
        <w:rPr>
          <w:highlight w:val="black"/>
        </w:rPr>
        <w:t>XXXXXXXXXXXXXXXXXXXXXXXXXXXXXXXXXXXXXXXXXXXXXXXXXXXXXXXXXXXXXXXXXXXXXXXXXXXXXXXXXXXXXXXXXXXXXXXXXXXXXXXXXXXXXXXXXXXXXXXXXXXXXXXXXXXXXXXXXXXXXX</w:t>
      </w:r>
    </w:p>
    <w:p w14:paraId="294B97F3" w14:textId="54111094" w:rsidR="00957CDD" w:rsidRDefault="00957CDD" w:rsidP="00957CDD">
      <w:pPr>
        <w:spacing w:after="0"/>
        <w:rPr>
          <w:highlight w:val="black"/>
        </w:rPr>
      </w:pPr>
      <w:r w:rsidRPr="000C6D39">
        <w:rPr>
          <w:highlight w:val="black"/>
        </w:rPr>
        <w:t>XXXXXXXXXXXXXXXXXXXXXXXXXXXXXXXXXXXXXXXXXXXXXXXXXXXXXXXXXXXXXXXXXXXXXXXXXXXXXXXXXXXXX</w:t>
      </w:r>
    </w:p>
    <w:p w14:paraId="62B0929A" w14:textId="77777777" w:rsidR="00957CDD" w:rsidRPr="000C6D39" w:rsidRDefault="00957CDD" w:rsidP="00957CDD">
      <w:pPr>
        <w:spacing w:after="0"/>
        <w:rPr>
          <w:highlight w:val="black"/>
        </w:rPr>
      </w:pPr>
    </w:p>
    <w:p w14:paraId="3B84F30B" w14:textId="2DB5ECA9" w:rsidR="004F46A9" w:rsidRDefault="004F46A9" w:rsidP="004F46A9">
      <w:r w:rsidRPr="000C6D39">
        <w:rPr>
          <w:highlight w:val="black"/>
        </w:rPr>
        <w:t>XXXXXXXXXXXXXXXXXXXXXXXXXXXXXXXXXXXXXXXXXXXXXXXXXXXXXXXXXXXXXXXXXXXXXXX.</w:t>
      </w:r>
      <w:r>
        <w:t xml:space="preserve"> </w:t>
      </w:r>
    </w:p>
    <w:p w14:paraId="766CC974"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46796CE3"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3B532325"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7F7824BE"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3F269937" w14:textId="77777777" w:rsidR="004F46A9" w:rsidRDefault="004F46A9" w:rsidP="004F46A9">
      <w:r w:rsidRPr="000C6D39">
        <w:rPr>
          <w:highlight w:val="black"/>
        </w:rPr>
        <w:lastRenderedPageBreak/>
        <w:t>XXXXXXXXX</w:t>
      </w:r>
    </w:p>
    <w:p w14:paraId="46D0A720"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4DA84FCA"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4D09D811"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21B9F41A" w14:textId="132D621A" w:rsidR="004F46A9" w:rsidRDefault="004F46A9" w:rsidP="00103C18">
      <w:pPr>
        <w:spacing w:after="0"/>
        <w:rPr>
          <w:highlight w:val="black"/>
        </w:rPr>
      </w:pPr>
      <w:r w:rsidRPr="000C6D39">
        <w:rPr>
          <w:highlight w:val="black"/>
        </w:rPr>
        <w:t>XXXXXXXXXXXXXXXXXXXXXXXXXXXXXXXXXXXXXXXXXXXXXXXXXXXXXXXXXXXXXXXXXXXXXXXXXXXXXXXXXXXXXXXXXXXXXXXX</w:t>
      </w:r>
      <w:r>
        <w:rPr>
          <w:highlight w:val="black"/>
        </w:rPr>
        <w:t>XXXXXXXXXXXXXXXXXXXXXXX</w:t>
      </w:r>
    </w:p>
    <w:p w14:paraId="4F192BF4" w14:textId="77777777" w:rsidR="00103C18" w:rsidRPr="00103C18" w:rsidRDefault="00103C18" w:rsidP="00103C18">
      <w:pPr>
        <w:spacing w:after="0"/>
        <w:rPr>
          <w:highlight w:val="black"/>
        </w:rPr>
      </w:pPr>
    </w:p>
    <w:p w14:paraId="75D64E87"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398F7D04" w14:textId="77777777" w:rsidR="004F46A9" w:rsidRPr="000C6D39" w:rsidRDefault="004F46A9" w:rsidP="004F46A9">
      <w:pPr>
        <w:spacing w:after="0"/>
        <w:rPr>
          <w:highlight w:val="black"/>
        </w:rPr>
      </w:pPr>
      <w:r w:rsidRPr="000C6D39">
        <w:rPr>
          <w:highlight w:val="black"/>
        </w:rPr>
        <w:t>XXXXXXXXXXXXXXXXXXXXXXXXXXXXXXXXXXXXXXXXXXXXXXXXXXXXXXXXXXXXXXXXXXXXXXXXXXXXXXXXXXXXXXXXXXXXXXXXXXXXXXXXXXXXXXXXXXXXXXXXXXXXXXXXXXXXXXXXXXXXXX</w:t>
      </w:r>
    </w:p>
    <w:p w14:paraId="50BBD28D" w14:textId="77777777" w:rsidR="004F46A9" w:rsidRDefault="004F46A9" w:rsidP="004F46A9">
      <w:pPr>
        <w:autoSpaceDE w:val="0"/>
        <w:autoSpaceDN w:val="0"/>
        <w:adjustRightInd w:val="0"/>
        <w:spacing w:after="0"/>
      </w:pPr>
      <w:r w:rsidRPr="000C6D39">
        <w:rPr>
          <w:highlight w:val="black"/>
        </w:rPr>
        <w:t>XXXXXXXXXXXXXXXXXXXXXXXXXXXXXXXXXXXXXXXXXXXXXXXXXXXXXXXXXXXXXXXXXXXXXXXXXXXXXXXXXXXXXXXXXXXXXXXXXXXXXXXXXXXXXX</w:t>
      </w:r>
      <w:r>
        <w:rPr>
          <w:highlight w:val="black"/>
        </w:rPr>
        <w:t>XXXXXXXXXXXXXXXXXXXXXXXXXX</w:t>
      </w:r>
    </w:p>
    <w:p w14:paraId="50894BBB" w14:textId="77777777" w:rsidR="004F46A9" w:rsidRDefault="004F46A9" w:rsidP="004F46A9">
      <w:pPr>
        <w:autoSpaceDE w:val="0"/>
        <w:autoSpaceDN w:val="0"/>
        <w:adjustRightInd w:val="0"/>
        <w:spacing w:after="0"/>
      </w:pPr>
    </w:p>
    <w:p w14:paraId="72A6FB24" w14:textId="54571B30" w:rsidR="004F46A9" w:rsidRDefault="004F46A9" w:rsidP="003D6274">
      <w:pPr>
        <w:autoSpaceDE w:val="0"/>
        <w:autoSpaceDN w:val="0"/>
        <w:adjustRightInd w:val="0"/>
        <w:spacing w:after="0"/>
      </w:pPr>
      <w:r w:rsidRPr="000C6D39">
        <w:rPr>
          <w:highlight w:val="black"/>
        </w:rPr>
        <w:t>XXXXXXXXXXXXXXXXXXXXXXXXXXXXXXXXXXXXXXXXXXXXXXXXXXXXXXXXXXXXXXXXXXXXXXXXXXXXXXXXXXXXXXXXXXXXXX</w:t>
      </w:r>
    </w:p>
    <w:p w14:paraId="79B43EAA" w14:textId="77777777" w:rsidR="009F5411" w:rsidRPr="003D6274" w:rsidRDefault="009F5411" w:rsidP="003D6274">
      <w:pPr>
        <w:autoSpaceDE w:val="0"/>
        <w:autoSpaceDN w:val="0"/>
        <w:adjustRightInd w:val="0"/>
        <w:spacing w:after="0"/>
      </w:pPr>
    </w:p>
    <w:p w14:paraId="74E5C8A1" w14:textId="469F05F2" w:rsidR="00821EC4" w:rsidRPr="00375685" w:rsidRDefault="00821EC4" w:rsidP="00821EC4">
      <w:pPr>
        <w:rPr>
          <w:b/>
        </w:rPr>
      </w:pPr>
      <w:r>
        <w:rPr>
          <w:b/>
        </w:rPr>
        <w:t>**** End c</w:t>
      </w:r>
      <w:r w:rsidRPr="00375685">
        <w:rPr>
          <w:b/>
        </w:rPr>
        <w:t>ommittee-in-confidence ****</w:t>
      </w:r>
    </w:p>
    <w:p w14:paraId="7A182C91" w14:textId="6CDD07CD" w:rsidR="002079B9" w:rsidRDefault="00BB4C9A" w:rsidP="00CD21B8">
      <w:r w:rsidRPr="00BB4C9A">
        <w:t>At its February 2013 meeting the DUSC reviewed the utilisation of adalimumab and infliximab for fistulising Crohn disease.</w:t>
      </w:r>
      <w:r w:rsidR="00CD21B8">
        <w:t xml:space="preserve"> </w:t>
      </w:r>
      <w:r w:rsidR="00367525">
        <w:t>DUSC considered that the utilisation of adalimumab and infliximab</w:t>
      </w:r>
      <w:r w:rsidR="00367525" w:rsidRPr="007C4B1F">
        <w:t xml:space="preserve"> </w:t>
      </w:r>
      <w:r w:rsidR="00367525">
        <w:t xml:space="preserve">for </w:t>
      </w:r>
      <w:r w:rsidR="00CD21B8">
        <w:t xml:space="preserve">this indication </w:t>
      </w:r>
      <w:r w:rsidR="00367525">
        <w:t>was within the range expected for the first year of listing</w:t>
      </w:r>
      <w:r w:rsidR="00CD21B8">
        <w:t xml:space="preserve">. </w:t>
      </w:r>
      <w:r w:rsidR="002079B9" w:rsidRPr="00F35FF5">
        <w:t xml:space="preserve">DUSC noted that any future analyses of the utilisation of </w:t>
      </w:r>
      <w:r w:rsidR="002F559B">
        <w:t>bDMDs</w:t>
      </w:r>
      <w:r w:rsidR="002079B9" w:rsidRPr="00F35FF5">
        <w:t xml:space="preserve"> for Crohn disease would be enhanced by assessing continuation and discontinuation rates</w:t>
      </w:r>
      <w:r w:rsidR="002079B9">
        <w:t>.</w:t>
      </w:r>
      <w:r w:rsidR="001A2F2F">
        <w:t xml:space="preserve"> For further information of the DUSC consideration</w:t>
      </w:r>
      <w:r w:rsidR="0050682C">
        <w:t>,</w:t>
      </w:r>
      <w:r w:rsidR="001A2F2F">
        <w:t xml:space="preserve"> refer to the </w:t>
      </w:r>
      <w:hyperlink r:id="rId21" w:history="1">
        <w:r w:rsidR="001A2F2F" w:rsidRPr="001A2F2F">
          <w:rPr>
            <w:rStyle w:val="Hyperlink"/>
          </w:rPr>
          <w:t>outcome statement for the February 2013 DUSC meeting.</w:t>
        </w:r>
      </w:hyperlink>
    </w:p>
    <w:p w14:paraId="3C224845" w14:textId="192E3DDC" w:rsidR="00FA643F" w:rsidRDefault="00FA643F" w:rsidP="00FA643F">
      <w:r>
        <w:t>A further review of the use of adalimumab and infliximab in adult and paediatric patients with severe refractory Crohn disease and fistulising Crohn disease was considered by DUSC in February 2015. As seen in previous reviews</w:t>
      </w:r>
      <w:r w:rsidR="00BB0D34">
        <w:t>, for each indication</w:t>
      </w:r>
      <w:r>
        <w:t xml:space="preserve"> a higher proportion of patients continued on anti-TNF </w:t>
      </w:r>
      <w:r w:rsidR="002A3460">
        <w:t>therapy than expected</w:t>
      </w:r>
      <w:r>
        <w:t xml:space="preserve">. </w:t>
      </w:r>
      <w:r w:rsidR="002A3460">
        <w:t>DUSC noted the lack of Australian prevalence data to inform the original utilisation forecasts. The</w:t>
      </w:r>
      <w:r w:rsidR="0093692A" w:rsidRPr="0093692A">
        <w:t xml:space="preserve"> number of new paediatric patients </w:t>
      </w:r>
      <w:r w:rsidR="002A3460">
        <w:t>treated with infliximab was higher than predicted. DUSC considered that this may have related to</w:t>
      </w:r>
      <w:r w:rsidR="0093692A" w:rsidRPr="0093692A">
        <w:t xml:space="preserve"> the change to the restrictions effective 1 January 2011 of the corticosteroid dosing requirements</w:t>
      </w:r>
      <w:r w:rsidR="00234E3C">
        <w:t xml:space="preserve"> from 40 mg prednisolone equivalent to 1 </w:t>
      </w:r>
      <w:r w:rsidR="0093692A" w:rsidRPr="0093692A">
        <w:t xml:space="preserve">mg/kg </w:t>
      </w:r>
      <w:r w:rsidR="00234E3C">
        <w:t>prednisolone or equivalent</w:t>
      </w:r>
      <w:r w:rsidR="0093692A" w:rsidRPr="0093692A">
        <w:t xml:space="preserve">. </w:t>
      </w:r>
      <w:r>
        <w:t xml:space="preserve">For more details of the DUSC consideration, refer to the </w:t>
      </w:r>
      <w:hyperlink r:id="rId22" w:history="1">
        <w:r w:rsidRPr="00FA643F">
          <w:rPr>
            <w:rStyle w:val="Hyperlink"/>
          </w:rPr>
          <w:t>Public Release Document for the February 2015 DUSC meeting.</w:t>
        </w:r>
      </w:hyperlink>
    </w:p>
    <w:p w14:paraId="7CAD8E81" w14:textId="1A289FAB" w:rsidR="00943A65" w:rsidRPr="00BC29DF" w:rsidRDefault="00E677DD" w:rsidP="00BC29DF">
      <w:pPr>
        <w:pStyle w:val="Heading4"/>
      </w:pPr>
      <w:r w:rsidRPr="005E22C2">
        <w:t>Method</w:t>
      </w:r>
      <w:r w:rsidR="001B5D37" w:rsidRPr="005E22C2">
        <w:t>s</w:t>
      </w:r>
    </w:p>
    <w:p w14:paraId="54B8783A" w14:textId="43A2F928" w:rsidR="00D364A2" w:rsidRDefault="00E76FA1" w:rsidP="00E76FA1">
      <w:pPr>
        <w:rPr>
          <w:rFonts w:eastAsia="Calibri" w:cs="Times New Roman"/>
        </w:rPr>
      </w:pPr>
      <w:r>
        <w:rPr>
          <w:rFonts w:eastAsia="Calibri" w:cs="Times New Roman"/>
        </w:rPr>
        <w:t>From 1 July 2013 there was complete prescription data capture for Highly Specialised Drugs (HSD) prescriptions dispensed by public and private hospital pharmacies.  Prior to 1</w:t>
      </w:r>
      <w:r w:rsidR="009F5411">
        <w:rPr>
          <w:rFonts w:eastAsia="Calibri" w:cs="Times New Roman"/>
        </w:rPr>
        <w:t> </w:t>
      </w:r>
      <w:r>
        <w:rPr>
          <w:rFonts w:eastAsia="Calibri" w:cs="Times New Roman"/>
        </w:rPr>
        <w:t>July</w:t>
      </w:r>
      <w:r w:rsidR="009F5411">
        <w:rPr>
          <w:rFonts w:eastAsia="Calibri" w:cs="Times New Roman"/>
        </w:rPr>
        <w:t> </w:t>
      </w:r>
      <w:r>
        <w:rPr>
          <w:rFonts w:eastAsia="Calibri" w:cs="Times New Roman"/>
        </w:rPr>
        <w:t xml:space="preserve">2013, most </w:t>
      </w:r>
      <w:r w:rsidRPr="00AC5054">
        <w:rPr>
          <w:rFonts w:eastAsia="Calibri" w:cs="Times New Roman"/>
        </w:rPr>
        <w:t xml:space="preserve">HSD prescriptions </w:t>
      </w:r>
      <w:r>
        <w:rPr>
          <w:rFonts w:eastAsia="Calibri" w:cs="Times New Roman"/>
        </w:rPr>
        <w:t xml:space="preserve">supplied through public hospitals </w:t>
      </w:r>
      <w:r w:rsidRPr="00AC5054">
        <w:rPr>
          <w:rFonts w:eastAsia="Calibri" w:cs="Times New Roman"/>
        </w:rPr>
        <w:t xml:space="preserve">were processed </w:t>
      </w:r>
      <w:r w:rsidRPr="00AC5054">
        <w:rPr>
          <w:rFonts w:eastAsia="Calibri" w:cs="Times New Roman"/>
        </w:rPr>
        <w:lastRenderedPageBreak/>
        <w:t>through the DHS Offline processing system,</w:t>
      </w:r>
      <w:r>
        <w:rPr>
          <w:rFonts w:eastAsia="Calibri" w:cs="Times New Roman"/>
        </w:rPr>
        <w:t xml:space="preserve"> for which only </w:t>
      </w:r>
      <w:r w:rsidRPr="00495473">
        <w:rPr>
          <w:rFonts w:eastAsia="Calibri" w:cs="Times New Roman"/>
        </w:rPr>
        <w:t xml:space="preserve">aggregated </w:t>
      </w:r>
      <w:r>
        <w:rPr>
          <w:rFonts w:eastAsia="Calibri" w:cs="Times New Roman"/>
        </w:rPr>
        <w:t>data was available</w:t>
      </w:r>
      <w:r w:rsidRPr="00495473">
        <w:rPr>
          <w:rFonts w:eastAsia="Calibri" w:cs="Times New Roman"/>
        </w:rPr>
        <w:t>, i.e. the number of packs</w:t>
      </w:r>
      <w:r>
        <w:rPr>
          <w:rFonts w:eastAsia="Calibri" w:cs="Times New Roman"/>
        </w:rPr>
        <w:t xml:space="preserve"> supplied and the cost per quarter.  </w:t>
      </w:r>
      <w:r w:rsidR="000642E6">
        <w:rPr>
          <w:rFonts w:eastAsia="Calibri" w:cs="Times New Roman"/>
        </w:rPr>
        <w:t>Infliximab first listed from 1</w:t>
      </w:r>
      <w:r w:rsidR="009F5411">
        <w:rPr>
          <w:rFonts w:eastAsia="Calibri" w:cs="Times New Roman"/>
        </w:rPr>
        <w:t> </w:t>
      </w:r>
      <w:r w:rsidR="000642E6">
        <w:rPr>
          <w:rFonts w:eastAsia="Calibri" w:cs="Times New Roman"/>
        </w:rPr>
        <w:t>Oc</w:t>
      </w:r>
      <w:r w:rsidR="009F5411">
        <w:rPr>
          <w:rFonts w:eastAsia="Calibri" w:cs="Times New Roman"/>
        </w:rPr>
        <w:t xml:space="preserve">tober 2007 as </w:t>
      </w:r>
      <w:r w:rsidR="00CC0595">
        <w:rPr>
          <w:rFonts w:eastAsia="Calibri" w:cs="Times New Roman"/>
        </w:rPr>
        <w:t>an</w:t>
      </w:r>
      <w:r w:rsidR="009F5411">
        <w:rPr>
          <w:rFonts w:eastAsia="Calibri" w:cs="Times New Roman"/>
        </w:rPr>
        <w:t xml:space="preserve"> s</w:t>
      </w:r>
      <w:r w:rsidR="009A3BD6">
        <w:rPr>
          <w:rFonts w:eastAsia="Calibri" w:cs="Times New Roman"/>
        </w:rPr>
        <w:t>100 listing and</w:t>
      </w:r>
      <w:r w:rsidR="000642E6">
        <w:rPr>
          <w:rFonts w:eastAsia="Calibri" w:cs="Times New Roman"/>
        </w:rPr>
        <w:t xml:space="preserve"> its use is not fully captured in the DHS prescriptions data prior to July 2013. </w:t>
      </w:r>
      <w:r w:rsidR="0085295E">
        <w:rPr>
          <w:rFonts w:eastAsia="Calibri" w:cs="Times New Roman"/>
        </w:rPr>
        <w:t>Therefore</w:t>
      </w:r>
      <w:r w:rsidR="003F38F4">
        <w:rPr>
          <w:rFonts w:eastAsia="Calibri" w:cs="Times New Roman"/>
        </w:rPr>
        <w:t xml:space="preserve">, </w:t>
      </w:r>
      <w:r w:rsidR="007622AC">
        <w:rPr>
          <w:rFonts w:eastAsia="Calibri" w:cs="Times New Roman"/>
        </w:rPr>
        <w:t xml:space="preserve">to compare the findings from this analysis with the previous </w:t>
      </w:r>
      <w:hyperlink r:id="rId23" w:history="1">
        <w:r w:rsidR="007622AC" w:rsidRPr="000966D1">
          <w:rPr>
            <w:rStyle w:val="Hyperlink"/>
          </w:rPr>
          <w:t>2015 DUSC review of Crohn disease</w:t>
        </w:r>
      </w:hyperlink>
      <w:r w:rsidR="007622AC">
        <w:rPr>
          <w:rStyle w:val="Hyperlink"/>
        </w:rPr>
        <w:t>,</w:t>
      </w:r>
      <w:r w:rsidR="007622AC" w:rsidRPr="007622AC">
        <w:rPr>
          <w:rStyle w:val="Hyperlink"/>
          <w:u w:val="none"/>
        </w:rPr>
        <w:t xml:space="preserve"> </w:t>
      </w:r>
      <w:r w:rsidR="003F38F4">
        <w:rPr>
          <w:rFonts w:eastAsia="Calibri" w:cs="Times New Roman"/>
        </w:rPr>
        <w:t xml:space="preserve">patient level analyses including the number of incident and prevalent patients and drug continuations </w:t>
      </w:r>
      <w:r w:rsidR="003D688D">
        <w:rPr>
          <w:rFonts w:eastAsia="Calibri" w:cs="Times New Roman"/>
        </w:rPr>
        <w:t xml:space="preserve">for infliximab, adalimumab and vedolizumab </w:t>
      </w:r>
      <w:r w:rsidR="003F38F4">
        <w:rPr>
          <w:rFonts w:eastAsia="Calibri" w:cs="Times New Roman"/>
        </w:rPr>
        <w:t xml:space="preserve">were undertaken using the DHS authority approvals data. </w:t>
      </w:r>
    </w:p>
    <w:p w14:paraId="7B59A9A3" w14:textId="1E62372C" w:rsidR="003F38F4" w:rsidRDefault="003F38F4" w:rsidP="00E76FA1">
      <w:pPr>
        <w:rPr>
          <w:rFonts w:eastAsia="Calibri" w:cs="Times New Roman"/>
        </w:rPr>
      </w:pPr>
      <w:r>
        <w:rPr>
          <w:rFonts w:eastAsia="Calibri" w:cs="Times New Roman"/>
        </w:rPr>
        <w:t xml:space="preserve">The number of </w:t>
      </w:r>
      <w:r w:rsidR="007F733B">
        <w:rPr>
          <w:rFonts w:eastAsia="Calibri" w:cs="Times New Roman"/>
        </w:rPr>
        <w:t xml:space="preserve">packs </w:t>
      </w:r>
      <w:r>
        <w:rPr>
          <w:rFonts w:eastAsia="Calibri" w:cs="Times New Roman"/>
        </w:rPr>
        <w:t>and cost of infliximab before July 2013 was obtained from the DUSC Highly Specialised Drugs database. This source combines public hospital offline processed prescription data with public and private Hospital online processed prescription data with full capture of HSD drug utilisation.</w:t>
      </w:r>
    </w:p>
    <w:p w14:paraId="35FFC518" w14:textId="17B48654" w:rsidR="003925D9" w:rsidRPr="003925D9" w:rsidRDefault="003925D9" w:rsidP="008F7506">
      <w:pPr>
        <w:rPr>
          <w:b/>
        </w:rPr>
      </w:pPr>
      <w:r w:rsidRPr="003925D9">
        <w:rPr>
          <w:b/>
        </w:rPr>
        <w:t>Patient numbers</w:t>
      </w:r>
    </w:p>
    <w:p w14:paraId="636B651D" w14:textId="336A7117" w:rsidR="00D364A2" w:rsidRDefault="00527AC8" w:rsidP="008F7506">
      <w:r>
        <w:t xml:space="preserve">The DHS Authority approvals data was used to derive the number of incident and prevalent patients receiving an application to access </w:t>
      </w:r>
      <w:r w:rsidR="002F559B">
        <w:t>bDMD</w:t>
      </w:r>
      <w:r>
        <w:t xml:space="preserve"> therapy for Crohn disease.</w:t>
      </w:r>
    </w:p>
    <w:p w14:paraId="3CD7145A" w14:textId="1B45477F" w:rsidR="007622AC" w:rsidRDefault="0024490B" w:rsidP="008F7506">
      <w:r>
        <w:t xml:space="preserve">The number of incident and prevalent patients treated with a </w:t>
      </w:r>
      <w:r w:rsidR="002F559B">
        <w:t>bDMD</w:t>
      </w:r>
      <w:r>
        <w:t xml:space="preserve"> in 2014, 2015 and 2016 was also derived from the DHS Prescri</w:t>
      </w:r>
      <w:r w:rsidR="000D6B54">
        <w:t>ptions data as the HSD data was complete from July 2013.</w:t>
      </w:r>
    </w:p>
    <w:p w14:paraId="229E96AF" w14:textId="0EA9E51E" w:rsidR="00527AC8" w:rsidRDefault="00527AC8" w:rsidP="008F7506">
      <w:r>
        <w:rPr>
          <w:rFonts w:eastAsia="Calibri" w:cs="Times New Roman"/>
        </w:rPr>
        <w:t xml:space="preserve">The number of prevalent patients </w:t>
      </w:r>
      <w:r w:rsidR="001B4C50">
        <w:rPr>
          <w:rFonts w:eastAsia="Calibri" w:cs="Times New Roman"/>
        </w:rPr>
        <w:t xml:space="preserve">based on the Authorities or prescriptions data </w:t>
      </w:r>
      <w:r>
        <w:rPr>
          <w:rFonts w:eastAsia="Calibri" w:cs="Times New Roman"/>
        </w:rPr>
        <w:t>was determined by counting the number of people with an approval for at least one Authority application</w:t>
      </w:r>
      <w:r w:rsidR="001B4C50">
        <w:rPr>
          <w:rFonts w:eastAsia="Calibri" w:cs="Times New Roman"/>
        </w:rPr>
        <w:t xml:space="preserve">, or supply of a </w:t>
      </w:r>
      <w:r w:rsidR="002F559B">
        <w:rPr>
          <w:rFonts w:eastAsia="Calibri" w:cs="Times New Roman"/>
        </w:rPr>
        <w:t>bDMD</w:t>
      </w:r>
      <w:r w:rsidR="001B4C50">
        <w:rPr>
          <w:rFonts w:eastAsia="Calibri" w:cs="Times New Roman"/>
        </w:rPr>
        <w:t>,</w:t>
      </w:r>
      <w:r>
        <w:rPr>
          <w:rFonts w:eastAsia="Calibri" w:cs="Times New Roman"/>
        </w:rPr>
        <w:t xml:space="preserve"> using person specific numbers (non-identifying) in the data for the specified time periods</w:t>
      </w:r>
      <w:r w:rsidR="001B4C50">
        <w:rPr>
          <w:rFonts w:eastAsia="Calibri" w:cs="Times New Roman"/>
        </w:rPr>
        <w:t>, respectively</w:t>
      </w:r>
      <w:r>
        <w:rPr>
          <w:rFonts w:eastAsia="Calibri" w:cs="Times New Roman"/>
        </w:rPr>
        <w:t xml:space="preserve">. Patient initiation </w:t>
      </w:r>
      <w:r w:rsidR="001B4C50">
        <w:rPr>
          <w:rFonts w:eastAsia="Calibri" w:cs="Times New Roman"/>
        </w:rPr>
        <w:t xml:space="preserve">based on the Authorities or prescriptions data </w:t>
      </w:r>
      <w:r>
        <w:rPr>
          <w:rFonts w:eastAsia="Calibri" w:cs="Times New Roman"/>
        </w:rPr>
        <w:t xml:space="preserve">was defined as the date of Authority approval of the first application for a </w:t>
      </w:r>
      <w:r w:rsidR="002F559B">
        <w:rPr>
          <w:rFonts w:eastAsia="Calibri" w:cs="Times New Roman"/>
        </w:rPr>
        <w:t>bDMD</w:t>
      </w:r>
      <w:r w:rsidR="001B4C50">
        <w:rPr>
          <w:rFonts w:eastAsia="Calibri" w:cs="Times New Roman"/>
        </w:rPr>
        <w:t xml:space="preserve">, or the date of the first supply of a </w:t>
      </w:r>
      <w:r w:rsidR="002F559B">
        <w:rPr>
          <w:rFonts w:eastAsia="Calibri" w:cs="Times New Roman"/>
        </w:rPr>
        <w:t>bDMD</w:t>
      </w:r>
      <w:r w:rsidR="001B4C50">
        <w:rPr>
          <w:rFonts w:eastAsia="Calibri" w:cs="Times New Roman"/>
        </w:rPr>
        <w:t>, respectively</w:t>
      </w:r>
      <w:r>
        <w:rPr>
          <w:rFonts w:eastAsia="Calibri" w:cs="Times New Roman"/>
        </w:rPr>
        <w:t>.</w:t>
      </w:r>
    </w:p>
    <w:p w14:paraId="39E5EB0C" w14:textId="6CEC397D" w:rsidR="000642E6" w:rsidRPr="00480B96" w:rsidRDefault="00480B96" w:rsidP="00E76FA1">
      <w:pPr>
        <w:rPr>
          <w:rFonts w:eastAsia="Calibri" w:cs="Times New Roman"/>
          <w:b/>
        </w:rPr>
      </w:pPr>
      <w:r w:rsidRPr="00480B96">
        <w:rPr>
          <w:rFonts w:eastAsia="Calibri" w:cs="Times New Roman"/>
          <w:b/>
        </w:rPr>
        <w:t>Continuation on treatment</w:t>
      </w:r>
    </w:p>
    <w:p w14:paraId="3E8626EA" w14:textId="77777777" w:rsidR="00426502" w:rsidRDefault="00E61A71" w:rsidP="00E76FA1">
      <w:pPr>
        <w:rPr>
          <w:rFonts w:eastAsia="Calibri" w:cs="Times New Roman"/>
        </w:rPr>
      </w:pPr>
      <w:r>
        <w:rPr>
          <w:rFonts w:eastAsia="Calibri" w:cs="Times New Roman"/>
        </w:rPr>
        <w:t>The DHS Authority approvals data was used to examine the continuation of infliximab, adalimumab and vedolizumab for their listed Crohn indications.</w:t>
      </w:r>
      <w:r w:rsidR="00154F0C">
        <w:rPr>
          <w:rFonts w:eastAsia="Calibri" w:cs="Times New Roman"/>
        </w:rPr>
        <w:t xml:space="preserve"> </w:t>
      </w:r>
      <w:r w:rsidR="00426502">
        <w:rPr>
          <w:rFonts w:eastAsia="Calibri" w:cs="Times New Roman"/>
        </w:rPr>
        <w:t>The use of Authority approvals may overestimate continuation if a patient does not have a prescription dispensed or does not have the number of repeats dispensed as per the original prescription. However, any overestimate is likely to be small.</w:t>
      </w:r>
    </w:p>
    <w:p w14:paraId="13368997" w14:textId="2479C489" w:rsidR="00B446E5" w:rsidRDefault="006715C7" w:rsidP="00E76FA1">
      <w:r>
        <w:t>Same day authority approvals were counted as a single approval for the analysis of continuation.</w:t>
      </w:r>
      <w:r w:rsidR="007F733B">
        <w:t xml:space="preserve"> These were generally approvals for different strengths of the same drug.</w:t>
      </w:r>
    </w:p>
    <w:p w14:paraId="24336167" w14:textId="4DC882AE" w:rsidR="004949BD" w:rsidRDefault="000966D1" w:rsidP="00E76FA1">
      <w:r>
        <w:t xml:space="preserve">A cohort of patients who were </w:t>
      </w:r>
      <w:r w:rsidR="0069623D">
        <w:t xml:space="preserve">issued their first approval for </w:t>
      </w:r>
      <w:r>
        <w:t xml:space="preserve">a </w:t>
      </w:r>
      <w:r w:rsidR="002F559B">
        <w:t>bDMD</w:t>
      </w:r>
      <w:r>
        <w:t xml:space="preserve"> in 2011 for each indication was obtained. This was to update the continuation analyses done for the </w:t>
      </w:r>
      <w:hyperlink r:id="rId24" w:history="1">
        <w:r w:rsidRPr="000966D1">
          <w:rPr>
            <w:rStyle w:val="Hyperlink"/>
          </w:rPr>
          <w:t>2015 DUSC review of Crohn disease</w:t>
        </w:r>
      </w:hyperlink>
      <w:r>
        <w:t xml:space="preserve">. </w:t>
      </w:r>
      <w:r w:rsidR="004E1FCF">
        <w:t>The number of approved Authorities was counted for each patient up to December 2016. The number of Authority approvals was truncated to 11 as this was the maximum expected amount that a patient would receive when first initiating in 2011.</w:t>
      </w:r>
    </w:p>
    <w:p w14:paraId="24104901" w14:textId="58082C8C" w:rsidR="00892B69" w:rsidRDefault="00892B69" w:rsidP="00E76FA1">
      <w:r>
        <w:t xml:space="preserve">The continuation on </w:t>
      </w:r>
      <w:r w:rsidR="002F559B">
        <w:t>bDMD</w:t>
      </w:r>
      <w:r>
        <w:t xml:space="preserve"> therapy was also examined for cohorts of patients initiating in 2014 for each indication. </w:t>
      </w:r>
      <w:r w:rsidR="00716CF7">
        <w:t xml:space="preserve">The number of approved Authorities was counted for each patient </w:t>
      </w:r>
      <w:r w:rsidR="00716CF7">
        <w:lastRenderedPageBreak/>
        <w:t>up to December 2016. The number of Authority approvals was truncated to 4 as this was the maximum expected amount that a patient would receive when first initiating in 2014.</w:t>
      </w:r>
    </w:p>
    <w:p w14:paraId="622C7253" w14:textId="5333579B" w:rsidR="004949BD" w:rsidRPr="00842710" w:rsidRDefault="00881981" w:rsidP="00E76FA1">
      <w:r>
        <w:t xml:space="preserve">Vedolizumab was first listed </w:t>
      </w:r>
      <w:r w:rsidR="0069623D">
        <w:t>from 1 August 2015. Continuation on vedolizumab was examined in a</w:t>
      </w:r>
      <w:r w:rsidR="007F4C8F">
        <w:t xml:space="preserve"> six month</w:t>
      </w:r>
      <w:r w:rsidR="0069623D">
        <w:t xml:space="preserve"> cohort of patients who received their initial approval </w:t>
      </w:r>
      <w:r w:rsidR="00143EEA">
        <w:t xml:space="preserve">for </w:t>
      </w:r>
      <w:r w:rsidR="0069623D">
        <w:t xml:space="preserve">this drug between </w:t>
      </w:r>
      <w:r w:rsidR="0069623D" w:rsidRPr="007F4C8F">
        <w:t>August 2015 to January 2016</w:t>
      </w:r>
      <w:r w:rsidR="00143EEA" w:rsidRPr="007F4C8F">
        <w:t>.</w:t>
      </w:r>
      <w:r w:rsidR="00143EEA" w:rsidRPr="007F4C8F">
        <w:rPr>
          <w:b/>
        </w:rPr>
        <w:t xml:space="preserve"> </w:t>
      </w:r>
      <w:r w:rsidR="007F4C8F">
        <w:t>The number of approved Authorities was counted for each patient up to a maximum of three Authority approvals. This was the maximum expected amount of Authority approvals that a patient within the six month initiating cohort would receive.</w:t>
      </w:r>
    </w:p>
    <w:p w14:paraId="601DB3CE" w14:textId="62CA45DE" w:rsidR="00F61D8D" w:rsidRPr="00F61D8D" w:rsidRDefault="00F61D8D" w:rsidP="00E76FA1">
      <w:pPr>
        <w:rPr>
          <w:rFonts w:eastAsia="Calibri" w:cs="Times New Roman"/>
          <w:b/>
        </w:rPr>
      </w:pPr>
      <w:r w:rsidRPr="00F61D8D">
        <w:rPr>
          <w:rFonts w:eastAsia="Calibri" w:cs="Times New Roman"/>
          <w:b/>
        </w:rPr>
        <w:t>Prior therapy</w:t>
      </w:r>
    </w:p>
    <w:p w14:paraId="77B4DC17" w14:textId="7A680B50" w:rsidR="001305B7" w:rsidRDefault="001305B7" w:rsidP="00E76FA1">
      <w:pPr>
        <w:rPr>
          <w:rFonts w:eastAsia="Calibri" w:cs="Times New Roman"/>
        </w:rPr>
      </w:pPr>
      <w:r>
        <w:rPr>
          <w:rFonts w:eastAsia="Calibri" w:cs="Times New Roman"/>
        </w:rPr>
        <w:t xml:space="preserve">All supply records for the </w:t>
      </w:r>
      <w:r w:rsidR="002F559B">
        <w:rPr>
          <w:rFonts w:eastAsia="Calibri" w:cs="Times New Roman"/>
        </w:rPr>
        <w:t>bDMD</w:t>
      </w:r>
      <w:r>
        <w:rPr>
          <w:rFonts w:eastAsia="Calibri" w:cs="Times New Roman"/>
        </w:rPr>
        <w:t xml:space="preserve"> listings for each Crohn disease indication and for prior therapy in their restrictions, including prednisone, prednisolone, azathioprine, mercaptopurine and methotrexate, were extracted from the DHS Prescriptions database from January 2005 to December 2016.</w:t>
      </w:r>
    </w:p>
    <w:p w14:paraId="0088CE81" w14:textId="474F680E" w:rsidR="009B2507" w:rsidRDefault="009B2507" w:rsidP="00E76FA1">
      <w:pPr>
        <w:rPr>
          <w:rFonts w:eastAsia="Calibri" w:cs="Times New Roman"/>
        </w:rPr>
      </w:pPr>
      <w:r>
        <w:rPr>
          <w:rFonts w:eastAsia="Calibri" w:cs="Times New Roman"/>
        </w:rPr>
        <w:t xml:space="preserve">Cohorts of patients first initiating on a </w:t>
      </w:r>
      <w:r w:rsidR="002F559B">
        <w:rPr>
          <w:rFonts w:eastAsia="Calibri" w:cs="Times New Roman"/>
        </w:rPr>
        <w:t>bDMD</w:t>
      </w:r>
      <w:r>
        <w:rPr>
          <w:rFonts w:eastAsia="Calibri" w:cs="Times New Roman"/>
        </w:rPr>
        <w:t xml:space="preserve"> for severe adult refractory Crohn disease, fistulising Crohn disease or paediatric Crohn disease</w:t>
      </w:r>
      <w:r w:rsidR="00C14F2D">
        <w:rPr>
          <w:rFonts w:eastAsia="Calibri" w:cs="Times New Roman"/>
        </w:rPr>
        <w:t xml:space="preserve"> in 2016 were obtained. The patient identifier for the initiating cohorts was used to identify the prior supply of a corticosteroid (prednisone, prednisolone) or immunosuppressive therapy (azathioprine, mercaptopurine or methotrexate).</w:t>
      </w:r>
    </w:p>
    <w:p w14:paraId="3B3EBC10" w14:textId="42EDDBD7" w:rsidR="007C3775" w:rsidRPr="00480B96" w:rsidRDefault="007C3775" w:rsidP="007C3775">
      <w:pPr>
        <w:rPr>
          <w:rFonts w:eastAsia="Calibri" w:cs="Times New Roman"/>
          <w:b/>
        </w:rPr>
      </w:pPr>
      <w:r>
        <w:rPr>
          <w:rFonts w:eastAsia="Calibri" w:cs="Times New Roman"/>
          <w:b/>
        </w:rPr>
        <w:t xml:space="preserve">Number of </w:t>
      </w:r>
      <w:r w:rsidR="005923F3">
        <w:rPr>
          <w:rFonts w:eastAsia="Calibri" w:cs="Times New Roman"/>
          <w:b/>
        </w:rPr>
        <w:t xml:space="preserve">packs, </w:t>
      </w:r>
      <w:r>
        <w:rPr>
          <w:rFonts w:eastAsia="Calibri" w:cs="Times New Roman"/>
          <w:b/>
        </w:rPr>
        <w:t>prescriptions and expenditure</w:t>
      </w:r>
    </w:p>
    <w:p w14:paraId="64354667" w14:textId="0F744655" w:rsidR="00480B96" w:rsidRDefault="007C3775" w:rsidP="00E76FA1">
      <w:r>
        <w:rPr>
          <w:rFonts w:eastAsia="Calibri" w:cs="Times New Roman"/>
        </w:rPr>
        <w:t xml:space="preserve">As noted above, the number of </w:t>
      </w:r>
      <w:r w:rsidR="005923F3">
        <w:rPr>
          <w:rFonts w:eastAsia="Calibri" w:cs="Times New Roman"/>
        </w:rPr>
        <w:t xml:space="preserve">packs </w:t>
      </w:r>
      <w:r>
        <w:rPr>
          <w:rFonts w:eastAsia="Calibri" w:cs="Times New Roman"/>
        </w:rPr>
        <w:t xml:space="preserve">and expenditure for infliximab prior to July 2013 was extracted from the DUSC HSD database. For adalimumab, vedolizumab and infliximab post July </w:t>
      </w:r>
      <w:r w:rsidR="00483E42">
        <w:rPr>
          <w:rFonts w:eastAsia="Calibri" w:cs="Times New Roman"/>
        </w:rPr>
        <w:t>2013,</w:t>
      </w:r>
      <w:r>
        <w:rPr>
          <w:rFonts w:eastAsia="Calibri" w:cs="Times New Roman"/>
        </w:rPr>
        <w:t xml:space="preserve"> the DHS Prescriptions database was used to obtain the prescriptions and expenditure data.</w:t>
      </w:r>
      <w:r w:rsidR="001C4F4C">
        <w:rPr>
          <w:rFonts w:eastAsia="Calibri" w:cs="Times New Roman"/>
        </w:rPr>
        <w:t xml:space="preserve"> </w:t>
      </w:r>
      <w:r w:rsidR="00483E42">
        <w:t>As this analysis used</w:t>
      </w:r>
      <w:r w:rsidR="001C4F4C">
        <w:t xml:space="preserve"> </w:t>
      </w:r>
      <w:r w:rsidR="00831BDA">
        <w:t xml:space="preserve">the </w:t>
      </w:r>
      <w:r w:rsidR="001C4F4C">
        <w:t>date of supply prescription data, there may be small differences compared with publicly available DHS Medicare date of processing data.</w:t>
      </w:r>
      <w:r w:rsidR="001C4F4C">
        <w:rPr>
          <w:rStyle w:val="FootnoteReference"/>
        </w:rPr>
        <w:footnoteReference w:id="4"/>
      </w:r>
      <w:r w:rsidR="001C4F4C">
        <w:t xml:space="preserve">  The publicly available DHS Medicare data only includes subsidised </w:t>
      </w:r>
      <w:r w:rsidR="005923F3">
        <w:t>Repatriation PBS and PBS (</w:t>
      </w:r>
      <w:r w:rsidR="001C4F4C">
        <w:t>R/PBS</w:t>
      </w:r>
      <w:r w:rsidR="005923F3">
        <w:t>)</w:t>
      </w:r>
      <w:r w:rsidR="001C4F4C">
        <w:t xml:space="preserve"> prescriptions with prescriptions under the patient co-payment not included.  The DHS Medicare d</w:t>
      </w:r>
      <w:r w:rsidR="00831BDA">
        <w:t>ata used in this report included</w:t>
      </w:r>
      <w:r w:rsidR="001C4F4C">
        <w:t xml:space="preserve"> under co-payment p</w:t>
      </w:r>
      <w:r w:rsidR="00121296">
        <w:t>rescriptions from 1</w:t>
      </w:r>
      <w:r w:rsidR="009F5411">
        <w:t> </w:t>
      </w:r>
      <w:r w:rsidR="00121296">
        <w:t>April 2012.</w:t>
      </w:r>
    </w:p>
    <w:p w14:paraId="33363A4C" w14:textId="77777777" w:rsidR="00D72F6A" w:rsidRDefault="00D72F6A" w:rsidP="00E76FA1"/>
    <w:p w14:paraId="42674A5A" w14:textId="77777777" w:rsidR="00D72F6A" w:rsidRDefault="00D72F6A" w:rsidP="00E76FA1"/>
    <w:p w14:paraId="0F9C493F" w14:textId="77777777" w:rsidR="00D72F6A" w:rsidRDefault="00D72F6A" w:rsidP="00E76FA1"/>
    <w:p w14:paraId="79B2B499" w14:textId="77777777" w:rsidR="00D72F6A" w:rsidRDefault="00D72F6A" w:rsidP="00E76FA1"/>
    <w:p w14:paraId="57C7530F" w14:textId="77777777" w:rsidR="00D72F6A" w:rsidRDefault="00D72F6A" w:rsidP="00E76FA1"/>
    <w:p w14:paraId="14CA3B7F" w14:textId="77777777" w:rsidR="00D72F6A" w:rsidRPr="00121296" w:rsidRDefault="00D72F6A" w:rsidP="00E76FA1"/>
    <w:p w14:paraId="4F91A98A" w14:textId="00180E30" w:rsidR="00C714D0" w:rsidRPr="005E22C2" w:rsidRDefault="00C714D0" w:rsidP="001F4906">
      <w:pPr>
        <w:pStyle w:val="Heading4"/>
      </w:pPr>
      <w:r w:rsidRPr="005E22C2">
        <w:lastRenderedPageBreak/>
        <w:t>Results</w:t>
      </w:r>
    </w:p>
    <w:p w14:paraId="2221FF19" w14:textId="336CE8B2" w:rsidR="00736041"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BA8D325" w14:textId="46809268" w:rsidR="00673C1B" w:rsidRDefault="00673C1B" w:rsidP="00EF647B">
      <w:pPr>
        <w:rPr>
          <w:b/>
          <w:i/>
        </w:rPr>
      </w:pPr>
      <w:r w:rsidRPr="00EF647B">
        <w:rPr>
          <w:b/>
          <w:i/>
        </w:rPr>
        <w:t>Patient numbers</w:t>
      </w:r>
    </w:p>
    <w:p w14:paraId="2696EA3E" w14:textId="16A168B1" w:rsidR="00FC3BFD" w:rsidRDefault="00FC3BFD" w:rsidP="00EF647B">
      <w:r>
        <w:t xml:space="preserve">To allow a comparison to the 2015 DUSC review on Crohn disease, incident and prevalent patient counts are presented based on Authority approval data. </w:t>
      </w:r>
    </w:p>
    <w:p w14:paraId="493A08AB" w14:textId="2B0E9F4B" w:rsidR="00FC3BFD" w:rsidRPr="00FC3BFD" w:rsidRDefault="00FC3BFD" w:rsidP="00EF647B">
      <w:r>
        <w:t xml:space="preserve">The </w:t>
      </w:r>
      <w:r w:rsidR="00D15259">
        <w:t xml:space="preserve">annual </w:t>
      </w:r>
      <w:r>
        <w:t xml:space="preserve">number of incident and prevalent patients treated </w:t>
      </w:r>
      <w:r w:rsidR="00D15259">
        <w:t>between 2014 and 2016</w:t>
      </w:r>
      <w:r w:rsidR="00AE4634">
        <w:t>,</w:t>
      </w:r>
      <w:r w:rsidR="00D15259">
        <w:t xml:space="preserve"> </w:t>
      </w:r>
      <w:r w:rsidR="00AE4634">
        <w:t>derived from the DHS P</w:t>
      </w:r>
      <w:r>
        <w:t>rescriptions</w:t>
      </w:r>
      <w:r w:rsidR="00AE4634">
        <w:t xml:space="preserve"> data,</w:t>
      </w:r>
      <w:r>
        <w:t xml:space="preserve"> are also presented.</w:t>
      </w:r>
    </w:p>
    <w:p w14:paraId="76A82235" w14:textId="2F89E76F" w:rsidR="002F55D4" w:rsidRDefault="00D8659C" w:rsidP="002F55D4">
      <w:pPr>
        <w:rPr>
          <w:u w:val="single"/>
        </w:rPr>
      </w:pPr>
      <w:r>
        <w:rPr>
          <w:u w:val="single"/>
        </w:rPr>
        <w:t>Adult</w:t>
      </w:r>
      <w:r w:rsidR="002F55D4">
        <w:rPr>
          <w:u w:val="single"/>
        </w:rPr>
        <w:t xml:space="preserve"> severe refractory Crohn disease</w:t>
      </w:r>
    </w:p>
    <w:p w14:paraId="622BA94F" w14:textId="715687D9" w:rsidR="00194C67" w:rsidRDefault="008F35E5" w:rsidP="00194C67">
      <w:pPr>
        <w:spacing w:after="0"/>
      </w:pPr>
      <w:r>
        <w:t xml:space="preserve">The number of prevalent patients supplied a </w:t>
      </w:r>
      <w:r w:rsidR="002F559B">
        <w:t>bDMD</w:t>
      </w:r>
      <w:r>
        <w:t xml:space="preserve"> for adult severe refractory Crohn disease had steadily increased from 2007 to 2016</w:t>
      </w:r>
      <w:r w:rsidR="00150DCE">
        <w:t xml:space="preserve"> (Figure 1</w:t>
      </w:r>
      <w:r>
        <w:t xml:space="preserve">). </w:t>
      </w:r>
      <w:r w:rsidR="00E410D3">
        <w:t xml:space="preserve">The number of patients treated with a </w:t>
      </w:r>
      <w:r w:rsidR="002F559B">
        <w:t>bDMD</w:t>
      </w:r>
      <w:r w:rsidR="00E410D3">
        <w:t xml:space="preserve"> had increased on average by 15% per year from 2013. </w:t>
      </w:r>
      <w:r>
        <w:t>The number of incident patients was relatively stable from 2009 to 2014 but incr</w:t>
      </w:r>
      <w:r w:rsidR="00150DCE">
        <w:t>eased in 2015 and 2016 (Figure 1</w:t>
      </w:r>
      <w:r>
        <w:t>). Some of the increase in the number of initiators from 2015 may relate to</w:t>
      </w:r>
      <w:r w:rsidR="00194C67">
        <w:t>:</w:t>
      </w:r>
    </w:p>
    <w:p w14:paraId="1DD4460C" w14:textId="6CDB3D40" w:rsidR="006D6C79" w:rsidRDefault="008F35E5" w:rsidP="00F61FEA">
      <w:pPr>
        <w:pStyle w:val="ListParagraph"/>
        <w:numPr>
          <w:ilvl w:val="0"/>
          <w:numId w:val="16"/>
        </w:numPr>
        <w:spacing w:after="0"/>
      </w:pPr>
      <w:r>
        <w:t xml:space="preserve">the higher number of initiations seen in the paediatric patients from 2013 </w:t>
      </w:r>
      <w:r w:rsidR="0067398D">
        <w:t>(Figure 3</w:t>
      </w:r>
      <w:r>
        <w:t xml:space="preserve">) who subsequently initiate on an adult </w:t>
      </w:r>
      <w:r w:rsidR="002F559B">
        <w:t>bDMD</w:t>
      </w:r>
      <w:r>
        <w:t xml:space="preserve"> listing. Of the initiators to an adult </w:t>
      </w:r>
      <w:r w:rsidR="002F559B">
        <w:t>bDMD</w:t>
      </w:r>
      <w:r>
        <w:t xml:space="preserve"> listing for severe Crohn disease in 2015</w:t>
      </w:r>
      <w:r w:rsidR="00C362F6">
        <w:t xml:space="preserve"> and 2016</w:t>
      </w:r>
      <w:r>
        <w:t xml:space="preserve">, 15% </w:t>
      </w:r>
      <w:r w:rsidR="00C362F6">
        <w:t xml:space="preserve">and 10% respectively </w:t>
      </w:r>
      <w:r>
        <w:t xml:space="preserve">had previously received a supply </w:t>
      </w:r>
      <w:r w:rsidR="00F61FEA">
        <w:t xml:space="preserve">for a paediatric </w:t>
      </w:r>
      <w:r w:rsidR="002F559B">
        <w:t>bDMD</w:t>
      </w:r>
      <w:r w:rsidR="00F61FEA">
        <w:t xml:space="preserve"> listing; and</w:t>
      </w:r>
    </w:p>
    <w:p w14:paraId="273C239D" w14:textId="19518CAB" w:rsidR="00804015" w:rsidRPr="00B62B1A" w:rsidRDefault="00905ED0" w:rsidP="00F61FEA">
      <w:pPr>
        <w:pStyle w:val="ListParagraph"/>
        <w:numPr>
          <w:ilvl w:val="0"/>
          <w:numId w:val="16"/>
        </w:numPr>
        <w:spacing w:after="0"/>
      </w:pPr>
      <w:r w:rsidRPr="009437FA">
        <w:t>a modest number of patients in the long term extension study of vedolizumab (C13008) being ‘grandfathered’ after PBS listing on 1 August 2015</w:t>
      </w:r>
      <w:r w:rsidRPr="00B62B1A" w:rsidDel="00905ED0">
        <w:rPr>
          <w:bCs/>
          <w:snapToGrid w:val="0"/>
          <w:szCs w:val="22"/>
          <w:lang w:val="en-GB"/>
        </w:rPr>
        <w:t xml:space="preserve"> </w:t>
      </w:r>
      <w:r w:rsidR="00804015" w:rsidRPr="00B62B1A">
        <w:rPr>
          <w:bCs/>
          <w:snapToGrid w:val="0"/>
          <w:szCs w:val="22"/>
          <w:lang w:val="en-GB"/>
        </w:rPr>
        <w:t>(</w:t>
      </w:r>
      <w:hyperlink r:id="rId25" w:history="1">
        <w:r w:rsidR="00804015" w:rsidRPr="00B62B1A">
          <w:rPr>
            <w:rStyle w:val="Hyperlink"/>
            <w:bCs/>
            <w:snapToGrid w:val="0"/>
            <w:szCs w:val="22"/>
            <w:lang w:val="en-GB"/>
          </w:rPr>
          <w:t xml:space="preserve">Public Summary Document, </w:t>
        </w:r>
        <w:proofErr w:type="spellStart"/>
        <w:r w:rsidR="00804015" w:rsidRPr="00B62B1A">
          <w:rPr>
            <w:rStyle w:val="Hyperlink"/>
            <w:bCs/>
            <w:snapToGrid w:val="0"/>
            <w:szCs w:val="22"/>
            <w:lang w:val="en-GB"/>
          </w:rPr>
          <w:t>vedolizumab</w:t>
        </w:r>
        <w:proofErr w:type="spellEnd"/>
        <w:r w:rsidR="00804015" w:rsidRPr="00B62B1A">
          <w:rPr>
            <w:rStyle w:val="Hyperlink"/>
            <w:bCs/>
            <w:snapToGrid w:val="0"/>
            <w:szCs w:val="22"/>
            <w:lang w:val="en-GB"/>
          </w:rPr>
          <w:t>, March 2015</w:t>
        </w:r>
      </w:hyperlink>
      <w:r w:rsidR="00804015" w:rsidRPr="00B62B1A">
        <w:rPr>
          <w:bCs/>
          <w:snapToGrid w:val="0"/>
          <w:szCs w:val="22"/>
          <w:lang w:val="en-GB"/>
        </w:rPr>
        <w:t>).</w:t>
      </w:r>
    </w:p>
    <w:p w14:paraId="1E88EDBE" w14:textId="77777777" w:rsidR="006D7BD8" w:rsidRPr="006D6C79" w:rsidRDefault="006D7BD8" w:rsidP="006D7BD8">
      <w:pPr>
        <w:pStyle w:val="ListParagraph"/>
        <w:spacing w:after="0"/>
        <w:ind w:left="360"/>
      </w:pPr>
    </w:p>
    <w:p w14:paraId="67100AAD" w14:textId="43EDF2BB" w:rsidR="00924003" w:rsidRDefault="000C4B7F" w:rsidP="00924003">
      <w:r>
        <w:rPr>
          <w:noProof/>
        </w:rPr>
        <w:drawing>
          <wp:inline distT="0" distB="0" distL="0" distR="0" wp14:anchorId="71D69CF6" wp14:editId="778EEDB9">
            <wp:extent cx="5314950" cy="2367337"/>
            <wp:effectExtent l="0" t="0" r="0" b="0"/>
            <wp:docPr id="23" name="Picture 23" descr="Graph of patients, both new and total, by year" title="Number of patients receiving an Authority approval for severe adult refractory Crohn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0278" cy="2369710"/>
                    </a:xfrm>
                    <a:prstGeom prst="rect">
                      <a:avLst/>
                    </a:prstGeom>
                    <a:noFill/>
                  </pic:spPr>
                </pic:pic>
              </a:graphicData>
            </a:graphic>
          </wp:inline>
        </w:drawing>
      </w:r>
    </w:p>
    <w:p w14:paraId="331321EA" w14:textId="38D2C151" w:rsidR="002F55D4" w:rsidRDefault="00E24598" w:rsidP="009F5411">
      <w:pPr>
        <w:spacing w:before="60" w:after="60"/>
        <w:rPr>
          <w:rStyle w:val="FigurecaptionChar"/>
        </w:rPr>
      </w:pPr>
      <w:r w:rsidRPr="00780DCD">
        <w:rPr>
          <w:rStyle w:val="FiguretitleChar"/>
          <w:rFonts w:asciiTheme="minorHAnsi" w:hAnsiTheme="minorHAnsi"/>
        </w:rPr>
        <w:t xml:space="preserve">Figure </w:t>
      </w:r>
      <w:r w:rsidR="00150DCE">
        <w:rPr>
          <w:rStyle w:val="FiguretitleChar"/>
          <w:rFonts w:asciiTheme="minorHAnsi" w:hAnsiTheme="minorHAnsi"/>
        </w:rPr>
        <w:t>1</w:t>
      </w:r>
      <w:r w:rsidRPr="00780DCD">
        <w:rPr>
          <w:rStyle w:val="FiguretitleChar"/>
          <w:rFonts w:asciiTheme="minorHAnsi" w:hAnsiTheme="minorHAnsi"/>
        </w:rPr>
        <w:t xml:space="preserve">: </w:t>
      </w:r>
      <w:r w:rsidR="00C72FEB">
        <w:rPr>
          <w:rStyle w:val="FiguretitleChar"/>
          <w:rFonts w:asciiTheme="minorHAnsi" w:hAnsiTheme="minorHAnsi"/>
        </w:rPr>
        <w:t>Number of patients receiving an Authority approval for s</w:t>
      </w:r>
      <w:r w:rsidR="00102680">
        <w:rPr>
          <w:rStyle w:val="FiguretitleChar"/>
          <w:rFonts w:asciiTheme="minorHAnsi" w:hAnsiTheme="minorHAnsi"/>
        </w:rPr>
        <w:t xml:space="preserve">evere </w:t>
      </w:r>
      <w:r w:rsidR="00120AC1">
        <w:rPr>
          <w:rStyle w:val="FiguretitleChar"/>
          <w:rFonts w:asciiTheme="minorHAnsi" w:hAnsiTheme="minorHAnsi"/>
        </w:rPr>
        <w:t xml:space="preserve">adult </w:t>
      </w:r>
      <w:r w:rsidR="00102680">
        <w:rPr>
          <w:rStyle w:val="FiguretitleChar"/>
          <w:rFonts w:asciiTheme="minorHAnsi" w:hAnsiTheme="minorHAnsi"/>
        </w:rPr>
        <w:t xml:space="preserve">refractory Crohn disease </w:t>
      </w:r>
      <w:r>
        <w:rPr>
          <w:rStyle w:val="FiguretitleChar"/>
          <w:rFonts w:asciiTheme="minorHAnsi" w:hAnsiTheme="minorHAnsi"/>
        </w:rPr>
        <w:br/>
      </w:r>
      <w:r w:rsidRPr="00780DCD">
        <w:rPr>
          <w:rStyle w:val="FigurecaptionChar"/>
        </w:rPr>
        <w:t>Source: DHS Authority appro</w:t>
      </w:r>
      <w:r>
        <w:rPr>
          <w:rStyle w:val="FigurecaptionChar"/>
        </w:rPr>
        <w:t>vals database, accessed April 2017</w:t>
      </w:r>
      <w:r w:rsidRPr="00780DCD">
        <w:rPr>
          <w:rStyle w:val="FigurecaptionChar"/>
        </w:rPr>
        <w:t xml:space="preserve">. </w:t>
      </w:r>
    </w:p>
    <w:p w14:paraId="37D0FD44" w14:textId="77777777" w:rsidR="005923F3" w:rsidRDefault="005923F3">
      <w:pPr>
        <w:spacing w:line="276" w:lineRule="auto"/>
        <w:rPr>
          <w:b/>
        </w:rPr>
      </w:pPr>
      <w:r>
        <w:br w:type="page"/>
      </w:r>
    </w:p>
    <w:p w14:paraId="7FFA263F" w14:textId="1FA1C517" w:rsidR="00014F4C" w:rsidRPr="002C449C" w:rsidRDefault="002C449C" w:rsidP="009F5411">
      <w:pPr>
        <w:pStyle w:val="Tabletitle"/>
        <w:spacing w:before="200"/>
        <w:rPr>
          <w:rStyle w:val="FigurecaptionChar"/>
          <w:sz w:val="24"/>
          <w:szCs w:val="24"/>
          <w:lang w:eastAsia="en-AU"/>
        </w:rPr>
      </w:pPr>
      <w:r>
        <w:lastRenderedPageBreak/>
        <w:t>Table 2</w:t>
      </w:r>
      <w:r w:rsidRPr="00731076">
        <w:t xml:space="preserve">: </w:t>
      </w:r>
      <w:r w:rsidR="00BB4AA8">
        <w:t xml:space="preserve">Number of patients supplied a </w:t>
      </w:r>
      <w:r w:rsidR="002F559B">
        <w:t>bDMD</w:t>
      </w:r>
      <w:r>
        <w:t xml:space="preserve"> for severe adult refractory Crohn disease in 2014, 2015 and 2016</w:t>
      </w:r>
      <w:r w:rsidRPr="00731076">
        <w:t xml:space="preserve">  </w:t>
      </w:r>
    </w:p>
    <w:tbl>
      <w:tblPr>
        <w:tblW w:w="5900" w:type="dxa"/>
        <w:tblInd w:w="93" w:type="dxa"/>
        <w:tblLook w:val="04A0" w:firstRow="1" w:lastRow="0" w:firstColumn="1" w:lastColumn="0" w:noHBand="0" w:noVBand="1"/>
      </w:tblPr>
      <w:tblGrid>
        <w:gridCol w:w="2320"/>
        <w:gridCol w:w="1239"/>
        <w:gridCol w:w="1134"/>
        <w:gridCol w:w="1207"/>
      </w:tblGrid>
      <w:tr w:rsidR="00076E4B" w:rsidRPr="00076E4B" w14:paraId="40CA7AB5" w14:textId="77777777" w:rsidTr="00764825">
        <w:trPr>
          <w:trHeight w:val="300"/>
        </w:trPr>
        <w:tc>
          <w:tcPr>
            <w:tcW w:w="2320" w:type="dxa"/>
            <w:tcBorders>
              <w:top w:val="nil"/>
              <w:left w:val="nil"/>
              <w:bottom w:val="nil"/>
              <w:right w:val="nil"/>
            </w:tcBorders>
            <w:shd w:val="clear" w:color="auto" w:fill="auto"/>
            <w:noWrap/>
            <w:vAlign w:val="bottom"/>
            <w:hideMark/>
          </w:tcPr>
          <w:p w14:paraId="01CFC327" w14:textId="77777777" w:rsidR="00076E4B" w:rsidRPr="00C652E1" w:rsidRDefault="00076E4B" w:rsidP="00C652E1">
            <w:pPr>
              <w:spacing w:after="0"/>
              <w:jc w:val="center"/>
              <w:rPr>
                <w:rFonts w:eastAsia="Times New Roman" w:cs="Times New Roman"/>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A7E6917" w14:textId="77777777" w:rsidR="00076E4B" w:rsidRPr="00C652E1" w:rsidRDefault="00076E4B" w:rsidP="00764825">
            <w:pPr>
              <w:spacing w:after="0"/>
              <w:jc w:val="center"/>
              <w:rPr>
                <w:rFonts w:eastAsia="Times New Roman" w:cs="Times New Roman"/>
                <w:b/>
                <w:bCs/>
                <w:sz w:val="20"/>
                <w:szCs w:val="20"/>
              </w:rPr>
            </w:pPr>
            <w:r w:rsidRPr="00C652E1">
              <w:rPr>
                <w:rFonts w:eastAsia="Times New Roman" w:cs="Times New Roman"/>
                <w:b/>
                <w:bCs/>
                <w:sz w:val="20"/>
                <w:szCs w:val="20"/>
              </w:rPr>
              <w:t>2014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925A7D" w14:textId="77777777" w:rsidR="00076E4B" w:rsidRPr="00C652E1" w:rsidRDefault="00076E4B" w:rsidP="00764825">
            <w:pPr>
              <w:spacing w:after="0"/>
              <w:jc w:val="center"/>
              <w:rPr>
                <w:rFonts w:eastAsia="Times New Roman" w:cs="Times New Roman"/>
                <w:b/>
                <w:bCs/>
                <w:sz w:val="20"/>
                <w:szCs w:val="20"/>
              </w:rPr>
            </w:pPr>
            <w:r w:rsidRPr="00C652E1">
              <w:rPr>
                <w:rFonts w:eastAsia="Times New Roman" w:cs="Times New Roman"/>
                <w:b/>
                <w:bCs/>
                <w:sz w:val="20"/>
                <w:szCs w:val="20"/>
              </w:rPr>
              <w:t>2015</w:t>
            </w:r>
          </w:p>
        </w:tc>
        <w:tc>
          <w:tcPr>
            <w:tcW w:w="120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FA67B06" w14:textId="77777777" w:rsidR="00076E4B" w:rsidRPr="00C652E1" w:rsidRDefault="00076E4B" w:rsidP="00764825">
            <w:pPr>
              <w:spacing w:after="0"/>
              <w:jc w:val="center"/>
              <w:rPr>
                <w:rFonts w:eastAsia="Times New Roman" w:cs="Times New Roman"/>
                <w:b/>
                <w:bCs/>
                <w:sz w:val="20"/>
                <w:szCs w:val="20"/>
              </w:rPr>
            </w:pPr>
            <w:r w:rsidRPr="00C652E1">
              <w:rPr>
                <w:rFonts w:eastAsia="Times New Roman" w:cs="Times New Roman"/>
                <w:b/>
                <w:bCs/>
                <w:sz w:val="20"/>
                <w:szCs w:val="20"/>
              </w:rPr>
              <w:t>2016</w:t>
            </w:r>
          </w:p>
        </w:tc>
      </w:tr>
      <w:tr w:rsidR="00076E4B" w:rsidRPr="00076E4B" w14:paraId="5B032E0A" w14:textId="77777777" w:rsidTr="00764825">
        <w:trPr>
          <w:trHeight w:val="300"/>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32D25051" w14:textId="1481409D" w:rsidR="00076E4B" w:rsidRPr="00C652E1" w:rsidRDefault="00076E4B" w:rsidP="00764825">
            <w:pPr>
              <w:spacing w:after="0"/>
              <w:rPr>
                <w:rFonts w:eastAsia="Times New Roman" w:cs="Times New Roman"/>
                <w:b/>
                <w:bCs/>
                <w:sz w:val="20"/>
                <w:szCs w:val="20"/>
              </w:rPr>
            </w:pPr>
            <w:r w:rsidRPr="00C652E1">
              <w:rPr>
                <w:rFonts w:eastAsia="Times New Roman" w:cs="Times New Roman"/>
                <w:b/>
                <w:bCs/>
                <w:sz w:val="20"/>
                <w:szCs w:val="20"/>
              </w:rPr>
              <w:t xml:space="preserve">All </w:t>
            </w:r>
            <w:r w:rsidR="002F559B">
              <w:rPr>
                <w:rFonts w:eastAsia="Times New Roman" w:cs="Times New Roman"/>
                <w:b/>
                <w:bCs/>
                <w:sz w:val="20"/>
                <w:szCs w:val="20"/>
              </w:rPr>
              <w:t>bDMD</w:t>
            </w:r>
            <w:r w:rsidRPr="00C652E1">
              <w:rPr>
                <w:rFonts w:eastAsia="Times New Roman" w:cs="Times New Roman"/>
                <w:b/>
                <w:bCs/>
                <w:sz w:val="20"/>
                <w:szCs w:val="20"/>
              </w:rPr>
              <w:t xml:space="preserve"> drugs</w:t>
            </w:r>
          </w:p>
        </w:tc>
        <w:tc>
          <w:tcPr>
            <w:tcW w:w="1239" w:type="dxa"/>
            <w:tcBorders>
              <w:top w:val="nil"/>
              <w:left w:val="nil"/>
              <w:bottom w:val="single" w:sz="4" w:space="0" w:color="auto"/>
              <w:right w:val="nil"/>
            </w:tcBorders>
            <w:shd w:val="clear" w:color="auto" w:fill="auto"/>
            <w:noWrap/>
            <w:vAlign w:val="bottom"/>
            <w:hideMark/>
          </w:tcPr>
          <w:p w14:paraId="495FEFBE" w14:textId="45D8ED45" w:rsidR="00076E4B" w:rsidRPr="00C652E1" w:rsidRDefault="00076E4B" w:rsidP="00C652E1">
            <w:pPr>
              <w:spacing w:after="0"/>
              <w:jc w:val="center"/>
              <w:rPr>
                <w:rFonts w:eastAsia="Times New Roman" w:cs="Times New Roman"/>
                <w:sz w:val="20"/>
                <w:szCs w:val="20"/>
              </w:rPr>
            </w:pPr>
          </w:p>
        </w:tc>
        <w:tc>
          <w:tcPr>
            <w:tcW w:w="1134" w:type="dxa"/>
            <w:tcBorders>
              <w:top w:val="nil"/>
              <w:left w:val="nil"/>
              <w:bottom w:val="single" w:sz="4" w:space="0" w:color="auto"/>
              <w:right w:val="nil"/>
            </w:tcBorders>
            <w:shd w:val="clear" w:color="auto" w:fill="auto"/>
            <w:noWrap/>
            <w:vAlign w:val="bottom"/>
            <w:hideMark/>
          </w:tcPr>
          <w:p w14:paraId="007D2E55" w14:textId="2E1356B8" w:rsidR="00076E4B" w:rsidRPr="00C652E1" w:rsidRDefault="00076E4B" w:rsidP="00C652E1">
            <w:pPr>
              <w:spacing w:after="0"/>
              <w:jc w:val="center"/>
              <w:rPr>
                <w:rFonts w:eastAsia="Times New Roman" w:cs="Times New Roman"/>
                <w:sz w:val="20"/>
                <w:szCs w:val="20"/>
              </w:rPr>
            </w:pPr>
          </w:p>
        </w:tc>
        <w:tc>
          <w:tcPr>
            <w:tcW w:w="1207" w:type="dxa"/>
            <w:tcBorders>
              <w:top w:val="nil"/>
              <w:left w:val="nil"/>
              <w:bottom w:val="single" w:sz="4" w:space="0" w:color="auto"/>
              <w:right w:val="single" w:sz="4" w:space="0" w:color="auto"/>
            </w:tcBorders>
            <w:shd w:val="clear" w:color="auto" w:fill="auto"/>
            <w:noWrap/>
            <w:vAlign w:val="bottom"/>
            <w:hideMark/>
          </w:tcPr>
          <w:p w14:paraId="5D673257" w14:textId="36F2A4D7" w:rsidR="00076E4B" w:rsidRPr="00C652E1" w:rsidRDefault="00076E4B" w:rsidP="00C652E1">
            <w:pPr>
              <w:spacing w:after="0"/>
              <w:jc w:val="center"/>
              <w:rPr>
                <w:rFonts w:eastAsia="Times New Roman" w:cs="Times New Roman"/>
                <w:sz w:val="20"/>
                <w:szCs w:val="20"/>
              </w:rPr>
            </w:pPr>
          </w:p>
        </w:tc>
      </w:tr>
      <w:tr w:rsidR="00076E4B" w:rsidRPr="00076E4B" w14:paraId="6E6F8760"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240A134C" w14:textId="7268D76D"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Incident</w:t>
            </w:r>
            <w:r w:rsidR="005517A8">
              <w:rPr>
                <w:rFonts w:eastAsia="Times New Roman" w:cs="Times New Roman"/>
                <w:b/>
                <w:bCs/>
                <w:sz w:val="20"/>
                <w:szCs w:val="20"/>
                <w:vertAlign w:val="superscript"/>
              </w:rPr>
              <w:t>1</w:t>
            </w:r>
          </w:p>
        </w:tc>
        <w:tc>
          <w:tcPr>
            <w:tcW w:w="1239" w:type="dxa"/>
            <w:tcBorders>
              <w:top w:val="nil"/>
              <w:left w:val="nil"/>
              <w:bottom w:val="single" w:sz="4" w:space="0" w:color="auto"/>
              <w:right w:val="single" w:sz="4" w:space="0" w:color="auto"/>
            </w:tcBorders>
            <w:shd w:val="clear" w:color="auto" w:fill="auto"/>
            <w:noWrap/>
            <w:vAlign w:val="center"/>
            <w:hideMark/>
          </w:tcPr>
          <w:p w14:paraId="31930009" w14:textId="4C7C7FCE"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1,049</w:t>
            </w:r>
          </w:p>
        </w:tc>
        <w:tc>
          <w:tcPr>
            <w:tcW w:w="1134" w:type="dxa"/>
            <w:tcBorders>
              <w:top w:val="nil"/>
              <w:left w:val="nil"/>
              <w:bottom w:val="single" w:sz="4" w:space="0" w:color="auto"/>
              <w:right w:val="single" w:sz="4" w:space="0" w:color="auto"/>
            </w:tcBorders>
            <w:shd w:val="clear" w:color="auto" w:fill="auto"/>
            <w:noWrap/>
            <w:vAlign w:val="center"/>
            <w:hideMark/>
          </w:tcPr>
          <w:p w14:paraId="6F75204D" w14:textId="2F7C71CA"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1,236</w:t>
            </w:r>
          </w:p>
        </w:tc>
        <w:tc>
          <w:tcPr>
            <w:tcW w:w="1207" w:type="dxa"/>
            <w:tcBorders>
              <w:top w:val="nil"/>
              <w:left w:val="nil"/>
              <w:bottom w:val="single" w:sz="4" w:space="0" w:color="auto"/>
              <w:right w:val="single" w:sz="4" w:space="0" w:color="auto"/>
            </w:tcBorders>
            <w:shd w:val="clear" w:color="auto" w:fill="auto"/>
            <w:noWrap/>
            <w:vAlign w:val="center"/>
            <w:hideMark/>
          </w:tcPr>
          <w:p w14:paraId="7B650B4D" w14:textId="42AB2687" w:rsidR="00076E4B" w:rsidRPr="00C652E1" w:rsidRDefault="00B6177B" w:rsidP="00764825">
            <w:pPr>
              <w:spacing w:after="0"/>
              <w:jc w:val="center"/>
              <w:rPr>
                <w:rFonts w:eastAsia="Times New Roman" w:cs="Times New Roman"/>
                <w:sz w:val="20"/>
                <w:szCs w:val="20"/>
              </w:rPr>
            </w:pPr>
            <w:r>
              <w:rPr>
                <w:rFonts w:eastAsia="Times New Roman" w:cs="Times New Roman"/>
                <w:sz w:val="20"/>
                <w:szCs w:val="20"/>
              </w:rPr>
              <w:t>1,373</w:t>
            </w:r>
          </w:p>
        </w:tc>
      </w:tr>
      <w:tr w:rsidR="00076E4B" w:rsidRPr="00076E4B" w14:paraId="6D47E18E"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47A95833" w14:textId="77777777"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Prevalent</w:t>
            </w:r>
          </w:p>
        </w:tc>
        <w:tc>
          <w:tcPr>
            <w:tcW w:w="1239" w:type="dxa"/>
            <w:tcBorders>
              <w:top w:val="nil"/>
              <w:left w:val="nil"/>
              <w:bottom w:val="single" w:sz="4" w:space="0" w:color="auto"/>
              <w:right w:val="single" w:sz="4" w:space="0" w:color="auto"/>
            </w:tcBorders>
            <w:shd w:val="clear" w:color="auto" w:fill="auto"/>
            <w:noWrap/>
            <w:vAlign w:val="center"/>
            <w:hideMark/>
          </w:tcPr>
          <w:p w14:paraId="46A96CC7" w14:textId="5834C040"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5,323</w:t>
            </w:r>
          </w:p>
        </w:tc>
        <w:tc>
          <w:tcPr>
            <w:tcW w:w="1134" w:type="dxa"/>
            <w:tcBorders>
              <w:top w:val="nil"/>
              <w:left w:val="nil"/>
              <w:bottom w:val="single" w:sz="4" w:space="0" w:color="auto"/>
              <w:right w:val="single" w:sz="4" w:space="0" w:color="auto"/>
            </w:tcBorders>
            <w:shd w:val="clear" w:color="auto" w:fill="auto"/>
            <w:noWrap/>
            <w:vAlign w:val="center"/>
            <w:hideMark/>
          </w:tcPr>
          <w:p w14:paraId="6CBED65F" w14:textId="3D724B23"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6,332</w:t>
            </w:r>
          </w:p>
        </w:tc>
        <w:tc>
          <w:tcPr>
            <w:tcW w:w="1207" w:type="dxa"/>
            <w:tcBorders>
              <w:top w:val="nil"/>
              <w:left w:val="nil"/>
              <w:bottom w:val="single" w:sz="4" w:space="0" w:color="auto"/>
              <w:right w:val="single" w:sz="4" w:space="0" w:color="auto"/>
            </w:tcBorders>
            <w:shd w:val="clear" w:color="auto" w:fill="auto"/>
            <w:noWrap/>
            <w:vAlign w:val="center"/>
            <w:hideMark/>
          </w:tcPr>
          <w:p w14:paraId="7032F0AC" w14:textId="3297D455"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7,505</w:t>
            </w:r>
          </w:p>
        </w:tc>
      </w:tr>
      <w:tr w:rsidR="00076E4B" w:rsidRPr="00076E4B" w14:paraId="755273C9"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79A4F427" w14:textId="77777777" w:rsidR="00076E4B" w:rsidRPr="00C652E1" w:rsidRDefault="00076E4B" w:rsidP="00764825">
            <w:pPr>
              <w:spacing w:after="0"/>
              <w:rPr>
                <w:rFonts w:eastAsia="Times New Roman" w:cs="Times New Roman"/>
                <w:b/>
                <w:bCs/>
                <w:sz w:val="20"/>
                <w:szCs w:val="20"/>
              </w:rPr>
            </w:pPr>
            <w:r w:rsidRPr="00C652E1">
              <w:rPr>
                <w:rFonts w:eastAsia="Times New Roman" w:cs="Times New Roman"/>
                <w:b/>
                <w:bCs/>
                <w:sz w:val="20"/>
                <w:szCs w:val="20"/>
              </w:rPr>
              <w:t>By drug:</w:t>
            </w:r>
          </w:p>
        </w:tc>
        <w:tc>
          <w:tcPr>
            <w:tcW w:w="1239" w:type="dxa"/>
            <w:tcBorders>
              <w:top w:val="nil"/>
              <w:left w:val="nil"/>
              <w:bottom w:val="single" w:sz="4" w:space="0" w:color="auto"/>
              <w:right w:val="nil"/>
            </w:tcBorders>
            <w:shd w:val="clear" w:color="auto" w:fill="auto"/>
            <w:noWrap/>
            <w:vAlign w:val="center"/>
            <w:hideMark/>
          </w:tcPr>
          <w:p w14:paraId="483767D7" w14:textId="05B98C7C" w:rsidR="00076E4B" w:rsidRPr="00C652E1" w:rsidRDefault="00076E4B" w:rsidP="00764825">
            <w:pPr>
              <w:spacing w:after="0"/>
              <w:jc w:val="center"/>
              <w:rPr>
                <w:rFonts w:eastAsia="Times New Roman" w:cs="Times New Roman"/>
                <w:b/>
                <w:bCs/>
                <w:sz w:val="20"/>
                <w:szCs w:val="20"/>
              </w:rPr>
            </w:pPr>
          </w:p>
        </w:tc>
        <w:tc>
          <w:tcPr>
            <w:tcW w:w="1134" w:type="dxa"/>
            <w:tcBorders>
              <w:top w:val="nil"/>
              <w:left w:val="nil"/>
              <w:bottom w:val="single" w:sz="4" w:space="0" w:color="auto"/>
              <w:right w:val="nil"/>
            </w:tcBorders>
            <w:shd w:val="clear" w:color="auto" w:fill="auto"/>
            <w:noWrap/>
            <w:vAlign w:val="center"/>
            <w:hideMark/>
          </w:tcPr>
          <w:p w14:paraId="10977DB2" w14:textId="3A4F2F17" w:rsidR="00076E4B" w:rsidRPr="00C652E1" w:rsidRDefault="00076E4B" w:rsidP="00764825">
            <w:pPr>
              <w:spacing w:after="0"/>
              <w:jc w:val="center"/>
              <w:rPr>
                <w:rFonts w:eastAsia="Times New Roman" w:cs="Times New Roman"/>
                <w:b/>
                <w:bCs/>
                <w:sz w:val="20"/>
                <w:szCs w:val="20"/>
              </w:rPr>
            </w:pPr>
          </w:p>
        </w:tc>
        <w:tc>
          <w:tcPr>
            <w:tcW w:w="1207" w:type="dxa"/>
            <w:tcBorders>
              <w:top w:val="nil"/>
              <w:left w:val="nil"/>
              <w:bottom w:val="single" w:sz="4" w:space="0" w:color="auto"/>
              <w:right w:val="single" w:sz="4" w:space="0" w:color="auto"/>
            </w:tcBorders>
            <w:shd w:val="clear" w:color="auto" w:fill="auto"/>
            <w:noWrap/>
            <w:vAlign w:val="center"/>
            <w:hideMark/>
          </w:tcPr>
          <w:p w14:paraId="1EBDE04C" w14:textId="0ACE481F" w:rsidR="00076E4B" w:rsidRPr="00C652E1" w:rsidRDefault="00076E4B" w:rsidP="00764825">
            <w:pPr>
              <w:spacing w:after="0"/>
              <w:jc w:val="center"/>
              <w:rPr>
                <w:rFonts w:eastAsia="Times New Roman" w:cs="Times New Roman"/>
                <w:b/>
                <w:bCs/>
                <w:sz w:val="20"/>
                <w:szCs w:val="20"/>
              </w:rPr>
            </w:pPr>
          </w:p>
        </w:tc>
      </w:tr>
      <w:tr w:rsidR="00076E4B" w:rsidRPr="00076E4B" w14:paraId="1467E6CA"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7730DE5A" w14:textId="77777777" w:rsidR="00076E4B" w:rsidRPr="00C652E1" w:rsidRDefault="00076E4B" w:rsidP="00764825">
            <w:pPr>
              <w:spacing w:after="0"/>
              <w:rPr>
                <w:rFonts w:eastAsia="Times New Roman" w:cs="Times New Roman"/>
                <w:b/>
                <w:bCs/>
                <w:sz w:val="20"/>
                <w:szCs w:val="20"/>
              </w:rPr>
            </w:pPr>
            <w:r w:rsidRPr="00C652E1">
              <w:rPr>
                <w:rFonts w:eastAsia="Times New Roman" w:cs="Times New Roman"/>
                <w:b/>
                <w:bCs/>
                <w:sz w:val="20"/>
                <w:szCs w:val="20"/>
              </w:rPr>
              <w:t>Adalimumab</w:t>
            </w:r>
          </w:p>
        </w:tc>
        <w:tc>
          <w:tcPr>
            <w:tcW w:w="1239" w:type="dxa"/>
            <w:tcBorders>
              <w:top w:val="nil"/>
              <w:left w:val="nil"/>
              <w:bottom w:val="single" w:sz="4" w:space="0" w:color="auto"/>
              <w:right w:val="nil"/>
            </w:tcBorders>
            <w:shd w:val="clear" w:color="auto" w:fill="auto"/>
            <w:noWrap/>
            <w:vAlign w:val="center"/>
            <w:hideMark/>
          </w:tcPr>
          <w:p w14:paraId="28CF181C" w14:textId="26B17AAC" w:rsidR="00076E4B" w:rsidRPr="00C652E1" w:rsidRDefault="00076E4B" w:rsidP="00764825">
            <w:pPr>
              <w:spacing w:after="0"/>
              <w:jc w:val="center"/>
              <w:rPr>
                <w:rFonts w:eastAsia="Times New Roman" w:cs="Times New Roman"/>
                <w:b/>
                <w:bCs/>
                <w:sz w:val="20"/>
                <w:szCs w:val="20"/>
              </w:rPr>
            </w:pPr>
          </w:p>
        </w:tc>
        <w:tc>
          <w:tcPr>
            <w:tcW w:w="1134" w:type="dxa"/>
            <w:tcBorders>
              <w:top w:val="nil"/>
              <w:left w:val="nil"/>
              <w:bottom w:val="single" w:sz="4" w:space="0" w:color="auto"/>
              <w:right w:val="nil"/>
            </w:tcBorders>
            <w:shd w:val="clear" w:color="auto" w:fill="auto"/>
            <w:noWrap/>
            <w:vAlign w:val="center"/>
            <w:hideMark/>
          </w:tcPr>
          <w:p w14:paraId="2BDCB5ED" w14:textId="01BBCED0" w:rsidR="00076E4B" w:rsidRPr="00C652E1" w:rsidRDefault="00076E4B" w:rsidP="00764825">
            <w:pPr>
              <w:spacing w:after="0"/>
              <w:jc w:val="center"/>
              <w:rPr>
                <w:rFonts w:eastAsia="Times New Roman" w:cs="Times New Roman"/>
                <w:b/>
                <w:bCs/>
                <w:sz w:val="20"/>
                <w:szCs w:val="20"/>
              </w:rPr>
            </w:pPr>
          </w:p>
        </w:tc>
        <w:tc>
          <w:tcPr>
            <w:tcW w:w="1207" w:type="dxa"/>
            <w:tcBorders>
              <w:top w:val="nil"/>
              <w:left w:val="nil"/>
              <w:bottom w:val="single" w:sz="4" w:space="0" w:color="auto"/>
              <w:right w:val="single" w:sz="4" w:space="0" w:color="auto"/>
            </w:tcBorders>
            <w:shd w:val="clear" w:color="auto" w:fill="auto"/>
            <w:noWrap/>
            <w:vAlign w:val="center"/>
            <w:hideMark/>
          </w:tcPr>
          <w:p w14:paraId="4D3C1113" w14:textId="1CF9A921" w:rsidR="00076E4B" w:rsidRPr="00C652E1" w:rsidRDefault="00076E4B" w:rsidP="00764825">
            <w:pPr>
              <w:spacing w:after="0"/>
              <w:jc w:val="center"/>
              <w:rPr>
                <w:rFonts w:eastAsia="Times New Roman" w:cs="Times New Roman"/>
                <w:b/>
                <w:bCs/>
                <w:sz w:val="20"/>
                <w:szCs w:val="20"/>
              </w:rPr>
            </w:pPr>
          </w:p>
        </w:tc>
      </w:tr>
      <w:tr w:rsidR="00076E4B" w:rsidRPr="00076E4B" w14:paraId="5ECC9AFF"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710D8189" w14:textId="203C704C"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Incident</w:t>
            </w:r>
            <w:r w:rsidR="005517A8">
              <w:rPr>
                <w:rFonts w:eastAsia="Times New Roman" w:cs="Times New Roman"/>
                <w:b/>
                <w:bCs/>
                <w:sz w:val="20"/>
                <w:szCs w:val="20"/>
                <w:vertAlign w:val="superscript"/>
              </w:rPr>
              <w:t>1</w:t>
            </w:r>
          </w:p>
        </w:tc>
        <w:tc>
          <w:tcPr>
            <w:tcW w:w="1239" w:type="dxa"/>
            <w:tcBorders>
              <w:top w:val="nil"/>
              <w:left w:val="nil"/>
              <w:bottom w:val="single" w:sz="4" w:space="0" w:color="auto"/>
              <w:right w:val="single" w:sz="4" w:space="0" w:color="auto"/>
            </w:tcBorders>
            <w:shd w:val="clear" w:color="auto" w:fill="auto"/>
            <w:noWrap/>
            <w:vAlign w:val="center"/>
            <w:hideMark/>
          </w:tcPr>
          <w:p w14:paraId="2E2F60C7"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620</w:t>
            </w:r>
          </w:p>
        </w:tc>
        <w:tc>
          <w:tcPr>
            <w:tcW w:w="1134" w:type="dxa"/>
            <w:tcBorders>
              <w:top w:val="nil"/>
              <w:left w:val="nil"/>
              <w:bottom w:val="single" w:sz="4" w:space="0" w:color="auto"/>
              <w:right w:val="single" w:sz="4" w:space="0" w:color="auto"/>
            </w:tcBorders>
            <w:shd w:val="clear" w:color="auto" w:fill="auto"/>
            <w:noWrap/>
            <w:vAlign w:val="center"/>
            <w:hideMark/>
          </w:tcPr>
          <w:p w14:paraId="6AA07D72"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749</w:t>
            </w:r>
          </w:p>
        </w:tc>
        <w:tc>
          <w:tcPr>
            <w:tcW w:w="1207" w:type="dxa"/>
            <w:tcBorders>
              <w:top w:val="nil"/>
              <w:left w:val="nil"/>
              <w:bottom w:val="single" w:sz="4" w:space="0" w:color="auto"/>
              <w:right w:val="single" w:sz="4" w:space="0" w:color="auto"/>
            </w:tcBorders>
            <w:shd w:val="clear" w:color="auto" w:fill="auto"/>
            <w:noWrap/>
            <w:vAlign w:val="center"/>
            <w:hideMark/>
          </w:tcPr>
          <w:p w14:paraId="29F95F5F"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736</w:t>
            </w:r>
          </w:p>
        </w:tc>
      </w:tr>
      <w:tr w:rsidR="00076E4B" w:rsidRPr="00076E4B" w14:paraId="2F5F8516"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6A632085" w14:textId="77777777"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Prevalent</w:t>
            </w:r>
          </w:p>
        </w:tc>
        <w:tc>
          <w:tcPr>
            <w:tcW w:w="1239" w:type="dxa"/>
            <w:tcBorders>
              <w:top w:val="nil"/>
              <w:left w:val="nil"/>
              <w:bottom w:val="single" w:sz="4" w:space="0" w:color="auto"/>
              <w:right w:val="single" w:sz="4" w:space="0" w:color="auto"/>
            </w:tcBorders>
            <w:shd w:val="clear" w:color="auto" w:fill="auto"/>
            <w:noWrap/>
            <w:vAlign w:val="center"/>
            <w:hideMark/>
          </w:tcPr>
          <w:p w14:paraId="77E38021"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3232</w:t>
            </w:r>
          </w:p>
        </w:tc>
        <w:tc>
          <w:tcPr>
            <w:tcW w:w="1134" w:type="dxa"/>
            <w:tcBorders>
              <w:top w:val="nil"/>
              <w:left w:val="nil"/>
              <w:bottom w:val="single" w:sz="4" w:space="0" w:color="auto"/>
              <w:right w:val="single" w:sz="4" w:space="0" w:color="auto"/>
            </w:tcBorders>
            <w:shd w:val="clear" w:color="auto" w:fill="auto"/>
            <w:noWrap/>
            <w:vAlign w:val="center"/>
            <w:hideMark/>
          </w:tcPr>
          <w:p w14:paraId="6DB76ED1"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3739</w:t>
            </w:r>
          </w:p>
        </w:tc>
        <w:tc>
          <w:tcPr>
            <w:tcW w:w="1207" w:type="dxa"/>
            <w:tcBorders>
              <w:top w:val="nil"/>
              <w:left w:val="nil"/>
              <w:bottom w:val="single" w:sz="4" w:space="0" w:color="auto"/>
              <w:right w:val="single" w:sz="4" w:space="0" w:color="auto"/>
            </w:tcBorders>
            <w:shd w:val="clear" w:color="auto" w:fill="auto"/>
            <w:noWrap/>
            <w:vAlign w:val="center"/>
            <w:hideMark/>
          </w:tcPr>
          <w:p w14:paraId="31233972"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4173</w:t>
            </w:r>
          </w:p>
        </w:tc>
      </w:tr>
      <w:tr w:rsidR="00076E4B" w:rsidRPr="00076E4B" w14:paraId="62CE71FD"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7E815915" w14:textId="77777777" w:rsidR="00076E4B" w:rsidRPr="00C652E1" w:rsidRDefault="00076E4B" w:rsidP="00764825">
            <w:pPr>
              <w:spacing w:after="0"/>
              <w:rPr>
                <w:rFonts w:eastAsia="Times New Roman" w:cs="Times New Roman"/>
                <w:b/>
                <w:bCs/>
                <w:sz w:val="20"/>
                <w:szCs w:val="20"/>
              </w:rPr>
            </w:pPr>
            <w:r w:rsidRPr="00C652E1">
              <w:rPr>
                <w:rFonts w:eastAsia="Times New Roman" w:cs="Times New Roman"/>
                <w:b/>
                <w:bCs/>
                <w:sz w:val="20"/>
                <w:szCs w:val="20"/>
              </w:rPr>
              <w:t>Infliximab</w:t>
            </w:r>
          </w:p>
        </w:tc>
        <w:tc>
          <w:tcPr>
            <w:tcW w:w="1239" w:type="dxa"/>
            <w:tcBorders>
              <w:top w:val="nil"/>
              <w:left w:val="nil"/>
              <w:bottom w:val="single" w:sz="4" w:space="0" w:color="auto"/>
              <w:right w:val="nil"/>
            </w:tcBorders>
            <w:shd w:val="clear" w:color="auto" w:fill="auto"/>
            <w:noWrap/>
            <w:vAlign w:val="center"/>
            <w:hideMark/>
          </w:tcPr>
          <w:p w14:paraId="43436E65" w14:textId="30DA06DF" w:rsidR="00076E4B" w:rsidRPr="00C652E1" w:rsidRDefault="00076E4B" w:rsidP="00764825">
            <w:pPr>
              <w:spacing w:after="0"/>
              <w:jc w:val="center"/>
              <w:rPr>
                <w:rFonts w:eastAsia="Times New Roman" w:cs="Times New Roman"/>
                <w:b/>
                <w:bCs/>
                <w:sz w:val="20"/>
                <w:szCs w:val="20"/>
              </w:rPr>
            </w:pPr>
          </w:p>
        </w:tc>
        <w:tc>
          <w:tcPr>
            <w:tcW w:w="1134" w:type="dxa"/>
            <w:tcBorders>
              <w:top w:val="nil"/>
              <w:left w:val="nil"/>
              <w:bottom w:val="single" w:sz="4" w:space="0" w:color="auto"/>
              <w:right w:val="nil"/>
            </w:tcBorders>
            <w:shd w:val="clear" w:color="auto" w:fill="auto"/>
            <w:noWrap/>
            <w:vAlign w:val="center"/>
            <w:hideMark/>
          </w:tcPr>
          <w:p w14:paraId="0CEEE499" w14:textId="3746661D" w:rsidR="00076E4B" w:rsidRPr="00C652E1" w:rsidRDefault="00076E4B" w:rsidP="00764825">
            <w:pPr>
              <w:spacing w:after="0"/>
              <w:jc w:val="center"/>
              <w:rPr>
                <w:rFonts w:eastAsia="Times New Roman" w:cs="Times New Roman"/>
                <w:b/>
                <w:bCs/>
                <w:sz w:val="20"/>
                <w:szCs w:val="20"/>
              </w:rPr>
            </w:pPr>
          </w:p>
        </w:tc>
        <w:tc>
          <w:tcPr>
            <w:tcW w:w="1207" w:type="dxa"/>
            <w:tcBorders>
              <w:top w:val="nil"/>
              <w:left w:val="nil"/>
              <w:bottom w:val="single" w:sz="4" w:space="0" w:color="auto"/>
              <w:right w:val="single" w:sz="4" w:space="0" w:color="auto"/>
            </w:tcBorders>
            <w:shd w:val="clear" w:color="auto" w:fill="auto"/>
            <w:noWrap/>
            <w:vAlign w:val="center"/>
            <w:hideMark/>
          </w:tcPr>
          <w:p w14:paraId="43C47522" w14:textId="22C83CDB" w:rsidR="00076E4B" w:rsidRPr="00C652E1" w:rsidRDefault="00076E4B" w:rsidP="00764825">
            <w:pPr>
              <w:spacing w:after="0"/>
              <w:jc w:val="center"/>
              <w:rPr>
                <w:rFonts w:eastAsia="Times New Roman" w:cs="Times New Roman"/>
                <w:b/>
                <w:bCs/>
                <w:sz w:val="20"/>
                <w:szCs w:val="20"/>
              </w:rPr>
            </w:pPr>
          </w:p>
        </w:tc>
      </w:tr>
      <w:tr w:rsidR="00076E4B" w:rsidRPr="00076E4B" w14:paraId="28FE66DE"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24F7F28B" w14:textId="49ACE5F5"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Incident</w:t>
            </w:r>
            <w:r w:rsidR="005517A8">
              <w:rPr>
                <w:rFonts w:eastAsia="Times New Roman" w:cs="Times New Roman"/>
                <w:b/>
                <w:bCs/>
                <w:sz w:val="20"/>
                <w:szCs w:val="20"/>
                <w:vertAlign w:val="superscript"/>
              </w:rPr>
              <w:t>1</w:t>
            </w:r>
          </w:p>
        </w:tc>
        <w:tc>
          <w:tcPr>
            <w:tcW w:w="1239" w:type="dxa"/>
            <w:tcBorders>
              <w:top w:val="nil"/>
              <w:left w:val="nil"/>
              <w:bottom w:val="single" w:sz="4" w:space="0" w:color="auto"/>
              <w:right w:val="single" w:sz="4" w:space="0" w:color="auto"/>
            </w:tcBorders>
            <w:shd w:val="clear" w:color="auto" w:fill="auto"/>
            <w:noWrap/>
            <w:vAlign w:val="center"/>
            <w:hideMark/>
          </w:tcPr>
          <w:p w14:paraId="57208D18"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429</w:t>
            </w:r>
          </w:p>
        </w:tc>
        <w:tc>
          <w:tcPr>
            <w:tcW w:w="1134" w:type="dxa"/>
            <w:tcBorders>
              <w:top w:val="nil"/>
              <w:left w:val="nil"/>
              <w:bottom w:val="single" w:sz="4" w:space="0" w:color="auto"/>
              <w:right w:val="single" w:sz="4" w:space="0" w:color="auto"/>
            </w:tcBorders>
            <w:shd w:val="clear" w:color="auto" w:fill="auto"/>
            <w:noWrap/>
            <w:vAlign w:val="center"/>
            <w:hideMark/>
          </w:tcPr>
          <w:p w14:paraId="16D1C051"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462</w:t>
            </w:r>
          </w:p>
        </w:tc>
        <w:tc>
          <w:tcPr>
            <w:tcW w:w="1207" w:type="dxa"/>
            <w:tcBorders>
              <w:top w:val="nil"/>
              <w:left w:val="nil"/>
              <w:bottom w:val="single" w:sz="4" w:space="0" w:color="auto"/>
              <w:right w:val="single" w:sz="4" w:space="0" w:color="auto"/>
            </w:tcBorders>
            <w:shd w:val="clear" w:color="auto" w:fill="auto"/>
            <w:noWrap/>
            <w:vAlign w:val="center"/>
            <w:hideMark/>
          </w:tcPr>
          <w:p w14:paraId="07CB9ACD"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522</w:t>
            </w:r>
          </w:p>
        </w:tc>
      </w:tr>
      <w:tr w:rsidR="00076E4B" w:rsidRPr="00076E4B" w14:paraId="538D5CB5"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42BD158F" w14:textId="77777777"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Prevalent</w:t>
            </w:r>
          </w:p>
        </w:tc>
        <w:tc>
          <w:tcPr>
            <w:tcW w:w="1239" w:type="dxa"/>
            <w:tcBorders>
              <w:top w:val="nil"/>
              <w:left w:val="nil"/>
              <w:bottom w:val="single" w:sz="4" w:space="0" w:color="auto"/>
              <w:right w:val="single" w:sz="4" w:space="0" w:color="auto"/>
            </w:tcBorders>
            <w:shd w:val="clear" w:color="auto" w:fill="auto"/>
            <w:noWrap/>
            <w:vAlign w:val="center"/>
            <w:hideMark/>
          </w:tcPr>
          <w:p w14:paraId="6AF0F0A7"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2303</w:t>
            </w:r>
          </w:p>
        </w:tc>
        <w:tc>
          <w:tcPr>
            <w:tcW w:w="1134" w:type="dxa"/>
            <w:tcBorders>
              <w:top w:val="nil"/>
              <w:left w:val="nil"/>
              <w:bottom w:val="single" w:sz="4" w:space="0" w:color="auto"/>
              <w:right w:val="single" w:sz="4" w:space="0" w:color="auto"/>
            </w:tcBorders>
            <w:shd w:val="clear" w:color="auto" w:fill="auto"/>
            <w:noWrap/>
            <w:vAlign w:val="center"/>
            <w:hideMark/>
          </w:tcPr>
          <w:p w14:paraId="384D317A"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2730</w:t>
            </w:r>
          </w:p>
        </w:tc>
        <w:tc>
          <w:tcPr>
            <w:tcW w:w="1207" w:type="dxa"/>
            <w:tcBorders>
              <w:top w:val="nil"/>
              <w:left w:val="nil"/>
              <w:bottom w:val="single" w:sz="4" w:space="0" w:color="auto"/>
              <w:right w:val="single" w:sz="4" w:space="0" w:color="auto"/>
            </w:tcBorders>
            <w:shd w:val="clear" w:color="auto" w:fill="auto"/>
            <w:noWrap/>
            <w:vAlign w:val="center"/>
            <w:hideMark/>
          </w:tcPr>
          <w:p w14:paraId="046FE413"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3117</w:t>
            </w:r>
          </w:p>
        </w:tc>
      </w:tr>
      <w:tr w:rsidR="00076E4B" w:rsidRPr="00076E4B" w14:paraId="5160B364"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712A613F" w14:textId="464B2E1E" w:rsidR="00076E4B" w:rsidRPr="00C652E1" w:rsidRDefault="00076E4B" w:rsidP="00764825">
            <w:pPr>
              <w:spacing w:after="0"/>
              <w:rPr>
                <w:rFonts w:eastAsia="Times New Roman" w:cs="Times New Roman"/>
                <w:b/>
                <w:bCs/>
                <w:sz w:val="20"/>
                <w:szCs w:val="20"/>
                <w:vertAlign w:val="superscript"/>
              </w:rPr>
            </w:pPr>
            <w:r w:rsidRPr="00C652E1">
              <w:rPr>
                <w:rFonts w:eastAsia="Times New Roman" w:cs="Times New Roman"/>
                <w:b/>
                <w:bCs/>
                <w:sz w:val="20"/>
                <w:szCs w:val="20"/>
              </w:rPr>
              <w:t>Vedolizumab</w:t>
            </w:r>
            <w:r w:rsidR="005517A8">
              <w:rPr>
                <w:rFonts w:eastAsia="Times New Roman" w:cs="Times New Roman"/>
                <w:b/>
                <w:bCs/>
                <w:sz w:val="20"/>
                <w:szCs w:val="20"/>
                <w:vertAlign w:val="superscript"/>
              </w:rPr>
              <w:t>2</w:t>
            </w:r>
          </w:p>
        </w:tc>
        <w:tc>
          <w:tcPr>
            <w:tcW w:w="1239" w:type="dxa"/>
            <w:tcBorders>
              <w:top w:val="nil"/>
              <w:left w:val="nil"/>
              <w:bottom w:val="single" w:sz="4" w:space="0" w:color="auto"/>
              <w:right w:val="nil"/>
            </w:tcBorders>
            <w:shd w:val="clear" w:color="auto" w:fill="auto"/>
            <w:noWrap/>
            <w:vAlign w:val="center"/>
            <w:hideMark/>
          </w:tcPr>
          <w:p w14:paraId="01E19165" w14:textId="76D35A9F" w:rsidR="00076E4B" w:rsidRPr="00C652E1" w:rsidRDefault="00076E4B" w:rsidP="00764825">
            <w:pPr>
              <w:spacing w:after="0"/>
              <w:jc w:val="center"/>
              <w:rPr>
                <w:rFonts w:eastAsia="Times New Roman" w:cs="Times New Roman"/>
                <w:b/>
                <w:bCs/>
                <w:sz w:val="20"/>
                <w:szCs w:val="20"/>
              </w:rPr>
            </w:pPr>
          </w:p>
        </w:tc>
        <w:tc>
          <w:tcPr>
            <w:tcW w:w="1134" w:type="dxa"/>
            <w:tcBorders>
              <w:top w:val="nil"/>
              <w:left w:val="nil"/>
              <w:bottom w:val="single" w:sz="4" w:space="0" w:color="auto"/>
              <w:right w:val="nil"/>
            </w:tcBorders>
            <w:shd w:val="clear" w:color="auto" w:fill="auto"/>
            <w:noWrap/>
            <w:vAlign w:val="center"/>
            <w:hideMark/>
          </w:tcPr>
          <w:p w14:paraId="45938B8F" w14:textId="25488764" w:rsidR="00076E4B" w:rsidRPr="00C652E1" w:rsidRDefault="00076E4B" w:rsidP="00764825">
            <w:pPr>
              <w:spacing w:after="0"/>
              <w:jc w:val="center"/>
              <w:rPr>
                <w:rFonts w:eastAsia="Times New Roman" w:cs="Times New Roman"/>
                <w:b/>
                <w:bCs/>
                <w:sz w:val="20"/>
                <w:szCs w:val="20"/>
              </w:rPr>
            </w:pPr>
          </w:p>
        </w:tc>
        <w:tc>
          <w:tcPr>
            <w:tcW w:w="1207" w:type="dxa"/>
            <w:tcBorders>
              <w:top w:val="nil"/>
              <w:left w:val="nil"/>
              <w:bottom w:val="single" w:sz="4" w:space="0" w:color="auto"/>
              <w:right w:val="single" w:sz="4" w:space="0" w:color="auto"/>
            </w:tcBorders>
            <w:shd w:val="clear" w:color="auto" w:fill="auto"/>
            <w:noWrap/>
            <w:vAlign w:val="center"/>
            <w:hideMark/>
          </w:tcPr>
          <w:p w14:paraId="485DCBD0" w14:textId="6A7EC3F1" w:rsidR="00076E4B" w:rsidRPr="00C652E1" w:rsidRDefault="00076E4B" w:rsidP="00764825">
            <w:pPr>
              <w:spacing w:after="0"/>
              <w:jc w:val="center"/>
              <w:rPr>
                <w:rFonts w:eastAsia="Times New Roman" w:cs="Times New Roman"/>
                <w:b/>
                <w:bCs/>
                <w:sz w:val="20"/>
                <w:szCs w:val="20"/>
              </w:rPr>
            </w:pPr>
          </w:p>
        </w:tc>
      </w:tr>
      <w:tr w:rsidR="00076E4B" w:rsidRPr="00076E4B" w14:paraId="3684F878"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05CEF273" w14:textId="08FEB363"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Incident</w:t>
            </w:r>
            <w:r w:rsidR="005517A8">
              <w:rPr>
                <w:rFonts w:eastAsia="Times New Roman" w:cs="Times New Roman"/>
                <w:b/>
                <w:bCs/>
                <w:sz w:val="20"/>
                <w:szCs w:val="20"/>
                <w:vertAlign w:val="superscript"/>
              </w:rPr>
              <w:t>1</w:t>
            </w:r>
          </w:p>
        </w:tc>
        <w:tc>
          <w:tcPr>
            <w:tcW w:w="1239" w:type="dxa"/>
            <w:tcBorders>
              <w:top w:val="nil"/>
              <w:left w:val="nil"/>
              <w:bottom w:val="single" w:sz="4" w:space="0" w:color="auto"/>
              <w:right w:val="single" w:sz="4" w:space="0" w:color="auto"/>
            </w:tcBorders>
            <w:shd w:val="clear" w:color="auto" w:fill="auto"/>
            <w:noWrap/>
            <w:vAlign w:val="center"/>
            <w:hideMark/>
          </w:tcPr>
          <w:p w14:paraId="6F37E790" w14:textId="1EC00A5D" w:rsidR="00076E4B" w:rsidRPr="00C652E1" w:rsidRDefault="00C652E1" w:rsidP="00764825">
            <w:pPr>
              <w:spacing w:after="0"/>
              <w:jc w:val="center"/>
              <w:rPr>
                <w:rFonts w:eastAsia="Times New Roman" w:cs="Times New Roman"/>
                <w:sz w:val="20"/>
                <w:szCs w:val="20"/>
              </w:rPr>
            </w:pPr>
            <w:r>
              <w:rPr>
                <w:rFonts w:eastAsia="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4EBB6B95"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25</w:t>
            </w:r>
          </w:p>
        </w:tc>
        <w:tc>
          <w:tcPr>
            <w:tcW w:w="1207" w:type="dxa"/>
            <w:tcBorders>
              <w:top w:val="nil"/>
              <w:left w:val="nil"/>
              <w:bottom w:val="single" w:sz="4" w:space="0" w:color="auto"/>
              <w:right w:val="single" w:sz="4" w:space="0" w:color="auto"/>
            </w:tcBorders>
            <w:shd w:val="clear" w:color="auto" w:fill="auto"/>
            <w:noWrap/>
            <w:vAlign w:val="center"/>
            <w:hideMark/>
          </w:tcPr>
          <w:p w14:paraId="071B1F1B" w14:textId="77777777" w:rsidR="00076E4B" w:rsidRPr="00C652E1" w:rsidRDefault="00076E4B" w:rsidP="00764825">
            <w:pPr>
              <w:spacing w:after="0"/>
              <w:jc w:val="center"/>
              <w:rPr>
                <w:rFonts w:eastAsia="Times New Roman" w:cs="Times New Roman"/>
                <w:sz w:val="20"/>
                <w:szCs w:val="20"/>
              </w:rPr>
            </w:pPr>
            <w:r w:rsidRPr="00C652E1">
              <w:rPr>
                <w:rFonts w:eastAsia="Times New Roman" w:cs="Times New Roman"/>
                <w:sz w:val="20"/>
                <w:szCs w:val="20"/>
              </w:rPr>
              <w:t>114</w:t>
            </w:r>
          </w:p>
        </w:tc>
      </w:tr>
      <w:tr w:rsidR="00076E4B" w:rsidRPr="00076E4B" w14:paraId="0E7671D9"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263CED23" w14:textId="77777777" w:rsidR="00076E4B" w:rsidRPr="00C652E1" w:rsidRDefault="00076E4B" w:rsidP="00764825">
            <w:pPr>
              <w:spacing w:after="0"/>
              <w:rPr>
                <w:rFonts w:eastAsia="Times New Roman" w:cs="Times New Roman"/>
                <w:sz w:val="20"/>
                <w:szCs w:val="20"/>
              </w:rPr>
            </w:pPr>
            <w:r w:rsidRPr="00C652E1">
              <w:rPr>
                <w:rFonts w:eastAsia="Times New Roman" w:cs="Times New Roman"/>
                <w:sz w:val="20"/>
                <w:szCs w:val="20"/>
              </w:rPr>
              <w:t>Prevalent</w:t>
            </w:r>
          </w:p>
        </w:tc>
        <w:tc>
          <w:tcPr>
            <w:tcW w:w="1239" w:type="dxa"/>
            <w:tcBorders>
              <w:top w:val="nil"/>
              <w:left w:val="nil"/>
              <w:bottom w:val="single" w:sz="4" w:space="0" w:color="auto"/>
              <w:right w:val="single" w:sz="4" w:space="0" w:color="auto"/>
            </w:tcBorders>
            <w:shd w:val="clear" w:color="auto" w:fill="auto"/>
            <w:noWrap/>
            <w:vAlign w:val="center"/>
            <w:hideMark/>
          </w:tcPr>
          <w:p w14:paraId="0A620D84" w14:textId="485A55E5" w:rsidR="00076E4B" w:rsidRPr="00C652E1" w:rsidRDefault="00C652E1" w:rsidP="00764825">
            <w:pPr>
              <w:spacing w:after="0"/>
              <w:jc w:val="center"/>
              <w:rPr>
                <w:rFonts w:eastAsia="Times New Roman" w:cs="Times New Roman"/>
                <w:sz w:val="20"/>
                <w:szCs w:val="20"/>
              </w:rPr>
            </w:pPr>
            <w:r>
              <w:rPr>
                <w:rFonts w:eastAsia="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EAD4476" w14:textId="3A1E0F31" w:rsidR="00076E4B" w:rsidRPr="00C652E1" w:rsidRDefault="00561436" w:rsidP="00764825">
            <w:pPr>
              <w:spacing w:after="0"/>
              <w:jc w:val="center"/>
              <w:rPr>
                <w:rFonts w:eastAsia="Times New Roman" w:cs="Times New Roman"/>
                <w:sz w:val="20"/>
                <w:szCs w:val="20"/>
              </w:rPr>
            </w:pPr>
            <w:r>
              <w:rPr>
                <w:rFonts w:eastAsia="Times New Roman" w:cs="Times New Roman"/>
                <w:sz w:val="20"/>
                <w:szCs w:val="20"/>
              </w:rPr>
              <w:t>25</w:t>
            </w:r>
          </w:p>
        </w:tc>
        <w:tc>
          <w:tcPr>
            <w:tcW w:w="1207" w:type="dxa"/>
            <w:tcBorders>
              <w:top w:val="nil"/>
              <w:left w:val="nil"/>
              <w:bottom w:val="single" w:sz="4" w:space="0" w:color="auto"/>
              <w:right w:val="single" w:sz="4" w:space="0" w:color="auto"/>
            </w:tcBorders>
            <w:shd w:val="clear" w:color="auto" w:fill="auto"/>
            <w:noWrap/>
            <w:vAlign w:val="center"/>
            <w:hideMark/>
          </w:tcPr>
          <w:p w14:paraId="082855F6" w14:textId="6C3C00D3" w:rsidR="00076E4B" w:rsidRPr="00C652E1" w:rsidRDefault="00561436" w:rsidP="00764825">
            <w:pPr>
              <w:spacing w:after="0"/>
              <w:jc w:val="center"/>
              <w:rPr>
                <w:rFonts w:eastAsia="Times New Roman" w:cs="Times New Roman"/>
                <w:sz w:val="20"/>
                <w:szCs w:val="20"/>
              </w:rPr>
            </w:pPr>
            <w:r>
              <w:rPr>
                <w:rFonts w:eastAsia="Times New Roman" w:cs="Times New Roman"/>
                <w:sz w:val="20"/>
                <w:szCs w:val="20"/>
              </w:rPr>
              <w:t>138</w:t>
            </w:r>
          </w:p>
        </w:tc>
      </w:tr>
    </w:tbl>
    <w:p w14:paraId="4C84844C" w14:textId="02379ED8" w:rsidR="00FD3D4A" w:rsidRPr="00FD3D4A" w:rsidRDefault="00FD3D4A" w:rsidP="00FD3D4A">
      <w:pPr>
        <w:spacing w:after="0"/>
        <w:rPr>
          <w:sz w:val="20"/>
          <w:szCs w:val="20"/>
          <w:lang w:eastAsia="en-US"/>
        </w:rPr>
      </w:pPr>
      <w:r w:rsidRPr="00780DCD">
        <w:rPr>
          <w:rStyle w:val="FigurecaptionChar"/>
        </w:rPr>
        <w:t xml:space="preserve">Source: DHS </w:t>
      </w:r>
      <w:r>
        <w:rPr>
          <w:rStyle w:val="FigurecaptionChar"/>
        </w:rPr>
        <w:t xml:space="preserve">Prescriptions </w:t>
      </w:r>
      <w:r w:rsidR="009D64A9">
        <w:rPr>
          <w:rStyle w:val="FigurecaptionChar"/>
        </w:rPr>
        <w:t>database</w:t>
      </w:r>
      <w:r>
        <w:rPr>
          <w:rStyle w:val="FigurecaptionChar"/>
        </w:rPr>
        <w:t xml:space="preserve"> accessed April 2017</w:t>
      </w:r>
      <w:r w:rsidRPr="00780DCD">
        <w:rPr>
          <w:rStyle w:val="FigurecaptionChar"/>
        </w:rPr>
        <w:t>.</w:t>
      </w:r>
    </w:p>
    <w:p w14:paraId="2E34861A" w14:textId="6E421F3C" w:rsidR="005517A8" w:rsidRDefault="005517A8" w:rsidP="00FD3D4A">
      <w:pPr>
        <w:spacing w:after="0"/>
        <w:rPr>
          <w:color w:val="000000" w:themeColor="text1"/>
          <w:sz w:val="20"/>
          <w:szCs w:val="20"/>
        </w:rPr>
      </w:pPr>
      <w:r w:rsidRPr="00796E73">
        <w:rPr>
          <w:color w:val="000000" w:themeColor="text1"/>
          <w:sz w:val="20"/>
          <w:szCs w:val="20"/>
          <w:vertAlign w:val="superscript"/>
        </w:rPr>
        <w:t>1</w:t>
      </w:r>
      <w:r w:rsidRPr="00796E73">
        <w:rPr>
          <w:color w:val="000000" w:themeColor="text1"/>
          <w:sz w:val="20"/>
          <w:szCs w:val="20"/>
        </w:rPr>
        <w:t xml:space="preserve"> Incident patient counts are for the first </w:t>
      </w:r>
      <w:r w:rsidR="00D30C6A" w:rsidRPr="00796E73">
        <w:rPr>
          <w:color w:val="000000" w:themeColor="text1"/>
          <w:sz w:val="20"/>
          <w:szCs w:val="20"/>
        </w:rPr>
        <w:t xml:space="preserve">ever </w:t>
      </w:r>
      <w:r w:rsidRPr="00796E73">
        <w:rPr>
          <w:color w:val="000000" w:themeColor="text1"/>
          <w:sz w:val="20"/>
          <w:szCs w:val="20"/>
        </w:rPr>
        <w:t xml:space="preserve">episode of </w:t>
      </w:r>
      <w:r w:rsidR="003825C7" w:rsidRPr="00796E73">
        <w:rPr>
          <w:color w:val="000000" w:themeColor="text1"/>
          <w:sz w:val="20"/>
          <w:szCs w:val="20"/>
        </w:rPr>
        <w:t xml:space="preserve">R/PBS </w:t>
      </w:r>
      <w:r w:rsidRPr="00796E73">
        <w:rPr>
          <w:color w:val="000000" w:themeColor="text1"/>
          <w:sz w:val="20"/>
          <w:szCs w:val="20"/>
        </w:rPr>
        <w:t>treatment.</w:t>
      </w:r>
    </w:p>
    <w:p w14:paraId="61226CCF" w14:textId="1DB7D157" w:rsidR="00DF2BBA" w:rsidRDefault="005517A8" w:rsidP="00C652E1">
      <w:pPr>
        <w:spacing w:after="0"/>
        <w:rPr>
          <w:color w:val="000000" w:themeColor="text1"/>
          <w:sz w:val="20"/>
          <w:szCs w:val="20"/>
        </w:rPr>
      </w:pPr>
      <w:r>
        <w:rPr>
          <w:color w:val="000000" w:themeColor="text1"/>
          <w:sz w:val="20"/>
          <w:szCs w:val="20"/>
          <w:vertAlign w:val="superscript"/>
        </w:rPr>
        <w:t>2</w:t>
      </w:r>
      <w:r w:rsidR="00DF2BBA">
        <w:rPr>
          <w:color w:val="000000" w:themeColor="text1"/>
          <w:sz w:val="20"/>
          <w:szCs w:val="20"/>
        </w:rPr>
        <w:t xml:space="preserve"> 2015 has part year figures. Vedolizumab first listed on 1 August 2015.</w:t>
      </w:r>
    </w:p>
    <w:p w14:paraId="5F4A1F60" w14:textId="77777777" w:rsidR="00DF2BBA" w:rsidRPr="00DF2BBA" w:rsidRDefault="00DF2BBA" w:rsidP="00B3290C">
      <w:pPr>
        <w:spacing w:after="0"/>
        <w:rPr>
          <w:color w:val="000000" w:themeColor="text1"/>
          <w:sz w:val="20"/>
          <w:szCs w:val="20"/>
        </w:rPr>
      </w:pPr>
    </w:p>
    <w:p w14:paraId="0008E12F" w14:textId="6FB36D03" w:rsidR="002F55D4" w:rsidRDefault="002F55D4" w:rsidP="00924003">
      <w:pPr>
        <w:rPr>
          <w:u w:val="single"/>
        </w:rPr>
      </w:pPr>
      <w:r>
        <w:rPr>
          <w:u w:val="single"/>
        </w:rPr>
        <w:t>Fistulising Crohn disease</w:t>
      </w:r>
    </w:p>
    <w:p w14:paraId="14276717" w14:textId="211EBD0B" w:rsidR="00224505" w:rsidRPr="00224505" w:rsidRDefault="00BD260A" w:rsidP="00924003">
      <w:r>
        <w:t xml:space="preserve">The number of patients treated </w:t>
      </w:r>
      <w:r w:rsidR="0043197B">
        <w:t xml:space="preserve">with a </w:t>
      </w:r>
      <w:r w:rsidR="002F559B">
        <w:t>bDMD</w:t>
      </w:r>
      <w:r w:rsidR="0043197B">
        <w:t xml:space="preserve"> </w:t>
      </w:r>
      <w:r>
        <w:t xml:space="preserve">for fistulising Crohn disease </w:t>
      </w:r>
      <w:r w:rsidR="00403C1B">
        <w:t>had</w:t>
      </w:r>
      <w:r w:rsidR="0043197B">
        <w:t xml:space="preserve"> increased on average by 20% per year from 2013. The number of incident patients </w:t>
      </w:r>
      <w:r w:rsidR="00403C1B">
        <w:t>had</w:t>
      </w:r>
      <w:r w:rsidR="00801EB1">
        <w:t xml:space="preserve"> remained relatively stable for this indication at around 450 patients per year since 2014.</w:t>
      </w:r>
    </w:p>
    <w:p w14:paraId="602B9372" w14:textId="2F57ED36" w:rsidR="00E24598" w:rsidRPr="00924003" w:rsidRDefault="00B05BAB" w:rsidP="00924003">
      <w:r>
        <w:rPr>
          <w:noProof/>
        </w:rPr>
        <w:drawing>
          <wp:inline distT="0" distB="0" distL="0" distR="0" wp14:anchorId="31FE4FCB" wp14:editId="665DDFD4">
            <wp:extent cx="5548303" cy="2137144"/>
            <wp:effectExtent l="0" t="0" r="0" b="0"/>
            <wp:docPr id="24" name="Picture 24" descr="Both new and total patients by year" title="Number of patients receiving an Authority approval for fistulising Crohn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4211" cy="2139420"/>
                    </a:xfrm>
                    <a:prstGeom prst="rect">
                      <a:avLst/>
                    </a:prstGeom>
                    <a:noFill/>
                  </pic:spPr>
                </pic:pic>
              </a:graphicData>
            </a:graphic>
          </wp:inline>
        </w:drawing>
      </w:r>
    </w:p>
    <w:p w14:paraId="18375782" w14:textId="7AA52AE5" w:rsidR="004C770B" w:rsidRDefault="004C770B" w:rsidP="00791B88">
      <w:pPr>
        <w:spacing w:before="60" w:after="60"/>
        <w:rPr>
          <w:rStyle w:val="FigurecaptionChar"/>
        </w:rPr>
      </w:pPr>
      <w:r w:rsidRPr="00780DCD">
        <w:rPr>
          <w:rStyle w:val="FiguretitleChar"/>
          <w:rFonts w:asciiTheme="minorHAnsi" w:hAnsiTheme="minorHAnsi"/>
        </w:rPr>
        <w:t xml:space="preserve">Figure </w:t>
      </w:r>
      <w:r w:rsidR="00150DCE">
        <w:rPr>
          <w:rStyle w:val="FiguretitleChar"/>
          <w:rFonts w:asciiTheme="minorHAnsi" w:hAnsiTheme="minorHAnsi"/>
        </w:rPr>
        <w:t>2</w:t>
      </w:r>
      <w:r w:rsidRPr="00780DCD">
        <w:rPr>
          <w:rStyle w:val="FiguretitleChar"/>
          <w:rFonts w:asciiTheme="minorHAnsi" w:hAnsiTheme="minorHAnsi"/>
        </w:rPr>
        <w:t xml:space="preserve">: </w:t>
      </w:r>
      <w:r w:rsidR="00BC1FC2">
        <w:rPr>
          <w:rStyle w:val="FiguretitleChar"/>
          <w:rFonts w:asciiTheme="minorHAnsi" w:hAnsiTheme="minorHAnsi"/>
        </w:rPr>
        <w:t xml:space="preserve">Number of patients receiving an Authority approval for </w:t>
      </w:r>
      <w:r>
        <w:rPr>
          <w:rStyle w:val="FiguretitleChar"/>
          <w:rFonts w:asciiTheme="minorHAnsi" w:hAnsiTheme="minorHAnsi"/>
        </w:rPr>
        <w:t xml:space="preserve">Fistulising Crohn disease </w:t>
      </w:r>
      <w:r>
        <w:rPr>
          <w:rStyle w:val="FiguretitleChar"/>
          <w:rFonts w:asciiTheme="minorHAnsi" w:hAnsiTheme="minorHAnsi"/>
        </w:rPr>
        <w:br/>
      </w:r>
      <w:r w:rsidRPr="00780DCD">
        <w:rPr>
          <w:rStyle w:val="FigurecaptionChar"/>
        </w:rPr>
        <w:t>Source: DHS Authority appro</w:t>
      </w:r>
      <w:r>
        <w:rPr>
          <w:rStyle w:val="FigurecaptionChar"/>
        </w:rPr>
        <w:t>vals database, accessed April 2017</w:t>
      </w:r>
      <w:r w:rsidRPr="00780DCD">
        <w:rPr>
          <w:rStyle w:val="FigurecaptionChar"/>
        </w:rPr>
        <w:t xml:space="preserve">. </w:t>
      </w:r>
    </w:p>
    <w:p w14:paraId="66753FA8" w14:textId="77777777" w:rsidR="00A92F5A" w:rsidRDefault="00A92F5A">
      <w:pPr>
        <w:spacing w:line="276" w:lineRule="auto"/>
        <w:rPr>
          <w:b/>
        </w:rPr>
      </w:pPr>
      <w:r>
        <w:br w:type="page"/>
      </w:r>
    </w:p>
    <w:p w14:paraId="3A7230A9" w14:textId="498C6738" w:rsidR="00CD25A1" w:rsidRPr="002A7C67" w:rsidRDefault="002A7C67" w:rsidP="002A7C67">
      <w:pPr>
        <w:pStyle w:val="Tabletitle"/>
        <w:rPr>
          <w:rStyle w:val="FigurecaptionChar"/>
          <w:sz w:val="24"/>
          <w:szCs w:val="24"/>
          <w:lang w:eastAsia="en-AU"/>
        </w:rPr>
      </w:pPr>
      <w:r>
        <w:lastRenderedPageBreak/>
        <w:t>Table 3</w:t>
      </w:r>
      <w:r w:rsidRPr="00731076">
        <w:t xml:space="preserve">: </w:t>
      </w:r>
      <w:r w:rsidR="00066D9E">
        <w:t xml:space="preserve">Number of patients supplied a </w:t>
      </w:r>
      <w:r w:rsidR="002F559B">
        <w:t>bDMD</w:t>
      </w:r>
      <w:r w:rsidR="00066D9E">
        <w:t xml:space="preserve"> for </w:t>
      </w:r>
      <w:r>
        <w:t>fistulising Crohn disease in 2014, 2015 and 2016</w:t>
      </w:r>
      <w:r w:rsidRPr="00731076">
        <w:t xml:space="preserve">  </w:t>
      </w:r>
    </w:p>
    <w:tbl>
      <w:tblPr>
        <w:tblW w:w="5900" w:type="dxa"/>
        <w:tblInd w:w="93" w:type="dxa"/>
        <w:tblLook w:val="04A0" w:firstRow="1" w:lastRow="0" w:firstColumn="1" w:lastColumn="0" w:noHBand="0" w:noVBand="1"/>
      </w:tblPr>
      <w:tblGrid>
        <w:gridCol w:w="2320"/>
        <w:gridCol w:w="1000"/>
        <w:gridCol w:w="1000"/>
        <w:gridCol w:w="1580"/>
      </w:tblGrid>
      <w:tr w:rsidR="00076E4B" w:rsidRPr="00076E4B" w14:paraId="2A8A44DA" w14:textId="77777777" w:rsidTr="00764825">
        <w:trPr>
          <w:trHeight w:val="300"/>
        </w:trPr>
        <w:tc>
          <w:tcPr>
            <w:tcW w:w="2320" w:type="dxa"/>
            <w:tcBorders>
              <w:top w:val="nil"/>
              <w:left w:val="nil"/>
              <w:bottom w:val="nil"/>
              <w:right w:val="nil"/>
            </w:tcBorders>
            <w:shd w:val="clear" w:color="auto" w:fill="auto"/>
            <w:noWrap/>
            <w:vAlign w:val="bottom"/>
            <w:hideMark/>
          </w:tcPr>
          <w:p w14:paraId="25C8D4AA" w14:textId="77777777" w:rsidR="00076E4B" w:rsidRPr="00076E4B" w:rsidRDefault="00076E4B" w:rsidP="00076E4B">
            <w:pPr>
              <w:spacing w:after="0"/>
              <w:rPr>
                <w:rFonts w:ascii="Calibri" w:eastAsia="Times New Roman" w:hAnsi="Calibri"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933E33" w14:textId="77777777" w:rsidR="00076E4B" w:rsidRPr="00076E4B" w:rsidRDefault="00076E4B" w:rsidP="00764825">
            <w:pPr>
              <w:spacing w:after="0"/>
              <w:jc w:val="center"/>
              <w:rPr>
                <w:rFonts w:ascii="Calibri" w:eastAsia="Times New Roman" w:hAnsi="Calibri" w:cs="Times New Roman"/>
                <w:b/>
                <w:bCs/>
                <w:sz w:val="20"/>
                <w:szCs w:val="20"/>
              </w:rPr>
            </w:pPr>
            <w:r w:rsidRPr="00076E4B">
              <w:rPr>
                <w:rFonts w:ascii="Calibri" w:eastAsia="Times New Roman" w:hAnsi="Calibri" w:cs="Times New Roman"/>
                <w:b/>
                <w:bCs/>
                <w:sz w:val="20"/>
                <w:szCs w:val="20"/>
              </w:rPr>
              <w:t>2014</w:t>
            </w:r>
          </w:p>
        </w:tc>
        <w:tc>
          <w:tcPr>
            <w:tcW w:w="10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C5E618" w14:textId="77777777" w:rsidR="00076E4B" w:rsidRPr="00076E4B" w:rsidRDefault="00076E4B" w:rsidP="00764825">
            <w:pPr>
              <w:spacing w:after="0"/>
              <w:jc w:val="center"/>
              <w:rPr>
                <w:rFonts w:ascii="Calibri" w:eastAsia="Times New Roman" w:hAnsi="Calibri" w:cs="Times New Roman"/>
                <w:b/>
                <w:bCs/>
                <w:sz w:val="20"/>
                <w:szCs w:val="20"/>
              </w:rPr>
            </w:pPr>
            <w:r w:rsidRPr="00076E4B">
              <w:rPr>
                <w:rFonts w:ascii="Calibri" w:eastAsia="Times New Roman" w:hAnsi="Calibri" w:cs="Times New Roman"/>
                <w:b/>
                <w:bCs/>
                <w:sz w:val="20"/>
                <w:szCs w:val="20"/>
              </w:rPr>
              <w:t>2015</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191012" w14:textId="77777777" w:rsidR="00076E4B" w:rsidRPr="00076E4B" w:rsidRDefault="00076E4B" w:rsidP="00764825">
            <w:pPr>
              <w:spacing w:after="0"/>
              <w:jc w:val="center"/>
              <w:rPr>
                <w:rFonts w:ascii="Calibri" w:eastAsia="Times New Roman" w:hAnsi="Calibri" w:cs="Times New Roman"/>
                <w:b/>
                <w:bCs/>
                <w:sz w:val="20"/>
                <w:szCs w:val="20"/>
              </w:rPr>
            </w:pPr>
            <w:r w:rsidRPr="00076E4B">
              <w:rPr>
                <w:rFonts w:ascii="Calibri" w:eastAsia="Times New Roman" w:hAnsi="Calibri" w:cs="Times New Roman"/>
                <w:b/>
                <w:bCs/>
                <w:sz w:val="20"/>
                <w:szCs w:val="20"/>
              </w:rPr>
              <w:t>2016</w:t>
            </w:r>
          </w:p>
        </w:tc>
      </w:tr>
      <w:tr w:rsidR="00076E4B" w:rsidRPr="00076E4B" w14:paraId="78D065EC" w14:textId="77777777" w:rsidTr="00764825">
        <w:trPr>
          <w:trHeight w:val="300"/>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15802F85" w14:textId="59C2DC2F" w:rsidR="00076E4B" w:rsidRPr="00076E4B" w:rsidRDefault="00076E4B" w:rsidP="00764825">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xml:space="preserve">All </w:t>
            </w:r>
            <w:r w:rsidR="002F559B">
              <w:rPr>
                <w:rFonts w:ascii="Calibri" w:eastAsia="Times New Roman" w:hAnsi="Calibri" w:cs="Times New Roman"/>
                <w:b/>
                <w:bCs/>
                <w:sz w:val="20"/>
                <w:szCs w:val="20"/>
              </w:rPr>
              <w:t>bDMD</w:t>
            </w:r>
            <w:r w:rsidRPr="00076E4B">
              <w:rPr>
                <w:rFonts w:ascii="Calibri" w:eastAsia="Times New Roman" w:hAnsi="Calibri" w:cs="Times New Roman"/>
                <w:b/>
                <w:bCs/>
                <w:sz w:val="20"/>
                <w:szCs w:val="20"/>
              </w:rPr>
              <w:t xml:space="preserve"> drugs</w:t>
            </w:r>
          </w:p>
        </w:tc>
        <w:tc>
          <w:tcPr>
            <w:tcW w:w="1000" w:type="dxa"/>
            <w:tcBorders>
              <w:top w:val="nil"/>
              <w:left w:val="nil"/>
              <w:bottom w:val="single" w:sz="4" w:space="0" w:color="auto"/>
              <w:right w:val="nil"/>
            </w:tcBorders>
            <w:shd w:val="clear" w:color="auto" w:fill="auto"/>
            <w:noWrap/>
            <w:vAlign w:val="bottom"/>
            <w:hideMark/>
          </w:tcPr>
          <w:p w14:paraId="71ABD05D" w14:textId="77777777" w:rsidR="00076E4B" w:rsidRPr="00076E4B" w:rsidRDefault="00076E4B" w:rsidP="00076E4B">
            <w:pPr>
              <w:spacing w:after="0"/>
              <w:rPr>
                <w:rFonts w:ascii="Calibri" w:eastAsia="Times New Roman" w:hAnsi="Calibri" w:cs="Times New Roman"/>
                <w:sz w:val="20"/>
                <w:szCs w:val="20"/>
              </w:rPr>
            </w:pPr>
            <w:r w:rsidRPr="00076E4B">
              <w:rPr>
                <w:rFonts w:ascii="Calibri" w:eastAsia="Times New Roman" w:hAnsi="Calibri" w:cs="Times New Roman"/>
                <w:sz w:val="20"/>
                <w:szCs w:val="20"/>
              </w:rPr>
              <w:t> </w:t>
            </w:r>
          </w:p>
        </w:tc>
        <w:tc>
          <w:tcPr>
            <w:tcW w:w="1000" w:type="dxa"/>
            <w:tcBorders>
              <w:top w:val="nil"/>
              <w:left w:val="nil"/>
              <w:bottom w:val="single" w:sz="4" w:space="0" w:color="auto"/>
              <w:right w:val="nil"/>
            </w:tcBorders>
            <w:shd w:val="clear" w:color="auto" w:fill="auto"/>
            <w:noWrap/>
            <w:vAlign w:val="bottom"/>
            <w:hideMark/>
          </w:tcPr>
          <w:p w14:paraId="676571D3" w14:textId="77777777" w:rsidR="00076E4B" w:rsidRPr="00076E4B" w:rsidRDefault="00076E4B" w:rsidP="00076E4B">
            <w:pPr>
              <w:spacing w:after="0"/>
              <w:rPr>
                <w:rFonts w:ascii="Calibri" w:eastAsia="Times New Roman" w:hAnsi="Calibri" w:cs="Times New Roman"/>
                <w:sz w:val="20"/>
                <w:szCs w:val="20"/>
              </w:rPr>
            </w:pPr>
            <w:r w:rsidRPr="00076E4B">
              <w:rPr>
                <w:rFonts w:ascii="Calibri" w:eastAsia="Times New Roman" w:hAnsi="Calibri"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39CC972D" w14:textId="77777777" w:rsidR="00076E4B" w:rsidRPr="00076E4B" w:rsidRDefault="00076E4B" w:rsidP="00076E4B">
            <w:pPr>
              <w:spacing w:after="0"/>
              <w:rPr>
                <w:rFonts w:ascii="Calibri" w:eastAsia="Times New Roman" w:hAnsi="Calibri" w:cs="Times New Roman"/>
                <w:sz w:val="20"/>
                <w:szCs w:val="20"/>
              </w:rPr>
            </w:pPr>
            <w:r w:rsidRPr="00076E4B">
              <w:rPr>
                <w:rFonts w:ascii="Calibri" w:eastAsia="Times New Roman" w:hAnsi="Calibri" w:cs="Times New Roman"/>
                <w:sz w:val="20"/>
                <w:szCs w:val="20"/>
              </w:rPr>
              <w:t> </w:t>
            </w:r>
          </w:p>
        </w:tc>
      </w:tr>
      <w:tr w:rsidR="00076E4B" w:rsidRPr="00076E4B" w14:paraId="286C5019"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6DE300FF" w14:textId="6A767955" w:rsidR="00076E4B" w:rsidRPr="008C72BF" w:rsidRDefault="00076E4B" w:rsidP="00764825">
            <w:pPr>
              <w:spacing w:after="0"/>
              <w:rPr>
                <w:rFonts w:ascii="Calibri" w:eastAsia="Times New Roman" w:hAnsi="Calibri" w:cs="Times New Roman"/>
                <w:sz w:val="20"/>
                <w:szCs w:val="20"/>
                <w:vertAlign w:val="superscript"/>
              </w:rPr>
            </w:pPr>
            <w:r w:rsidRPr="00076E4B">
              <w:rPr>
                <w:rFonts w:ascii="Calibri" w:eastAsia="Times New Roman" w:hAnsi="Calibri" w:cs="Times New Roman"/>
                <w:sz w:val="20"/>
                <w:szCs w:val="20"/>
              </w:rPr>
              <w:t>Incident</w:t>
            </w:r>
            <w:r w:rsidR="008C72BF">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38AA36FD"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414</w:t>
            </w:r>
          </w:p>
        </w:tc>
        <w:tc>
          <w:tcPr>
            <w:tcW w:w="1000" w:type="dxa"/>
            <w:tcBorders>
              <w:top w:val="nil"/>
              <w:left w:val="nil"/>
              <w:bottom w:val="single" w:sz="4" w:space="0" w:color="auto"/>
              <w:right w:val="single" w:sz="4" w:space="0" w:color="auto"/>
            </w:tcBorders>
            <w:shd w:val="clear" w:color="auto" w:fill="auto"/>
            <w:noWrap/>
            <w:vAlign w:val="center"/>
            <w:hideMark/>
          </w:tcPr>
          <w:p w14:paraId="750C6797"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459</w:t>
            </w:r>
          </w:p>
        </w:tc>
        <w:tc>
          <w:tcPr>
            <w:tcW w:w="1580" w:type="dxa"/>
            <w:tcBorders>
              <w:top w:val="nil"/>
              <w:left w:val="nil"/>
              <w:bottom w:val="single" w:sz="4" w:space="0" w:color="auto"/>
              <w:right w:val="single" w:sz="4" w:space="0" w:color="auto"/>
            </w:tcBorders>
            <w:shd w:val="clear" w:color="auto" w:fill="auto"/>
            <w:noWrap/>
            <w:vAlign w:val="center"/>
            <w:hideMark/>
          </w:tcPr>
          <w:p w14:paraId="77EF0A55" w14:textId="23CFA0E6" w:rsidR="00076E4B" w:rsidRPr="00076E4B" w:rsidRDefault="00E53E0D"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393</w:t>
            </w:r>
          </w:p>
        </w:tc>
      </w:tr>
      <w:tr w:rsidR="00076E4B" w:rsidRPr="00076E4B" w14:paraId="4B85F987"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5E49943D" w14:textId="77777777" w:rsidR="00076E4B" w:rsidRPr="00076E4B" w:rsidRDefault="00076E4B" w:rsidP="00764825">
            <w:pPr>
              <w:spacing w:after="0"/>
              <w:rPr>
                <w:rFonts w:ascii="Calibri" w:eastAsia="Times New Roman" w:hAnsi="Calibri" w:cs="Times New Roman"/>
                <w:sz w:val="20"/>
                <w:szCs w:val="20"/>
              </w:rPr>
            </w:pPr>
            <w:r w:rsidRPr="00076E4B">
              <w:rPr>
                <w:rFonts w:ascii="Calibri" w:eastAsia="Times New Roman" w:hAnsi="Calibri" w:cs="Times New Roman"/>
                <w:sz w:val="20"/>
                <w:szCs w:val="20"/>
              </w:rPr>
              <w:t>Prevalent</w:t>
            </w:r>
          </w:p>
        </w:tc>
        <w:tc>
          <w:tcPr>
            <w:tcW w:w="1000" w:type="dxa"/>
            <w:tcBorders>
              <w:top w:val="nil"/>
              <w:left w:val="nil"/>
              <w:bottom w:val="single" w:sz="4" w:space="0" w:color="auto"/>
              <w:right w:val="single" w:sz="4" w:space="0" w:color="auto"/>
            </w:tcBorders>
            <w:shd w:val="clear" w:color="auto" w:fill="auto"/>
            <w:noWrap/>
            <w:vAlign w:val="center"/>
            <w:hideMark/>
          </w:tcPr>
          <w:p w14:paraId="47C8DB1A" w14:textId="7A66EE74"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1,494</w:t>
            </w:r>
          </w:p>
        </w:tc>
        <w:tc>
          <w:tcPr>
            <w:tcW w:w="1000" w:type="dxa"/>
            <w:tcBorders>
              <w:top w:val="nil"/>
              <w:left w:val="nil"/>
              <w:bottom w:val="single" w:sz="4" w:space="0" w:color="auto"/>
              <w:right w:val="single" w:sz="4" w:space="0" w:color="auto"/>
            </w:tcBorders>
            <w:shd w:val="clear" w:color="auto" w:fill="auto"/>
            <w:noWrap/>
            <w:vAlign w:val="center"/>
            <w:hideMark/>
          </w:tcPr>
          <w:p w14:paraId="7F8A4058" w14:textId="20D7C97F"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1,845</w:t>
            </w:r>
          </w:p>
        </w:tc>
        <w:tc>
          <w:tcPr>
            <w:tcW w:w="1580" w:type="dxa"/>
            <w:tcBorders>
              <w:top w:val="nil"/>
              <w:left w:val="nil"/>
              <w:bottom w:val="single" w:sz="4" w:space="0" w:color="auto"/>
              <w:right w:val="single" w:sz="4" w:space="0" w:color="auto"/>
            </w:tcBorders>
            <w:shd w:val="clear" w:color="auto" w:fill="auto"/>
            <w:noWrap/>
            <w:vAlign w:val="center"/>
            <w:hideMark/>
          </w:tcPr>
          <w:p w14:paraId="75D3703E" w14:textId="3CD46679"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2,135</w:t>
            </w:r>
          </w:p>
        </w:tc>
      </w:tr>
      <w:tr w:rsidR="00076E4B" w:rsidRPr="00076E4B" w14:paraId="2DBB27D9"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6DC28562" w14:textId="77777777" w:rsidR="00076E4B" w:rsidRPr="00076E4B" w:rsidRDefault="00076E4B" w:rsidP="00764825">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By drug:</w:t>
            </w:r>
          </w:p>
        </w:tc>
        <w:tc>
          <w:tcPr>
            <w:tcW w:w="1000" w:type="dxa"/>
            <w:tcBorders>
              <w:top w:val="nil"/>
              <w:left w:val="nil"/>
              <w:bottom w:val="single" w:sz="4" w:space="0" w:color="auto"/>
              <w:right w:val="nil"/>
            </w:tcBorders>
            <w:shd w:val="clear" w:color="auto" w:fill="auto"/>
            <w:noWrap/>
            <w:vAlign w:val="bottom"/>
            <w:hideMark/>
          </w:tcPr>
          <w:p w14:paraId="5A83FC88"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000" w:type="dxa"/>
            <w:tcBorders>
              <w:top w:val="nil"/>
              <w:left w:val="nil"/>
              <w:bottom w:val="single" w:sz="4" w:space="0" w:color="auto"/>
              <w:right w:val="nil"/>
            </w:tcBorders>
            <w:shd w:val="clear" w:color="auto" w:fill="auto"/>
            <w:noWrap/>
            <w:vAlign w:val="bottom"/>
            <w:hideMark/>
          </w:tcPr>
          <w:p w14:paraId="147BD808"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E1B7096"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r>
      <w:tr w:rsidR="00076E4B" w:rsidRPr="00076E4B" w14:paraId="256C1CDF"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7FF48552" w14:textId="77777777" w:rsidR="00076E4B" w:rsidRPr="00076E4B" w:rsidRDefault="00076E4B" w:rsidP="00764825">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Adalimumab</w:t>
            </w:r>
          </w:p>
        </w:tc>
        <w:tc>
          <w:tcPr>
            <w:tcW w:w="1000" w:type="dxa"/>
            <w:tcBorders>
              <w:top w:val="nil"/>
              <w:left w:val="nil"/>
              <w:bottom w:val="single" w:sz="4" w:space="0" w:color="auto"/>
              <w:right w:val="nil"/>
            </w:tcBorders>
            <w:shd w:val="clear" w:color="auto" w:fill="auto"/>
            <w:noWrap/>
            <w:vAlign w:val="bottom"/>
            <w:hideMark/>
          </w:tcPr>
          <w:p w14:paraId="62ABA4A8"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000" w:type="dxa"/>
            <w:tcBorders>
              <w:top w:val="nil"/>
              <w:left w:val="nil"/>
              <w:bottom w:val="single" w:sz="4" w:space="0" w:color="auto"/>
              <w:right w:val="nil"/>
            </w:tcBorders>
            <w:shd w:val="clear" w:color="auto" w:fill="auto"/>
            <w:noWrap/>
            <w:vAlign w:val="bottom"/>
            <w:hideMark/>
          </w:tcPr>
          <w:p w14:paraId="6DD8A343"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AFC2033"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r>
      <w:tr w:rsidR="00076E4B" w:rsidRPr="00076E4B" w14:paraId="42A7DFE6"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3F9C5068" w14:textId="17A9E5A5" w:rsidR="00076E4B" w:rsidRPr="00076E4B" w:rsidRDefault="00076E4B" w:rsidP="00764825">
            <w:pPr>
              <w:spacing w:after="0"/>
              <w:rPr>
                <w:rFonts w:ascii="Calibri" w:eastAsia="Times New Roman" w:hAnsi="Calibri" w:cs="Times New Roman"/>
                <w:sz w:val="20"/>
                <w:szCs w:val="20"/>
              </w:rPr>
            </w:pPr>
            <w:r w:rsidRPr="00076E4B">
              <w:rPr>
                <w:rFonts w:ascii="Calibri" w:eastAsia="Times New Roman" w:hAnsi="Calibri" w:cs="Times New Roman"/>
                <w:sz w:val="20"/>
                <w:szCs w:val="20"/>
              </w:rPr>
              <w:t>Incident</w:t>
            </w:r>
            <w:r w:rsidR="008C72BF">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6AC584DD"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215</w:t>
            </w:r>
          </w:p>
        </w:tc>
        <w:tc>
          <w:tcPr>
            <w:tcW w:w="1000" w:type="dxa"/>
            <w:tcBorders>
              <w:top w:val="nil"/>
              <w:left w:val="nil"/>
              <w:bottom w:val="single" w:sz="4" w:space="0" w:color="auto"/>
              <w:right w:val="single" w:sz="4" w:space="0" w:color="auto"/>
            </w:tcBorders>
            <w:shd w:val="clear" w:color="auto" w:fill="auto"/>
            <w:noWrap/>
            <w:vAlign w:val="center"/>
            <w:hideMark/>
          </w:tcPr>
          <w:p w14:paraId="3686FF62"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232</w:t>
            </w:r>
          </w:p>
        </w:tc>
        <w:tc>
          <w:tcPr>
            <w:tcW w:w="1580" w:type="dxa"/>
            <w:tcBorders>
              <w:top w:val="nil"/>
              <w:left w:val="nil"/>
              <w:bottom w:val="single" w:sz="4" w:space="0" w:color="auto"/>
              <w:right w:val="single" w:sz="4" w:space="0" w:color="auto"/>
            </w:tcBorders>
            <w:shd w:val="clear" w:color="auto" w:fill="auto"/>
            <w:noWrap/>
            <w:vAlign w:val="center"/>
            <w:hideMark/>
          </w:tcPr>
          <w:p w14:paraId="7400180F"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179</w:t>
            </w:r>
          </w:p>
        </w:tc>
      </w:tr>
      <w:tr w:rsidR="00076E4B" w:rsidRPr="00076E4B" w14:paraId="0DDDB403"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3D455C7D" w14:textId="77777777" w:rsidR="00076E4B" w:rsidRPr="00076E4B" w:rsidRDefault="00076E4B" w:rsidP="00764825">
            <w:pPr>
              <w:spacing w:after="0"/>
              <w:rPr>
                <w:rFonts w:ascii="Calibri" w:eastAsia="Times New Roman" w:hAnsi="Calibri" w:cs="Times New Roman"/>
                <w:sz w:val="20"/>
                <w:szCs w:val="20"/>
              </w:rPr>
            </w:pPr>
            <w:r w:rsidRPr="00076E4B">
              <w:rPr>
                <w:rFonts w:ascii="Calibri" w:eastAsia="Times New Roman" w:hAnsi="Calibri" w:cs="Times New Roman"/>
                <w:sz w:val="20"/>
                <w:szCs w:val="20"/>
              </w:rPr>
              <w:t>Prevalent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8F9EA66"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746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20D5E"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940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79F78" w14:textId="42153D5B"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w:t>
            </w:r>
            <w:r w:rsidR="00D07EEE">
              <w:rPr>
                <w:rFonts w:ascii="Calibri" w:eastAsia="Times New Roman" w:hAnsi="Calibri" w:cs="Times New Roman"/>
                <w:sz w:val="20"/>
                <w:szCs w:val="20"/>
              </w:rPr>
              <w:t>,</w:t>
            </w:r>
            <w:r w:rsidRPr="00076E4B">
              <w:rPr>
                <w:rFonts w:ascii="Calibri" w:eastAsia="Times New Roman" w:hAnsi="Calibri" w:cs="Times New Roman"/>
                <w:sz w:val="20"/>
                <w:szCs w:val="20"/>
              </w:rPr>
              <w:t>048</w:t>
            </w:r>
          </w:p>
        </w:tc>
      </w:tr>
      <w:tr w:rsidR="00076E4B" w:rsidRPr="00076E4B" w14:paraId="4CE5C556"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0D4F7C68" w14:textId="77777777" w:rsidR="00076E4B" w:rsidRPr="00076E4B" w:rsidRDefault="00076E4B" w:rsidP="00764825">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Infliximab</w:t>
            </w:r>
          </w:p>
        </w:tc>
        <w:tc>
          <w:tcPr>
            <w:tcW w:w="1000" w:type="dxa"/>
            <w:tcBorders>
              <w:top w:val="single" w:sz="4" w:space="0" w:color="auto"/>
              <w:left w:val="nil"/>
              <w:bottom w:val="single" w:sz="4" w:space="0" w:color="auto"/>
              <w:right w:val="nil"/>
            </w:tcBorders>
            <w:shd w:val="clear" w:color="auto" w:fill="auto"/>
            <w:noWrap/>
            <w:vAlign w:val="bottom"/>
            <w:hideMark/>
          </w:tcPr>
          <w:p w14:paraId="3D6466CA"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000" w:type="dxa"/>
            <w:tcBorders>
              <w:top w:val="single" w:sz="4" w:space="0" w:color="auto"/>
              <w:left w:val="nil"/>
              <w:bottom w:val="single" w:sz="4" w:space="0" w:color="auto"/>
              <w:right w:val="nil"/>
            </w:tcBorders>
            <w:shd w:val="clear" w:color="auto" w:fill="auto"/>
            <w:noWrap/>
            <w:vAlign w:val="bottom"/>
            <w:hideMark/>
          </w:tcPr>
          <w:p w14:paraId="4FC83863"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F28021C" w14:textId="77777777" w:rsidR="00076E4B" w:rsidRPr="00076E4B" w:rsidRDefault="00076E4B" w:rsidP="00076E4B">
            <w:pPr>
              <w:spacing w:after="0"/>
              <w:rPr>
                <w:rFonts w:ascii="Calibri" w:eastAsia="Times New Roman" w:hAnsi="Calibri" w:cs="Times New Roman"/>
                <w:b/>
                <w:bCs/>
                <w:sz w:val="20"/>
                <w:szCs w:val="20"/>
              </w:rPr>
            </w:pPr>
            <w:r w:rsidRPr="00076E4B">
              <w:rPr>
                <w:rFonts w:ascii="Calibri" w:eastAsia="Times New Roman" w:hAnsi="Calibri" w:cs="Times New Roman"/>
                <w:b/>
                <w:bCs/>
                <w:sz w:val="20"/>
                <w:szCs w:val="20"/>
              </w:rPr>
              <w:t> </w:t>
            </w:r>
          </w:p>
        </w:tc>
      </w:tr>
      <w:tr w:rsidR="00076E4B" w:rsidRPr="00076E4B" w14:paraId="18F01FA0"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25D053ED" w14:textId="6BDBA515" w:rsidR="00076E4B" w:rsidRPr="00076E4B" w:rsidRDefault="00076E4B" w:rsidP="00764825">
            <w:pPr>
              <w:spacing w:after="0"/>
              <w:rPr>
                <w:rFonts w:ascii="Calibri" w:eastAsia="Times New Roman" w:hAnsi="Calibri" w:cs="Times New Roman"/>
                <w:sz w:val="20"/>
                <w:szCs w:val="20"/>
              </w:rPr>
            </w:pPr>
            <w:r w:rsidRPr="00076E4B">
              <w:rPr>
                <w:rFonts w:ascii="Calibri" w:eastAsia="Times New Roman" w:hAnsi="Calibri" w:cs="Times New Roman"/>
                <w:sz w:val="20"/>
                <w:szCs w:val="20"/>
              </w:rPr>
              <w:t>Incident</w:t>
            </w:r>
            <w:r w:rsidR="008C72BF">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44308337"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199</w:t>
            </w:r>
          </w:p>
        </w:tc>
        <w:tc>
          <w:tcPr>
            <w:tcW w:w="1000" w:type="dxa"/>
            <w:tcBorders>
              <w:top w:val="nil"/>
              <w:left w:val="nil"/>
              <w:bottom w:val="single" w:sz="4" w:space="0" w:color="auto"/>
              <w:right w:val="single" w:sz="4" w:space="0" w:color="auto"/>
            </w:tcBorders>
            <w:shd w:val="clear" w:color="auto" w:fill="auto"/>
            <w:noWrap/>
            <w:vAlign w:val="center"/>
            <w:hideMark/>
          </w:tcPr>
          <w:p w14:paraId="14269FD6"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227</w:t>
            </w:r>
          </w:p>
        </w:tc>
        <w:tc>
          <w:tcPr>
            <w:tcW w:w="1580" w:type="dxa"/>
            <w:tcBorders>
              <w:top w:val="nil"/>
              <w:left w:val="nil"/>
              <w:bottom w:val="single" w:sz="4" w:space="0" w:color="auto"/>
              <w:right w:val="single" w:sz="4" w:space="0" w:color="auto"/>
            </w:tcBorders>
            <w:shd w:val="clear" w:color="auto" w:fill="auto"/>
            <w:noWrap/>
            <w:vAlign w:val="center"/>
            <w:hideMark/>
          </w:tcPr>
          <w:p w14:paraId="28CE99D4"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213</w:t>
            </w:r>
          </w:p>
        </w:tc>
      </w:tr>
      <w:tr w:rsidR="00076E4B" w:rsidRPr="00076E4B" w14:paraId="57D03A03"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4EFA0D26" w14:textId="77777777" w:rsidR="00076E4B" w:rsidRPr="00076E4B" w:rsidRDefault="00076E4B" w:rsidP="00764825">
            <w:pPr>
              <w:spacing w:after="0"/>
              <w:rPr>
                <w:rFonts w:ascii="Calibri" w:eastAsia="Times New Roman" w:hAnsi="Calibri" w:cs="Times New Roman"/>
                <w:sz w:val="20"/>
                <w:szCs w:val="20"/>
              </w:rPr>
            </w:pPr>
            <w:r w:rsidRPr="00076E4B">
              <w:rPr>
                <w:rFonts w:ascii="Calibri" w:eastAsia="Times New Roman" w:hAnsi="Calibri" w:cs="Times New Roman"/>
                <w:sz w:val="20"/>
                <w:szCs w:val="20"/>
              </w:rPr>
              <w:t>Prevalent</w:t>
            </w:r>
          </w:p>
        </w:tc>
        <w:tc>
          <w:tcPr>
            <w:tcW w:w="1000" w:type="dxa"/>
            <w:tcBorders>
              <w:top w:val="nil"/>
              <w:left w:val="nil"/>
              <w:bottom w:val="single" w:sz="4" w:space="0" w:color="auto"/>
              <w:right w:val="single" w:sz="4" w:space="0" w:color="auto"/>
            </w:tcBorders>
            <w:shd w:val="clear" w:color="auto" w:fill="auto"/>
            <w:noWrap/>
            <w:vAlign w:val="center"/>
            <w:hideMark/>
          </w:tcPr>
          <w:p w14:paraId="69D74457"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804</w:t>
            </w:r>
          </w:p>
        </w:tc>
        <w:tc>
          <w:tcPr>
            <w:tcW w:w="1000" w:type="dxa"/>
            <w:tcBorders>
              <w:top w:val="nil"/>
              <w:left w:val="nil"/>
              <w:bottom w:val="single" w:sz="4" w:space="0" w:color="auto"/>
              <w:right w:val="single" w:sz="4" w:space="0" w:color="auto"/>
            </w:tcBorders>
            <w:shd w:val="clear" w:color="auto" w:fill="auto"/>
            <w:noWrap/>
            <w:vAlign w:val="center"/>
            <w:hideMark/>
          </w:tcPr>
          <w:p w14:paraId="0265C022" w14:textId="77777777"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963</w:t>
            </w:r>
          </w:p>
        </w:tc>
        <w:tc>
          <w:tcPr>
            <w:tcW w:w="1580" w:type="dxa"/>
            <w:tcBorders>
              <w:top w:val="nil"/>
              <w:left w:val="nil"/>
              <w:bottom w:val="single" w:sz="4" w:space="0" w:color="auto"/>
              <w:right w:val="single" w:sz="4" w:space="0" w:color="auto"/>
            </w:tcBorders>
            <w:shd w:val="clear" w:color="auto" w:fill="auto"/>
            <w:noWrap/>
            <w:vAlign w:val="center"/>
            <w:hideMark/>
          </w:tcPr>
          <w:p w14:paraId="14889BDD" w14:textId="43DFAB71" w:rsidR="00076E4B" w:rsidRPr="00076E4B" w:rsidRDefault="00076E4B" w:rsidP="00764825">
            <w:pPr>
              <w:spacing w:after="0"/>
              <w:jc w:val="center"/>
              <w:rPr>
                <w:rFonts w:ascii="Calibri" w:eastAsia="Times New Roman" w:hAnsi="Calibri" w:cs="Times New Roman"/>
                <w:sz w:val="20"/>
                <w:szCs w:val="20"/>
              </w:rPr>
            </w:pPr>
            <w:r w:rsidRPr="00076E4B">
              <w:rPr>
                <w:rFonts w:ascii="Calibri" w:eastAsia="Times New Roman" w:hAnsi="Calibri" w:cs="Times New Roman"/>
                <w:sz w:val="20"/>
                <w:szCs w:val="20"/>
              </w:rPr>
              <w:t>1</w:t>
            </w:r>
            <w:r w:rsidR="00D07EEE">
              <w:rPr>
                <w:rFonts w:ascii="Calibri" w:eastAsia="Times New Roman" w:hAnsi="Calibri" w:cs="Times New Roman"/>
                <w:sz w:val="20"/>
                <w:szCs w:val="20"/>
              </w:rPr>
              <w:t>,</w:t>
            </w:r>
            <w:r w:rsidRPr="00076E4B">
              <w:rPr>
                <w:rFonts w:ascii="Calibri" w:eastAsia="Times New Roman" w:hAnsi="Calibri" w:cs="Times New Roman"/>
                <w:sz w:val="20"/>
                <w:szCs w:val="20"/>
              </w:rPr>
              <w:t>165</w:t>
            </w:r>
          </w:p>
        </w:tc>
      </w:tr>
    </w:tbl>
    <w:p w14:paraId="1C7634E5" w14:textId="7FA4D603" w:rsidR="00076E4B" w:rsidRDefault="00FD3D4A" w:rsidP="008C72BF">
      <w:pPr>
        <w:spacing w:after="0"/>
        <w:rPr>
          <w:rStyle w:val="FigurecaptionChar"/>
        </w:rPr>
      </w:pPr>
      <w:r w:rsidRPr="00780DCD">
        <w:rPr>
          <w:rStyle w:val="FigurecaptionChar"/>
        </w:rPr>
        <w:t xml:space="preserve">Source: DHS </w:t>
      </w:r>
      <w:r>
        <w:rPr>
          <w:rStyle w:val="FigurecaptionChar"/>
        </w:rPr>
        <w:t xml:space="preserve">Prescriptions </w:t>
      </w:r>
      <w:r w:rsidR="009D64A9">
        <w:rPr>
          <w:rStyle w:val="FigurecaptionChar"/>
        </w:rPr>
        <w:t>database</w:t>
      </w:r>
      <w:r>
        <w:rPr>
          <w:rStyle w:val="FigurecaptionChar"/>
        </w:rPr>
        <w:t xml:space="preserve"> accessed April 2017</w:t>
      </w:r>
      <w:r w:rsidRPr="00780DCD">
        <w:rPr>
          <w:rStyle w:val="FigurecaptionChar"/>
        </w:rPr>
        <w:t>.</w:t>
      </w:r>
    </w:p>
    <w:p w14:paraId="6A3766FA" w14:textId="77777777" w:rsidR="008C72BF" w:rsidRDefault="008C72BF" w:rsidP="008C72BF">
      <w:pPr>
        <w:spacing w:after="0"/>
        <w:rPr>
          <w:color w:val="000000" w:themeColor="text1"/>
          <w:sz w:val="20"/>
          <w:szCs w:val="20"/>
        </w:rPr>
      </w:pPr>
      <w:r w:rsidRPr="00796E73">
        <w:rPr>
          <w:color w:val="000000" w:themeColor="text1"/>
          <w:sz w:val="20"/>
          <w:szCs w:val="20"/>
          <w:vertAlign w:val="superscript"/>
        </w:rPr>
        <w:t>1</w:t>
      </w:r>
      <w:r w:rsidRPr="00796E73">
        <w:rPr>
          <w:color w:val="000000" w:themeColor="text1"/>
          <w:sz w:val="20"/>
          <w:szCs w:val="20"/>
        </w:rPr>
        <w:t xml:space="preserve"> Incident patient counts are for the first ever episode of R/PBS treatment.</w:t>
      </w:r>
    </w:p>
    <w:p w14:paraId="0697C4F1" w14:textId="77777777" w:rsidR="008C72BF" w:rsidRDefault="008C72BF" w:rsidP="006772BC">
      <w:pPr>
        <w:spacing w:after="0"/>
        <w:rPr>
          <w:rStyle w:val="FigurecaptionChar"/>
        </w:rPr>
      </w:pPr>
    </w:p>
    <w:p w14:paraId="23AE58FD" w14:textId="1657746D" w:rsidR="00CD25A1" w:rsidRDefault="00CD25A1" w:rsidP="006772BC">
      <w:pPr>
        <w:spacing w:after="0"/>
        <w:rPr>
          <w:u w:val="single"/>
        </w:rPr>
      </w:pPr>
      <w:r>
        <w:rPr>
          <w:u w:val="single"/>
        </w:rPr>
        <w:t>Paediatric Crohn disease</w:t>
      </w:r>
    </w:p>
    <w:p w14:paraId="519B38BE" w14:textId="77777777" w:rsidR="006772BC" w:rsidRDefault="006772BC" w:rsidP="006772BC">
      <w:pPr>
        <w:spacing w:after="0"/>
      </w:pPr>
    </w:p>
    <w:p w14:paraId="7608D950" w14:textId="61CBBA3C" w:rsidR="00982CAA" w:rsidRDefault="008540E9" w:rsidP="00982CAA">
      <w:r>
        <w:t xml:space="preserve">From 1 January 2011 the dosing of corticosteroids for infliximab’s listings for paediatric Crohn disease changed </w:t>
      </w:r>
      <w:r w:rsidR="00982CAA">
        <w:t>from a dose of 40</w:t>
      </w:r>
      <w:r w:rsidR="00791B88">
        <w:t xml:space="preserve"> </w:t>
      </w:r>
      <w:r w:rsidR="00982CAA">
        <w:t>mg daily to 1 mg per k</w:t>
      </w:r>
      <w:r>
        <w:t>g or 40</w:t>
      </w:r>
      <w:r w:rsidR="00791B88">
        <w:t xml:space="preserve"> </w:t>
      </w:r>
      <w:r>
        <w:t xml:space="preserve">mg (whichever is lesser). This amendment may be associated with the rise in the number of new patients accessing a </w:t>
      </w:r>
      <w:r w:rsidR="002F559B">
        <w:t>bDMD</w:t>
      </w:r>
      <w:r>
        <w:t xml:space="preserve"> for this indication from 2012</w:t>
      </w:r>
      <w:r w:rsidR="00A92F5A">
        <w:t xml:space="preserve"> (Figure</w:t>
      </w:r>
      <w:r w:rsidR="00791B88">
        <w:t xml:space="preserve"> </w:t>
      </w:r>
      <w:r w:rsidR="00A92F5A">
        <w:t>3)</w:t>
      </w:r>
      <w:r>
        <w:t>.</w:t>
      </w:r>
    </w:p>
    <w:p w14:paraId="53608F22" w14:textId="788176AF" w:rsidR="00936174" w:rsidRPr="000830CC" w:rsidRDefault="0013423B" w:rsidP="00791B88">
      <w:pPr>
        <w:spacing w:before="60" w:after="60"/>
        <w:rPr>
          <w:rStyle w:val="FigurecaptionChar"/>
          <w:i/>
          <w:color w:val="FF0000"/>
          <w:sz w:val="24"/>
          <w:szCs w:val="24"/>
          <w:lang w:eastAsia="en-AU"/>
        </w:rPr>
      </w:pPr>
      <w:r>
        <w:rPr>
          <w:i/>
          <w:noProof/>
          <w:color w:val="FF0000"/>
        </w:rPr>
        <w:drawing>
          <wp:inline distT="0" distB="0" distL="0" distR="0" wp14:anchorId="6AA428E6" wp14:editId="50770BD0">
            <wp:extent cx="5669915" cy="2743200"/>
            <wp:effectExtent l="0" t="0" r="6985" b="0"/>
            <wp:docPr id="25" name="Picture 25" descr="Number of new and total patients by year" title="Number of patients receiving an Authority approval for paediatric Crohn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9915" cy="2743200"/>
                    </a:xfrm>
                    <a:prstGeom prst="rect">
                      <a:avLst/>
                    </a:prstGeom>
                    <a:noFill/>
                  </pic:spPr>
                </pic:pic>
              </a:graphicData>
            </a:graphic>
          </wp:inline>
        </w:drawing>
      </w:r>
      <w:r w:rsidR="00936174" w:rsidRPr="00780DCD">
        <w:rPr>
          <w:rStyle w:val="FiguretitleChar"/>
          <w:rFonts w:asciiTheme="minorHAnsi" w:hAnsiTheme="minorHAnsi"/>
        </w:rPr>
        <w:t xml:space="preserve">Figure </w:t>
      </w:r>
      <w:r w:rsidR="00150DCE">
        <w:rPr>
          <w:rStyle w:val="FiguretitleChar"/>
          <w:rFonts w:asciiTheme="minorHAnsi" w:hAnsiTheme="minorHAnsi"/>
        </w:rPr>
        <w:t>3</w:t>
      </w:r>
      <w:r w:rsidR="00936174" w:rsidRPr="00780DCD">
        <w:rPr>
          <w:rStyle w:val="FiguretitleChar"/>
          <w:rFonts w:asciiTheme="minorHAnsi" w:hAnsiTheme="minorHAnsi"/>
        </w:rPr>
        <w:t xml:space="preserve">: </w:t>
      </w:r>
      <w:r w:rsidR="00197B04">
        <w:rPr>
          <w:rStyle w:val="FiguretitleChar"/>
          <w:rFonts w:asciiTheme="minorHAnsi" w:hAnsiTheme="minorHAnsi"/>
        </w:rPr>
        <w:t>Number of patients receiving an Authority approval for p</w:t>
      </w:r>
      <w:r w:rsidR="00936174">
        <w:rPr>
          <w:rStyle w:val="FiguretitleChar"/>
          <w:rFonts w:asciiTheme="minorHAnsi" w:hAnsiTheme="minorHAnsi"/>
        </w:rPr>
        <w:t xml:space="preserve">aediatric Crohn disease </w:t>
      </w:r>
      <w:r w:rsidR="00936174" w:rsidRPr="00780DCD">
        <w:rPr>
          <w:rStyle w:val="FigurecaptionChar"/>
        </w:rPr>
        <w:t>Source: DHS Authority appro</w:t>
      </w:r>
      <w:r w:rsidR="00936174">
        <w:rPr>
          <w:rStyle w:val="FigurecaptionChar"/>
        </w:rPr>
        <w:t>vals database, accessed April 2017</w:t>
      </w:r>
      <w:r w:rsidR="00936174" w:rsidRPr="00780DCD">
        <w:rPr>
          <w:rStyle w:val="FigurecaptionChar"/>
        </w:rPr>
        <w:t xml:space="preserve">. </w:t>
      </w:r>
    </w:p>
    <w:p w14:paraId="20AA53B8" w14:textId="77777777" w:rsidR="00A92F5A" w:rsidRDefault="00A92F5A">
      <w:pPr>
        <w:spacing w:line="276" w:lineRule="auto"/>
        <w:rPr>
          <w:b/>
        </w:rPr>
      </w:pPr>
      <w:r>
        <w:br w:type="page"/>
      </w:r>
    </w:p>
    <w:p w14:paraId="035FFF63" w14:textId="2B36567F" w:rsidR="009D64A9" w:rsidRPr="009D64A9" w:rsidRDefault="009D64A9" w:rsidP="009D64A9">
      <w:pPr>
        <w:pStyle w:val="Tabletitle"/>
        <w:rPr>
          <w:rStyle w:val="FigurecaptionChar"/>
          <w:sz w:val="24"/>
          <w:szCs w:val="24"/>
          <w:lang w:eastAsia="en-AU"/>
        </w:rPr>
      </w:pPr>
      <w:r>
        <w:lastRenderedPageBreak/>
        <w:t>Table 4</w:t>
      </w:r>
      <w:r w:rsidRPr="00731076">
        <w:t xml:space="preserve">: </w:t>
      </w:r>
      <w:r>
        <w:t xml:space="preserve">Number of patients supplied a </w:t>
      </w:r>
      <w:r w:rsidR="002F559B">
        <w:t>bDMD</w:t>
      </w:r>
      <w:r>
        <w:t xml:space="preserve"> for paediatric Crohn disease in 2014, 2015 and 2016</w:t>
      </w:r>
      <w:r w:rsidRPr="00731076">
        <w:t xml:space="preserve">  </w:t>
      </w:r>
    </w:p>
    <w:tbl>
      <w:tblPr>
        <w:tblW w:w="5900" w:type="dxa"/>
        <w:tblInd w:w="93" w:type="dxa"/>
        <w:tblLook w:val="04A0" w:firstRow="1" w:lastRow="0" w:firstColumn="1" w:lastColumn="0" w:noHBand="0" w:noVBand="1"/>
      </w:tblPr>
      <w:tblGrid>
        <w:gridCol w:w="2320"/>
        <w:gridCol w:w="1000"/>
        <w:gridCol w:w="1000"/>
        <w:gridCol w:w="1580"/>
      </w:tblGrid>
      <w:tr w:rsidR="00757E8C" w:rsidRPr="00757E8C" w14:paraId="569BE91F" w14:textId="77777777" w:rsidTr="00764825">
        <w:trPr>
          <w:trHeight w:val="300"/>
        </w:trPr>
        <w:tc>
          <w:tcPr>
            <w:tcW w:w="2320" w:type="dxa"/>
            <w:tcBorders>
              <w:top w:val="nil"/>
              <w:left w:val="nil"/>
              <w:bottom w:val="nil"/>
              <w:right w:val="nil"/>
            </w:tcBorders>
            <w:shd w:val="clear" w:color="auto" w:fill="auto"/>
            <w:noWrap/>
            <w:vAlign w:val="bottom"/>
            <w:hideMark/>
          </w:tcPr>
          <w:p w14:paraId="46A1351E" w14:textId="77777777" w:rsidR="00757E8C" w:rsidRPr="00757E8C" w:rsidRDefault="00757E8C" w:rsidP="00757E8C">
            <w:pPr>
              <w:spacing w:after="0"/>
              <w:rPr>
                <w:rFonts w:ascii="Calibri" w:eastAsia="Times New Roman" w:hAnsi="Calibri"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7F8FB3" w14:textId="77777777" w:rsidR="00757E8C" w:rsidRPr="00757E8C" w:rsidRDefault="00757E8C" w:rsidP="00764825">
            <w:pPr>
              <w:spacing w:after="0"/>
              <w:jc w:val="center"/>
              <w:rPr>
                <w:rFonts w:ascii="Calibri" w:eastAsia="Times New Roman" w:hAnsi="Calibri" w:cs="Times New Roman"/>
                <w:b/>
                <w:bCs/>
                <w:sz w:val="20"/>
                <w:szCs w:val="20"/>
              </w:rPr>
            </w:pPr>
            <w:r w:rsidRPr="00757E8C">
              <w:rPr>
                <w:rFonts w:ascii="Calibri" w:eastAsia="Times New Roman" w:hAnsi="Calibri" w:cs="Times New Roman"/>
                <w:b/>
                <w:bCs/>
                <w:sz w:val="20"/>
                <w:szCs w:val="20"/>
              </w:rPr>
              <w:t>2014</w:t>
            </w:r>
          </w:p>
        </w:tc>
        <w:tc>
          <w:tcPr>
            <w:tcW w:w="10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B88AAA" w14:textId="77777777" w:rsidR="00757E8C" w:rsidRPr="00757E8C" w:rsidRDefault="00757E8C" w:rsidP="00764825">
            <w:pPr>
              <w:spacing w:after="0"/>
              <w:jc w:val="center"/>
              <w:rPr>
                <w:rFonts w:ascii="Calibri" w:eastAsia="Times New Roman" w:hAnsi="Calibri" w:cs="Times New Roman"/>
                <w:b/>
                <w:bCs/>
                <w:sz w:val="20"/>
                <w:szCs w:val="20"/>
              </w:rPr>
            </w:pPr>
            <w:r w:rsidRPr="00757E8C">
              <w:rPr>
                <w:rFonts w:ascii="Calibri" w:eastAsia="Times New Roman" w:hAnsi="Calibri" w:cs="Times New Roman"/>
                <w:b/>
                <w:bCs/>
                <w:sz w:val="20"/>
                <w:szCs w:val="20"/>
              </w:rPr>
              <w:t>2015</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3AC5DEC" w14:textId="77777777" w:rsidR="00757E8C" w:rsidRPr="00757E8C" w:rsidRDefault="00757E8C" w:rsidP="00764825">
            <w:pPr>
              <w:spacing w:after="0"/>
              <w:jc w:val="center"/>
              <w:rPr>
                <w:rFonts w:ascii="Calibri" w:eastAsia="Times New Roman" w:hAnsi="Calibri" w:cs="Times New Roman"/>
                <w:b/>
                <w:bCs/>
                <w:sz w:val="20"/>
                <w:szCs w:val="20"/>
              </w:rPr>
            </w:pPr>
            <w:r w:rsidRPr="00757E8C">
              <w:rPr>
                <w:rFonts w:ascii="Calibri" w:eastAsia="Times New Roman" w:hAnsi="Calibri" w:cs="Times New Roman"/>
                <w:b/>
                <w:bCs/>
                <w:sz w:val="20"/>
                <w:szCs w:val="20"/>
              </w:rPr>
              <w:t>2016</w:t>
            </w:r>
          </w:p>
        </w:tc>
      </w:tr>
      <w:tr w:rsidR="00757E8C" w:rsidRPr="00757E8C" w14:paraId="4E198340" w14:textId="77777777" w:rsidTr="00764825">
        <w:trPr>
          <w:trHeight w:val="300"/>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364B218E" w14:textId="62359AF4" w:rsidR="00757E8C" w:rsidRPr="00757E8C" w:rsidRDefault="00757E8C" w:rsidP="00764825">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xml:space="preserve">All </w:t>
            </w:r>
            <w:r w:rsidR="002F559B">
              <w:rPr>
                <w:rFonts w:ascii="Calibri" w:eastAsia="Times New Roman" w:hAnsi="Calibri" w:cs="Times New Roman"/>
                <w:b/>
                <w:bCs/>
                <w:sz w:val="20"/>
                <w:szCs w:val="20"/>
              </w:rPr>
              <w:t>bDMD</w:t>
            </w:r>
            <w:r w:rsidRPr="00757E8C">
              <w:rPr>
                <w:rFonts w:ascii="Calibri" w:eastAsia="Times New Roman" w:hAnsi="Calibri" w:cs="Times New Roman"/>
                <w:b/>
                <w:bCs/>
                <w:sz w:val="20"/>
                <w:szCs w:val="20"/>
              </w:rPr>
              <w:t xml:space="preserve"> drugs</w:t>
            </w:r>
          </w:p>
        </w:tc>
        <w:tc>
          <w:tcPr>
            <w:tcW w:w="1000" w:type="dxa"/>
            <w:tcBorders>
              <w:top w:val="nil"/>
              <w:left w:val="nil"/>
              <w:bottom w:val="single" w:sz="4" w:space="0" w:color="auto"/>
              <w:right w:val="nil"/>
            </w:tcBorders>
            <w:shd w:val="clear" w:color="auto" w:fill="auto"/>
            <w:noWrap/>
            <w:vAlign w:val="bottom"/>
            <w:hideMark/>
          </w:tcPr>
          <w:p w14:paraId="7B530F83" w14:textId="77777777" w:rsidR="00757E8C" w:rsidRPr="00757E8C" w:rsidRDefault="00757E8C" w:rsidP="00757E8C">
            <w:pPr>
              <w:spacing w:after="0"/>
              <w:rPr>
                <w:rFonts w:ascii="Calibri" w:eastAsia="Times New Roman" w:hAnsi="Calibri" w:cs="Times New Roman"/>
                <w:sz w:val="20"/>
                <w:szCs w:val="20"/>
              </w:rPr>
            </w:pPr>
            <w:r w:rsidRPr="00757E8C">
              <w:rPr>
                <w:rFonts w:ascii="Calibri" w:eastAsia="Times New Roman" w:hAnsi="Calibri" w:cs="Times New Roman"/>
                <w:sz w:val="20"/>
                <w:szCs w:val="20"/>
              </w:rPr>
              <w:t> </w:t>
            </w:r>
          </w:p>
        </w:tc>
        <w:tc>
          <w:tcPr>
            <w:tcW w:w="1000" w:type="dxa"/>
            <w:tcBorders>
              <w:top w:val="nil"/>
              <w:left w:val="nil"/>
              <w:bottom w:val="single" w:sz="4" w:space="0" w:color="auto"/>
              <w:right w:val="nil"/>
            </w:tcBorders>
            <w:shd w:val="clear" w:color="auto" w:fill="auto"/>
            <w:noWrap/>
            <w:vAlign w:val="bottom"/>
            <w:hideMark/>
          </w:tcPr>
          <w:p w14:paraId="3C870702" w14:textId="77777777" w:rsidR="00757E8C" w:rsidRPr="00757E8C" w:rsidRDefault="00757E8C" w:rsidP="00757E8C">
            <w:pPr>
              <w:spacing w:after="0"/>
              <w:rPr>
                <w:rFonts w:ascii="Calibri" w:eastAsia="Times New Roman" w:hAnsi="Calibri" w:cs="Times New Roman"/>
                <w:sz w:val="20"/>
                <w:szCs w:val="20"/>
              </w:rPr>
            </w:pPr>
            <w:r w:rsidRPr="00757E8C">
              <w:rPr>
                <w:rFonts w:ascii="Calibri" w:eastAsia="Times New Roman" w:hAnsi="Calibri"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24994A" w14:textId="77777777" w:rsidR="00757E8C" w:rsidRPr="00757E8C" w:rsidRDefault="00757E8C" w:rsidP="00757E8C">
            <w:pPr>
              <w:spacing w:after="0"/>
              <w:rPr>
                <w:rFonts w:ascii="Calibri" w:eastAsia="Times New Roman" w:hAnsi="Calibri" w:cs="Times New Roman"/>
                <w:sz w:val="20"/>
                <w:szCs w:val="20"/>
              </w:rPr>
            </w:pPr>
            <w:r w:rsidRPr="00757E8C">
              <w:rPr>
                <w:rFonts w:ascii="Calibri" w:eastAsia="Times New Roman" w:hAnsi="Calibri" w:cs="Times New Roman"/>
                <w:sz w:val="20"/>
                <w:szCs w:val="20"/>
              </w:rPr>
              <w:t> </w:t>
            </w:r>
          </w:p>
        </w:tc>
      </w:tr>
      <w:tr w:rsidR="00757E8C" w:rsidRPr="00757E8C" w14:paraId="70BFFD5C"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43CD0026" w14:textId="08D6444B" w:rsidR="00757E8C" w:rsidRPr="00C514E1" w:rsidRDefault="00757E8C" w:rsidP="00764825">
            <w:pPr>
              <w:spacing w:after="0"/>
              <w:rPr>
                <w:rFonts w:ascii="Calibri" w:eastAsia="Times New Roman" w:hAnsi="Calibri" w:cs="Times New Roman"/>
                <w:sz w:val="20"/>
                <w:szCs w:val="20"/>
                <w:vertAlign w:val="superscript"/>
              </w:rPr>
            </w:pPr>
            <w:r w:rsidRPr="00757E8C">
              <w:rPr>
                <w:rFonts w:ascii="Calibri" w:eastAsia="Times New Roman" w:hAnsi="Calibri" w:cs="Times New Roman"/>
                <w:sz w:val="20"/>
                <w:szCs w:val="20"/>
              </w:rPr>
              <w:t>Incident</w:t>
            </w:r>
            <w:r w:rsidR="00C514E1">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2A8B79BD"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122</w:t>
            </w:r>
          </w:p>
        </w:tc>
        <w:tc>
          <w:tcPr>
            <w:tcW w:w="1000" w:type="dxa"/>
            <w:tcBorders>
              <w:top w:val="nil"/>
              <w:left w:val="nil"/>
              <w:bottom w:val="single" w:sz="4" w:space="0" w:color="auto"/>
              <w:right w:val="single" w:sz="4" w:space="0" w:color="auto"/>
            </w:tcBorders>
            <w:shd w:val="clear" w:color="auto" w:fill="auto"/>
            <w:noWrap/>
            <w:vAlign w:val="center"/>
            <w:hideMark/>
          </w:tcPr>
          <w:p w14:paraId="43CA0986"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185</w:t>
            </w:r>
          </w:p>
        </w:tc>
        <w:tc>
          <w:tcPr>
            <w:tcW w:w="1580" w:type="dxa"/>
            <w:tcBorders>
              <w:top w:val="nil"/>
              <w:left w:val="nil"/>
              <w:bottom w:val="single" w:sz="4" w:space="0" w:color="auto"/>
              <w:right w:val="single" w:sz="4" w:space="0" w:color="auto"/>
            </w:tcBorders>
            <w:shd w:val="clear" w:color="auto" w:fill="auto"/>
            <w:noWrap/>
            <w:vAlign w:val="center"/>
            <w:hideMark/>
          </w:tcPr>
          <w:p w14:paraId="38DC268F"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331</w:t>
            </w:r>
          </w:p>
        </w:tc>
      </w:tr>
      <w:tr w:rsidR="00757E8C" w:rsidRPr="00757E8C" w14:paraId="36490541"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1067A238" w14:textId="77777777" w:rsidR="00757E8C" w:rsidRPr="00757E8C" w:rsidRDefault="00757E8C" w:rsidP="00764825">
            <w:pPr>
              <w:spacing w:after="0"/>
              <w:rPr>
                <w:rFonts w:ascii="Calibri" w:eastAsia="Times New Roman" w:hAnsi="Calibri" w:cs="Times New Roman"/>
                <w:sz w:val="20"/>
                <w:szCs w:val="20"/>
              </w:rPr>
            </w:pPr>
            <w:r w:rsidRPr="00757E8C">
              <w:rPr>
                <w:rFonts w:ascii="Calibri" w:eastAsia="Times New Roman" w:hAnsi="Calibri" w:cs="Times New Roman"/>
                <w:sz w:val="20"/>
                <w:szCs w:val="20"/>
              </w:rPr>
              <w:t>Prevalent</w:t>
            </w:r>
          </w:p>
        </w:tc>
        <w:tc>
          <w:tcPr>
            <w:tcW w:w="1000" w:type="dxa"/>
            <w:tcBorders>
              <w:top w:val="nil"/>
              <w:left w:val="nil"/>
              <w:bottom w:val="single" w:sz="4" w:space="0" w:color="auto"/>
              <w:right w:val="single" w:sz="4" w:space="0" w:color="auto"/>
            </w:tcBorders>
            <w:shd w:val="clear" w:color="auto" w:fill="auto"/>
            <w:noWrap/>
            <w:vAlign w:val="center"/>
            <w:hideMark/>
          </w:tcPr>
          <w:p w14:paraId="72C6F21E"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427</w:t>
            </w:r>
          </w:p>
        </w:tc>
        <w:tc>
          <w:tcPr>
            <w:tcW w:w="1000" w:type="dxa"/>
            <w:tcBorders>
              <w:top w:val="nil"/>
              <w:left w:val="nil"/>
              <w:bottom w:val="single" w:sz="4" w:space="0" w:color="auto"/>
              <w:right w:val="single" w:sz="4" w:space="0" w:color="auto"/>
            </w:tcBorders>
            <w:shd w:val="clear" w:color="auto" w:fill="auto"/>
            <w:noWrap/>
            <w:vAlign w:val="center"/>
            <w:hideMark/>
          </w:tcPr>
          <w:p w14:paraId="55435671" w14:textId="5BA84C6E" w:rsidR="00757E8C" w:rsidRPr="00757E8C" w:rsidRDefault="004E24DC"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588</w:t>
            </w:r>
          </w:p>
        </w:tc>
        <w:tc>
          <w:tcPr>
            <w:tcW w:w="1580" w:type="dxa"/>
            <w:tcBorders>
              <w:top w:val="nil"/>
              <w:left w:val="nil"/>
              <w:bottom w:val="single" w:sz="4" w:space="0" w:color="auto"/>
              <w:right w:val="single" w:sz="4" w:space="0" w:color="auto"/>
            </w:tcBorders>
            <w:shd w:val="clear" w:color="auto" w:fill="auto"/>
            <w:noWrap/>
            <w:vAlign w:val="center"/>
            <w:hideMark/>
          </w:tcPr>
          <w:p w14:paraId="13581C79" w14:textId="6DC6491D" w:rsidR="00757E8C" w:rsidRPr="00757E8C" w:rsidRDefault="004E24DC"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824</w:t>
            </w:r>
          </w:p>
        </w:tc>
      </w:tr>
      <w:tr w:rsidR="00757E8C" w:rsidRPr="00757E8C" w14:paraId="50D12125"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2A5B6A67" w14:textId="77777777" w:rsidR="00757E8C" w:rsidRPr="00757E8C" w:rsidRDefault="00757E8C" w:rsidP="00764825">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By drug:</w:t>
            </w:r>
          </w:p>
        </w:tc>
        <w:tc>
          <w:tcPr>
            <w:tcW w:w="1000" w:type="dxa"/>
            <w:tcBorders>
              <w:top w:val="nil"/>
              <w:left w:val="nil"/>
              <w:bottom w:val="single" w:sz="4" w:space="0" w:color="auto"/>
              <w:right w:val="nil"/>
            </w:tcBorders>
            <w:shd w:val="clear" w:color="auto" w:fill="auto"/>
            <w:noWrap/>
            <w:vAlign w:val="bottom"/>
            <w:hideMark/>
          </w:tcPr>
          <w:p w14:paraId="100DB874"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000" w:type="dxa"/>
            <w:tcBorders>
              <w:top w:val="nil"/>
              <w:left w:val="nil"/>
              <w:bottom w:val="single" w:sz="4" w:space="0" w:color="auto"/>
              <w:right w:val="nil"/>
            </w:tcBorders>
            <w:shd w:val="clear" w:color="auto" w:fill="auto"/>
            <w:noWrap/>
            <w:vAlign w:val="bottom"/>
            <w:hideMark/>
          </w:tcPr>
          <w:p w14:paraId="7969F51B"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70ED0B23"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r>
      <w:tr w:rsidR="00757E8C" w:rsidRPr="00757E8C" w14:paraId="09F3CF3C" w14:textId="77777777" w:rsidTr="00764825">
        <w:trPr>
          <w:trHeight w:val="300"/>
        </w:trPr>
        <w:tc>
          <w:tcPr>
            <w:tcW w:w="2320" w:type="dxa"/>
            <w:tcBorders>
              <w:top w:val="nil"/>
              <w:left w:val="single" w:sz="4" w:space="0" w:color="auto"/>
              <w:bottom w:val="single" w:sz="4" w:space="0" w:color="auto"/>
              <w:right w:val="nil"/>
            </w:tcBorders>
            <w:shd w:val="clear" w:color="auto" w:fill="auto"/>
            <w:noWrap/>
            <w:vAlign w:val="center"/>
            <w:hideMark/>
          </w:tcPr>
          <w:p w14:paraId="01F163C8" w14:textId="0AD9D2CA" w:rsidR="00757E8C" w:rsidRPr="00757E8C" w:rsidRDefault="00757E8C" w:rsidP="00764825">
            <w:pPr>
              <w:spacing w:after="0"/>
              <w:rPr>
                <w:rFonts w:ascii="Calibri" w:eastAsia="Times New Roman" w:hAnsi="Calibri" w:cs="Times New Roman"/>
                <w:b/>
                <w:bCs/>
                <w:sz w:val="20"/>
                <w:szCs w:val="20"/>
                <w:vertAlign w:val="superscript"/>
              </w:rPr>
            </w:pPr>
            <w:r w:rsidRPr="00757E8C">
              <w:rPr>
                <w:rFonts w:ascii="Calibri" w:eastAsia="Times New Roman" w:hAnsi="Calibri" w:cs="Times New Roman"/>
                <w:b/>
                <w:bCs/>
                <w:sz w:val="20"/>
                <w:szCs w:val="20"/>
              </w:rPr>
              <w:t>Adalimumab</w:t>
            </w:r>
            <w:r w:rsidR="00C514E1">
              <w:rPr>
                <w:rFonts w:ascii="Calibri" w:eastAsia="Times New Roman" w:hAnsi="Calibri" w:cs="Times New Roman"/>
                <w:b/>
                <w:bCs/>
                <w:sz w:val="20"/>
                <w:szCs w:val="20"/>
                <w:vertAlign w:val="superscript"/>
              </w:rPr>
              <w:t>2</w:t>
            </w:r>
          </w:p>
        </w:tc>
        <w:tc>
          <w:tcPr>
            <w:tcW w:w="1000" w:type="dxa"/>
            <w:tcBorders>
              <w:top w:val="nil"/>
              <w:left w:val="nil"/>
              <w:bottom w:val="single" w:sz="4" w:space="0" w:color="auto"/>
              <w:right w:val="nil"/>
            </w:tcBorders>
            <w:shd w:val="clear" w:color="auto" w:fill="auto"/>
            <w:noWrap/>
            <w:vAlign w:val="bottom"/>
            <w:hideMark/>
          </w:tcPr>
          <w:p w14:paraId="248DB33E"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000" w:type="dxa"/>
            <w:tcBorders>
              <w:top w:val="nil"/>
              <w:left w:val="nil"/>
              <w:bottom w:val="single" w:sz="4" w:space="0" w:color="auto"/>
              <w:right w:val="nil"/>
            </w:tcBorders>
            <w:shd w:val="clear" w:color="auto" w:fill="auto"/>
            <w:noWrap/>
            <w:vAlign w:val="bottom"/>
            <w:hideMark/>
          </w:tcPr>
          <w:p w14:paraId="6B222538"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17FAC211"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r>
      <w:tr w:rsidR="00757E8C" w:rsidRPr="00757E8C" w14:paraId="19E2BDBE"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6961E817" w14:textId="5BE1AAC7" w:rsidR="00757E8C" w:rsidRPr="00757E8C" w:rsidRDefault="00757E8C" w:rsidP="00764825">
            <w:pPr>
              <w:spacing w:after="0"/>
              <w:rPr>
                <w:rFonts w:ascii="Calibri" w:eastAsia="Times New Roman" w:hAnsi="Calibri" w:cs="Times New Roman"/>
                <w:sz w:val="20"/>
                <w:szCs w:val="20"/>
              </w:rPr>
            </w:pPr>
            <w:r w:rsidRPr="00757E8C">
              <w:rPr>
                <w:rFonts w:ascii="Calibri" w:eastAsia="Times New Roman" w:hAnsi="Calibri" w:cs="Times New Roman"/>
                <w:sz w:val="20"/>
                <w:szCs w:val="20"/>
              </w:rPr>
              <w:t>Incident</w:t>
            </w:r>
            <w:r w:rsidR="00C514E1">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6C11BC81" w14:textId="42B50421" w:rsidR="00757E8C" w:rsidRPr="00757E8C" w:rsidRDefault="00AB6983"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7F798E41"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67</w:t>
            </w:r>
          </w:p>
        </w:tc>
        <w:tc>
          <w:tcPr>
            <w:tcW w:w="1580" w:type="dxa"/>
            <w:tcBorders>
              <w:top w:val="nil"/>
              <w:left w:val="nil"/>
              <w:bottom w:val="single" w:sz="4" w:space="0" w:color="auto"/>
              <w:right w:val="single" w:sz="4" w:space="0" w:color="auto"/>
            </w:tcBorders>
            <w:shd w:val="clear" w:color="auto" w:fill="auto"/>
            <w:noWrap/>
            <w:vAlign w:val="center"/>
            <w:hideMark/>
          </w:tcPr>
          <w:p w14:paraId="75535B4E"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214</w:t>
            </w:r>
          </w:p>
        </w:tc>
      </w:tr>
      <w:tr w:rsidR="00757E8C" w:rsidRPr="00757E8C" w14:paraId="4FC73160" w14:textId="77777777" w:rsidTr="00764825">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E5FC" w14:textId="77777777" w:rsidR="00757E8C" w:rsidRPr="00757E8C" w:rsidRDefault="00757E8C" w:rsidP="00764825">
            <w:pPr>
              <w:spacing w:after="0"/>
              <w:rPr>
                <w:rFonts w:ascii="Calibri" w:eastAsia="Times New Roman" w:hAnsi="Calibri" w:cs="Times New Roman"/>
                <w:sz w:val="20"/>
                <w:szCs w:val="20"/>
              </w:rPr>
            </w:pPr>
            <w:r w:rsidRPr="00757E8C">
              <w:rPr>
                <w:rFonts w:ascii="Calibri" w:eastAsia="Times New Roman" w:hAnsi="Calibri" w:cs="Times New Roman"/>
                <w:sz w:val="20"/>
                <w:szCs w:val="20"/>
              </w:rPr>
              <w:t>Prevalent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3A4C4B8" w14:textId="356C30B2" w:rsidR="00757E8C" w:rsidRPr="00757E8C" w:rsidRDefault="00AB6983"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31BAE51" w14:textId="6AEFD079" w:rsidR="00757E8C" w:rsidRPr="00757E8C" w:rsidRDefault="000354C1"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67</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07FB53B6" w14:textId="0D1DA43A" w:rsidR="00757E8C" w:rsidRPr="00757E8C" w:rsidRDefault="000354C1" w:rsidP="00764825">
            <w:pPr>
              <w:spacing w:after="0"/>
              <w:jc w:val="center"/>
              <w:rPr>
                <w:rFonts w:ascii="Calibri" w:eastAsia="Times New Roman" w:hAnsi="Calibri" w:cs="Times New Roman"/>
                <w:sz w:val="20"/>
                <w:szCs w:val="20"/>
              </w:rPr>
            </w:pPr>
            <w:r>
              <w:rPr>
                <w:rFonts w:ascii="Calibri" w:eastAsia="Times New Roman" w:hAnsi="Calibri" w:cs="Times New Roman"/>
                <w:sz w:val="20"/>
                <w:szCs w:val="20"/>
              </w:rPr>
              <w:t>250</w:t>
            </w:r>
          </w:p>
        </w:tc>
      </w:tr>
      <w:tr w:rsidR="00757E8C" w:rsidRPr="00757E8C" w14:paraId="0D6F4CC5" w14:textId="77777777" w:rsidTr="00764825">
        <w:trPr>
          <w:trHeight w:val="300"/>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27BE1BEC" w14:textId="77777777" w:rsidR="00757E8C" w:rsidRPr="00757E8C" w:rsidRDefault="00757E8C" w:rsidP="00764825">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Infliximab</w:t>
            </w:r>
          </w:p>
        </w:tc>
        <w:tc>
          <w:tcPr>
            <w:tcW w:w="1000" w:type="dxa"/>
            <w:tcBorders>
              <w:top w:val="single" w:sz="4" w:space="0" w:color="auto"/>
              <w:left w:val="nil"/>
              <w:bottom w:val="single" w:sz="4" w:space="0" w:color="auto"/>
              <w:right w:val="nil"/>
            </w:tcBorders>
            <w:shd w:val="clear" w:color="auto" w:fill="auto"/>
            <w:noWrap/>
            <w:vAlign w:val="bottom"/>
            <w:hideMark/>
          </w:tcPr>
          <w:p w14:paraId="434203BA"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000" w:type="dxa"/>
            <w:tcBorders>
              <w:top w:val="single" w:sz="4" w:space="0" w:color="auto"/>
              <w:left w:val="nil"/>
              <w:bottom w:val="single" w:sz="4" w:space="0" w:color="auto"/>
              <w:right w:val="nil"/>
            </w:tcBorders>
            <w:shd w:val="clear" w:color="auto" w:fill="auto"/>
            <w:noWrap/>
            <w:vAlign w:val="bottom"/>
            <w:hideMark/>
          </w:tcPr>
          <w:p w14:paraId="5695CBFD"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BBF8572" w14:textId="77777777" w:rsidR="00757E8C" w:rsidRPr="00757E8C" w:rsidRDefault="00757E8C" w:rsidP="00757E8C">
            <w:pPr>
              <w:spacing w:after="0"/>
              <w:rPr>
                <w:rFonts w:ascii="Calibri" w:eastAsia="Times New Roman" w:hAnsi="Calibri" w:cs="Times New Roman"/>
                <w:b/>
                <w:bCs/>
                <w:sz w:val="20"/>
                <w:szCs w:val="20"/>
              </w:rPr>
            </w:pPr>
            <w:r w:rsidRPr="00757E8C">
              <w:rPr>
                <w:rFonts w:ascii="Calibri" w:eastAsia="Times New Roman" w:hAnsi="Calibri" w:cs="Times New Roman"/>
                <w:b/>
                <w:bCs/>
                <w:sz w:val="20"/>
                <w:szCs w:val="20"/>
              </w:rPr>
              <w:t> </w:t>
            </w:r>
          </w:p>
        </w:tc>
      </w:tr>
      <w:tr w:rsidR="00757E8C" w:rsidRPr="00757E8C" w14:paraId="6BE04ADA"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01E0D9B1" w14:textId="7B61692F" w:rsidR="00757E8C" w:rsidRPr="00757E8C" w:rsidRDefault="00757E8C" w:rsidP="00764825">
            <w:pPr>
              <w:spacing w:after="0"/>
              <w:rPr>
                <w:rFonts w:ascii="Calibri" w:eastAsia="Times New Roman" w:hAnsi="Calibri" w:cs="Times New Roman"/>
                <w:sz w:val="20"/>
                <w:szCs w:val="20"/>
              </w:rPr>
            </w:pPr>
            <w:r w:rsidRPr="00757E8C">
              <w:rPr>
                <w:rFonts w:ascii="Calibri" w:eastAsia="Times New Roman" w:hAnsi="Calibri" w:cs="Times New Roman"/>
                <w:sz w:val="20"/>
                <w:szCs w:val="20"/>
              </w:rPr>
              <w:t>Incident</w:t>
            </w:r>
            <w:r w:rsidR="00C514E1">
              <w:rPr>
                <w:rFonts w:ascii="Calibri" w:eastAsia="Times New Roman" w:hAnsi="Calibri" w:cs="Times New Roman"/>
                <w:sz w:val="20"/>
                <w:szCs w:val="20"/>
                <w:vertAlign w:val="superscript"/>
              </w:rPr>
              <w:t>1</w:t>
            </w:r>
          </w:p>
        </w:tc>
        <w:tc>
          <w:tcPr>
            <w:tcW w:w="1000" w:type="dxa"/>
            <w:tcBorders>
              <w:top w:val="nil"/>
              <w:left w:val="nil"/>
              <w:bottom w:val="single" w:sz="4" w:space="0" w:color="auto"/>
              <w:right w:val="single" w:sz="4" w:space="0" w:color="auto"/>
            </w:tcBorders>
            <w:shd w:val="clear" w:color="auto" w:fill="auto"/>
            <w:noWrap/>
            <w:vAlign w:val="center"/>
            <w:hideMark/>
          </w:tcPr>
          <w:p w14:paraId="2A0C10A7"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122</w:t>
            </w:r>
          </w:p>
        </w:tc>
        <w:tc>
          <w:tcPr>
            <w:tcW w:w="1000" w:type="dxa"/>
            <w:tcBorders>
              <w:top w:val="nil"/>
              <w:left w:val="nil"/>
              <w:bottom w:val="single" w:sz="4" w:space="0" w:color="auto"/>
              <w:right w:val="single" w:sz="4" w:space="0" w:color="auto"/>
            </w:tcBorders>
            <w:shd w:val="clear" w:color="auto" w:fill="auto"/>
            <w:noWrap/>
            <w:vAlign w:val="center"/>
            <w:hideMark/>
          </w:tcPr>
          <w:p w14:paraId="2BE796BC"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118</w:t>
            </w:r>
          </w:p>
        </w:tc>
        <w:tc>
          <w:tcPr>
            <w:tcW w:w="1580" w:type="dxa"/>
            <w:tcBorders>
              <w:top w:val="nil"/>
              <w:left w:val="nil"/>
              <w:bottom w:val="single" w:sz="4" w:space="0" w:color="auto"/>
              <w:right w:val="single" w:sz="4" w:space="0" w:color="auto"/>
            </w:tcBorders>
            <w:shd w:val="clear" w:color="auto" w:fill="auto"/>
            <w:noWrap/>
            <w:vAlign w:val="center"/>
            <w:hideMark/>
          </w:tcPr>
          <w:p w14:paraId="6E8E8063" w14:textId="77777777"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117</w:t>
            </w:r>
          </w:p>
        </w:tc>
      </w:tr>
      <w:tr w:rsidR="00757E8C" w:rsidRPr="00757E8C" w14:paraId="46882825" w14:textId="77777777" w:rsidTr="0076482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16A474D3" w14:textId="77777777" w:rsidR="00757E8C" w:rsidRPr="00757E8C" w:rsidRDefault="00757E8C" w:rsidP="00764825">
            <w:pPr>
              <w:spacing w:after="0"/>
              <w:rPr>
                <w:rFonts w:ascii="Calibri" w:eastAsia="Times New Roman" w:hAnsi="Calibri" w:cs="Times New Roman"/>
                <w:sz w:val="20"/>
                <w:szCs w:val="20"/>
              </w:rPr>
            </w:pPr>
            <w:r w:rsidRPr="00757E8C">
              <w:rPr>
                <w:rFonts w:ascii="Calibri" w:eastAsia="Times New Roman" w:hAnsi="Calibri" w:cs="Times New Roman"/>
                <w:sz w:val="20"/>
                <w:szCs w:val="20"/>
              </w:rPr>
              <w:t>Prevalent</w:t>
            </w:r>
          </w:p>
        </w:tc>
        <w:tc>
          <w:tcPr>
            <w:tcW w:w="1000" w:type="dxa"/>
            <w:tcBorders>
              <w:top w:val="nil"/>
              <w:left w:val="nil"/>
              <w:bottom w:val="single" w:sz="4" w:space="0" w:color="auto"/>
              <w:right w:val="single" w:sz="4" w:space="0" w:color="auto"/>
            </w:tcBorders>
            <w:shd w:val="clear" w:color="auto" w:fill="auto"/>
            <w:noWrap/>
            <w:vAlign w:val="center"/>
            <w:hideMark/>
          </w:tcPr>
          <w:p w14:paraId="3E227E39" w14:textId="4531F8B2"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42</w:t>
            </w:r>
            <w:r w:rsidR="00996342">
              <w:rPr>
                <w:rFonts w:ascii="Calibri" w:eastAsia="Times New Roman" w:hAnsi="Calibri" w:cs="Times New Roman"/>
                <w:sz w:val="20"/>
                <w:szCs w:val="20"/>
              </w:rPr>
              <w:t>7</w:t>
            </w:r>
          </w:p>
        </w:tc>
        <w:tc>
          <w:tcPr>
            <w:tcW w:w="1000" w:type="dxa"/>
            <w:tcBorders>
              <w:top w:val="nil"/>
              <w:left w:val="nil"/>
              <w:bottom w:val="single" w:sz="4" w:space="0" w:color="auto"/>
              <w:right w:val="single" w:sz="4" w:space="0" w:color="auto"/>
            </w:tcBorders>
            <w:shd w:val="clear" w:color="auto" w:fill="auto"/>
            <w:noWrap/>
            <w:vAlign w:val="center"/>
            <w:hideMark/>
          </w:tcPr>
          <w:p w14:paraId="4C5113B1" w14:textId="291EA446"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52</w:t>
            </w:r>
            <w:r w:rsidR="00996342">
              <w:rPr>
                <w:rFonts w:ascii="Calibri" w:eastAsia="Times New Roman" w:hAnsi="Calibri" w:cs="Times New Roman"/>
                <w:sz w:val="20"/>
                <w:szCs w:val="20"/>
              </w:rPr>
              <w:t>1</w:t>
            </w:r>
          </w:p>
        </w:tc>
        <w:tc>
          <w:tcPr>
            <w:tcW w:w="1580" w:type="dxa"/>
            <w:tcBorders>
              <w:top w:val="nil"/>
              <w:left w:val="nil"/>
              <w:bottom w:val="single" w:sz="4" w:space="0" w:color="auto"/>
              <w:right w:val="single" w:sz="4" w:space="0" w:color="auto"/>
            </w:tcBorders>
            <w:shd w:val="clear" w:color="auto" w:fill="auto"/>
            <w:noWrap/>
            <w:vAlign w:val="center"/>
            <w:hideMark/>
          </w:tcPr>
          <w:p w14:paraId="5D6D55F9" w14:textId="2C5116BE" w:rsidR="00757E8C" w:rsidRPr="00757E8C" w:rsidRDefault="00757E8C" w:rsidP="00764825">
            <w:pPr>
              <w:spacing w:after="0"/>
              <w:jc w:val="center"/>
              <w:rPr>
                <w:rFonts w:ascii="Calibri" w:eastAsia="Times New Roman" w:hAnsi="Calibri" w:cs="Times New Roman"/>
                <w:sz w:val="20"/>
                <w:szCs w:val="20"/>
              </w:rPr>
            </w:pPr>
            <w:r w:rsidRPr="00757E8C">
              <w:rPr>
                <w:rFonts w:ascii="Calibri" w:eastAsia="Times New Roman" w:hAnsi="Calibri" w:cs="Times New Roman"/>
                <w:sz w:val="20"/>
                <w:szCs w:val="20"/>
              </w:rPr>
              <w:t>5</w:t>
            </w:r>
            <w:r w:rsidR="00996342">
              <w:rPr>
                <w:rFonts w:ascii="Calibri" w:eastAsia="Times New Roman" w:hAnsi="Calibri" w:cs="Times New Roman"/>
                <w:sz w:val="20"/>
                <w:szCs w:val="20"/>
              </w:rPr>
              <w:t>77</w:t>
            </w:r>
          </w:p>
        </w:tc>
      </w:tr>
    </w:tbl>
    <w:p w14:paraId="38065BE2" w14:textId="03EEBBF6" w:rsidR="00141903" w:rsidRPr="00141903" w:rsidRDefault="00141903" w:rsidP="00141903">
      <w:pPr>
        <w:spacing w:after="0"/>
        <w:rPr>
          <w:sz w:val="20"/>
          <w:szCs w:val="20"/>
          <w:lang w:eastAsia="en-US"/>
        </w:rPr>
      </w:pPr>
      <w:r w:rsidRPr="00780DCD">
        <w:rPr>
          <w:rStyle w:val="FigurecaptionChar"/>
        </w:rPr>
        <w:t xml:space="preserve">Source: DHS </w:t>
      </w:r>
      <w:r>
        <w:rPr>
          <w:rStyle w:val="FigurecaptionChar"/>
        </w:rPr>
        <w:t>Prescriptions database accessed April 2017</w:t>
      </w:r>
      <w:r w:rsidRPr="00780DCD">
        <w:rPr>
          <w:rStyle w:val="FigurecaptionChar"/>
        </w:rPr>
        <w:t>.</w:t>
      </w:r>
    </w:p>
    <w:p w14:paraId="7D5A35FE" w14:textId="77777777" w:rsidR="00C514E1" w:rsidRDefault="00C514E1" w:rsidP="00C514E1">
      <w:pPr>
        <w:spacing w:after="0"/>
        <w:rPr>
          <w:color w:val="000000" w:themeColor="text1"/>
          <w:sz w:val="20"/>
          <w:szCs w:val="20"/>
        </w:rPr>
      </w:pPr>
      <w:r w:rsidRPr="00796E73">
        <w:rPr>
          <w:color w:val="000000" w:themeColor="text1"/>
          <w:sz w:val="20"/>
          <w:szCs w:val="20"/>
          <w:vertAlign w:val="superscript"/>
        </w:rPr>
        <w:t>1</w:t>
      </w:r>
      <w:r w:rsidRPr="00796E73">
        <w:rPr>
          <w:color w:val="000000" w:themeColor="text1"/>
          <w:sz w:val="20"/>
          <w:szCs w:val="20"/>
        </w:rPr>
        <w:t xml:space="preserve"> Incident patient counts are for the first ever episode of R/PBS treatment.</w:t>
      </w:r>
    </w:p>
    <w:p w14:paraId="14EB6F1E" w14:textId="5DF7601A" w:rsidR="000301A7" w:rsidRDefault="00C514E1" w:rsidP="00193B99">
      <w:pPr>
        <w:spacing w:after="0"/>
        <w:rPr>
          <w:color w:val="000000" w:themeColor="text1"/>
          <w:sz w:val="20"/>
          <w:szCs w:val="20"/>
        </w:rPr>
      </w:pPr>
      <w:r>
        <w:rPr>
          <w:color w:val="000000" w:themeColor="text1"/>
          <w:sz w:val="20"/>
          <w:szCs w:val="20"/>
          <w:vertAlign w:val="superscript"/>
        </w:rPr>
        <w:t>2</w:t>
      </w:r>
      <w:r w:rsidR="00757E8C">
        <w:rPr>
          <w:color w:val="000000" w:themeColor="text1"/>
          <w:sz w:val="20"/>
          <w:szCs w:val="20"/>
        </w:rPr>
        <w:t xml:space="preserve"> 2015 has part year figures. </w:t>
      </w:r>
      <w:r w:rsidR="00676724">
        <w:rPr>
          <w:color w:val="000000" w:themeColor="text1"/>
          <w:sz w:val="20"/>
          <w:szCs w:val="20"/>
        </w:rPr>
        <w:t>Adalimumab</w:t>
      </w:r>
      <w:r w:rsidR="00757E8C">
        <w:rPr>
          <w:color w:val="000000" w:themeColor="text1"/>
          <w:sz w:val="20"/>
          <w:szCs w:val="20"/>
        </w:rPr>
        <w:t xml:space="preserve"> first listed </w:t>
      </w:r>
      <w:r w:rsidR="0008334E">
        <w:rPr>
          <w:color w:val="000000" w:themeColor="text1"/>
          <w:sz w:val="20"/>
          <w:szCs w:val="20"/>
        </w:rPr>
        <w:t xml:space="preserve">for the treatment of paediatric Crohn disease </w:t>
      </w:r>
      <w:r w:rsidR="00757E8C">
        <w:rPr>
          <w:color w:val="000000" w:themeColor="text1"/>
          <w:sz w:val="20"/>
          <w:szCs w:val="20"/>
        </w:rPr>
        <w:t>on 1 August 2015.</w:t>
      </w:r>
    </w:p>
    <w:p w14:paraId="7D2D793B" w14:textId="77777777" w:rsidR="00193B99" w:rsidRPr="00193B99" w:rsidRDefault="00193B99" w:rsidP="00193B99">
      <w:pPr>
        <w:spacing w:after="0"/>
        <w:rPr>
          <w:color w:val="000000" w:themeColor="text1"/>
          <w:sz w:val="20"/>
          <w:szCs w:val="20"/>
        </w:rPr>
      </w:pPr>
    </w:p>
    <w:p w14:paraId="6B3D0663" w14:textId="68F53111" w:rsidR="008711EA" w:rsidRPr="00EF647B" w:rsidRDefault="003267C2" w:rsidP="00EF647B">
      <w:pPr>
        <w:rPr>
          <w:b/>
          <w:i/>
        </w:rPr>
      </w:pPr>
      <w:r w:rsidRPr="00EF647B">
        <w:rPr>
          <w:b/>
          <w:i/>
        </w:rPr>
        <w:t xml:space="preserve">Continuation on </w:t>
      </w:r>
      <w:r w:rsidR="002F559B">
        <w:rPr>
          <w:b/>
          <w:i/>
        </w:rPr>
        <w:t>bDMD</w:t>
      </w:r>
      <w:r w:rsidR="008711EA" w:rsidRPr="00EF647B">
        <w:rPr>
          <w:b/>
          <w:i/>
        </w:rPr>
        <w:t xml:space="preserve"> therapy</w:t>
      </w:r>
    </w:p>
    <w:p w14:paraId="53EA9202" w14:textId="37543CC9" w:rsidR="003267C2" w:rsidRDefault="00F7491A" w:rsidP="003267C2">
      <w:r>
        <w:t xml:space="preserve">The </w:t>
      </w:r>
      <w:hyperlink r:id="rId29" w:history="1">
        <w:r w:rsidRPr="00A871E4">
          <w:rPr>
            <w:rStyle w:val="Hyperlink"/>
          </w:rPr>
          <w:t>2015 DUSC review on Crohn disease</w:t>
        </w:r>
      </w:hyperlink>
      <w:r>
        <w:t xml:space="preserve"> examined continuation on </w:t>
      </w:r>
      <w:r w:rsidR="002F559B">
        <w:t>bDMDs</w:t>
      </w:r>
      <w:r>
        <w:t xml:space="preserve"> for patients who first initiated in 2011. The continuation analyses for these 2011 initiating cohorts were extended to December 2016. This report also investigate</w:t>
      </w:r>
      <w:r w:rsidR="006D7B36">
        <w:t>d</w:t>
      </w:r>
      <w:r>
        <w:t xml:space="preserve"> the continuation rate</w:t>
      </w:r>
      <w:r w:rsidR="004F7A62">
        <w:t>s for patients first initiating</w:t>
      </w:r>
      <w:r>
        <w:t xml:space="preserve"> a </w:t>
      </w:r>
      <w:r w:rsidR="002F559B">
        <w:t>bDMD</w:t>
      </w:r>
      <w:r>
        <w:t xml:space="preserve"> in 2014 to compare whether the trend in continuation rates in a later patient cohort are different to the 2011 initiating cohort. </w:t>
      </w:r>
    </w:p>
    <w:p w14:paraId="65204556" w14:textId="418D0C23" w:rsidR="00CC2242" w:rsidRDefault="00707BC9" w:rsidP="003267C2">
      <w:r>
        <w:t>Figures 4 to 7</w:t>
      </w:r>
      <w:r w:rsidR="00CC2242">
        <w:t xml:space="preserve"> present the longer term rates of continuation for severe refractory Crohn disease in adults, fistulising Crohn disease and paediatric Crohn disease, respectively, in 2011. These figures show the rate of continuation with each drug separately as well as patients continuing treatment after switching from the initiating drug to an alternative </w:t>
      </w:r>
      <w:r w:rsidR="002F559B">
        <w:t>bDMD</w:t>
      </w:r>
      <w:r w:rsidR="00CC2242">
        <w:t>.</w:t>
      </w:r>
    </w:p>
    <w:p w14:paraId="07FAA9F5" w14:textId="30A6F6F5" w:rsidR="00587D71" w:rsidRPr="00CC2242" w:rsidRDefault="00C55BFB" w:rsidP="003267C2">
      <w:pPr>
        <w:rPr>
          <w:u w:val="single"/>
        </w:rPr>
      </w:pPr>
      <w:r>
        <w:rPr>
          <w:u w:val="single"/>
        </w:rPr>
        <w:t xml:space="preserve">Adult </w:t>
      </w:r>
      <w:r w:rsidR="00CC2242">
        <w:rPr>
          <w:u w:val="single"/>
        </w:rPr>
        <w:t>severe refractory Crohn disease</w:t>
      </w:r>
    </w:p>
    <w:p w14:paraId="5FA34F7D" w14:textId="2AEB3F46" w:rsidR="00F64189" w:rsidRPr="00C07DFD" w:rsidRDefault="0011356D" w:rsidP="003267C2">
      <w:pPr>
        <w:rPr>
          <w:u w:val="single"/>
        </w:rPr>
      </w:pPr>
      <w:r>
        <w:t xml:space="preserve">Of the </w:t>
      </w:r>
      <w:r w:rsidR="00587D71">
        <w:t xml:space="preserve">adult patients with severe refractory Crohn disease </w:t>
      </w:r>
      <w:r>
        <w:t xml:space="preserve">initiating in 2011 </w:t>
      </w:r>
      <w:r w:rsidR="00F64189">
        <w:t xml:space="preserve">who </w:t>
      </w:r>
      <w:r w:rsidR="009F77A0">
        <w:t xml:space="preserve">started </w:t>
      </w:r>
      <w:r w:rsidR="002F559B">
        <w:t>bDMD</w:t>
      </w:r>
      <w:r w:rsidR="00F64189">
        <w:t xml:space="preserve"> therapy, </w:t>
      </w:r>
      <w:r w:rsidR="00587D71">
        <w:t xml:space="preserve">around 60% remained on treatment after five years (Figure 4). </w:t>
      </w:r>
      <w:r>
        <w:t>The continuation rates for adalimumab were higher than infliximab for most of the analysis period</w:t>
      </w:r>
      <w:r w:rsidR="00872FFC">
        <w:t xml:space="preserve">, however after 11 approvals (approximately 5 years) </w:t>
      </w:r>
      <w:r>
        <w:t>the continuation rates were similar for adalimumab and infliximab (Figure 4).</w:t>
      </w:r>
    </w:p>
    <w:p w14:paraId="5897FB27" w14:textId="1FEBA709" w:rsidR="003F78F6" w:rsidRPr="00890C3E" w:rsidRDefault="00A37F99" w:rsidP="002E2CB1">
      <w:pPr>
        <w:rPr>
          <w:color w:val="FF0000"/>
        </w:rPr>
      </w:pPr>
      <w:r>
        <w:rPr>
          <w:noProof/>
          <w:color w:val="FF0000"/>
        </w:rPr>
        <w:lastRenderedPageBreak/>
        <w:drawing>
          <wp:inline distT="0" distB="0" distL="0" distR="0" wp14:anchorId="195E29D5" wp14:editId="24D72492">
            <wp:extent cx="5932170" cy="3066415"/>
            <wp:effectExtent l="0" t="0" r="0" b="635"/>
            <wp:docPr id="5" name="Picture 5" descr="The proportion of patients continuing treatment by the Authority approval number for adalimumab, infliximab or any biologic" title="Continuation of biologic treatment for severe Crohn disease (2011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2170" cy="3066415"/>
                    </a:xfrm>
                    <a:prstGeom prst="rect">
                      <a:avLst/>
                    </a:prstGeom>
                    <a:noFill/>
                  </pic:spPr>
                </pic:pic>
              </a:graphicData>
            </a:graphic>
          </wp:inline>
        </w:drawing>
      </w:r>
    </w:p>
    <w:p w14:paraId="6D6281B8" w14:textId="51206812" w:rsidR="000D1B2A" w:rsidRDefault="003F78F6" w:rsidP="000D1B2A">
      <w:pPr>
        <w:spacing w:before="60"/>
        <w:rPr>
          <w:i/>
          <w:color w:val="FF0000"/>
        </w:rPr>
      </w:pPr>
      <w:r w:rsidRPr="00780DCD">
        <w:rPr>
          <w:rStyle w:val="FiguretitleChar"/>
          <w:rFonts w:asciiTheme="minorHAnsi" w:hAnsiTheme="minorHAnsi"/>
        </w:rPr>
        <w:t xml:space="preserve">Figure </w:t>
      </w:r>
      <w:r w:rsidR="00276ACB">
        <w:rPr>
          <w:rStyle w:val="FiguretitleChar"/>
          <w:rFonts w:asciiTheme="minorHAnsi" w:hAnsiTheme="minorHAnsi"/>
        </w:rPr>
        <w:t>4</w:t>
      </w:r>
      <w:r w:rsidRPr="00780DCD">
        <w:rPr>
          <w:rStyle w:val="FiguretitleChar"/>
          <w:rFonts w:asciiTheme="minorHAnsi" w:hAnsiTheme="minorHAnsi"/>
        </w:rPr>
        <w:t xml:space="preserve">: </w:t>
      </w:r>
      <w:r>
        <w:rPr>
          <w:rStyle w:val="FiguretitleChar"/>
          <w:rFonts w:asciiTheme="minorHAnsi" w:hAnsiTheme="minorHAnsi"/>
        </w:rPr>
        <w:t xml:space="preserve">Continuation of </w:t>
      </w:r>
      <w:r w:rsidR="002F559B">
        <w:rPr>
          <w:rStyle w:val="FiguretitleChar"/>
          <w:rFonts w:asciiTheme="minorHAnsi" w:hAnsiTheme="minorHAnsi"/>
        </w:rPr>
        <w:t>bDMD</w:t>
      </w:r>
      <w:r>
        <w:rPr>
          <w:rStyle w:val="FiguretitleChar"/>
          <w:rFonts w:asciiTheme="minorHAnsi" w:hAnsiTheme="minorHAnsi"/>
        </w:rPr>
        <w:t xml:space="preserve"> treatment for severe Crohn disease – 2011 patients</w:t>
      </w:r>
      <w:r>
        <w:rPr>
          <w:rStyle w:val="FiguretitleChar"/>
          <w:rFonts w:asciiTheme="minorHAnsi" w:hAnsiTheme="minorHAnsi"/>
        </w:rPr>
        <w:br/>
      </w:r>
      <w:r w:rsidRPr="00780DCD">
        <w:rPr>
          <w:rStyle w:val="FigurecaptionChar"/>
        </w:rPr>
        <w:t>Source: DHS Authority appro</w:t>
      </w:r>
      <w:r>
        <w:rPr>
          <w:rStyle w:val="FigurecaptionChar"/>
        </w:rPr>
        <w:t>vals database, accessed April 2017</w:t>
      </w:r>
      <w:r w:rsidRPr="00780DCD">
        <w:rPr>
          <w:rStyle w:val="FigurecaptionChar"/>
        </w:rPr>
        <w:t xml:space="preserve">. </w:t>
      </w:r>
      <w:r>
        <w:rPr>
          <w:rStyle w:val="FigurecaptionChar"/>
        </w:rPr>
        <w:t>Follow up to December 2016.</w:t>
      </w:r>
      <w:r w:rsidR="003C5CA7">
        <w:rPr>
          <w:rStyle w:val="FigurecaptionChar"/>
        </w:rPr>
        <w:t xml:space="preserve"> “ANY </w:t>
      </w:r>
      <w:r w:rsidR="00F05A0B">
        <w:rPr>
          <w:rStyle w:val="FigurecaptionChar"/>
        </w:rPr>
        <w:t>B</w:t>
      </w:r>
      <w:r w:rsidR="004C5655">
        <w:rPr>
          <w:rStyle w:val="FigurecaptionChar"/>
        </w:rPr>
        <w:t>DMARD</w:t>
      </w:r>
      <w:r w:rsidR="003C5CA7">
        <w:rPr>
          <w:rStyle w:val="FigurecaptionChar"/>
        </w:rPr>
        <w:t xml:space="preserve">” refers to patients who switched from their initiating </w:t>
      </w:r>
      <w:r w:rsidR="002F559B">
        <w:rPr>
          <w:rStyle w:val="FigurecaptionChar"/>
        </w:rPr>
        <w:t>bDMD</w:t>
      </w:r>
      <w:r w:rsidR="004C5655">
        <w:rPr>
          <w:rStyle w:val="FigurecaptionChar"/>
        </w:rPr>
        <w:t xml:space="preserve"> </w:t>
      </w:r>
      <w:r w:rsidR="003C5CA7">
        <w:rPr>
          <w:rStyle w:val="FigurecaptionChar"/>
        </w:rPr>
        <w:t xml:space="preserve">therapy to either adalimumab or infliximab. </w:t>
      </w:r>
    </w:p>
    <w:p w14:paraId="23DE3770" w14:textId="0FEF84AC" w:rsidR="00880513" w:rsidRDefault="00880513" w:rsidP="002E2CB1">
      <w:pPr>
        <w:rPr>
          <w:color w:val="000000" w:themeColor="text1"/>
        </w:rPr>
      </w:pPr>
      <w:r>
        <w:t xml:space="preserve">At the time of reporting, only a limited amount of data was available for </w:t>
      </w:r>
      <w:r w:rsidR="00835ABB">
        <w:t>v</w:t>
      </w:r>
      <w:r>
        <w:t xml:space="preserve">edolizumab which first listed in August 2015 for severe refractory adult Crohn disease. A preliminary analysis of a six month cohort of patients receiving an initial Authority for vedolizumab between August 2015 and January 2016 was undertaken. This indicated that the continuation on vedolizumab was similar to the alternative intravenously administered bDMD, infliximab, which has the same frequency of administration, for up to three Authority approvals. </w:t>
      </w:r>
    </w:p>
    <w:p w14:paraId="1F01803B" w14:textId="77777777" w:rsidR="00880513" w:rsidRDefault="00880513" w:rsidP="002E2CB1">
      <w:pPr>
        <w:rPr>
          <w:color w:val="000000" w:themeColor="text1"/>
        </w:rPr>
      </w:pPr>
    </w:p>
    <w:p w14:paraId="2C9B4437" w14:textId="6A2D1977" w:rsidR="00E37469" w:rsidRDefault="00E37469" w:rsidP="002E2CB1">
      <w:pPr>
        <w:rPr>
          <w:color w:val="000000" w:themeColor="text1"/>
        </w:rPr>
      </w:pPr>
    </w:p>
    <w:p w14:paraId="09C15D66" w14:textId="3CE1A3D9" w:rsidR="00035CD0" w:rsidRPr="00CC2242" w:rsidRDefault="00872FFC" w:rsidP="004C73C9">
      <w:pPr>
        <w:spacing w:line="276" w:lineRule="auto"/>
        <w:rPr>
          <w:u w:val="single"/>
        </w:rPr>
      </w:pPr>
      <w:r>
        <w:rPr>
          <w:u w:val="single"/>
        </w:rPr>
        <w:br w:type="page"/>
      </w:r>
      <w:r w:rsidR="00035CD0">
        <w:rPr>
          <w:u w:val="single"/>
        </w:rPr>
        <w:lastRenderedPageBreak/>
        <w:t>Fistulising Crohn disease</w:t>
      </w:r>
    </w:p>
    <w:p w14:paraId="407D6A07" w14:textId="10423FE8" w:rsidR="00511FD1" w:rsidRPr="00035CD0" w:rsidRDefault="00BB6DBD" w:rsidP="00FC52CC">
      <w:pPr>
        <w:rPr>
          <w:color w:val="000000" w:themeColor="text1"/>
        </w:rPr>
      </w:pPr>
      <w:r>
        <w:rPr>
          <w:color w:val="000000" w:themeColor="text1"/>
        </w:rPr>
        <w:t xml:space="preserve">For patients first initiating on a </w:t>
      </w:r>
      <w:r w:rsidR="002F559B">
        <w:rPr>
          <w:color w:val="000000" w:themeColor="text1"/>
        </w:rPr>
        <w:t>bDMD</w:t>
      </w:r>
      <w:r>
        <w:rPr>
          <w:color w:val="000000" w:themeColor="text1"/>
        </w:rPr>
        <w:t xml:space="preserve"> for Crohn disease in 2011, the continuation rates were similar for adalimumab and infliximab over a five year period (Figure </w:t>
      </w:r>
      <w:r w:rsidR="00265BFE">
        <w:rPr>
          <w:color w:val="000000" w:themeColor="text1"/>
        </w:rPr>
        <w:t>5</w:t>
      </w:r>
      <w:r>
        <w:rPr>
          <w:color w:val="000000" w:themeColor="text1"/>
        </w:rPr>
        <w:t xml:space="preserve">). </w:t>
      </w:r>
    </w:p>
    <w:p w14:paraId="29D3D75D" w14:textId="1BA0140C" w:rsidR="00665E6B" w:rsidRPr="004209AF" w:rsidRDefault="003B7018" w:rsidP="002E2CB1">
      <w:pPr>
        <w:rPr>
          <w:color w:val="000000" w:themeColor="text1"/>
        </w:rPr>
      </w:pPr>
      <w:r>
        <w:rPr>
          <w:noProof/>
          <w:color w:val="000000" w:themeColor="text1"/>
        </w:rPr>
        <w:drawing>
          <wp:inline distT="0" distB="0" distL="0" distR="0" wp14:anchorId="1498A729" wp14:editId="01E5D324">
            <wp:extent cx="6071870" cy="3182620"/>
            <wp:effectExtent l="0" t="0" r="5080" b="0"/>
            <wp:docPr id="6" name="Picture 6" descr="The proportion of patients continuing on treatment by Authority approval number for adalimumab, infliximab or any biologic" title="Continuation of biologic treatment for fistulising Crohn disease - 2011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1870" cy="3182620"/>
                    </a:xfrm>
                    <a:prstGeom prst="rect">
                      <a:avLst/>
                    </a:prstGeom>
                    <a:noFill/>
                  </pic:spPr>
                </pic:pic>
              </a:graphicData>
            </a:graphic>
          </wp:inline>
        </w:drawing>
      </w:r>
    </w:p>
    <w:p w14:paraId="23633996" w14:textId="5F284C34" w:rsidR="00665E6B" w:rsidRDefault="00665E6B" w:rsidP="000D1B2A">
      <w:pPr>
        <w:spacing w:before="60"/>
        <w:rPr>
          <w:i/>
          <w:color w:val="FF0000"/>
        </w:rPr>
      </w:pPr>
      <w:r w:rsidRPr="00780DCD">
        <w:rPr>
          <w:rStyle w:val="FiguretitleChar"/>
          <w:rFonts w:asciiTheme="minorHAnsi" w:hAnsiTheme="minorHAnsi"/>
        </w:rPr>
        <w:t xml:space="preserve">Figure </w:t>
      </w:r>
      <w:r w:rsidR="00265BFE">
        <w:rPr>
          <w:rStyle w:val="FiguretitleChar"/>
          <w:rFonts w:asciiTheme="minorHAnsi" w:hAnsiTheme="minorHAnsi"/>
        </w:rPr>
        <w:t>5</w:t>
      </w:r>
      <w:r w:rsidRPr="00780DCD">
        <w:rPr>
          <w:rStyle w:val="FiguretitleChar"/>
          <w:rFonts w:asciiTheme="minorHAnsi" w:hAnsiTheme="minorHAnsi"/>
        </w:rPr>
        <w:t xml:space="preserve">: </w:t>
      </w:r>
      <w:r>
        <w:rPr>
          <w:rStyle w:val="FiguretitleChar"/>
          <w:rFonts w:asciiTheme="minorHAnsi" w:hAnsiTheme="minorHAnsi"/>
        </w:rPr>
        <w:t xml:space="preserve">Continuation of </w:t>
      </w:r>
      <w:proofErr w:type="spellStart"/>
      <w:r w:rsidR="002F559B">
        <w:rPr>
          <w:rStyle w:val="FiguretitleChar"/>
          <w:rFonts w:asciiTheme="minorHAnsi" w:hAnsiTheme="minorHAnsi"/>
        </w:rPr>
        <w:t>bDMD</w:t>
      </w:r>
      <w:proofErr w:type="spellEnd"/>
      <w:r>
        <w:rPr>
          <w:rStyle w:val="FiguretitleChar"/>
          <w:rFonts w:asciiTheme="minorHAnsi" w:hAnsiTheme="minorHAnsi"/>
        </w:rPr>
        <w:t xml:space="preserve"> treatment for </w:t>
      </w:r>
      <w:proofErr w:type="spellStart"/>
      <w:r>
        <w:rPr>
          <w:rStyle w:val="FiguretitleChar"/>
          <w:rFonts w:asciiTheme="minorHAnsi" w:hAnsiTheme="minorHAnsi"/>
        </w:rPr>
        <w:t>fistulising</w:t>
      </w:r>
      <w:proofErr w:type="spellEnd"/>
      <w:r>
        <w:rPr>
          <w:rStyle w:val="FiguretitleChar"/>
          <w:rFonts w:asciiTheme="minorHAnsi" w:hAnsiTheme="minorHAnsi"/>
        </w:rPr>
        <w:t xml:space="preserve"> Crohn disease – 2011 patients</w:t>
      </w:r>
      <w:r>
        <w:rPr>
          <w:rStyle w:val="FiguretitleChar"/>
          <w:rFonts w:asciiTheme="minorHAnsi" w:hAnsiTheme="minorHAnsi"/>
        </w:rPr>
        <w:br/>
      </w:r>
      <w:r w:rsidRPr="00780DCD">
        <w:rPr>
          <w:rStyle w:val="FigurecaptionChar"/>
        </w:rPr>
        <w:t>Source: DHS Authority appro</w:t>
      </w:r>
      <w:r>
        <w:rPr>
          <w:rStyle w:val="FigurecaptionChar"/>
        </w:rPr>
        <w:t>vals database, accessed April 2017</w:t>
      </w:r>
      <w:r w:rsidRPr="00780DCD">
        <w:rPr>
          <w:rStyle w:val="FigurecaptionChar"/>
        </w:rPr>
        <w:t xml:space="preserve">. </w:t>
      </w:r>
      <w:r>
        <w:rPr>
          <w:rStyle w:val="FigurecaptionChar"/>
        </w:rPr>
        <w:t>Follow up to December 2016.</w:t>
      </w:r>
      <w:r w:rsidR="004C73C9">
        <w:rPr>
          <w:rStyle w:val="FigurecaptionChar"/>
        </w:rPr>
        <w:t xml:space="preserve"> “ANY BDMARD” refers to any </w:t>
      </w:r>
      <w:r w:rsidR="002F559B">
        <w:rPr>
          <w:rStyle w:val="FigurecaptionChar"/>
        </w:rPr>
        <w:t>bDMD</w:t>
      </w:r>
      <w:r w:rsidR="004C73C9">
        <w:rPr>
          <w:rStyle w:val="FigurecaptionChar"/>
        </w:rPr>
        <w:t>.</w:t>
      </w:r>
    </w:p>
    <w:p w14:paraId="01E3681F" w14:textId="1E5BBC12" w:rsidR="00315CD1" w:rsidRPr="00CC2242" w:rsidRDefault="00315CD1" w:rsidP="00315CD1">
      <w:pPr>
        <w:rPr>
          <w:u w:val="single"/>
        </w:rPr>
      </w:pPr>
      <w:r>
        <w:rPr>
          <w:u w:val="single"/>
        </w:rPr>
        <w:t>Paediatric Crohn disease</w:t>
      </w:r>
    </w:p>
    <w:p w14:paraId="05A07854" w14:textId="28003E69" w:rsidR="00E4128C" w:rsidRDefault="00EF6703" w:rsidP="002E2CB1">
      <w:pPr>
        <w:rPr>
          <w:color w:val="000000" w:themeColor="text1"/>
        </w:rPr>
      </w:pPr>
      <w:r>
        <w:rPr>
          <w:color w:val="000000" w:themeColor="text1"/>
        </w:rPr>
        <w:t xml:space="preserve">Continuation on </w:t>
      </w:r>
      <w:r w:rsidR="002F559B">
        <w:rPr>
          <w:color w:val="000000" w:themeColor="text1"/>
        </w:rPr>
        <w:t>bDMDs</w:t>
      </w:r>
      <w:r>
        <w:rPr>
          <w:color w:val="000000" w:themeColor="text1"/>
        </w:rPr>
        <w:t xml:space="preserve"> </w:t>
      </w:r>
      <w:r w:rsidR="0021310C">
        <w:rPr>
          <w:color w:val="000000" w:themeColor="text1"/>
        </w:rPr>
        <w:t xml:space="preserve">was examined </w:t>
      </w:r>
      <w:r>
        <w:rPr>
          <w:color w:val="000000" w:themeColor="text1"/>
        </w:rPr>
        <w:t>for patients initiating on the paediatric listings</w:t>
      </w:r>
      <w:r w:rsidR="008A7DE5">
        <w:rPr>
          <w:color w:val="000000" w:themeColor="text1"/>
        </w:rPr>
        <w:t xml:space="preserve"> for moderate to severe Crohn</w:t>
      </w:r>
      <w:r w:rsidR="00774723">
        <w:rPr>
          <w:color w:val="000000" w:themeColor="text1"/>
        </w:rPr>
        <w:t xml:space="preserve"> disease</w:t>
      </w:r>
      <w:r>
        <w:rPr>
          <w:color w:val="000000" w:themeColor="text1"/>
        </w:rPr>
        <w:t xml:space="preserve"> in 2011 with a follow up to 31 December 2016</w:t>
      </w:r>
      <w:r w:rsidR="008358FA">
        <w:rPr>
          <w:color w:val="000000" w:themeColor="text1"/>
        </w:rPr>
        <w:t xml:space="preserve">. </w:t>
      </w:r>
      <w:r w:rsidR="00AF2F30">
        <w:rPr>
          <w:color w:val="000000" w:themeColor="text1"/>
        </w:rPr>
        <w:t xml:space="preserve">There were </w:t>
      </w:r>
      <w:r>
        <w:rPr>
          <w:color w:val="000000" w:themeColor="text1"/>
        </w:rPr>
        <w:t>50 patients</w:t>
      </w:r>
      <w:r w:rsidR="00AF2F30">
        <w:rPr>
          <w:color w:val="000000" w:themeColor="text1"/>
        </w:rPr>
        <w:t xml:space="preserve"> who</w:t>
      </w:r>
      <w:r>
        <w:rPr>
          <w:color w:val="000000" w:themeColor="text1"/>
        </w:rPr>
        <w:t xml:space="preserve"> received a first supply of a </w:t>
      </w:r>
      <w:r w:rsidR="002F559B">
        <w:rPr>
          <w:color w:val="000000" w:themeColor="text1"/>
        </w:rPr>
        <w:t>bDMD</w:t>
      </w:r>
      <w:r>
        <w:rPr>
          <w:color w:val="000000" w:themeColor="text1"/>
        </w:rPr>
        <w:t xml:space="preserve"> in 2011. The mean age at initiation for the first supply was 14 years with a minimum age of 6 years and maximum age of 19 years. Of the 50 initiating patients, around half (54%) were aged 16 years or more. </w:t>
      </w:r>
      <w:r w:rsidR="008A7DE5">
        <w:rPr>
          <w:color w:val="000000" w:themeColor="text1"/>
        </w:rPr>
        <w:t xml:space="preserve">As such, a progressive decline in the continuation rate was expected as patients discontinue from no longer meeting the age criteria for the paediatric listings and move to the adult </w:t>
      </w:r>
      <w:r w:rsidR="002F559B">
        <w:rPr>
          <w:color w:val="000000" w:themeColor="text1"/>
        </w:rPr>
        <w:t>bDMD</w:t>
      </w:r>
      <w:r w:rsidR="008A7DE5">
        <w:rPr>
          <w:color w:val="000000" w:themeColor="text1"/>
        </w:rPr>
        <w:t xml:space="preserve"> listings. </w:t>
      </w:r>
      <w:r w:rsidR="00920B0E">
        <w:rPr>
          <w:color w:val="000000" w:themeColor="text1"/>
        </w:rPr>
        <w:t>After five years of therapy, corresponding to between 10 to 11 approvals f</w:t>
      </w:r>
      <w:r w:rsidR="00357460">
        <w:rPr>
          <w:color w:val="000000" w:themeColor="text1"/>
        </w:rPr>
        <w:t>o</w:t>
      </w:r>
      <w:r w:rsidR="00340D13">
        <w:rPr>
          <w:color w:val="000000" w:themeColor="text1"/>
        </w:rPr>
        <w:t>r the typical patient, around 50</w:t>
      </w:r>
      <w:r w:rsidR="00920B0E">
        <w:rPr>
          <w:color w:val="000000" w:themeColor="text1"/>
        </w:rPr>
        <w:t>% of patients received an approval for con</w:t>
      </w:r>
      <w:r w:rsidR="003A2799">
        <w:rPr>
          <w:color w:val="000000" w:themeColor="text1"/>
        </w:rPr>
        <w:t xml:space="preserve">tinuing </w:t>
      </w:r>
      <w:r w:rsidR="002F559B">
        <w:rPr>
          <w:color w:val="000000" w:themeColor="text1"/>
        </w:rPr>
        <w:t>bDMD</w:t>
      </w:r>
      <w:r w:rsidR="003A2799">
        <w:rPr>
          <w:color w:val="000000" w:themeColor="text1"/>
        </w:rPr>
        <w:t xml:space="preserve"> therapy (Figure </w:t>
      </w:r>
      <w:r w:rsidR="00265BFE">
        <w:rPr>
          <w:color w:val="000000" w:themeColor="text1"/>
        </w:rPr>
        <w:t>6</w:t>
      </w:r>
      <w:r w:rsidR="00920B0E">
        <w:rPr>
          <w:color w:val="000000" w:themeColor="text1"/>
        </w:rPr>
        <w:t>)</w:t>
      </w:r>
      <w:r w:rsidR="006F56DE">
        <w:rPr>
          <w:color w:val="000000" w:themeColor="text1"/>
        </w:rPr>
        <w:t xml:space="preserve">. </w:t>
      </w:r>
    </w:p>
    <w:p w14:paraId="6445E9AE" w14:textId="3651A683" w:rsidR="00665E6B" w:rsidRPr="00BB37B5" w:rsidRDefault="00021963" w:rsidP="002E2CB1">
      <w:pPr>
        <w:rPr>
          <w:color w:val="000000" w:themeColor="text1"/>
        </w:rPr>
      </w:pPr>
      <w:r>
        <w:rPr>
          <w:color w:val="000000" w:themeColor="text1"/>
        </w:rPr>
        <w:t xml:space="preserve">Adalimumab was listed for </w:t>
      </w:r>
      <w:r>
        <w:t xml:space="preserve">severe refractory Crohn disease in children and adolescents from August 2015. </w:t>
      </w:r>
      <w:r w:rsidR="00DA14E5">
        <w:t>Of the 69 initiators in 2011, 18</w:t>
      </w:r>
      <w:r w:rsidR="004A4F6D">
        <w:t xml:space="preserve"> patients had their </w:t>
      </w:r>
      <w:r w:rsidR="00872FFC">
        <w:t xml:space="preserve">Authority </w:t>
      </w:r>
      <w:r w:rsidR="003C5CA7">
        <w:t>a</w:t>
      </w:r>
      <w:r w:rsidR="00872FFC">
        <w:t xml:space="preserve">pproval </w:t>
      </w:r>
      <w:r w:rsidR="004A4F6D">
        <w:t xml:space="preserve">switched </w:t>
      </w:r>
      <w:r w:rsidR="00D102BB">
        <w:t xml:space="preserve">from infliximab </w:t>
      </w:r>
      <w:r w:rsidR="004A4F6D">
        <w:t>to adalimumab.</w:t>
      </w:r>
    </w:p>
    <w:p w14:paraId="180CEFE0" w14:textId="77777777" w:rsidR="004E140D" w:rsidRDefault="004E140D" w:rsidP="00E4128C">
      <w:pPr>
        <w:rPr>
          <w:rStyle w:val="FiguretitleChar"/>
          <w:rFonts w:asciiTheme="minorHAnsi" w:hAnsiTheme="minorHAnsi"/>
        </w:rPr>
      </w:pPr>
      <w:r>
        <w:rPr>
          <w:rFonts w:eastAsiaTheme="majorEastAsia" w:cstheme="majorBidi"/>
          <w:b/>
          <w:noProof/>
        </w:rPr>
        <w:lastRenderedPageBreak/>
        <w:drawing>
          <wp:inline distT="0" distB="0" distL="0" distR="0" wp14:anchorId="345DD867" wp14:editId="0959166A">
            <wp:extent cx="5380074" cy="2663142"/>
            <wp:effectExtent l="0" t="0" r="0" b="4445"/>
            <wp:docPr id="4" name="Picture 4" descr="A graph of the proportion of patients continuing on treatment by Authority approval number" title="Continuation of biologic treatment for moderate to severe paediatric Crohn disease - 2011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6589" cy="2666367"/>
                    </a:xfrm>
                    <a:prstGeom prst="rect">
                      <a:avLst/>
                    </a:prstGeom>
                    <a:noFill/>
                  </pic:spPr>
                </pic:pic>
              </a:graphicData>
            </a:graphic>
          </wp:inline>
        </w:drawing>
      </w:r>
    </w:p>
    <w:p w14:paraId="76577B36" w14:textId="4AD91C07" w:rsidR="00E4128C" w:rsidRPr="004E140D" w:rsidRDefault="00E4128C" w:rsidP="007C3A56">
      <w:pPr>
        <w:spacing w:before="60"/>
        <w:rPr>
          <w:rFonts w:eastAsiaTheme="majorEastAsia" w:cstheme="majorBidi"/>
          <w:b/>
          <w:lang w:val="en-US"/>
        </w:rPr>
      </w:pPr>
      <w:r w:rsidRPr="00780DCD">
        <w:rPr>
          <w:rStyle w:val="FiguretitleChar"/>
          <w:rFonts w:asciiTheme="minorHAnsi" w:hAnsiTheme="minorHAnsi"/>
        </w:rPr>
        <w:t xml:space="preserve">Figure </w:t>
      </w:r>
      <w:r w:rsidR="00265BFE">
        <w:rPr>
          <w:rStyle w:val="FiguretitleChar"/>
          <w:rFonts w:asciiTheme="minorHAnsi" w:hAnsiTheme="minorHAnsi"/>
        </w:rPr>
        <w:t>6</w:t>
      </w:r>
      <w:r w:rsidRPr="00780DCD">
        <w:rPr>
          <w:rStyle w:val="FiguretitleChar"/>
          <w:rFonts w:asciiTheme="minorHAnsi" w:hAnsiTheme="minorHAnsi"/>
        </w:rPr>
        <w:t xml:space="preserve">: </w:t>
      </w:r>
      <w:r>
        <w:rPr>
          <w:rStyle w:val="FiguretitleChar"/>
          <w:rFonts w:asciiTheme="minorHAnsi" w:hAnsiTheme="minorHAnsi"/>
        </w:rPr>
        <w:t xml:space="preserve">Continuation </w:t>
      </w:r>
      <w:r w:rsidR="007C072E">
        <w:rPr>
          <w:rStyle w:val="FiguretitleChar"/>
          <w:rFonts w:asciiTheme="minorHAnsi" w:hAnsiTheme="minorHAnsi"/>
        </w:rPr>
        <w:t xml:space="preserve">of </w:t>
      </w:r>
      <w:proofErr w:type="spellStart"/>
      <w:r w:rsidR="002F559B">
        <w:rPr>
          <w:rStyle w:val="FiguretitleChar"/>
          <w:rFonts w:asciiTheme="minorHAnsi" w:hAnsiTheme="minorHAnsi"/>
        </w:rPr>
        <w:t>bDMD</w:t>
      </w:r>
      <w:proofErr w:type="spellEnd"/>
      <w:r w:rsidR="007C072E">
        <w:rPr>
          <w:rStyle w:val="FiguretitleChar"/>
          <w:rFonts w:asciiTheme="minorHAnsi" w:hAnsiTheme="minorHAnsi"/>
        </w:rPr>
        <w:t xml:space="preserve"> treatment</w:t>
      </w:r>
      <w:r>
        <w:rPr>
          <w:rStyle w:val="FiguretitleChar"/>
          <w:rFonts w:asciiTheme="minorHAnsi" w:hAnsiTheme="minorHAnsi"/>
        </w:rPr>
        <w:t xml:space="preserve"> for moderate to severe paediatric Crohn disease – 2011 patients</w:t>
      </w:r>
      <w:r>
        <w:rPr>
          <w:rStyle w:val="FiguretitleChar"/>
          <w:rFonts w:asciiTheme="minorHAnsi" w:hAnsiTheme="minorHAnsi"/>
        </w:rPr>
        <w:br/>
      </w:r>
      <w:r w:rsidRPr="00780DCD">
        <w:rPr>
          <w:rStyle w:val="FigurecaptionChar"/>
        </w:rPr>
        <w:t>Source: DHS Authority appro</w:t>
      </w:r>
      <w:r>
        <w:rPr>
          <w:rStyle w:val="FigurecaptionChar"/>
        </w:rPr>
        <w:t>vals database, accessed April 2017</w:t>
      </w:r>
      <w:r w:rsidRPr="00780DCD">
        <w:rPr>
          <w:rStyle w:val="FigurecaptionChar"/>
        </w:rPr>
        <w:t xml:space="preserve">. </w:t>
      </w:r>
      <w:r>
        <w:rPr>
          <w:rStyle w:val="FigurecaptionChar"/>
        </w:rPr>
        <w:t>Follow up to December 2016.</w:t>
      </w:r>
    </w:p>
    <w:p w14:paraId="6922AA66" w14:textId="20B0EEBC" w:rsidR="00665E6B" w:rsidRPr="00960CCD" w:rsidRDefault="00960CCD" w:rsidP="002E2CB1">
      <w:pPr>
        <w:rPr>
          <w:color w:val="000000" w:themeColor="text1"/>
          <w:u w:val="single"/>
        </w:rPr>
      </w:pPr>
      <w:r>
        <w:rPr>
          <w:color w:val="000000" w:themeColor="text1"/>
          <w:u w:val="single"/>
        </w:rPr>
        <w:t xml:space="preserve">Comparison of continuation rates </w:t>
      </w:r>
      <w:r w:rsidR="001501CF">
        <w:rPr>
          <w:color w:val="000000" w:themeColor="text1"/>
          <w:u w:val="single"/>
        </w:rPr>
        <w:t xml:space="preserve">to </w:t>
      </w:r>
      <w:r w:rsidR="00905F96">
        <w:rPr>
          <w:color w:val="000000" w:themeColor="text1"/>
          <w:u w:val="single"/>
        </w:rPr>
        <w:t xml:space="preserve">any </w:t>
      </w:r>
      <w:r w:rsidR="002F559B">
        <w:rPr>
          <w:color w:val="000000" w:themeColor="text1"/>
          <w:u w:val="single"/>
        </w:rPr>
        <w:t>bDMD</w:t>
      </w:r>
      <w:r w:rsidR="001501CF">
        <w:rPr>
          <w:color w:val="000000" w:themeColor="text1"/>
          <w:u w:val="single"/>
        </w:rPr>
        <w:t xml:space="preserve"> therapy </w:t>
      </w:r>
      <w:r>
        <w:rPr>
          <w:color w:val="000000" w:themeColor="text1"/>
          <w:u w:val="single"/>
        </w:rPr>
        <w:t>between initiating cohorts in 2011 vs. 2014</w:t>
      </w:r>
    </w:p>
    <w:p w14:paraId="4CB0B63A" w14:textId="5EFF916B" w:rsidR="003327F6" w:rsidRPr="00796359" w:rsidRDefault="00796359" w:rsidP="002E2CB1">
      <w:pPr>
        <w:rPr>
          <w:color w:val="000000" w:themeColor="text1"/>
        </w:rPr>
      </w:pPr>
      <w:r>
        <w:rPr>
          <w:color w:val="000000" w:themeColor="text1"/>
        </w:rPr>
        <w:t xml:space="preserve">For </w:t>
      </w:r>
      <w:r w:rsidR="00C45DD6">
        <w:rPr>
          <w:color w:val="000000" w:themeColor="text1"/>
        </w:rPr>
        <w:t xml:space="preserve">first </w:t>
      </w:r>
      <w:r>
        <w:rPr>
          <w:color w:val="000000" w:themeColor="text1"/>
        </w:rPr>
        <w:t xml:space="preserve">initiators </w:t>
      </w:r>
      <w:r w:rsidR="00C45DD6">
        <w:rPr>
          <w:color w:val="000000" w:themeColor="text1"/>
        </w:rPr>
        <w:t xml:space="preserve">on a </w:t>
      </w:r>
      <w:r w:rsidR="002F559B">
        <w:rPr>
          <w:color w:val="000000" w:themeColor="text1"/>
        </w:rPr>
        <w:t>bDMD</w:t>
      </w:r>
      <w:r w:rsidR="00C45DD6">
        <w:rPr>
          <w:color w:val="000000" w:themeColor="text1"/>
        </w:rPr>
        <w:t xml:space="preserve"> </w:t>
      </w:r>
      <w:r>
        <w:rPr>
          <w:color w:val="000000" w:themeColor="text1"/>
        </w:rPr>
        <w:t xml:space="preserve">in 2014, complete data </w:t>
      </w:r>
      <w:r w:rsidR="00C45DD6">
        <w:rPr>
          <w:color w:val="000000" w:themeColor="text1"/>
        </w:rPr>
        <w:t xml:space="preserve">was available for the </w:t>
      </w:r>
      <w:r>
        <w:rPr>
          <w:color w:val="000000" w:themeColor="text1"/>
        </w:rPr>
        <w:t xml:space="preserve">first four </w:t>
      </w:r>
      <w:r w:rsidR="00C45DD6">
        <w:rPr>
          <w:color w:val="000000" w:themeColor="text1"/>
        </w:rPr>
        <w:t xml:space="preserve">Authority </w:t>
      </w:r>
      <w:r>
        <w:rPr>
          <w:color w:val="000000" w:themeColor="text1"/>
        </w:rPr>
        <w:t xml:space="preserve">approvals. Figure </w:t>
      </w:r>
      <w:r w:rsidR="00C45DD6">
        <w:rPr>
          <w:color w:val="000000" w:themeColor="text1"/>
        </w:rPr>
        <w:t>8 compares the continuation rates between patient cohorts initiating in 2011 versus 2014 for each R/PBS Crohn indication.</w:t>
      </w:r>
      <w:r w:rsidR="009E6D1E">
        <w:rPr>
          <w:color w:val="000000" w:themeColor="text1"/>
        </w:rPr>
        <w:t xml:space="preserve"> For each indication, the continuation rates were </w:t>
      </w:r>
      <w:r w:rsidR="00971B02">
        <w:rPr>
          <w:color w:val="000000" w:themeColor="text1"/>
        </w:rPr>
        <w:t xml:space="preserve">broadly </w:t>
      </w:r>
      <w:r w:rsidR="009E6D1E">
        <w:rPr>
          <w:color w:val="000000" w:themeColor="text1"/>
        </w:rPr>
        <w:t xml:space="preserve">similar for each initiating cohort (Figure </w:t>
      </w:r>
      <w:r w:rsidR="00265BFE">
        <w:rPr>
          <w:color w:val="000000" w:themeColor="text1"/>
        </w:rPr>
        <w:t>7</w:t>
      </w:r>
      <w:r w:rsidR="009E6D1E">
        <w:rPr>
          <w:color w:val="000000" w:themeColor="text1"/>
        </w:rPr>
        <w:t>).</w:t>
      </w:r>
    </w:p>
    <w:p w14:paraId="324BBE6A" w14:textId="1057A516" w:rsidR="003327F6" w:rsidRDefault="000A676F" w:rsidP="002E2CB1">
      <w:pPr>
        <w:rPr>
          <w:i/>
          <w:color w:val="FF0000"/>
        </w:rPr>
      </w:pPr>
      <w:r>
        <w:rPr>
          <w:i/>
          <w:noProof/>
          <w:color w:val="FF0000"/>
        </w:rPr>
        <w:drawing>
          <wp:inline distT="0" distB="0" distL="0" distR="0" wp14:anchorId="776D2866" wp14:editId="1E3F43C7">
            <wp:extent cx="5657850" cy="2554506"/>
            <wp:effectExtent l="0" t="0" r="0" b="0"/>
            <wp:docPr id="2" name="Picture 2" descr="The proportion of patients continuing treatment by Authority approval number " title="Comparison of continuation rates over the first four Authority approval by indication for patients initiating a biologic in 2011 v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5322" cy="2553365"/>
                    </a:xfrm>
                    <a:prstGeom prst="rect">
                      <a:avLst/>
                    </a:prstGeom>
                    <a:noFill/>
                  </pic:spPr>
                </pic:pic>
              </a:graphicData>
            </a:graphic>
          </wp:inline>
        </w:drawing>
      </w:r>
    </w:p>
    <w:p w14:paraId="68F2B3E6" w14:textId="0D7AA67E" w:rsidR="002E2CB1" w:rsidRDefault="00E66486" w:rsidP="002E2CB1">
      <w:pPr>
        <w:rPr>
          <w:rStyle w:val="FigurecaptionChar"/>
        </w:rPr>
      </w:pPr>
      <w:r>
        <w:rPr>
          <w:rStyle w:val="FiguretitleChar"/>
          <w:rFonts w:asciiTheme="minorHAnsi" w:hAnsiTheme="minorHAnsi"/>
        </w:rPr>
        <w:t xml:space="preserve">Figure </w:t>
      </w:r>
      <w:r w:rsidR="00265BFE">
        <w:rPr>
          <w:rStyle w:val="FiguretitleChar"/>
          <w:rFonts w:asciiTheme="minorHAnsi" w:hAnsiTheme="minorHAnsi"/>
        </w:rPr>
        <w:t>7</w:t>
      </w:r>
      <w:r w:rsidR="00912869">
        <w:rPr>
          <w:rStyle w:val="FiguretitleChar"/>
          <w:rFonts w:asciiTheme="minorHAnsi" w:hAnsiTheme="minorHAnsi"/>
        </w:rPr>
        <w:t xml:space="preserve">: Comparison of continuation rates over the first four Authority </w:t>
      </w:r>
      <w:r w:rsidR="002D57CC">
        <w:rPr>
          <w:rStyle w:val="FiguretitleChar"/>
          <w:rFonts w:asciiTheme="minorHAnsi" w:hAnsiTheme="minorHAnsi"/>
        </w:rPr>
        <w:t>a</w:t>
      </w:r>
      <w:r w:rsidR="00912869">
        <w:rPr>
          <w:rStyle w:val="FiguretitleChar"/>
          <w:rFonts w:asciiTheme="minorHAnsi" w:hAnsiTheme="minorHAnsi"/>
        </w:rPr>
        <w:t xml:space="preserve">pprovals by indication for patients initiating a </w:t>
      </w:r>
      <w:r w:rsidR="002F559B">
        <w:rPr>
          <w:rStyle w:val="FiguretitleChar"/>
          <w:rFonts w:asciiTheme="minorHAnsi" w:hAnsiTheme="minorHAnsi"/>
        </w:rPr>
        <w:t>bDMD</w:t>
      </w:r>
      <w:r w:rsidR="00912869">
        <w:rPr>
          <w:rStyle w:val="FiguretitleChar"/>
          <w:rFonts w:asciiTheme="minorHAnsi" w:hAnsiTheme="minorHAnsi"/>
        </w:rPr>
        <w:t xml:space="preserve"> in 2011 vs. 2014</w:t>
      </w:r>
      <w:r w:rsidR="00912869">
        <w:rPr>
          <w:rStyle w:val="FiguretitleChar"/>
          <w:rFonts w:asciiTheme="minorHAnsi" w:hAnsiTheme="minorHAnsi"/>
        </w:rPr>
        <w:br/>
      </w:r>
      <w:r w:rsidR="00912869" w:rsidRPr="00780DCD">
        <w:rPr>
          <w:rStyle w:val="FigurecaptionChar"/>
        </w:rPr>
        <w:t>Source: DHS Authority appro</w:t>
      </w:r>
      <w:r w:rsidR="00912869">
        <w:rPr>
          <w:rStyle w:val="FigurecaptionChar"/>
        </w:rPr>
        <w:t>vals database, accessed April 2017</w:t>
      </w:r>
      <w:r w:rsidR="00912869" w:rsidRPr="00780DCD">
        <w:rPr>
          <w:rStyle w:val="FigurecaptionChar"/>
        </w:rPr>
        <w:t>.</w:t>
      </w:r>
    </w:p>
    <w:p w14:paraId="1A85B503" w14:textId="77777777" w:rsidR="00872FFC" w:rsidRDefault="00872FFC">
      <w:pPr>
        <w:spacing w:line="276" w:lineRule="auto"/>
        <w:rPr>
          <w:b/>
          <w:i/>
        </w:rPr>
      </w:pPr>
      <w:r>
        <w:rPr>
          <w:b/>
          <w:i/>
        </w:rPr>
        <w:br w:type="page"/>
      </w:r>
    </w:p>
    <w:p w14:paraId="184CC550" w14:textId="2018B386" w:rsidR="003B2E95" w:rsidRPr="00EF647B" w:rsidRDefault="003B2E95" w:rsidP="003B2E95">
      <w:pPr>
        <w:rPr>
          <w:b/>
          <w:i/>
        </w:rPr>
      </w:pPr>
      <w:r>
        <w:rPr>
          <w:b/>
          <w:i/>
        </w:rPr>
        <w:lastRenderedPageBreak/>
        <w:t xml:space="preserve">Analysis of prior therapy before a </w:t>
      </w:r>
      <w:r w:rsidR="002F559B">
        <w:rPr>
          <w:b/>
          <w:i/>
        </w:rPr>
        <w:t>bDMD</w:t>
      </w:r>
    </w:p>
    <w:p w14:paraId="52EA8866" w14:textId="52256CF5" w:rsidR="00180DB6" w:rsidRDefault="007739A9" w:rsidP="00180DB6">
      <w:pPr>
        <w:spacing w:after="0"/>
      </w:pPr>
      <w:r>
        <w:t>The PBS</w:t>
      </w:r>
      <w:r w:rsidR="00DE2854">
        <w:t xml:space="preserve"> restrictions </w:t>
      </w:r>
      <w:r>
        <w:t xml:space="preserve">for </w:t>
      </w:r>
      <w:r w:rsidR="002F559B">
        <w:t>bDMDs</w:t>
      </w:r>
      <w:r>
        <w:t xml:space="preserve"> </w:t>
      </w:r>
      <w:r w:rsidR="00DE2854">
        <w:t xml:space="preserve">for adult severe refractory Crohn disease </w:t>
      </w:r>
      <w:r>
        <w:t xml:space="preserve">require that patients must have either failed a prior course of steroids or have evidence of being intolerant or contraindicated to steroids. The </w:t>
      </w:r>
      <w:r w:rsidR="002F559B">
        <w:t>bDMD</w:t>
      </w:r>
      <w:r w:rsidR="00D94833">
        <w:t xml:space="preserve"> restrictions for paediatric Crohn disease </w:t>
      </w:r>
      <w:r w:rsidR="00180DB6">
        <w:t>require that patients must have failed to achieve a response to two of the three following therapies: a course of prednisolone or an equivalent steroid over a 6 week period; an 8 week course of enteral nutrition; or 3 or more months of immunosuppressive therapy with either azathioprine, 6-mercaptopurine or methotrexate; or</w:t>
      </w:r>
    </w:p>
    <w:p w14:paraId="5CBD559D" w14:textId="13F2B916" w:rsidR="007739A9" w:rsidRDefault="00180DB6" w:rsidP="00180DB6">
      <w:pPr>
        <w:spacing w:after="0"/>
      </w:pPr>
      <w:r>
        <w:t>patients must be intolerant or contraindicated to each of prednisolone  (or equivalent), azathioprine, 6-mercaptopurine and methotrexate.</w:t>
      </w:r>
    </w:p>
    <w:p w14:paraId="61B33DE8" w14:textId="77777777" w:rsidR="00180DB6" w:rsidRDefault="00180DB6" w:rsidP="00180DB6">
      <w:pPr>
        <w:spacing w:after="0"/>
      </w:pPr>
    </w:p>
    <w:p w14:paraId="4BAC4DA4" w14:textId="18711C73" w:rsidR="003B2E95" w:rsidRDefault="007F75F0" w:rsidP="002E2CB1">
      <w:r>
        <w:t xml:space="preserve">The use of corticosteroid and immunosuppressive therapy </w:t>
      </w:r>
      <w:r w:rsidR="00E915E3">
        <w:t>(</w:t>
      </w:r>
      <w:r w:rsidR="00862F7B">
        <w:t xml:space="preserve">azathioprine, </w:t>
      </w:r>
      <w:r w:rsidR="00F548CD">
        <w:t xml:space="preserve">6-mercaptopurine or methotrexate) </w:t>
      </w:r>
      <w:r>
        <w:t xml:space="preserve">prior to a </w:t>
      </w:r>
      <w:r w:rsidR="002F559B">
        <w:t>bDMD</w:t>
      </w:r>
      <w:r>
        <w:t xml:space="preserve"> was examined f</w:t>
      </w:r>
      <w:r w:rsidR="00534E54">
        <w:t xml:space="preserve">or </w:t>
      </w:r>
      <w:r w:rsidR="00D35247">
        <w:t xml:space="preserve">patients first initiating on a </w:t>
      </w:r>
      <w:r w:rsidR="002F559B">
        <w:t>bDMD</w:t>
      </w:r>
      <w:r w:rsidR="00D35247" w:rsidRPr="00860E23">
        <w:t xml:space="preserve"> for </w:t>
      </w:r>
      <w:r w:rsidR="00534E54" w:rsidRPr="00860E23">
        <w:t>seve</w:t>
      </w:r>
      <w:r w:rsidR="00D35247" w:rsidRPr="00860E23">
        <w:t xml:space="preserve">re </w:t>
      </w:r>
      <w:r w:rsidR="00CB2661" w:rsidRPr="00860E23">
        <w:t xml:space="preserve">refractory adult </w:t>
      </w:r>
      <w:r w:rsidR="00DE2854" w:rsidRPr="00860E23">
        <w:t xml:space="preserve">Crohn </w:t>
      </w:r>
      <w:r w:rsidR="00D35247" w:rsidRPr="00860E23">
        <w:t>or paediatric Crohn disease in 2016</w:t>
      </w:r>
      <w:r w:rsidRPr="00860E23">
        <w:t>.</w:t>
      </w:r>
      <w:r w:rsidR="00534E54" w:rsidRPr="00860E23">
        <w:t xml:space="preserve"> </w:t>
      </w:r>
      <w:r w:rsidR="005309EF" w:rsidRPr="00860E23">
        <w:t xml:space="preserve"> When interpreting the findings</w:t>
      </w:r>
      <w:r w:rsidR="003A0632" w:rsidRPr="00860E23">
        <w:t>,</w:t>
      </w:r>
      <w:r w:rsidR="005309EF" w:rsidRPr="00860E23">
        <w:t xml:space="preserve"> it should be noted that </w:t>
      </w:r>
      <w:r w:rsidR="003D5B31" w:rsidRPr="00860E23">
        <w:t xml:space="preserve">there is only </w:t>
      </w:r>
      <w:r w:rsidR="005309EF" w:rsidRPr="00860E23">
        <w:t xml:space="preserve">complete capture of </w:t>
      </w:r>
      <w:r w:rsidR="00BC252F" w:rsidRPr="00860E23">
        <w:t>undercopayment prescriptions</w:t>
      </w:r>
      <w:r w:rsidR="003D5B31" w:rsidRPr="00860E23">
        <w:t xml:space="preserve"> from April 2012. As such, the use of </w:t>
      </w:r>
      <w:r w:rsidR="00180DB6" w:rsidRPr="00860E23">
        <w:t xml:space="preserve">some </w:t>
      </w:r>
      <w:r w:rsidR="003D5B31" w:rsidRPr="00860E23">
        <w:t>prior therapy before this time may not be detected in the analysis.</w:t>
      </w:r>
    </w:p>
    <w:p w14:paraId="7A29B157" w14:textId="34CD94C8" w:rsidR="00716D29" w:rsidRDefault="00FA470E" w:rsidP="00FA470E">
      <w:pPr>
        <w:rPr>
          <w:u w:val="single"/>
        </w:rPr>
      </w:pPr>
      <w:r>
        <w:rPr>
          <w:u w:val="single"/>
        </w:rPr>
        <w:t>Adult severe refractory Crohn disease</w:t>
      </w:r>
    </w:p>
    <w:p w14:paraId="773514FB" w14:textId="7CB7A09C" w:rsidR="00724A9C" w:rsidRDefault="00365C03" w:rsidP="00FA470E">
      <w:r>
        <w:t xml:space="preserve">Only a low proportion of patients </w:t>
      </w:r>
      <w:r w:rsidR="00717E99">
        <w:t xml:space="preserve">first </w:t>
      </w:r>
      <w:r>
        <w:t xml:space="preserve">supplied a </w:t>
      </w:r>
      <w:r w:rsidR="002F559B">
        <w:t>bDMD</w:t>
      </w:r>
      <w:r>
        <w:t xml:space="preserve"> </w:t>
      </w:r>
      <w:r w:rsidR="00717E99">
        <w:t xml:space="preserve">in 2016 </w:t>
      </w:r>
      <w:r>
        <w:t>for adult severe refractory Crohn disease did not receive a prior</w:t>
      </w:r>
      <w:r w:rsidR="004729A4">
        <w:t xml:space="preserve"> R/PBS</w:t>
      </w:r>
      <w:r>
        <w:t xml:space="preserve"> supply of a corticosteroid or immunosuppressive therapy with azathioprine, 6-mercaptopurine or methotrexate (Table</w:t>
      </w:r>
      <w:r w:rsidR="007C3A56">
        <w:t> </w:t>
      </w:r>
      <w:r>
        <w:t xml:space="preserve">5). </w:t>
      </w:r>
    </w:p>
    <w:p w14:paraId="4360F009" w14:textId="3A7EE84C" w:rsidR="00DC0045" w:rsidRDefault="00963759" w:rsidP="007C3A56">
      <w:pPr>
        <w:spacing w:before="200" w:after="20"/>
        <w:rPr>
          <w:b/>
        </w:rPr>
      </w:pPr>
      <w:r>
        <w:rPr>
          <w:b/>
        </w:rPr>
        <w:t>Table 5</w:t>
      </w:r>
      <w:r w:rsidR="00DC0045" w:rsidRPr="00731076">
        <w:rPr>
          <w:b/>
        </w:rPr>
        <w:t xml:space="preserve">: </w:t>
      </w:r>
      <w:r w:rsidR="00F50DE8">
        <w:rPr>
          <w:b/>
        </w:rPr>
        <w:t>Prior therapy supplied to patients with</w:t>
      </w:r>
      <w:r w:rsidR="00DC0045">
        <w:rPr>
          <w:b/>
        </w:rPr>
        <w:t xml:space="preserve"> </w:t>
      </w:r>
      <w:r w:rsidR="00F50DE8">
        <w:rPr>
          <w:b/>
        </w:rPr>
        <w:t>adult refractory Crohn disease who first initiated on a</w:t>
      </w:r>
      <w:r w:rsidR="00DC0045">
        <w:rPr>
          <w:b/>
        </w:rPr>
        <w:t xml:space="preserve"> </w:t>
      </w:r>
      <w:r w:rsidR="002F559B">
        <w:rPr>
          <w:b/>
        </w:rPr>
        <w:t>bDMD</w:t>
      </w:r>
      <w:r w:rsidR="00DC0045">
        <w:rPr>
          <w:b/>
        </w:rPr>
        <w:t xml:space="preserve"> </w:t>
      </w:r>
      <w:r w:rsidR="00F50DE8">
        <w:rPr>
          <w:b/>
        </w:rPr>
        <w:t xml:space="preserve">in 2016 </w:t>
      </w:r>
    </w:p>
    <w:tbl>
      <w:tblPr>
        <w:tblW w:w="7386" w:type="dxa"/>
        <w:tblInd w:w="93" w:type="dxa"/>
        <w:tblLook w:val="04A0" w:firstRow="1" w:lastRow="0" w:firstColumn="1" w:lastColumn="0" w:noHBand="0" w:noVBand="1"/>
      </w:tblPr>
      <w:tblGrid>
        <w:gridCol w:w="4551"/>
        <w:gridCol w:w="1276"/>
        <w:gridCol w:w="1559"/>
      </w:tblGrid>
      <w:tr w:rsidR="00B6177B" w:rsidRPr="00B6177B" w14:paraId="1BBFA551" w14:textId="77777777" w:rsidTr="007C3A56">
        <w:trPr>
          <w:trHeight w:val="300"/>
        </w:trPr>
        <w:tc>
          <w:tcPr>
            <w:tcW w:w="4551" w:type="dxa"/>
            <w:tcBorders>
              <w:top w:val="nil"/>
              <w:left w:val="nil"/>
              <w:bottom w:val="nil"/>
              <w:right w:val="nil"/>
            </w:tcBorders>
            <w:shd w:val="clear" w:color="auto" w:fill="auto"/>
            <w:noWrap/>
            <w:vAlign w:val="bottom"/>
            <w:hideMark/>
          </w:tcPr>
          <w:p w14:paraId="69AEDEB0" w14:textId="77777777" w:rsidR="00B6177B" w:rsidRPr="00B6177B" w:rsidRDefault="00B6177B" w:rsidP="00B6177B">
            <w:pPr>
              <w:spacing w:after="0"/>
              <w:rPr>
                <w:rFonts w:ascii="Calibri" w:eastAsia="Times New Roman" w:hAnsi="Calibri"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A1F2E1" w14:textId="0E348563" w:rsidR="00B6177B" w:rsidRPr="00B6177B" w:rsidRDefault="003C5CA7" w:rsidP="00B6177B">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Patients</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EFA5FE" w14:textId="77777777" w:rsidR="00B6177B" w:rsidRPr="00B6177B" w:rsidRDefault="00B6177B" w:rsidP="00B6177B">
            <w:pPr>
              <w:spacing w:after="0"/>
              <w:jc w:val="center"/>
              <w:rPr>
                <w:rFonts w:ascii="Calibri" w:eastAsia="Times New Roman" w:hAnsi="Calibri" w:cs="Times New Roman"/>
                <w:b/>
                <w:bCs/>
                <w:sz w:val="20"/>
                <w:szCs w:val="20"/>
              </w:rPr>
            </w:pPr>
            <w:r w:rsidRPr="00B6177B">
              <w:rPr>
                <w:rFonts w:ascii="Calibri" w:eastAsia="Times New Roman" w:hAnsi="Calibri" w:cs="Times New Roman"/>
                <w:b/>
                <w:bCs/>
                <w:sz w:val="20"/>
                <w:szCs w:val="20"/>
              </w:rPr>
              <w:t>Proportion</w:t>
            </w:r>
          </w:p>
        </w:tc>
      </w:tr>
      <w:tr w:rsidR="00B6177B" w:rsidRPr="00B6177B" w14:paraId="0C22D170" w14:textId="77777777" w:rsidTr="007C3A56">
        <w:trPr>
          <w:trHeight w:val="30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D611" w14:textId="6140AFDF" w:rsidR="00B6177B" w:rsidRPr="00B6177B" w:rsidRDefault="00B6177B" w:rsidP="007C3A56">
            <w:pPr>
              <w:spacing w:after="0"/>
              <w:rPr>
                <w:rFonts w:eastAsia="Times New Roman" w:cs="Times New Roman"/>
                <w:sz w:val="20"/>
                <w:szCs w:val="20"/>
              </w:rPr>
            </w:pPr>
            <w:r>
              <w:rPr>
                <w:rFonts w:eastAsia="Times New Roman" w:cs="Times New Roman"/>
                <w:sz w:val="20"/>
                <w:szCs w:val="20"/>
              </w:rPr>
              <w:t>Got a corticosteroid</w:t>
            </w:r>
            <w:r w:rsidR="003C5CA7">
              <w:rPr>
                <w:rFonts w:eastAsia="Times New Roman" w:cs="Times New Roman"/>
                <w:sz w:val="20"/>
                <w:szCs w:val="20"/>
              </w:rPr>
              <w:t xml:space="preserve"> and </w:t>
            </w:r>
            <w:r>
              <w:rPr>
                <w:rFonts w:eastAsia="Times New Roman" w:cs="Times New Roman"/>
                <w:sz w:val="20"/>
                <w:szCs w:val="20"/>
              </w:rPr>
              <w:t>immunosuppressive drug</w:t>
            </w:r>
          </w:p>
        </w:tc>
        <w:tc>
          <w:tcPr>
            <w:tcW w:w="1276" w:type="dxa"/>
            <w:tcBorders>
              <w:top w:val="nil"/>
              <w:left w:val="nil"/>
              <w:bottom w:val="single" w:sz="4" w:space="0" w:color="auto"/>
              <w:right w:val="single" w:sz="4" w:space="0" w:color="auto"/>
            </w:tcBorders>
            <w:shd w:val="clear" w:color="auto" w:fill="auto"/>
            <w:noWrap/>
            <w:vAlign w:val="center"/>
            <w:hideMark/>
          </w:tcPr>
          <w:p w14:paraId="06620227" w14:textId="00D7617C"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1,183</w:t>
            </w:r>
          </w:p>
        </w:tc>
        <w:tc>
          <w:tcPr>
            <w:tcW w:w="1559" w:type="dxa"/>
            <w:tcBorders>
              <w:top w:val="nil"/>
              <w:left w:val="nil"/>
              <w:bottom w:val="single" w:sz="4" w:space="0" w:color="auto"/>
              <w:right w:val="single" w:sz="4" w:space="0" w:color="auto"/>
            </w:tcBorders>
            <w:shd w:val="clear" w:color="auto" w:fill="auto"/>
            <w:noWrap/>
            <w:vAlign w:val="center"/>
            <w:hideMark/>
          </w:tcPr>
          <w:p w14:paraId="78F93994" w14:textId="77777777"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86.2%</w:t>
            </w:r>
          </w:p>
        </w:tc>
      </w:tr>
      <w:tr w:rsidR="00B6177B" w:rsidRPr="00B6177B" w14:paraId="2168D707" w14:textId="77777777" w:rsidTr="007C3A56">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2EC9741B" w14:textId="4CF4691D" w:rsidR="00B6177B" w:rsidRPr="00B6177B" w:rsidRDefault="00B6177B" w:rsidP="007C3A56">
            <w:pPr>
              <w:spacing w:after="0"/>
              <w:rPr>
                <w:rFonts w:eastAsia="Times New Roman" w:cs="Times New Roman"/>
                <w:sz w:val="20"/>
                <w:szCs w:val="20"/>
              </w:rPr>
            </w:pPr>
            <w:r>
              <w:rPr>
                <w:rFonts w:eastAsia="Times New Roman" w:cs="Times New Roman"/>
                <w:sz w:val="20"/>
                <w:szCs w:val="20"/>
              </w:rPr>
              <w:t>Got a corticosteroid</w:t>
            </w:r>
            <w:r w:rsidR="00806970">
              <w:rPr>
                <w:rFonts w:eastAsia="Times New Roman" w:cs="Times New Roman"/>
                <w:sz w:val="20"/>
                <w:szCs w:val="20"/>
              </w:rPr>
              <w:t xml:space="preserve"> only</w:t>
            </w:r>
          </w:p>
        </w:tc>
        <w:tc>
          <w:tcPr>
            <w:tcW w:w="1276" w:type="dxa"/>
            <w:tcBorders>
              <w:top w:val="nil"/>
              <w:left w:val="nil"/>
              <w:bottom w:val="single" w:sz="4" w:space="0" w:color="auto"/>
              <w:right w:val="single" w:sz="4" w:space="0" w:color="auto"/>
            </w:tcBorders>
            <w:shd w:val="clear" w:color="auto" w:fill="auto"/>
            <w:noWrap/>
            <w:vAlign w:val="center"/>
            <w:hideMark/>
          </w:tcPr>
          <w:p w14:paraId="0177EF0D" w14:textId="224B555C"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35</w:t>
            </w:r>
          </w:p>
        </w:tc>
        <w:tc>
          <w:tcPr>
            <w:tcW w:w="1559" w:type="dxa"/>
            <w:tcBorders>
              <w:top w:val="nil"/>
              <w:left w:val="nil"/>
              <w:bottom w:val="single" w:sz="4" w:space="0" w:color="auto"/>
              <w:right w:val="single" w:sz="4" w:space="0" w:color="auto"/>
            </w:tcBorders>
            <w:shd w:val="clear" w:color="auto" w:fill="auto"/>
            <w:noWrap/>
            <w:vAlign w:val="center"/>
            <w:hideMark/>
          </w:tcPr>
          <w:p w14:paraId="711A84E2" w14:textId="77777777"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2.5%</w:t>
            </w:r>
          </w:p>
        </w:tc>
      </w:tr>
      <w:tr w:rsidR="00B6177B" w:rsidRPr="00B6177B" w14:paraId="71C2A1D9" w14:textId="77777777" w:rsidTr="007C3A56">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4E0DEF66" w14:textId="57715919" w:rsidR="00B6177B" w:rsidRPr="00B6177B" w:rsidRDefault="00B6177B" w:rsidP="007C3A56">
            <w:pPr>
              <w:spacing w:after="0"/>
              <w:rPr>
                <w:rFonts w:eastAsia="Times New Roman" w:cs="Times New Roman"/>
                <w:sz w:val="20"/>
                <w:szCs w:val="20"/>
              </w:rPr>
            </w:pPr>
            <w:r>
              <w:rPr>
                <w:rFonts w:eastAsia="Times New Roman" w:cs="Times New Roman"/>
                <w:sz w:val="20"/>
                <w:szCs w:val="20"/>
              </w:rPr>
              <w:t>Got an i</w:t>
            </w:r>
            <w:r w:rsidRPr="00B6177B">
              <w:rPr>
                <w:rFonts w:eastAsia="Times New Roman" w:cs="Times New Roman"/>
                <w:sz w:val="20"/>
                <w:szCs w:val="20"/>
              </w:rPr>
              <w:t xml:space="preserve">mmunosuppressive drug </w:t>
            </w:r>
            <w:r w:rsidR="00806970">
              <w:rPr>
                <w:rFonts w:eastAsia="Times New Roman" w:cs="Times New Roman"/>
                <w:sz w:val="20"/>
                <w:szCs w:val="20"/>
              </w:rPr>
              <w:t>only</w:t>
            </w:r>
          </w:p>
        </w:tc>
        <w:tc>
          <w:tcPr>
            <w:tcW w:w="1276" w:type="dxa"/>
            <w:tcBorders>
              <w:top w:val="nil"/>
              <w:left w:val="nil"/>
              <w:bottom w:val="single" w:sz="4" w:space="0" w:color="auto"/>
              <w:right w:val="single" w:sz="4" w:space="0" w:color="auto"/>
            </w:tcBorders>
            <w:shd w:val="clear" w:color="auto" w:fill="auto"/>
            <w:noWrap/>
            <w:vAlign w:val="center"/>
            <w:hideMark/>
          </w:tcPr>
          <w:p w14:paraId="07A5FD51" w14:textId="5950A463"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138</w:t>
            </w:r>
          </w:p>
        </w:tc>
        <w:tc>
          <w:tcPr>
            <w:tcW w:w="1559" w:type="dxa"/>
            <w:tcBorders>
              <w:top w:val="nil"/>
              <w:left w:val="nil"/>
              <w:bottom w:val="single" w:sz="4" w:space="0" w:color="auto"/>
              <w:right w:val="single" w:sz="4" w:space="0" w:color="auto"/>
            </w:tcBorders>
            <w:shd w:val="clear" w:color="auto" w:fill="auto"/>
            <w:noWrap/>
            <w:vAlign w:val="center"/>
            <w:hideMark/>
          </w:tcPr>
          <w:p w14:paraId="05F3B710" w14:textId="77777777"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10.1%</w:t>
            </w:r>
          </w:p>
        </w:tc>
      </w:tr>
      <w:tr w:rsidR="00B6177B" w:rsidRPr="00B6177B" w14:paraId="0617D4CB" w14:textId="77777777" w:rsidTr="007C3A56">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52C7F525" w14:textId="6281B629" w:rsidR="00B6177B" w:rsidRPr="00B6177B" w:rsidRDefault="00B6177B" w:rsidP="007C3A56">
            <w:pPr>
              <w:spacing w:after="0"/>
              <w:rPr>
                <w:rFonts w:eastAsia="Times New Roman" w:cs="Times New Roman"/>
                <w:sz w:val="20"/>
                <w:szCs w:val="20"/>
              </w:rPr>
            </w:pPr>
            <w:r>
              <w:rPr>
                <w:rFonts w:eastAsia="Times New Roman" w:cs="Times New Roman"/>
                <w:sz w:val="20"/>
                <w:szCs w:val="20"/>
              </w:rPr>
              <w:t>No prior corticosteroid or immunosuppressive drug</w:t>
            </w:r>
          </w:p>
        </w:tc>
        <w:tc>
          <w:tcPr>
            <w:tcW w:w="1276" w:type="dxa"/>
            <w:tcBorders>
              <w:top w:val="nil"/>
              <w:left w:val="nil"/>
              <w:bottom w:val="single" w:sz="4" w:space="0" w:color="auto"/>
              <w:right w:val="single" w:sz="4" w:space="0" w:color="auto"/>
            </w:tcBorders>
            <w:shd w:val="clear" w:color="auto" w:fill="auto"/>
            <w:noWrap/>
            <w:vAlign w:val="center"/>
            <w:hideMark/>
          </w:tcPr>
          <w:p w14:paraId="5C147B42" w14:textId="187046CB"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17</w:t>
            </w:r>
          </w:p>
        </w:tc>
        <w:tc>
          <w:tcPr>
            <w:tcW w:w="1559" w:type="dxa"/>
            <w:tcBorders>
              <w:top w:val="nil"/>
              <w:left w:val="nil"/>
              <w:bottom w:val="single" w:sz="4" w:space="0" w:color="auto"/>
              <w:right w:val="single" w:sz="4" w:space="0" w:color="auto"/>
            </w:tcBorders>
            <w:shd w:val="clear" w:color="auto" w:fill="auto"/>
            <w:noWrap/>
            <w:vAlign w:val="center"/>
            <w:hideMark/>
          </w:tcPr>
          <w:p w14:paraId="18C9859F" w14:textId="77777777" w:rsidR="00B6177B" w:rsidRPr="00B6177B" w:rsidRDefault="00B6177B" w:rsidP="00764825">
            <w:pPr>
              <w:spacing w:after="0"/>
              <w:jc w:val="center"/>
              <w:rPr>
                <w:rFonts w:eastAsia="Times New Roman" w:cs="Times New Roman"/>
                <w:sz w:val="20"/>
                <w:szCs w:val="20"/>
              </w:rPr>
            </w:pPr>
            <w:r w:rsidRPr="00B6177B">
              <w:rPr>
                <w:rFonts w:eastAsia="Times New Roman" w:cs="Times New Roman"/>
                <w:sz w:val="20"/>
                <w:szCs w:val="20"/>
              </w:rPr>
              <w:t>1.2%</w:t>
            </w:r>
          </w:p>
        </w:tc>
      </w:tr>
      <w:tr w:rsidR="00B6177B" w:rsidRPr="00B6177B" w14:paraId="5F05B086" w14:textId="77777777" w:rsidTr="007C3A56">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5B4B33C8" w14:textId="77777777" w:rsidR="00B6177B" w:rsidRPr="007C3A56" w:rsidRDefault="00B6177B" w:rsidP="007C3A56">
            <w:pPr>
              <w:spacing w:after="0"/>
              <w:rPr>
                <w:rFonts w:eastAsia="Times New Roman" w:cs="Times New Roman"/>
                <w:b/>
                <w:sz w:val="20"/>
                <w:szCs w:val="20"/>
              </w:rPr>
            </w:pPr>
            <w:r w:rsidRPr="007C3A56">
              <w:rPr>
                <w:rFonts w:eastAsia="Times New Roman" w:cs="Times New Roman"/>
                <w:b/>
                <w:sz w:val="20"/>
                <w:szCs w:val="20"/>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6F0E56CC" w14:textId="2D17C1ED" w:rsidR="00B6177B" w:rsidRPr="007C3A56" w:rsidRDefault="00B6177B" w:rsidP="00764825">
            <w:pPr>
              <w:spacing w:after="0"/>
              <w:jc w:val="center"/>
              <w:rPr>
                <w:rFonts w:eastAsia="Times New Roman" w:cs="Times New Roman"/>
                <w:b/>
                <w:sz w:val="20"/>
                <w:szCs w:val="20"/>
              </w:rPr>
            </w:pPr>
            <w:r w:rsidRPr="007C3A56">
              <w:rPr>
                <w:rFonts w:eastAsia="Times New Roman" w:cs="Times New Roman"/>
                <w:b/>
                <w:sz w:val="20"/>
                <w:szCs w:val="20"/>
              </w:rPr>
              <w:t>1,373</w:t>
            </w:r>
          </w:p>
        </w:tc>
        <w:tc>
          <w:tcPr>
            <w:tcW w:w="1559" w:type="dxa"/>
            <w:tcBorders>
              <w:top w:val="nil"/>
              <w:left w:val="nil"/>
              <w:bottom w:val="single" w:sz="4" w:space="0" w:color="auto"/>
              <w:right w:val="single" w:sz="4" w:space="0" w:color="auto"/>
            </w:tcBorders>
            <w:shd w:val="clear" w:color="auto" w:fill="auto"/>
            <w:noWrap/>
            <w:vAlign w:val="center"/>
            <w:hideMark/>
          </w:tcPr>
          <w:p w14:paraId="1424B378" w14:textId="77777777" w:rsidR="00B6177B" w:rsidRPr="007C3A56" w:rsidRDefault="00B6177B" w:rsidP="00764825">
            <w:pPr>
              <w:spacing w:after="0"/>
              <w:jc w:val="center"/>
              <w:rPr>
                <w:rFonts w:eastAsia="Times New Roman" w:cs="Times New Roman"/>
                <w:b/>
                <w:sz w:val="20"/>
                <w:szCs w:val="20"/>
              </w:rPr>
            </w:pPr>
            <w:r w:rsidRPr="007C3A56">
              <w:rPr>
                <w:rFonts w:eastAsia="Times New Roman" w:cs="Times New Roman"/>
                <w:b/>
                <w:sz w:val="20"/>
                <w:szCs w:val="20"/>
              </w:rPr>
              <w:t>100.0%</w:t>
            </w:r>
          </w:p>
        </w:tc>
      </w:tr>
    </w:tbl>
    <w:p w14:paraId="63E1CAB1" w14:textId="4860BED4" w:rsidR="00057027" w:rsidRPr="00DE2854" w:rsidRDefault="00E2644D" w:rsidP="002E2CB1">
      <w:pPr>
        <w:rPr>
          <w:sz w:val="20"/>
          <w:szCs w:val="20"/>
        </w:rPr>
      </w:pPr>
      <w:r w:rsidRPr="00E2644D">
        <w:rPr>
          <w:sz w:val="20"/>
          <w:szCs w:val="20"/>
        </w:rPr>
        <w:t>Source: DHS prescriptions database. Accessed on 13 April 2017</w:t>
      </w:r>
      <w:r>
        <w:rPr>
          <w:sz w:val="20"/>
          <w:szCs w:val="20"/>
        </w:rPr>
        <w:t>.</w:t>
      </w:r>
    </w:p>
    <w:p w14:paraId="4EF64574" w14:textId="5D6317ED" w:rsidR="001C0992" w:rsidRDefault="00FD47FC" w:rsidP="002E2CB1">
      <w:pPr>
        <w:rPr>
          <w:u w:val="single"/>
        </w:rPr>
      </w:pPr>
      <w:r>
        <w:rPr>
          <w:u w:val="single"/>
        </w:rPr>
        <w:t>Paediatric Crohn disease</w:t>
      </w:r>
    </w:p>
    <w:p w14:paraId="7DF29CF3" w14:textId="3FD5A1C1" w:rsidR="00954E03" w:rsidRPr="008040D7" w:rsidRDefault="00EA4312" w:rsidP="002E2CB1">
      <w:r>
        <w:t xml:space="preserve">A low proportion of patients first supplied a </w:t>
      </w:r>
      <w:r w:rsidR="002F559B">
        <w:t>bDMD</w:t>
      </w:r>
      <w:r>
        <w:t xml:space="preserve"> for moderate to severe paediatric Crohn disease in 2016 did not have a prior R/PBS supply of a corticosteroid or immunosuppressive therapy (Table</w:t>
      </w:r>
      <w:r w:rsidR="0081730D">
        <w:t xml:space="preserve"> 6</w:t>
      </w:r>
      <w:r>
        <w:t>).</w:t>
      </w:r>
    </w:p>
    <w:p w14:paraId="02AA6E3C" w14:textId="77777777" w:rsidR="00872FFC" w:rsidRDefault="00872FFC">
      <w:pPr>
        <w:spacing w:line="276" w:lineRule="auto"/>
        <w:rPr>
          <w:b/>
        </w:rPr>
      </w:pPr>
      <w:r>
        <w:rPr>
          <w:b/>
        </w:rPr>
        <w:br w:type="page"/>
      </w:r>
    </w:p>
    <w:p w14:paraId="2974D692" w14:textId="2403277E" w:rsidR="00E8550D" w:rsidRDefault="0081730D" w:rsidP="000E501E">
      <w:pPr>
        <w:spacing w:before="200" w:after="20"/>
        <w:rPr>
          <w:b/>
        </w:rPr>
      </w:pPr>
      <w:r>
        <w:rPr>
          <w:b/>
        </w:rPr>
        <w:lastRenderedPageBreak/>
        <w:t>Table 6</w:t>
      </w:r>
      <w:r w:rsidR="00954E03" w:rsidRPr="00731076">
        <w:rPr>
          <w:b/>
        </w:rPr>
        <w:t xml:space="preserve">: </w:t>
      </w:r>
      <w:r w:rsidR="00954E03">
        <w:rPr>
          <w:b/>
        </w:rPr>
        <w:t xml:space="preserve">Prior therapy supplied to patients with paediatric Crohn disease who first initiated on a </w:t>
      </w:r>
      <w:r w:rsidR="002F559B">
        <w:rPr>
          <w:b/>
        </w:rPr>
        <w:t>bDMD</w:t>
      </w:r>
      <w:r w:rsidR="00954E03">
        <w:rPr>
          <w:b/>
        </w:rPr>
        <w:t xml:space="preserve"> in 2016 </w:t>
      </w:r>
    </w:p>
    <w:tbl>
      <w:tblPr>
        <w:tblW w:w="7386" w:type="dxa"/>
        <w:tblInd w:w="93" w:type="dxa"/>
        <w:tblLook w:val="04A0" w:firstRow="1" w:lastRow="0" w:firstColumn="1" w:lastColumn="0" w:noHBand="0" w:noVBand="1"/>
      </w:tblPr>
      <w:tblGrid>
        <w:gridCol w:w="4551"/>
        <w:gridCol w:w="1276"/>
        <w:gridCol w:w="1559"/>
      </w:tblGrid>
      <w:tr w:rsidR="00E8550D" w:rsidRPr="00E8550D" w14:paraId="6117DAF2" w14:textId="77777777" w:rsidTr="000E501E">
        <w:trPr>
          <w:trHeight w:val="300"/>
        </w:trPr>
        <w:tc>
          <w:tcPr>
            <w:tcW w:w="4551" w:type="dxa"/>
            <w:tcBorders>
              <w:top w:val="nil"/>
              <w:left w:val="nil"/>
              <w:bottom w:val="nil"/>
              <w:right w:val="nil"/>
            </w:tcBorders>
            <w:shd w:val="clear" w:color="auto" w:fill="auto"/>
            <w:noWrap/>
            <w:vAlign w:val="bottom"/>
            <w:hideMark/>
          </w:tcPr>
          <w:p w14:paraId="71DCD5B5" w14:textId="77777777" w:rsidR="00E8550D" w:rsidRPr="00E8550D" w:rsidRDefault="00E8550D" w:rsidP="00E8550D">
            <w:pPr>
              <w:spacing w:after="0"/>
              <w:rPr>
                <w:rFonts w:ascii="Calibri" w:eastAsia="Times New Roman" w:hAnsi="Calibri"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FF756B" w14:textId="0669AB57" w:rsidR="00E8550D" w:rsidRPr="00E8550D" w:rsidRDefault="003C5CA7" w:rsidP="000E501E">
            <w:pPr>
              <w:spacing w:after="0"/>
              <w:jc w:val="center"/>
              <w:rPr>
                <w:rFonts w:ascii="Calibri" w:eastAsia="Times New Roman" w:hAnsi="Calibri" w:cs="Times New Roman"/>
                <w:b/>
                <w:bCs/>
                <w:sz w:val="20"/>
                <w:szCs w:val="20"/>
              </w:rPr>
            </w:pPr>
            <w:r>
              <w:rPr>
                <w:rFonts w:ascii="Calibri" w:eastAsia="Times New Roman" w:hAnsi="Calibri" w:cs="Times New Roman"/>
                <w:b/>
                <w:bCs/>
                <w:sz w:val="20"/>
                <w:szCs w:val="20"/>
              </w:rPr>
              <w:t>Patients</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485CAB" w14:textId="77777777" w:rsidR="00E8550D" w:rsidRPr="00E8550D" w:rsidRDefault="00E8550D" w:rsidP="000E501E">
            <w:pPr>
              <w:spacing w:after="0"/>
              <w:jc w:val="center"/>
              <w:rPr>
                <w:rFonts w:ascii="Calibri" w:eastAsia="Times New Roman" w:hAnsi="Calibri" w:cs="Times New Roman"/>
                <w:b/>
                <w:bCs/>
                <w:sz w:val="20"/>
                <w:szCs w:val="20"/>
              </w:rPr>
            </w:pPr>
            <w:r w:rsidRPr="00E8550D">
              <w:rPr>
                <w:rFonts w:ascii="Calibri" w:eastAsia="Times New Roman" w:hAnsi="Calibri" w:cs="Times New Roman"/>
                <w:b/>
                <w:bCs/>
                <w:sz w:val="20"/>
                <w:szCs w:val="20"/>
              </w:rPr>
              <w:t>Proportion</w:t>
            </w:r>
          </w:p>
        </w:tc>
      </w:tr>
      <w:tr w:rsidR="00E8550D" w:rsidRPr="00E8550D" w14:paraId="7DC15B4A" w14:textId="77777777" w:rsidTr="000E501E">
        <w:trPr>
          <w:trHeight w:val="30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7530C" w14:textId="27F64DE9" w:rsidR="00E8550D" w:rsidRPr="00E8550D" w:rsidRDefault="00E8550D" w:rsidP="000E501E">
            <w:pPr>
              <w:spacing w:after="0"/>
              <w:rPr>
                <w:rFonts w:ascii="Calibri" w:eastAsia="Times New Roman" w:hAnsi="Calibri" w:cs="Times New Roman"/>
                <w:sz w:val="20"/>
                <w:szCs w:val="20"/>
              </w:rPr>
            </w:pPr>
            <w:r w:rsidRPr="00E8550D">
              <w:rPr>
                <w:rFonts w:eastAsia="Times New Roman" w:cs="Times New Roman"/>
                <w:sz w:val="20"/>
                <w:szCs w:val="20"/>
              </w:rPr>
              <w:t>Got a corticosteroid</w:t>
            </w:r>
            <w:r w:rsidR="003C5CA7">
              <w:rPr>
                <w:rFonts w:eastAsia="Times New Roman" w:cs="Times New Roman"/>
                <w:sz w:val="20"/>
                <w:szCs w:val="20"/>
              </w:rPr>
              <w:t xml:space="preserve"> and </w:t>
            </w:r>
            <w:r w:rsidRPr="00E8550D">
              <w:rPr>
                <w:rFonts w:eastAsia="Times New Roman" w:cs="Times New Roman"/>
                <w:sz w:val="20"/>
                <w:szCs w:val="20"/>
              </w:rPr>
              <w:t>immunosuppressive drug</w:t>
            </w:r>
          </w:p>
        </w:tc>
        <w:tc>
          <w:tcPr>
            <w:tcW w:w="1276" w:type="dxa"/>
            <w:tcBorders>
              <w:top w:val="nil"/>
              <w:left w:val="nil"/>
              <w:bottom w:val="single" w:sz="4" w:space="0" w:color="auto"/>
              <w:right w:val="single" w:sz="4" w:space="0" w:color="auto"/>
            </w:tcBorders>
            <w:shd w:val="clear" w:color="auto" w:fill="auto"/>
            <w:noWrap/>
            <w:vAlign w:val="center"/>
            <w:hideMark/>
          </w:tcPr>
          <w:p w14:paraId="4479EB18" w14:textId="3651553C"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143CDB9A" w14:textId="77777777"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72.5%</w:t>
            </w:r>
          </w:p>
        </w:tc>
      </w:tr>
      <w:tr w:rsidR="00E8550D" w:rsidRPr="00E8550D" w14:paraId="5591499D" w14:textId="77777777" w:rsidTr="000E501E">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7DD8167F" w14:textId="2F17B04C" w:rsidR="00E8550D" w:rsidRPr="00E8550D" w:rsidRDefault="00E8550D" w:rsidP="000E501E">
            <w:pPr>
              <w:spacing w:after="0"/>
              <w:rPr>
                <w:rFonts w:ascii="Calibri" w:eastAsia="Times New Roman" w:hAnsi="Calibri" w:cs="Times New Roman"/>
                <w:sz w:val="20"/>
                <w:szCs w:val="20"/>
              </w:rPr>
            </w:pPr>
            <w:r w:rsidRPr="00E8550D">
              <w:rPr>
                <w:rFonts w:eastAsia="Times New Roman" w:cs="Times New Roman"/>
                <w:sz w:val="20"/>
                <w:szCs w:val="20"/>
              </w:rPr>
              <w:t>Got a corticosteroid</w:t>
            </w:r>
            <w:r w:rsidR="003C5CA7">
              <w:rPr>
                <w:rFonts w:eastAsia="Times New Roman" w:cs="Times New Roman"/>
                <w:sz w:val="20"/>
                <w:szCs w:val="20"/>
              </w:rPr>
              <w:t xml:space="preserve"> only</w:t>
            </w:r>
          </w:p>
        </w:tc>
        <w:tc>
          <w:tcPr>
            <w:tcW w:w="1276" w:type="dxa"/>
            <w:tcBorders>
              <w:top w:val="nil"/>
              <w:left w:val="nil"/>
              <w:bottom w:val="single" w:sz="4" w:space="0" w:color="auto"/>
              <w:right w:val="single" w:sz="4" w:space="0" w:color="auto"/>
            </w:tcBorders>
            <w:shd w:val="clear" w:color="auto" w:fill="auto"/>
            <w:noWrap/>
            <w:vAlign w:val="center"/>
            <w:hideMark/>
          </w:tcPr>
          <w:p w14:paraId="65E406A3" w14:textId="4B986287"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19</w:t>
            </w:r>
          </w:p>
        </w:tc>
        <w:tc>
          <w:tcPr>
            <w:tcW w:w="1559" w:type="dxa"/>
            <w:tcBorders>
              <w:top w:val="nil"/>
              <w:left w:val="nil"/>
              <w:bottom w:val="single" w:sz="4" w:space="0" w:color="auto"/>
              <w:right w:val="single" w:sz="4" w:space="0" w:color="auto"/>
            </w:tcBorders>
            <w:shd w:val="clear" w:color="auto" w:fill="auto"/>
            <w:noWrap/>
            <w:vAlign w:val="center"/>
            <w:hideMark/>
          </w:tcPr>
          <w:p w14:paraId="77DF88D5" w14:textId="77777777"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5.7%</w:t>
            </w:r>
          </w:p>
        </w:tc>
      </w:tr>
      <w:tr w:rsidR="00E8550D" w:rsidRPr="00E8550D" w14:paraId="382A9A44" w14:textId="77777777" w:rsidTr="000E501E">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41C1FE00" w14:textId="3AD3267B" w:rsidR="00E8550D" w:rsidRPr="00E8550D" w:rsidRDefault="00E8550D" w:rsidP="000E501E">
            <w:pPr>
              <w:spacing w:after="0"/>
              <w:rPr>
                <w:rFonts w:ascii="Calibri" w:eastAsia="Times New Roman" w:hAnsi="Calibri" w:cs="Times New Roman"/>
                <w:sz w:val="20"/>
                <w:szCs w:val="20"/>
              </w:rPr>
            </w:pPr>
            <w:r w:rsidRPr="00E8550D">
              <w:rPr>
                <w:rFonts w:eastAsia="Times New Roman" w:cs="Times New Roman"/>
                <w:sz w:val="20"/>
                <w:szCs w:val="20"/>
              </w:rPr>
              <w:t>Got an i</w:t>
            </w:r>
            <w:r w:rsidRPr="00B6177B">
              <w:rPr>
                <w:rFonts w:eastAsia="Times New Roman" w:cs="Times New Roman"/>
                <w:sz w:val="20"/>
                <w:szCs w:val="20"/>
              </w:rPr>
              <w:t xml:space="preserve">mmunosuppressive drug </w:t>
            </w:r>
            <w:r w:rsidR="003C5CA7">
              <w:rPr>
                <w:rFonts w:eastAsia="Times New Roman" w:cs="Times New Roman"/>
                <w:sz w:val="20"/>
                <w:szCs w:val="20"/>
              </w:rPr>
              <w:t>only</w:t>
            </w:r>
          </w:p>
        </w:tc>
        <w:tc>
          <w:tcPr>
            <w:tcW w:w="1276" w:type="dxa"/>
            <w:tcBorders>
              <w:top w:val="nil"/>
              <w:left w:val="nil"/>
              <w:bottom w:val="single" w:sz="4" w:space="0" w:color="auto"/>
              <w:right w:val="single" w:sz="4" w:space="0" w:color="auto"/>
            </w:tcBorders>
            <w:shd w:val="clear" w:color="auto" w:fill="auto"/>
            <w:noWrap/>
            <w:vAlign w:val="center"/>
            <w:hideMark/>
          </w:tcPr>
          <w:p w14:paraId="4A3A2A67" w14:textId="562FFC89"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56</w:t>
            </w:r>
          </w:p>
        </w:tc>
        <w:tc>
          <w:tcPr>
            <w:tcW w:w="1559" w:type="dxa"/>
            <w:tcBorders>
              <w:top w:val="nil"/>
              <w:left w:val="nil"/>
              <w:bottom w:val="single" w:sz="4" w:space="0" w:color="auto"/>
              <w:right w:val="single" w:sz="4" w:space="0" w:color="auto"/>
            </w:tcBorders>
            <w:shd w:val="clear" w:color="auto" w:fill="auto"/>
            <w:noWrap/>
            <w:vAlign w:val="center"/>
            <w:hideMark/>
          </w:tcPr>
          <w:p w14:paraId="34799A8B" w14:textId="77777777"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16.9%</w:t>
            </w:r>
          </w:p>
        </w:tc>
      </w:tr>
      <w:tr w:rsidR="00E8550D" w:rsidRPr="00E8550D" w14:paraId="4E7FAA05" w14:textId="77777777" w:rsidTr="000E501E">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556CFF63" w14:textId="6CBE3A8A" w:rsidR="00E8550D" w:rsidRPr="00E8550D" w:rsidRDefault="00E8550D" w:rsidP="000E501E">
            <w:pPr>
              <w:spacing w:after="0"/>
              <w:rPr>
                <w:rFonts w:ascii="Calibri" w:eastAsia="Times New Roman" w:hAnsi="Calibri" w:cs="Times New Roman"/>
                <w:sz w:val="20"/>
                <w:szCs w:val="20"/>
              </w:rPr>
            </w:pPr>
            <w:r w:rsidRPr="00E8550D">
              <w:rPr>
                <w:rFonts w:eastAsia="Times New Roman" w:cs="Times New Roman"/>
                <w:sz w:val="20"/>
                <w:szCs w:val="20"/>
              </w:rPr>
              <w:t>No prior corticosteroid or immunosuppressive drug</w:t>
            </w:r>
          </w:p>
        </w:tc>
        <w:tc>
          <w:tcPr>
            <w:tcW w:w="1276" w:type="dxa"/>
            <w:tcBorders>
              <w:top w:val="nil"/>
              <w:left w:val="nil"/>
              <w:bottom w:val="single" w:sz="4" w:space="0" w:color="auto"/>
              <w:right w:val="single" w:sz="4" w:space="0" w:color="auto"/>
            </w:tcBorders>
            <w:shd w:val="clear" w:color="auto" w:fill="auto"/>
            <w:noWrap/>
            <w:vAlign w:val="center"/>
            <w:hideMark/>
          </w:tcPr>
          <w:p w14:paraId="518E6D41" w14:textId="06C81255"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16</w:t>
            </w:r>
          </w:p>
        </w:tc>
        <w:tc>
          <w:tcPr>
            <w:tcW w:w="1559" w:type="dxa"/>
            <w:tcBorders>
              <w:top w:val="nil"/>
              <w:left w:val="nil"/>
              <w:bottom w:val="single" w:sz="4" w:space="0" w:color="auto"/>
              <w:right w:val="single" w:sz="4" w:space="0" w:color="auto"/>
            </w:tcBorders>
            <w:shd w:val="clear" w:color="auto" w:fill="auto"/>
            <w:noWrap/>
            <w:vAlign w:val="center"/>
            <w:hideMark/>
          </w:tcPr>
          <w:p w14:paraId="60022CDB" w14:textId="77777777" w:rsidR="00E8550D" w:rsidRPr="00E8550D" w:rsidRDefault="00E8550D" w:rsidP="00764825">
            <w:pPr>
              <w:spacing w:after="0"/>
              <w:jc w:val="center"/>
              <w:rPr>
                <w:rFonts w:ascii="Calibri" w:eastAsia="Times New Roman" w:hAnsi="Calibri" w:cs="Times New Roman"/>
                <w:sz w:val="20"/>
                <w:szCs w:val="20"/>
              </w:rPr>
            </w:pPr>
            <w:r w:rsidRPr="00E8550D">
              <w:rPr>
                <w:rFonts w:ascii="Calibri" w:eastAsia="Times New Roman" w:hAnsi="Calibri" w:cs="Times New Roman"/>
                <w:sz w:val="20"/>
                <w:szCs w:val="20"/>
              </w:rPr>
              <w:t>4.8%</w:t>
            </w:r>
          </w:p>
        </w:tc>
      </w:tr>
      <w:tr w:rsidR="00E8550D" w:rsidRPr="00E8550D" w14:paraId="2AA374E3" w14:textId="77777777" w:rsidTr="000E501E">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12AA6134" w14:textId="696E7D46" w:rsidR="00E8550D" w:rsidRPr="000E501E" w:rsidRDefault="00E8550D" w:rsidP="000E501E">
            <w:pPr>
              <w:spacing w:after="0"/>
              <w:rPr>
                <w:rFonts w:ascii="Calibri" w:eastAsia="Times New Roman" w:hAnsi="Calibri" w:cs="Times New Roman"/>
                <w:b/>
                <w:sz w:val="20"/>
                <w:szCs w:val="20"/>
              </w:rPr>
            </w:pPr>
            <w:r w:rsidRPr="000E501E">
              <w:rPr>
                <w:rFonts w:eastAsia="Times New Roman" w:cs="Times New Roman"/>
                <w:b/>
                <w:sz w:val="20"/>
                <w:szCs w:val="20"/>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D5FC422" w14:textId="2F21D4B3" w:rsidR="00E8550D" w:rsidRPr="000E501E" w:rsidRDefault="00E8550D" w:rsidP="00764825">
            <w:pPr>
              <w:spacing w:after="0"/>
              <w:jc w:val="center"/>
              <w:rPr>
                <w:rFonts w:ascii="Calibri" w:eastAsia="Times New Roman" w:hAnsi="Calibri" w:cs="Times New Roman"/>
                <w:b/>
                <w:sz w:val="20"/>
                <w:szCs w:val="20"/>
              </w:rPr>
            </w:pPr>
            <w:r w:rsidRPr="000E501E">
              <w:rPr>
                <w:rFonts w:ascii="Calibri" w:eastAsia="Times New Roman" w:hAnsi="Calibri" w:cs="Times New Roman"/>
                <w:b/>
                <w:sz w:val="20"/>
                <w:szCs w:val="20"/>
              </w:rPr>
              <w:t>331</w:t>
            </w:r>
          </w:p>
        </w:tc>
        <w:tc>
          <w:tcPr>
            <w:tcW w:w="1559" w:type="dxa"/>
            <w:tcBorders>
              <w:top w:val="nil"/>
              <w:left w:val="nil"/>
              <w:bottom w:val="single" w:sz="4" w:space="0" w:color="auto"/>
              <w:right w:val="single" w:sz="4" w:space="0" w:color="auto"/>
            </w:tcBorders>
            <w:shd w:val="clear" w:color="auto" w:fill="auto"/>
            <w:noWrap/>
            <w:vAlign w:val="center"/>
            <w:hideMark/>
          </w:tcPr>
          <w:p w14:paraId="4DF427B0" w14:textId="77777777" w:rsidR="00E8550D" w:rsidRPr="000E501E" w:rsidRDefault="00E8550D" w:rsidP="00764825">
            <w:pPr>
              <w:spacing w:after="0"/>
              <w:jc w:val="center"/>
              <w:rPr>
                <w:rFonts w:ascii="Calibri" w:eastAsia="Times New Roman" w:hAnsi="Calibri" w:cs="Times New Roman"/>
                <w:b/>
                <w:sz w:val="20"/>
                <w:szCs w:val="20"/>
              </w:rPr>
            </w:pPr>
            <w:r w:rsidRPr="000E501E">
              <w:rPr>
                <w:rFonts w:ascii="Calibri" w:eastAsia="Times New Roman" w:hAnsi="Calibri" w:cs="Times New Roman"/>
                <w:b/>
                <w:sz w:val="20"/>
                <w:szCs w:val="20"/>
              </w:rPr>
              <w:t>100.0%</w:t>
            </w:r>
          </w:p>
        </w:tc>
      </w:tr>
    </w:tbl>
    <w:p w14:paraId="5037631B" w14:textId="77777777" w:rsidR="00E2644D" w:rsidRDefault="00E2644D" w:rsidP="00E2644D">
      <w:pPr>
        <w:rPr>
          <w:sz w:val="20"/>
          <w:szCs w:val="20"/>
        </w:rPr>
      </w:pPr>
      <w:r w:rsidRPr="00E2644D">
        <w:rPr>
          <w:sz w:val="20"/>
          <w:szCs w:val="20"/>
        </w:rPr>
        <w:t>Source: DHS prescriptions database. Accessed on 13 April 2017</w:t>
      </w:r>
      <w:r>
        <w:rPr>
          <w:sz w:val="20"/>
          <w:szCs w:val="20"/>
        </w:rPr>
        <w:t>.</w:t>
      </w:r>
    </w:p>
    <w:p w14:paraId="3EB6DE1D" w14:textId="737BEA1F" w:rsidR="00DC5552" w:rsidRPr="00EF647B" w:rsidRDefault="00DC5552" w:rsidP="00DC5552">
      <w:pPr>
        <w:rPr>
          <w:b/>
          <w:i/>
        </w:rPr>
      </w:pPr>
      <w:r>
        <w:rPr>
          <w:b/>
          <w:i/>
        </w:rPr>
        <w:t xml:space="preserve">Patients on adalimumab switching indications from severe </w:t>
      </w:r>
      <w:r w:rsidR="00ED4EBC">
        <w:rPr>
          <w:b/>
          <w:i/>
        </w:rPr>
        <w:t>a</w:t>
      </w:r>
      <w:r>
        <w:rPr>
          <w:b/>
          <w:i/>
        </w:rPr>
        <w:t>dult to the paediatric</w:t>
      </w:r>
      <w:r w:rsidR="00EF058A">
        <w:rPr>
          <w:b/>
          <w:i/>
        </w:rPr>
        <w:t xml:space="preserve"> listing</w:t>
      </w:r>
      <w:r>
        <w:rPr>
          <w:b/>
          <w:i/>
        </w:rPr>
        <w:t xml:space="preserve"> </w:t>
      </w:r>
    </w:p>
    <w:p w14:paraId="392B8981" w14:textId="48BA9F8A" w:rsidR="00DC5552" w:rsidRDefault="00325314" w:rsidP="00E2644D">
      <w:r>
        <w:t>Before the listing of adalimumab for severe refractory Crohn disease in children and adolescents from August 2015</w:t>
      </w:r>
      <w:r w:rsidR="0069212A">
        <w:t>,</w:t>
      </w:r>
      <w:r>
        <w:t xml:space="preserve"> only a small number of patients less than 18 years of age </w:t>
      </w:r>
      <w:r w:rsidR="0069212A">
        <w:t>were supplied</w:t>
      </w:r>
      <w:r>
        <w:t xml:space="preserve"> adalimumab</w:t>
      </w:r>
      <w:r w:rsidR="0069212A">
        <w:t xml:space="preserve"> under the</w:t>
      </w:r>
      <w:r>
        <w:t xml:space="preserve"> adult severe refractory Crohn </w:t>
      </w:r>
      <w:r w:rsidR="0069212A">
        <w:t>disease listing</w:t>
      </w:r>
      <w:r w:rsidR="008B1015">
        <w:t xml:space="preserve">. </w:t>
      </w:r>
      <w:r w:rsidR="0069212A">
        <w:t xml:space="preserve">Between 2008 to 2016, the annual number of patients less than 18 years of age supplied adalimumab through its adult </w:t>
      </w:r>
      <w:r w:rsidR="00E046A7">
        <w:t xml:space="preserve">severe refractory </w:t>
      </w:r>
      <w:r w:rsidR="0069212A">
        <w:t>Crohn listing ranged from 4 to 23.</w:t>
      </w:r>
    </w:p>
    <w:p w14:paraId="5646FE0B" w14:textId="49F335EE" w:rsidR="00DC5552" w:rsidRDefault="00D45CA9" w:rsidP="00E2644D">
      <w:r>
        <w:t xml:space="preserve">Following adalimumab’s listing </w:t>
      </w:r>
      <w:r w:rsidR="00D22BAC">
        <w:t>for paediatric Crohn dise</w:t>
      </w:r>
      <w:r w:rsidR="00724E18">
        <w:t>a</w:t>
      </w:r>
      <w:r w:rsidR="00D22BAC">
        <w:t xml:space="preserve">se </w:t>
      </w:r>
      <w:r>
        <w:t>in August 2015, a small proportion of patients switched from the adult Crohn listing to</w:t>
      </w:r>
      <w:r w:rsidR="009C08A5">
        <w:t xml:space="preserve"> the paediatric listing (Table</w:t>
      </w:r>
      <w:r w:rsidR="00ED4EBC">
        <w:t> </w:t>
      </w:r>
      <w:r w:rsidR="009C08A5">
        <w:t>7</w:t>
      </w:r>
      <w:r>
        <w:t xml:space="preserve">). </w:t>
      </w:r>
      <w:r w:rsidR="00B93637">
        <w:t>Of these, only 26% and 16% in years 2015 and 2016 respectively were less than 18 years of age. This suggests that the change in indication was mostly from an incorrect entry of the PBS item code rather than from children and adolescents transitioning to the paediatric listing when it became available.</w:t>
      </w:r>
    </w:p>
    <w:p w14:paraId="5CC23141" w14:textId="0231E1C2" w:rsidR="00C364B3" w:rsidRPr="00C364B3" w:rsidRDefault="00C364B3" w:rsidP="00764825">
      <w:pPr>
        <w:spacing w:before="200" w:after="20"/>
      </w:pPr>
      <w:r>
        <w:rPr>
          <w:b/>
        </w:rPr>
        <w:t>Ta</w:t>
      </w:r>
      <w:r w:rsidR="009C08A5">
        <w:rPr>
          <w:b/>
        </w:rPr>
        <w:t>ble 7</w:t>
      </w:r>
      <w:r w:rsidRPr="00731076">
        <w:rPr>
          <w:b/>
        </w:rPr>
        <w:t xml:space="preserve">: </w:t>
      </w:r>
      <w:r>
        <w:rPr>
          <w:b/>
        </w:rPr>
        <w:t xml:space="preserve">Proportion of patients </w:t>
      </w:r>
      <w:r w:rsidR="00BE3BBD">
        <w:rPr>
          <w:b/>
        </w:rPr>
        <w:t>supplied adalimumab who switched</w:t>
      </w:r>
      <w:r>
        <w:rPr>
          <w:b/>
        </w:rPr>
        <w:t xml:space="preserve"> from </w:t>
      </w:r>
      <w:r w:rsidR="00BE3BBD">
        <w:rPr>
          <w:b/>
        </w:rPr>
        <w:t>the severe adult listing to the paediatric listing</w:t>
      </w:r>
      <w:r>
        <w:fldChar w:fldCharType="begin"/>
      </w:r>
      <w:r>
        <w:instrText xml:space="preserve"> LINK </w:instrText>
      </w:r>
      <w:r w:rsidR="00ED4EBC">
        <w:instrText xml:space="preserve">Excel.Sheet.12 "\\\\central.health\\DFSGroupData\\Sites\\CO1\\CO\\PBD\\PEB\\EVAL\\DUSC\\DUSC Database and other utilisation data\\Data Requests\\Requests 2017\\D1008 - Crohn review June 2017\\Report figures and tables_6APR2017.xlsx" "DRUG SEQ REV 2!R4C7:R16C9" </w:instrText>
      </w:r>
      <w:r>
        <w:instrText xml:space="preserve">\a \f 4 \h  \* MERGEFORMAT </w:instrText>
      </w:r>
      <w:r>
        <w:fldChar w:fldCharType="end"/>
      </w:r>
    </w:p>
    <w:tbl>
      <w:tblPr>
        <w:tblW w:w="8440" w:type="dxa"/>
        <w:tblInd w:w="93" w:type="dxa"/>
        <w:tblLook w:val="04A0" w:firstRow="1" w:lastRow="0" w:firstColumn="1" w:lastColumn="0" w:noHBand="0" w:noVBand="1"/>
      </w:tblPr>
      <w:tblGrid>
        <w:gridCol w:w="6520"/>
        <w:gridCol w:w="960"/>
        <w:gridCol w:w="960"/>
      </w:tblGrid>
      <w:tr w:rsidR="00AF3FA2" w14:paraId="4C99C06D" w14:textId="77777777" w:rsidTr="006C68E9">
        <w:trPr>
          <w:trHeight w:val="283"/>
        </w:trPr>
        <w:tc>
          <w:tcPr>
            <w:tcW w:w="6520" w:type="dxa"/>
            <w:tcBorders>
              <w:top w:val="nil"/>
              <w:left w:val="nil"/>
              <w:bottom w:val="single" w:sz="4" w:space="0" w:color="auto"/>
              <w:right w:val="nil"/>
            </w:tcBorders>
            <w:shd w:val="clear" w:color="auto" w:fill="auto"/>
            <w:noWrap/>
            <w:vAlign w:val="bottom"/>
            <w:hideMark/>
          </w:tcPr>
          <w:p w14:paraId="21F973A2" w14:textId="77777777" w:rsidR="00AF3FA2" w:rsidRPr="00AF3FA2" w:rsidRDefault="00AF3FA2" w:rsidP="006C68E9">
            <w:pPr>
              <w:spacing w:after="0"/>
              <w:rPr>
                <w:rFonts w:ascii="Calibri" w:hAnsi="Calibri"/>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D5D5C8" w14:textId="77777777" w:rsidR="00AF3FA2" w:rsidRPr="00764825" w:rsidRDefault="00AF3FA2" w:rsidP="006C68E9">
            <w:pPr>
              <w:spacing w:after="0"/>
              <w:jc w:val="center"/>
              <w:rPr>
                <w:rFonts w:ascii="Calibri" w:hAnsi="Calibri"/>
                <w:b/>
                <w:sz w:val="20"/>
                <w:szCs w:val="20"/>
              </w:rPr>
            </w:pPr>
            <w:r w:rsidRPr="00764825">
              <w:rPr>
                <w:rFonts w:ascii="Calibri" w:hAnsi="Calibri"/>
                <w:b/>
                <w:sz w:val="20"/>
                <w:szCs w:val="20"/>
              </w:rPr>
              <w:t>2015</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7758E3" w14:textId="77777777" w:rsidR="00AF3FA2" w:rsidRPr="00764825" w:rsidRDefault="00AF3FA2" w:rsidP="006C68E9">
            <w:pPr>
              <w:spacing w:after="0"/>
              <w:jc w:val="center"/>
              <w:rPr>
                <w:rFonts w:ascii="Calibri" w:hAnsi="Calibri"/>
                <w:b/>
                <w:sz w:val="20"/>
                <w:szCs w:val="20"/>
              </w:rPr>
            </w:pPr>
            <w:r w:rsidRPr="00764825">
              <w:rPr>
                <w:rFonts w:ascii="Calibri" w:hAnsi="Calibri"/>
                <w:b/>
                <w:sz w:val="20"/>
                <w:szCs w:val="20"/>
              </w:rPr>
              <w:t>2016</w:t>
            </w:r>
          </w:p>
        </w:tc>
      </w:tr>
      <w:tr w:rsidR="00AF3FA2" w14:paraId="406FFEA2" w14:textId="77777777" w:rsidTr="00764825">
        <w:trPr>
          <w:trHeight w:val="283"/>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7E5C5" w14:textId="77777777" w:rsidR="00AF3FA2" w:rsidRPr="00AF3FA2" w:rsidRDefault="00AF3FA2" w:rsidP="00764825">
            <w:pPr>
              <w:spacing w:after="0"/>
              <w:rPr>
                <w:rFonts w:ascii="Calibri" w:hAnsi="Calibri"/>
                <w:sz w:val="20"/>
                <w:szCs w:val="20"/>
              </w:rPr>
            </w:pPr>
            <w:r w:rsidRPr="00AF3FA2">
              <w:rPr>
                <w:rFonts w:ascii="Calibri" w:hAnsi="Calibri"/>
                <w:sz w:val="20"/>
                <w:szCs w:val="20"/>
              </w:rPr>
              <w:t>Prevalent patients with severe adult Crohn disease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9E0B" w14:textId="776AE2C3" w:rsidR="00AF3FA2" w:rsidRPr="00AF3FA2" w:rsidRDefault="00AF3FA2" w:rsidP="00764825">
            <w:pPr>
              <w:spacing w:after="0"/>
              <w:jc w:val="center"/>
              <w:rPr>
                <w:rFonts w:ascii="Calibri" w:hAnsi="Calibri"/>
                <w:sz w:val="20"/>
                <w:szCs w:val="20"/>
              </w:rPr>
            </w:pPr>
            <w:r w:rsidRPr="00AF3FA2">
              <w:rPr>
                <w:rFonts w:ascii="Calibri" w:hAnsi="Calibri"/>
                <w:sz w:val="20"/>
                <w:szCs w:val="20"/>
              </w:rPr>
              <w:t>3</w:t>
            </w:r>
            <w:r w:rsidR="00424593">
              <w:rPr>
                <w:rFonts w:ascii="Calibri" w:hAnsi="Calibri"/>
                <w:sz w:val="20"/>
                <w:szCs w:val="20"/>
              </w:rPr>
              <w:t>,</w:t>
            </w:r>
            <w:r w:rsidRPr="00AF3FA2">
              <w:rPr>
                <w:rFonts w:ascii="Calibri" w:hAnsi="Calibri"/>
                <w:sz w:val="20"/>
                <w:szCs w:val="20"/>
              </w:rPr>
              <w:t>733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9DFEB" w14:textId="5A8A4122" w:rsidR="00AF3FA2" w:rsidRPr="00AF3FA2" w:rsidRDefault="00AF3FA2" w:rsidP="00764825">
            <w:pPr>
              <w:spacing w:after="0"/>
              <w:jc w:val="center"/>
              <w:rPr>
                <w:rFonts w:ascii="Calibri" w:hAnsi="Calibri"/>
                <w:sz w:val="20"/>
                <w:szCs w:val="20"/>
              </w:rPr>
            </w:pPr>
            <w:r w:rsidRPr="00AF3FA2">
              <w:rPr>
                <w:rFonts w:ascii="Calibri" w:hAnsi="Calibri"/>
                <w:sz w:val="20"/>
                <w:szCs w:val="20"/>
              </w:rPr>
              <w:t>4</w:t>
            </w:r>
            <w:r w:rsidR="00424593">
              <w:rPr>
                <w:rFonts w:ascii="Calibri" w:hAnsi="Calibri"/>
                <w:sz w:val="20"/>
                <w:szCs w:val="20"/>
              </w:rPr>
              <w:t>,</w:t>
            </w:r>
            <w:r w:rsidRPr="00AF3FA2">
              <w:rPr>
                <w:rFonts w:ascii="Calibri" w:hAnsi="Calibri"/>
                <w:sz w:val="20"/>
                <w:szCs w:val="20"/>
              </w:rPr>
              <w:t>168</w:t>
            </w:r>
          </w:p>
        </w:tc>
      </w:tr>
      <w:tr w:rsidR="00AF3FA2" w14:paraId="10C43E84" w14:textId="77777777" w:rsidTr="00764825">
        <w:trPr>
          <w:trHeight w:val="283"/>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5289" w14:textId="77777777" w:rsidR="00AF3FA2" w:rsidRPr="00AF3FA2" w:rsidRDefault="00AF3FA2" w:rsidP="00764825">
            <w:pPr>
              <w:spacing w:after="0"/>
              <w:rPr>
                <w:rFonts w:ascii="Calibri" w:hAnsi="Calibri"/>
                <w:sz w:val="20"/>
                <w:szCs w:val="20"/>
              </w:rPr>
            </w:pPr>
            <w:r w:rsidRPr="00AF3FA2">
              <w:rPr>
                <w:rFonts w:ascii="Calibri" w:hAnsi="Calibri"/>
                <w:sz w:val="20"/>
                <w:szCs w:val="20"/>
              </w:rPr>
              <w:t>Number of patients switching from the adult to paediatric listing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D328C3" w14:textId="77777777" w:rsidR="00AF3FA2" w:rsidRPr="00AF3FA2" w:rsidRDefault="00AF3FA2" w:rsidP="00764825">
            <w:pPr>
              <w:spacing w:after="0"/>
              <w:jc w:val="center"/>
              <w:rPr>
                <w:rFonts w:ascii="Calibri" w:hAnsi="Calibri"/>
                <w:sz w:val="20"/>
                <w:szCs w:val="20"/>
              </w:rPr>
            </w:pPr>
            <w:r w:rsidRPr="00AF3FA2">
              <w:rPr>
                <w:rFonts w:ascii="Calibri" w:hAnsi="Calibri"/>
                <w:sz w:val="20"/>
                <w:szCs w:val="20"/>
              </w:rPr>
              <w:t>98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CF9643" w14:textId="77777777" w:rsidR="00AF3FA2" w:rsidRPr="00AF3FA2" w:rsidRDefault="00AF3FA2" w:rsidP="00764825">
            <w:pPr>
              <w:spacing w:after="0"/>
              <w:jc w:val="center"/>
              <w:rPr>
                <w:rFonts w:ascii="Calibri" w:hAnsi="Calibri"/>
                <w:sz w:val="20"/>
                <w:szCs w:val="20"/>
              </w:rPr>
            </w:pPr>
            <w:r w:rsidRPr="00AF3FA2">
              <w:rPr>
                <w:rFonts w:ascii="Calibri" w:hAnsi="Calibri"/>
                <w:sz w:val="20"/>
                <w:szCs w:val="20"/>
              </w:rPr>
              <w:t>350</w:t>
            </w:r>
          </w:p>
        </w:tc>
      </w:tr>
      <w:tr w:rsidR="00AF3FA2" w14:paraId="2DD8849D" w14:textId="77777777" w:rsidTr="00764825">
        <w:trPr>
          <w:trHeight w:val="283"/>
        </w:trPr>
        <w:tc>
          <w:tcPr>
            <w:tcW w:w="6520" w:type="dxa"/>
            <w:tcBorders>
              <w:top w:val="nil"/>
              <w:left w:val="single" w:sz="4" w:space="0" w:color="auto"/>
              <w:bottom w:val="single" w:sz="4" w:space="0" w:color="auto"/>
              <w:right w:val="single" w:sz="4" w:space="0" w:color="auto"/>
            </w:tcBorders>
            <w:shd w:val="clear" w:color="auto" w:fill="auto"/>
            <w:noWrap/>
            <w:vAlign w:val="center"/>
            <w:hideMark/>
          </w:tcPr>
          <w:p w14:paraId="539F0DF1" w14:textId="518A7464" w:rsidR="00AF3FA2" w:rsidRPr="00AF3FA2" w:rsidRDefault="00AF3FA2" w:rsidP="00764825">
            <w:pPr>
              <w:spacing w:after="0"/>
              <w:rPr>
                <w:rFonts w:ascii="Calibri" w:hAnsi="Calibri"/>
                <w:sz w:val="20"/>
                <w:szCs w:val="20"/>
              </w:rPr>
            </w:pPr>
            <w:r w:rsidRPr="00AF3FA2">
              <w:rPr>
                <w:rFonts w:ascii="Calibri" w:hAnsi="Calibri"/>
                <w:sz w:val="20"/>
                <w:szCs w:val="20"/>
              </w:rPr>
              <w:t xml:space="preserve">Proportion of patients switching </w:t>
            </w:r>
            <w:r w:rsidR="00B72A29">
              <w:rPr>
                <w:rFonts w:ascii="Calibri" w:hAnsi="Calibri"/>
                <w:sz w:val="20"/>
                <w:szCs w:val="20"/>
              </w:rPr>
              <w:t>listings</w:t>
            </w:r>
          </w:p>
        </w:tc>
        <w:tc>
          <w:tcPr>
            <w:tcW w:w="960" w:type="dxa"/>
            <w:tcBorders>
              <w:top w:val="nil"/>
              <w:left w:val="nil"/>
              <w:bottom w:val="single" w:sz="4" w:space="0" w:color="auto"/>
              <w:right w:val="single" w:sz="4" w:space="0" w:color="auto"/>
            </w:tcBorders>
            <w:shd w:val="clear" w:color="auto" w:fill="auto"/>
            <w:noWrap/>
            <w:vAlign w:val="center"/>
            <w:hideMark/>
          </w:tcPr>
          <w:p w14:paraId="17E6B50A" w14:textId="77777777" w:rsidR="00AF3FA2" w:rsidRPr="00AF3FA2" w:rsidRDefault="00AF3FA2" w:rsidP="00764825">
            <w:pPr>
              <w:spacing w:after="0"/>
              <w:jc w:val="center"/>
              <w:rPr>
                <w:rFonts w:ascii="Calibri" w:hAnsi="Calibri"/>
                <w:sz w:val="20"/>
                <w:szCs w:val="20"/>
              </w:rPr>
            </w:pPr>
            <w:r w:rsidRPr="00AF3FA2">
              <w:rPr>
                <w:rFonts w:ascii="Calibri" w:hAnsi="Calibri"/>
                <w:sz w:val="20"/>
                <w:szCs w:val="20"/>
              </w:rPr>
              <w:t>2.6%</w:t>
            </w:r>
          </w:p>
        </w:tc>
        <w:tc>
          <w:tcPr>
            <w:tcW w:w="960" w:type="dxa"/>
            <w:tcBorders>
              <w:top w:val="nil"/>
              <w:left w:val="nil"/>
              <w:bottom w:val="single" w:sz="4" w:space="0" w:color="auto"/>
              <w:right w:val="single" w:sz="4" w:space="0" w:color="auto"/>
            </w:tcBorders>
            <w:shd w:val="clear" w:color="auto" w:fill="auto"/>
            <w:noWrap/>
            <w:vAlign w:val="center"/>
            <w:hideMark/>
          </w:tcPr>
          <w:p w14:paraId="08BBF5FC" w14:textId="77777777" w:rsidR="00AF3FA2" w:rsidRPr="00AF3FA2" w:rsidRDefault="00AF3FA2" w:rsidP="00764825">
            <w:pPr>
              <w:spacing w:after="0"/>
              <w:jc w:val="center"/>
              <w:rPr>
                <w:rFonts w:ascii="Calibri" w:hAnsi="Calibri"/>
                <w:sz w:val="20"/>
                <w:szCs w:val="20"/>
              </w:rPr>
            </w:pPr>
            <w:r w:rsidRPr="00AF3FA2">
              <w:rPr>
                <w:rFonts w:ascii="Calibri" w:hAnsi="Calibri"/>
                <w:sz w:val="20"/>
                <w:szCs w:val="20"/>
              </w:rPr>
              <w:t>8.4%</w:t>
            </w:r>
          </w:p>
        </w:tc>
      </w:tr>
    </w:tbl>
    <w:p w14:paraId="2A2308BD" w14:textId="37228FA4" w:rsidR="0016662B" w:rsidRPr="003353FE" w:rsidRDefault="00DC5552" w:rsidP="002E2CB1">
      <w:pPr>
        <w:rPr>
          <w:sz w:val="20"/>
          <w:szCs w:val="20"/>
        </w:rPr>
      </w:pPr>
      <w:r w:rsidRPr="00E2644D">
        <w:rPr>
          <w:sz w:val="20"/>
          <w:szCs w:val="20"/>
        </w:rPr>
        <w:t>Source: DHS prescriptions database. Accessed on 13 April 2017</w:t>
      </w:r>
      <w:r>
        <w:rPr>
          <w:sz w:val="20"/>
          <w:szCs w:val="20"/>
        </w:rPr>
        <w:t>.</w:t>
      </w:r>
    </w:p>
    <w:p w14:paraId="4F8723A6" w14:textId="3B792516" w:rsidR="00736041" w:rsidRDefault="001B5D37" w:rsidP="00FE645A">
      <w:pPr>
        <w:pStyle w:val="Heading3"/>
      </w:pPr>
      <w:r w:rsidRPr="005E22C2">
        <w:t xml:space="preserve">Analysis </w:t>
      </w:r>
      <w:r w:rsidR="00481108" w:rsidRPr="005E22C2">
        <w:t xml:space="preserve">of </w:t>
      </w:r>
      <w:r w:rsidR="0063631C">
        <w:t>e</w:t>
      </w:r>
      <w:r w:rsidR="00736041" w:rsidRPr="005E22C2">
        <w:t>xpenditure</w:t>
      </w:r>
    </w:p>
    <w:p w14:paraId="055885E2" w14:textId="3551E37A" w:rsidR="004D4F46" w:rsidRDefault="00E556D1" w:rsidP="004C73E2">
      <w:r>
        <w:t xml:space="preserve">Commonwealth expenditure on </w:t>
      </w:r>
      <w:r w:rsidR="002F559B">
        <w:t>bDMDs</w:t>
      </w:r>
      <w:r>
        <w:t xml:space="preserve"> to treat Crohn disease is su</w:t>
      </w:r>
      <w:r w:rsidR="006B1B08">
        <w:t>mmarised in Table 8</w:t>
      </w:r>
      <w:r w:rsidR="00E66486">
        <w:t xml:space="preserve"> and </w:t>
      </w:r>
      <w:r w:rsidR="0014015E">
        <w:t xml:space="preserve">Figure </w:t>
      </w:r>
      <w:r w:rsidR="00265BFE">
        <w:t>8</w:t>
      </w:r>
      <w:r>
        <w:t>.</w:t>
      </w:r>
      <w:r w:rsidR="00CF6187">
        <w:t xml:space="preserve"> There was a steady growth in expenditure from 2007 to 2015. A 16% statutory price reduction was applied to infliximab’s listings from 1 December 2015. F</w:t>
      </w:r>
      <w:r w:rsidR="004D4F46">
        <w:t xml:space="preserve">ollowing </w:t>
      </w:r>
      <w:r w:rsidR="00CF6187">
        <w:t xml:space="preserve">this, there was a 10.5% reduction in the annual growth in the total expenditure on </w:t>
      </w:r>
      <w:r w:rsidR="002F559B">
        <w:t>bDMDs</w:t>
      </w:r>
      <w:r w:rsidR="00CF6187">
        <w:t xml:space="preserve"> for Crohn diseas</w:t>
      </w:r>
      <w:r w:rsidR="006B1B08">
        <w:t>e between 2015 and 2016 (Table 8</w:t>
      </w:r>
      <w:r w:rsidR="00CF6187">
        <w:t>)</w:t>
      </w:r>
      <w:r w:rsidR="004D4F46">
        <w:t>.</w:t>
      </w:r>
    </w:p>
    <w:p w14:paraId="1D968CAD" w14:textId="77777777" w:rsidR="006C68E9" w:rsidRDefault="006C68E9">
      <w:pPr>
        <w:spacing w:line="276" w:lineRule="auto"/>
        <w:rPr>
          <w:b/>
        </w:rPr>
      </w:pPr>
      <w:r>
        <w:rPr>
          <w:b/>
        </w:rPr>
        <w:br w:type="page"/>
      </w:r>
    </w:p>
    <w:p w14:paraId="3014EAAC" w14:textId="5CEEB203" w:rsidR="004D4F46" w:rsidRPr="004C73E2" w:rsidRDefault="00D82B30" w:rsidP="006506B8">
      <w:pPr>
        <w:spacing w:before="200" w:after="20"/>
      </w:pPr>
      <w:r>
        <w:rPr>
          <w:b/>
        </w:rPr>
        <w:lastRenderedPageBreak/>
        <w:t>Tab</w:t>
      </w:r>
      <w:r w:rsidR="006B1B08">
        <w:rPr>
          <w:b/>
        </w:rPr>
        <w:t>le 8</w:t>
      </w:r>
      <w:r w:rsidR="003F77C8" w:rsidRPr="00731076">
        <w:rPr>
          <w:b/>
        </w:rPr>
        <w:t xml:space="preserve">: </w:t>
      </w:r>
      <w:r w:rsidR="003C1CB5">
        <w:rPr>
          <w:b/>
        </w:rPr>
        <w:t>Expenditure</w:t>
      </w:r>
      <w:r w:rsidR="003F77C8">
        <w:rPr>
          <w:b/>
        </w:rPr>
        <w:t xml:space="preserve"> on </w:t>
      </w:r>
      <w:r w:rsidR="002F559B">
        <w:rPr>
          <w:b/>
        </w:rPr>
        <w:t>bDMD</w:t>
      </w:r>
      <w:r w:rsidR="003F77C8">
        <w:rPr>
          <w:b/>
        </w:rPr>
        <w:t xml:space="preserve"> therapy for </w:t>
      </w:r>
      <w:r w:rsidR="003C1CB5">
        <w:rPr>
          <w:b/>
        </w:rPr>
        <w:t>Crohn disease by indication and by drug</w:t>
      </w:r>
    </w:p>
    <w:tbl>
      <w:tblPr>
        <w:tblW w:w="9513" w:type="dxa"/>
        <w:tblInd w:w="93" w:type="dxa"/>
        <w:tblLayout w:type="fixed"/>
        <w:tblLook w:val="04A0" w:firstRow="1" w:lastRow="0" w:firstColumn="1" w:lastColumn="0" w:noHBand="0" w:noVBand="1"/>
      </w:tblPr>
      <w:tblGrid>
        <w:gridCol w:w="724"/>
        <w:gridCol w:w="1134"/>
        <w:gridCol w:w="1134"/>
        <w:gridCol w:w="992"/>
        <w:gridCol w:w="1061"/>
        <w:gridCol w:w="1066"/>
        <w:gridCol w:w="1134"/>
        <w:gridCol w:w="992"/>
        <w:gridCol w:w="1276"/>
      </w:tblGrid>
      <w:tr w:rsidR="00E24F19" w:rsidRPr="00E24F19" w14:paraId="12317458" w14:textId="77777777" w:rsidTr="006C68E9">
        <w:trPr>
          <w:trHeight w:val="519"/>
        </w:trPr>
        <w:tc>
          <w:tcPr>
            <w:tcW w:w="724" w:type="dxa"/>
            <w:tcBorders>
              <w:top w:val="nil"/>
              <w:left w:val="nil"/>
              <w:bottom w:val="nil"/>
              <w:right w:val="nil"/>
            </w:tcBorders>
            <w:shd w:val="clear" w:color="auto" w:fill="auto"/>
            <w:vAlign w:val="center"/>
            <w:hideMark/>
          </w:tcPr>
          <w:p w14:paraId="2D2A2F21" w14:textId="77777777" w:rsidR="00E24F19" w:rsidRPr="00E24F19" w:rsidRDefault="00E24F19" w:rsidP="00E24F19">
            <w:pPr>
              <w:spacing w:after="0"/>
              <w:jc w:val="right"/>
              <w:rPr>
                <w:rFonts w:eastAsia="Times New Roman" w:cs="Times New Roman"/>
                <w:color w:val="000000"/>
                <w:sz w:val="18"/>
                <w:szCs w:val="18"/>
              </w:rPr>
            </w:pPr>
          </w:p>
        </w:tc>
        <w:tc>
          <w:tcPr>
            <w:tcW w:w="3260"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465EC833" w14:textId="77777777" w:rsidR="00E24F19" w:rsidRP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Severe Crohn</w:t>
            </w:r>
          </w:p>
        </w:tc>
        <w:tc>
          <w:tcPr>
            <w:tcW w:w="2127" w:type="dxa"/>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3D3323BF" w14:textId="77777777" w:rsidR="00E24F19" w:rsidRP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Fistulising Crohn</w:t>
            </w:r>
          </w:p>
        </w:tc>
        <w:tc>
          <w:tcPr>
            <w:tcW w:w="2126" w:type="dxa"/>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6DEF1A58" w14:textId="77777777" w:rsidR="00E24F19" w:rsidRP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Paediatric Crohn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9158E90"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Total Crohn disease</w:t>
            </w:r>
          </w:p>
          <w:p w14:paraId="769319D0" w14:textId="77777777" w:rsidR="004F2A0D" w:rsidRDefault="004F2A0D" w:rsidP="00E24F19">
            <w:pPr>
              <w:spacing w:after="0"/>
              <w:jc w:val="center"/>
              <w:rPr>
                <w:rFonts w:eastAsia="Times New Roman" w:cs="Times New Roman"/>
                <w:b/>
                <w:bCs/>
                <w:color w:val="000000"/>
                <w:sz w:val="18"/>
                <w:szCs w:val="18"/>
              </w:rPr>
            </w:pPr>
          </w:p>
          <w:p w14:paraId="08D29882" w14:textId="7B0B2B8F"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r>
      <w:tr w:rsidR="00E24F19" w:rsidRPr="00E24F19" w14:paraId="4010DDFC" w14:textId="77777777" w:rsidTr="006C68E9">
        <w:trPr>
          <w:trHeight w:val="519"/>
        </w:trPr>
        <w:tc>
          <w:tcPr>
            <w:tcW w:w="724" w:type="dxa"/>
            <w:tcBorders>
              <w:top w:val="nil"/>
              <w:left w:val="nil"/>
              <w:bottom w:val="nil"/>
              <w:right w:val="nil"/>
            </w:tcBorders>
            <w:shd w:val="clear" w:color="auto" w:fill="auto"/>
            <w:vAlign w:val="center"/>
            <w:hideMark/>
          </w:tcPr>
          <w:p w14:paraId="0E490187" w14:textId="77777777" w:rsidR="00E24F19" w:rsidRPr="00E24F19" w:rsidRDefault="00E24F19" w:rsidP="00E24F19">
            <w:pPr>
              <w:spacing w:after="0"/>
              <w:jc w:val="right"/>
              <w:rPr>
                <w:rFonts w:eastAsia="Times New Roman" w:cs="Times New Roman"/>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6860D5" w14:textId="77777777" w:rsidR="00E24F19" w:rsidRDefault="00E24F19"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Inflix</w:t>
            </w:r>
          </w:p>
          <w:p w14:paraId="21CC5C4E" w14:textId="3657BB8C"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14:paraId="705EE142"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Adal</w:t>
            </w:r>
          </w:p>
          <w:p w14:paraId="37FDE205" w14:textId="02F4921F"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7B966D60"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Vedol</w:t>
            </w:r>
          </w:p>
          <w:p w14:paraId="21D4B0CF" w14:textId="54EEEBF8"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1061" w:type="dxa"/>
            <w:tcBorders>
              <w:top w:val="nil"/>
              <w:left w:val="nil"/>
              <w:bottom w:val="single" w:sz="4" w:space="0" w:color="auto"/>
              <w:right w:val="single" w:sz="4" w:space="0" w:color="auto"/>
            </w:tcBorders>
            <w:shd w:val="clear" w:color="auto" w:fill="BFBFBF" w:themeFill="background1" w:themeFillShade="BF"/>
            <w:vAlign w:val="center"/>
            <w:hideMark/>
          </w:tcPr>
          <w:p w14:paraId="6CDF6FAB"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Inflix</w:t>
            </w:r>
          </w:p>
          <w:p w14:paraId="778FCA9D" w14:textId="52CBE683"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1066" w:type="dxa"/>
            <w:tcBorders>
              <w:top w:val="nil"/>
              <w:left w:val="nil"/>
              <w:bottom w:val="single" w:sz="4" w:space="0" w:color="auto"/>
              <w:right w:val="single" w:sz="4" w:space="0" w:color="auto"/>
            </w:tcBorders>
            <w:shd w:val="clear" w:color="auto" w:fill="BFBFBF" w:themeFill="background1" w:themeFillShade="BF"/>
            <w:vAlign w:val="center"/>
            <w:hideMark/>
          </w:tcPr>
          <w:p w14:paraId="7356FEF0"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Adal</w:t>
            </w:r>
          </w:p>
          <w:p w14:paraId="625CEBEF" w14:textId="6B7F24BC"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14:paraId="07B1418D"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Inflix</w:t>
            </w:r>
          </w:p>
          <w:p w14:paraId="21D41641" w14:textId="362C7E70"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992" w:type="dxa"/>
            <w:tcBorders>
              <w:top w:val="nil"/>
              <w:left w:val="nil"/>
              <w:bottom w:val="single" w:sz="4" w:space="0" w:color="auto"/>
              <w:right w:val="nil"/>
            </w:tcBorders>
            <w:shd w:val="clear" w:color="auto" w:fill="BFBFBF" w:themeFill="background1" w:themeFillShade="BF"/>
            <w:vAlign w:val="center"/>
            <w:hideMark/>
          </w:tcPr>
          <w:p w14:paraId="63FB5BB6" w14:textId="77777777" w:rsidR="00E24F19" w:rsidRDefault="00E24F19" w:rsidP="00E24F19">
            <w:pPr>
              <w:spacing w:after="0"/>
              <w:jc w:val="center"/>
              <w:rPr>
                <w:rFonts w:eastAsia="Times New Roman" w:cs="Times New Roman"/>
                <w:b/>
                <w:bCs/>
                <w:color w:val="000000"/>
                <w:sz w:val="18"/>
                <w:szCs w:val="18"/>
              </w:rPr>
            </w:pPr>
            <w:r w:rsidRPr="00E24F19">
              <w:rPr>
                <w:rFonts w:eastAsia="Times New Roman" w:cs="Times New Roman"/>
                <w:b/>
                <w:bCs/>
                <w:color w:val="000000"/>
                <w:sz w:val="18"/>
                <w:szCs w:val="18"/>
              </w:rPr>
              <w:t>Adal</w:t>
            </w:r>
          </w:p>
          <w:p w14:paraId="60667AB4" w14:textId="3CFA4AD4" w:rsidR="004F2A0D" w:rsidRPr="00E24F19" w:rsidRDefault="004F2A0D" w:rsidP="00E24F19">
            <w:pPr>
              <w:spacing w:after="0"/>
              <w:jc w:val="center"/>
              <w:rPr>
                <w:rFonts w:eastAsia="Times New Roman" w:cs="Times New Roman"/>
                <w:b/>
                <w:bCs/>
                <w:color w:val="000000"/>
                <w:sz w:val="18"/>
                <w:szCs w:val="18"/>
              </w:rPr>
            </w:pPr>
            <w:r>
              <w:rPr>
                <w:rFonts w:eastAsia="Times New Roman" w:cs="Times New Roman"/>
                <w:b/>
                <w:bCs/>
                <w:color w:val="000000"/>
                <w:sz w:val="18"/>
                <w:szCs w:val="18"/>
              </w:rPr>
              <w:t>($)</w:t>
            </w:r>
          </w:p>
        </w:tc>
        <w:tc>
          <w:tcPr>
            <w:tcW w:w="127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67E22FB" w14:textId="77777777" w:rsidR="00E24F19" w:rsidRPr="00E24F19" w:rsidRDefault="00E24F19" w:rsidP="00E24F19">
            <w:pPr>
              <w:spacing w:after="0"/>
              <w:rPr>
                <w:rFonts w:eastAsia="Times New Roman" w:cs="Times New Roman"/>
                <w:b/>
                <w:bCs/>
                <w:color w:val="000000"/>
                <w:sz w:val="18"/>
                <w:szCs w:val="18"/>
              </w:rPr>
            </w:pPr>
          </w:p>
        </w:tc>
      </w:tr>
      <w:tr w:rsidR="00E24F19" w:rsidRPr="00E24F19" w14:paraId="7D34DE5B" w14:textId="77777777" w:rsidTr="006506B8">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0EE7A"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2007</w:t>
            </w:r>
          </w:p>
        </w:tc>
        <w:tc>
          <w:tcPr>
            <w:tcW w:w="1134" w:type="dxa"/>
            <w:tcBorders>
              <w:top w:val="nil"/>
              <w:left w:val="nil"/>
              <w:bottom w:val="single" w:sz="4" w:space="0" w:color="auto"/>
              <w:right w:val="single" w:sz="4" w:space="0" w:color="auto"/>
            </w:tcBorders>
            <w:shd w:val="clear" w:color="auto" w:fill="auto"/>
            <w:vAlign w:val="center"/>
            <w:hideMark/>
          </w:tcPr>
          <w:p w14:paraId="2469A7AC" w14:textId="513D813C"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1,205,370</w:t>
            </w:r>
          </w:p>
        </w:tc>
        <w:tc>
          <w:tcPr>
            <w:tcW w:w="1134" w:type="dxa"/>
            <w:tcBorders>
              <w:top w:val="nil"/>
              <w:left w:val="nil"/>
              <w:bottom w:val="single" w:sz="4" w:space="0" w:color="auto"/>
              <w:right w:val="single" w:sz="4" w:space="0" w:color="auto"/>
            </w:tcBorders>
            <w:shd w:val="clear" w:color="000000" w:fill="F2F2F2"/>
            <w:vAlign w:val="center"/>
            <w:hideMark/>
          </w:tcPr>
          <w:p w14:paraId="045233CD" w14:textId="3F93BADB" w:rsidR="00E24F19" w:rsidRPr="00E24F19" w:rsidRDefault="00E24F19" w:rsidP="006506B8">
            <w:pPr>
              <w:spacing w:after="0"/>
              <w:jc w:val="center"/>
              <w:rPr>
                <w:rFonts w:eastAsia="Times New Roman" w:cs="Times New Roman"/>
                <w:color w:val="00000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14:paraId="6099E96E" w14:textId="21743828"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000000" w:fill="F2F2F2"/>
            <w:vAlign w:val="center"/>
            <w:hideMark/>
          </w:tcPr>
          <w:p w14:paraId="0B9D1661" w14:textId="029B0CC9" w:rsidR="00E24F19" w:rsidRPr="00E24F19" w:rsidRDefault="00E24F19" w:rsidP="006506B8">
            <w:pPr>
              <w:spacing w:after="0"/>
              <w:jc w:val="center"/>
              <w:rPr>
                <w:rFonts w:eastAsia="Times New Roman" w:cs="Times New Roman"/>
                <w:color w:val="000000"/>
                <w:sz w:val="18"/>
                <w:szCs w:val="18"/>
              </w:rPr>
            </w:pPr>
          </w:p>
        </w:tc>
        <w:tc>
          <w:tcPr>
            <w:tcW w:w="1066" w:type="dxa"/>
            <w:tcBorders>
              <w:top w:val="nil"/>
              <w:left w:val="nil"/>
              <w:bottom w:val="single" w:sz="4" w:space="0" w:color="auto"/>
              <w:right w:val="single" w:sz="4" w:space="0" w:color="auto"/>
            </w:tcBorders>
            <w:shd w:val="clear" w:color="000000" w:fill="F2F2F2"/>
            <w:vAlign w:val="center"/>
            <w:hideMark/>
          </w:tcPr>
          <w:p w14:paraId="24702C8E" w14:textId="11461B9E" w:rsidR="00E24F19" w:rsidRPr="00E24F19" w:rsidRDefault="00E24F19" w:rsidP="006506B8">
            <w:pPr>
              <w:spacing w:after="0"/>
              <w:jc w:val="center"/>
              <w:rPr>
                <w:rFonts w:eastAsia="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E6A0897" w14:textId="499E3067"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95,608</w:t>
            </w:r>
          </w:p>
        </w:tc>
        <w:tc>
          <w:tcPr>
            <w:tcW w:w="992" w:type="dxa"/>
            <w:tcBorders>
              <w:top w:val="nil"/>
              <w:left w:val="nil"/>
              <w:bottom w:val="single" w:sz="4" w:space="0" w:color="auto"/>
              <w:right w:val="single" w:sz="4" w:space="0" w:color="auto"/>
            </w:tcBorders>
            <w:shd w:val="clear" w:color="000000" w:fill="F2F2F2"/>
            <w:vAlign w:val="center"/>
            <w:hideMark/>
          </w:tcPr>
          <w:p w14:paraId="44D89439" w14:textId="54B3AC25"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3BB22DA" w14:textId="0BDFE14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1,300,978</w:t>
            </w:r>
          </w:p>
        </w:tc>
      </w:tr>
      <w:tr w:rsidR="00E24F19" w:rsidRPr="00E24F19" w14:paraId="45FEC232"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0434F1A"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2008</w:t>
            </w:r>
          </w:p>
        </w:tc>
        <w:tc>
          <w:tcPr>
            <w:tcW w:w="1134" w:type="dxa"/>
            <w:tcBorders>
              <w:top w:val="nil"/>
              <w:left w:val="nil"/>
              <w:bottom w:val="single" w:sz="4" w:space="0" w:color="auto"/>
              <w:right w:val="single" w:sz="4" w:space="0" w:color="auto"/>
            </w:tcBorders>
            <w:shd w:val="clear" w:color="auto" w:fill="auto"/>
            <w:vAlign w:val="center"/>
            <w:hideMark/>
          </w:tcPr>
          <w:p w14:paraId="613E96FF" w14:textId="26D258D4"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9,987,591</w:t>
            </w:r>
          </w:p>
        </w:tc>
        <w:tc>
          <w:tcPr>
            <w:tcW w:w="1134" w:type="dxa"/>
            <w:tcBorders>
              <w:top w:val="nil"/>
              <w:left w:val="nil"/>
              <w:bottom w:val="single" w:sz="4" w:space="0" w:color="auto"/>
              <w:right w:val="single" w:sz="4" w:space="0" w:color="auto"/>
            </w:tcBorders>
            <w:shd w:val="clear" w:color="auto" w:fill="auto"/>
            <w:vAlign w:val="center"/>
            <w:hideMark/>
          </w:tcPr>
          <w:p w14:paraId="3933ACE6" w14:textId="6EA69667"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4,186,920</w:t>
            </w:r>
          </w:p>
        </w:tc>
        <w:tc>
          <w:tcPr>
            <w:tcW w:w="992" w:type="dxa"/>
            <w:tcBorders>
              <w:top w:val="nil"/>
              <w:left w:val="nil"/>
              <w:bottom w:val="single" w:sz="4" w:space="0" w:color="auto"/>
              <w:right w:val="single" w:sz="4" w:space="0" w:color="auto"/>
            </w:tcBorders>
            <w:shd w:val="clear" w:color="000000" w:fill="F2F2F2"/>
            <w:vAlign w:val="center"/>
            <w:hideMark/>
          </w:tcPr>
          <w:p w14:paraId="0E7CBB7D" w14:textId="07E4E203"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000000" w:fill="F2F2F2"/>
            <w:vAlign w:val="center"/>
            <w:hideMark/>
          </w:tcPr>
          <w:p w14:paraId="62316C45" w14:textId="72BF327A" w:rsidR="00E24F19" w:rsidRPr="00E24F19" w:rsidRDefault="00E24F19" w:rsidP="006506B8">
            <w:pPr>
              <w:spacing w:after="0"/>
              <w:jc w:val="center"/>
              <w:rPr>
                <w:rFonts w:eastAsia="Times New Roman" w:cs="Times New Roman"/>
                <w:color w:val="000000"/>
                <w:sz w:val="18"/>
                <w:szCs w:val="18"/>
              </w:rPr>
            </w:pPr>
          </w:p>
        </w:tc>
        <w:tc>
          <w:tcPr>
            <w:tcW w:w="1066" w:type="dxa"/>
            <w:tcBorders>
              <w:top w:val="nil"/>
              <w:left w:val="nil"/>
              <w:bottom w:val="single" w:sz="4" w:space="0" w:color="auto"/>
              <w:right w:val="single" w:sz="4" w:space="0" w:color="auto"/>
            </w:tcBorders>
            <w:shd w:val="clear" w:color="000000" w:fill="F2F2F2"/>
            <w:vAlign w:val="center"/>
            <w:hideMark/>
          </w:tcPr>
          <w:p w14:paraId="1D13864F" w14:textId="2C0064AA" w:rsidR="00E24F19" w:rsidRPr="00E24F19" w:rsidRDefault="00E24F19" w:rsidP="006506B8">
            <w:pPr>
              <w:spacing w:after="0"/>
              <w:jc w:val="center"/>
              <w:rPr>
                <w:rFonts w:eastAsia="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114461D" w14:textId="26228847"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655,264</w:t>
            </w:r>
          </w:p>
        </w:tc>
        <w:tc>
          <w:tcPr>
            <w:tcW w:w="992" w:type="dxa"/>
            <w:tcBorders>
              <w:top w:val="nil"/>
              <w:left w:val="nil"/>
              <w:bottom w:val="single" w:sz="4" w:space="0" w:color="auto"/>
              <w:right w:val="single" w:sz="4" w:space="0" w:color="auto"/>
            </w:tcBorders>
            <w:shd w:val="clear" w:color="000000" w:fill="F2F2F2"/>
            <w:vAlign w:val="center"/>
            <w:hideMark/>
          </w:tcPr>
          <w:p w14:paraId="51D28FF7" w14:textId="15D2E051"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5E9D0DF" w14:textId="55F432B4"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14,829,775</w:t>
            </w:r>
          </w:p>
        </w:tc>
      </w:tr>
      <w:tr w:rsidR="00E24F19" w:rsidRPr="00E24F19" w14:paraId="0CB1F3BA"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6CC111"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2009</w:t>
            </w:r>
          </w:p>
        </w:tc>
        <w:tc>
          <w:tcPr>
            <w:tcW w:w="1134" w:type="dxa"/>
            <w:tcBorders>
              <w:top w:val="nil"/>
              <w:left w:val="nil"/>
              <w:bottom w:val="single" w:sz="4" w:space="0" w:color="auto"/>
              <w:right w:val="single" w:sz="4" w:space="0" w:color="auto"/>
            </w:tcBorders>
            <w:shd w:val="clear" w:color="auto" w:fill="auto"/>
            <w:vAlign w:val="center"/>
            <w:hideMark/>
          </w:tcPr>
          <w:p w14:paraId="3C379F43" w14:textId="144A14D6"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13,855,304</w:t>
            </w:r>
          </w:p>
        </w:tc>
        <w:tc>
          <w:tcPr>
            <w:tcW w:w="1134" w:type="dxa"/>
            <w:tcBorders>
              <w:top w:val="nil"/>
              <w:left w:val="nil"/>
              <w:bottom w:val="single" w:sz="4" w:space="0" w:color="auto"/>
              <w:right w:val="single" w:sz="4" w:space="0" w:color="auto"/>
            </w:tcBorders>
            <w:shd w:val="clear" w:color="auto" w:fill="auto"/>
            <w:vAlign w:val="center"/>
            <w:hideMark/>
          </w:tcPr>
          <w:p w14:paraId="3CE5B15F" w14:textId="790E095D"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19,822,719</w:t>
            </w:r>
          </w:p>
        </w:tc>
        <w:tc>
          <w:tcPr>
            <w:tcW w:w="992" w:type="dxa"/>
            <w:tcBorders>
              <w:top w:val="nil"/>
              <w:left w:val="nil"/>
              <w:bottom w:val="single" w:sz="4" w:space="0" w:color="auto"/>
              <w:right w:val="single" w:sz="4" w:space="0" w:color="auto"/>
            </w:tcBorders>
            <w:shd w:val="clear" w:color="000000" w:fill="F2F2F2"/>
            <w:vAlign w:val="center"/>
            <w:hideMark/>
          </w:tcPr>
          <w:p w14:paraId="52D24FCB" w14:textId="2A8A3AC2"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000000" w:fill="F2F2F2"/>
            <w:vAlign w:val="center"/>
            <w:hideMark/>
          </w:tcPr>
          <w:p w14:paraId="694C071E" w14:textId="13FCF5A0" w:rsidR="00E24F19" w:rsidRPr="00E24F19" w:rsidRDefault="00E24F19" w:rsidP="006506B8">
            <w:pPr>
              <w:spacing w:after="0"/>
              <w:jc w:val="center"/>
              <w:rPr>
                <w:rFonts w:eastAsia="Times New Roman" w:cs="Times New Roman"/>
                <w:color w:val="000000"/>
                <w:sz w:val="18"/>
                <w:szCs w:val="18"/>
              </w:rPr>
            </w:pPr>
          </w:p>
        </w:tc>
        <w:tc>
          <w:tcPr>
            <w:tcW w:w="1066" w:type="dxa"/>
            <w:tcBorders>
              <w:top w:val="nil"/>
              <w:left w:val="nil"/>
              <w:bottom w:val="single" w:sz="4" w:space="0" w:color="auto"/>
              <w:right w:val="single" w:sz="4" w:space="0" w:color="auto"/>
            </w:tcBorders>
            <w:shd w:val="clear" w:color="000000" w:fill="F2F2F2"/>
            <w:vAlign w:val="center"/>
            <w:hideMark/>
          </w:tcPr>
          <w:p w14:paraId="24BA0B14" w14:textId="6A67CA19" w:rsidR="00E24F19" w:rsidRPr="00E24F19" w:rsidRDefault="00E24F19" w:rsidP="006506B8">
            <w:pPr>
              <w:spacing w:after="0"/>
              <w:jc w:val="center"/>
              <w:rPr>
                <w:rFonts w:eastAsia="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047B770" w14:textId="2AC10C28"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1,278,383</w:t>
            </w:r>
          </w:p>
        </w:tc>
        <w:tc>
          <w:tcPr>
            <w:tcW w:w="992" w:type="dxa"/>
            <w:tcBorders>
              <w:top w:val="nil"/>
              <w:left w:val="nil"/>
              <w:bottom w:val="single" w:sz="4" w:space="0" w:color="auto"/>
              <w:right w:val="single" w:sz="4" w:space="0" w:color="auto"/>
            </w:tcBorders>
            <w:shd w:val="clear" w:color="000000" w:fill="F2F2F2"/>
            <w:vAlign w:val="center"/>
            <w:hideMark/>
          </w:tcPr>
          <w:p w14:paraId="2A550DDE" w14:textId="4AFC23A9"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C01D0BF" w14:textId="45F0EF06"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34,956,406</w:t>
            </w:r>
          </w:p>
        </w:tc>
      </w:tr>
      <w:tr w:rsidR="00E24F19" w:rsidRPr="00E24F19" w14:paraId="0E4A58DE"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DFCCDC"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2010</w:t>
            </w:r>
          </w:p>
        </w:tc>
        <w:tc>
          <w:tcPr>
            <w:tcW w:w="1134" w:type="dxa"/>
            <w:tcBorders>
              <w:top w:val="nil"/>
              <w:left w:val="nil"/>
              <w:bottom w:val="single" w:sz="4" w:space="0" w:color="auto"/>
              <w:right w:val="single" w:sz="4" w:space="0" w:color="auto"/>
            </w:tcBorders>
            <w:shd w:val="clear" w:color="auto" w:fill="auto"/>
            <w:vAlign w:val="center"/>
            <w:hideMark/>
          </w:tcPr>
          <w:p w14:paraId="21C2E6CB" w14:textId="470E90D8"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18,093,409</w:t>
            </w:r>
          </w:p>
        </w:tc>
        <w:tc>
          <w:tcPr>
            <w:tcW w:w="1134" w:type="dxa"/>
            <w:tcBorders>
              <w:top w:val="nil"/>
              <w:left w:val="nil"/>
              <w:bottom w:val="single" w:sz="4" w:space="0" w:color="auto"/>
              <w:right w:val="single" w:sz="4" w:space="0" w:color="auto"/>
            </w:tcBorders>
            <w:shd w:val="clear" w:color="auto" w:fill="auto"/>
            <w:vAlign w:val="center"/>
            <w:hideMark/>
          </w:tcPr>
          <w:p w14:paraId="4D1CCF8A" w14:textId="14D79C3E"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27,272,281</w:t>
            </w:r>
          </w:p>
        </w:tc>
        <w:tc>
          <w:tcPr>
            <w:tcW w:w="992" w:type="dxa"/>
            <w:tcBorders>
              <w:top w:val="nil"/>
              <w:left w:val="nil"/>
              <w:bottom w:val="single" w:sz="4" w:space="0" w:color="auto"/>
              <w:right w:val="single" w:sz="4" w:space="0" w:color="auto"/>
            </w:tcBorders>
            <w:shd w:val="clear" w:color="000000" w:fill="F2F2F2"/>
            <w:vAlign w:val="center"/>
            <w:hideMark/>
          </w:tcPr>
          <w:p w14:paraId="6552BA25" w14:textId="2E91ADF9"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31BC158D" w14:textId="25CBECD2"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1,225,010</w:t>
            </w:r>
          </w:p>
        </w:tc>
        <w:tc>
          <w:tcPr>
            <w:tcW w:w="1066" w:type="dxa"/>
            <w:tcBorders>
              <w:top w:val="nil"/>
              <w:left w:val="nil"/>
              <w:bottom w:val="single" w:sz="4" w:space="0" w:color="auto"/>
              <w:right w:val="single" w:sz="4" w:space="0" w:color="auto"/>
            </w:tcBorders>
            <w:shd w:val="clear" w:color="000000" w:fill="F2F2F2"/>
            <w:vAlign w:val="center"/>
            <w:hideMark/>
          </w:tcPr>
          <w:p w14:paraId="1793A295" w14:textId="1B48F315" w:rsidR="00E24F19" w:rsidRPr="00E24F19" w:rsidRDefault="00E24F19" w:rsidP="006506B8">
            <w:pPr>
              <w:spacing w:after="0"/>
              <w:jc w:val="center"/>
              <w:rPr>
                <w:rFonts w:eastAsia="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5D0F83C" w14:textId="58A22858"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2,277,511</w:t>
            </w:r>
          </w:p>
        </w:tc>
        <w:tc>
          <w:tcPr>
            <w:tcW w:w="992" w:type="dxa"/>
            <w:tcBorders>
              <w:top w:val="nil"/>
              <w:left w:val="nil"/>
              <w:bottom w:val="single" w:sz="4" w:space="0" w:color="auto"/>
              <w:right w:val="single" w:sz="4" w:space="0" w:color="auto"/>
            </w:tcBorders>
            <w:shd w:val="clear" w:color="000000" w:fill="F2F2F2"/>
            <w:vAlign w:val="center"/>
            <w:hideMark/>
          </w:tcPr>
          <w:p w14:paraId="0CCFE1ED" w14:textId="5FF2AF41"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E1B098E" w14:textId="7C3A310B"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48,868,211</w:t>
            </w:r>
          </w:p>
        </w:tc>
      </w:tr>
      <w:tr w:rsidR="00E24F19" w:rsidRPr="00E24F19" w14:paraId="5CCAD66E"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3FECAD"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2011</w:t>
            </w:r>
          </w:p>
        </w:tc>
        <w:tc>
          <w:tcPr>
            <w:tcW w:w="1134" w:type="dxa"/>
            <w:tcBorders>
              <w:top w:val="nil"/>
              <w:left w:val="nil"/>
              <w:bottom w:val="single" w:sz="4" w:space="0" w:color="auto"/>
              <w:right w:val="single" w:sz="4" w:space="0" w:color="auto"/>
            </w:tcBorders>
            <w:shd w:val="clear" w:color="auto" w:fill="auto"/>
            <w:vAlign w:val="center"/>
            <w:hideMark/>
          </w:tcPr>
          <w:p w14:paraId="10679340" w14:textId="5F786A6E"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22,461,247</w:t>
            </w:r>
          </w:p>
        </w:tc>
        <w:tc>
          <w:tcPr>
            <w:tcW w:w="1134" w:type="dxa"/>
            <w:tcBorders>
              <w:top w:val="nil"/>
              <w:left w:val="nil"/>
              <w:bottom w:val="single" w:sz="4" w:space="0" w:color="auto"/>
              <w:right w:val="single" w:sz="4" w:space="0" w:color="auto"/>
            </w:tcBorders>
            <w:shd w:val="clear" w:color="auto" w:fill="auto"/>
            <w:vAlign w:val="center"/>
            <w:hideMark/>
          </w:tcPr>
          <w:p w14:paraId="7088AF07" w14:textId="2997EC55"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34,234,197</w:t>
            </w:r>
          </w:p>
        </w:tc>
        <w:tc>
          <w:tcPr>
            <w:tcW w:w="992" w:type="dxa"/>
            <w:tcBorders>
              <w:top w:val="nil"/>
              <w:left w:val="nil"/>
              <w:bottom w:val="single" w:sz="4" w:space="0" w:color="auto"/>
              <w:right w:val="single" w:sz="4" w:space="0" w:color="auto"/>
            </w:tcBorders>
            <w:shd w:val="clear" w:color="000000" w:fill="F2F2F2"/>
            <w:vAlign w:val="center"/>
            <w:hideMark/>
          </w:tcPr>
          <w:p w14:paraId="46AF82E6" w14:textId="445241B6"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563D85D9" w14:textId="22AFABE0"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5,624,015</w:t>
            </w:r>
          </w:p>
        </w:tc>
        <w:tc>
          <w:tcPr>
            <w:tcW w:w="1066" w:type="dxa"/>
            <w:tcBorders>
              <w:top w:val="nil"/>
              <w:left w:val="nil"/>
              <w:bottom w:val="single" w:sz="4" w:space="0" w:color="auto"/>
              <w:right w:val="single" w:sz="4" w:space="0" w:color="auto"/>
            </w:tcBorders>
            <w:shd w:val="clear" w:color="auto" w:fill="auto"/>
            <w:vAlign w:val="center"/>
            <w:hideMark/>
          </w:tcPr>
          <w:p w14:paraId="1144BCF0" w14:textId="4861722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1,920,108</w:t>
            </w:r>
          </w:p>
        </w:tc>
        <w:tc>
          <w:tcPr>
            <w:tcW w:w="1134" w:type="dxa"/>
            <w:tcBorders>
              <w:top w:val="nil"/>
              <w:left w:val="nil"/>
              <w:bottom w:val="single" w:sz="4" w:space="0" w:color="auto"/>
              <w:right w:val="single" w:sz="4" w:space="0" w:color="auto"/>
            </w:tcBorders>
            <w:shd w:val="clear" w:color="auto" w:fill="auto"/>
            <w:vAlign w:val="center"/>
            <w:hideMark/>
          </w:tcPr>
          <w:p w14:paraId="1510F445" w14:textId="5D657B2A"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2,521,470</w:t>
            </w:r>
          </w:p>
        </w:tc>
        <w:tc>
          <w:tcPr>
            <w:tcW w:w="992" w:type="dxa"/>
            <w:tcBorders>
              <w:top w:val="nil"/>
              <w:left w:val="nil"/>
              <w:bottom w:val="single" w:sz="4" w:space="0" w:color="auto"/>
              <w:right w:val="single" w:sz="4" w:space="0" w:color="auto"/>
            </w:tcBorders>
            <w:shd w:val="clear" w:color="000000" w:fill="F2F2F2"/>
            <w:vAlign w:val="center"/>
            <w:hideMark/>
          </w:tcPr>
          <w:p w14:paraId="4677AD91" w14:textId="1932E628"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84A7DD9" w14:textId="50B45596"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66,761,037</w:t>
            </w:r>
          </w:p>
        </w:tc>
      </w:tr>
      <w:tr w:rsidR="00E24F19" w:rsidRPr="00E24F19" w14:paraId="1C550627"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C9129AD"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2012</w:t>
            </w:r>
          </w:p>
        </w:tc>
        <w:tc>
          <w:tcPr>
            <w:tcW w:w="1134" w:type="dxa"/>
            <w:tcBorders>
              <w:top w:val="nil"/>
              <w:left w:val="nil"/>
              <w:bottom w:val="single" w:sz="4" w:space="0" w:color="auto"/>
              <w:right w:val="single" w:sz="4" w:space="0" w:color="auto"/>
            </w:tcBorders>
            <w:shd w:val="clear" w:color="auto" w:fill="auto"/>
            <w:vAlign w:val="center"/>
            <w:hideMark/>
          </w:tcPr>
          <w:p w14:paraId="17F8CB62" w14:textId="31443927"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26,792,579</w:t>
            </w:r>
          </w:p>
        </w:tc>
        <w:tc>
          <w:tcPr>
            <w:tcW w:w="1134" w:type="dxa"/>
            <w:tcBorders>
              <w:top w:val="nil"/>
              <w:left w:val="nil"/>
              <w:bottom w:val="single" w:sz="4" w:space="0" w:color="auto"/>
              <w:right w:val="single" w:sz="4" w:space="0" w:color="auto"/>
            </w:tcBorders>
            <w:shd w:val="clear" w:color="auto" w:fill="auto"/>
            <w:vAlign w:val="center"/>
            <w:hideMark/>
          </w:tcPr>
          <w:p w14:paraId="3E9F39E8" w14:textId="215168F5"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40,998,386</w:t>
            </w:r>
          </w:p>
        </w:tc>
        <w:tc>
          <w:tcPr>
            <w:tcW w:w="992" w:type="dxa"/>
            <w:tcBorders>
              <w:top w:val="nil"/>
              <w:left w:val="nil"/>
              <w:bottom w:val="single" w:sz="4" w:space="0" w:color="auto"/>
              <w:right w:val="single" w:sz="4" w:space="0" w:color="auto"/>
            </w:tcBorders>
            <w:shd w:val="clear" w:color="000000" w:fill="F2F2F2"/>
            <w:vAlign w:val="center"/>
            <w:hideMark/>
          </w:tcPr>
          <w:p w14:paraId="7D7D41CF" w14:textId="4B344609"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49529BCF" w14:textId="2F6FA89A"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7,664,945</w:t>
            </w:r>
          </w:p>
        </w:tc>
        <w:tc>
          <w:tcPr>
            <w:tcW w:w="1066" w:type="dxa"/>
            <w:tcBorders>
              <w:top w:val="nil"/>
              <w:left w:val="nil"/>
              <w:bottom w:val="single" w:sz="4" w:space="0" w:color="auto"/>
              <w:right w:val="single" w:sz="4" w:space="0" w:color="auto"/>
            </w:tcBorders>
            <w:shd w:val="clear" w:color="auto" w:fill="auto"/>
            <w:vAlign w:val="center"/>
            <w:hideMark/>
          </w:tcPr>
          <w:p w14:paraId="0130268D" w14:textId="69A3F3E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6,392,210</w:t>
            </w:r>
          </w:p>
        </w:tc>
        <w:tc>
          <w:tcPr>
            <w:tcW w:w="1134" w:type="dxa"/>
            <w:tcBorders>
              <w:top w:val="nil"/>
              <w:left w:val="nil"/>
              <w:bottom w:val="single" w:sz="4" w:space="0" w:color="auto"/>
              <w:right w:val="single" w:sz="4" w:space="0" w:color="auto"/>
            </w:tcBorders>
            <w:shd w:val="clear" w:color="auto" w:fill="auto"/>
            <w:vAlign w:val="center"/>
            <w:hideMark/>
          </w:tcPr>
          <w:p w14:paraId="2F43943D" w14:textId="51D114EC"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3,080,502</w:t>
            </w:r>
          </w:p>
        </w:tc>
        <w:tc>
          <w:tcPr>
            <w:tcW w:w="992" w:type="dxa"/>
            <w:tcBorders>
              <w:top w:val="nil"/>
              <w:left w:val="nil"/>
              <w:bottom w:val="single" w:sz="4" w:space="0" w:color="auto"/>
              <w:right w:val="single" w:sz="4" w:space="0" w:color="auto"/>
            </w:tcBorders>
            <w:shd w:val="clear" w:color="000000" w:fill="F2F2F2"/>
            <w:vAlign w:val="center"/>
            <w:hideMark/>
          </w:tcPr>
          <w:p w14:paraId="4E9AB7A9" w14:textId="5D1C956C"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2084A906" w14:textId="2C9D3B75"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84,928,622</w:t>
            </w:r>
          </w:p>
        </w:tc>
      </w:tr>
      <w:tr w:rsidR="00E24F19" w:rsidRPr="00E24F19" w14:paraId="450ADA3A"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D9B7C6"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2013</w:t>
            </w:r>
          </w:p>
        </w:tc>
        <w:tc>
          <w:tcPr>
            <w:tcW w:w="1134" w:type="dxa"/>
            <w:tcBorders>
              <w:top w:val="nil"/>
              <w:left w:val="nil"/>
              <w:bottom w:val="single" w:sz="4" w:space="0" w:color="auto"/>
              <w:right w:val="single" w:sz="4" w:space="0" w:color="auto"/>
            </w:tcBorders>
            <w:shd w:val="clear" w:color="auto" w:fill="auto"/>
            <w:vAlign w:val="center"/>
            <w:hideMark/>
          </w:tcPr>
          <w:p w14:paraId="2F6BE3D9" w14:textId="26FECE93"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32,433,898</w:t>
            </w:r>
          </w:p>
        </w:tc>
        <w:tc>
          <w:tcPr>
            <w:tcW w:w="1134" w:type="dxa"/>
            <w:tcBorders>
              <w:top w:val="nil"/>
              <w:left w:val="nil"/>
              <w:bottom w:val="single" w:sz="4" w:space="0" w:color="auto"/>
              <w:right w:val="single" w:sz="4" w:space="0" w:color="auto"/>
            </w:tcBorders>
            <w:shd w:val="clear" w:color="auto" w:fill="auto"/>
            <w:vAlign w:val="center"/>
            <w:hideMark/>
          </w:tcPr>
          <w:p w14:paraId="5910C928" w14:textId="1847936E"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47,790,939</w:t>
            </w:r>
          </w:p>
        </w:tc>
        <w:tc>
          <w:tcPr>
            <w:tcW w:w="992" w:type="dxa"/>
            <w:tcBorders>
              <w:top w:val="nil"/>
              <w:left w:val="nil"/>
              <w:bottom w:val="single" w:sz="4" w:space="0" w:color="auto"/>
              <w:right w:val="single" w:sz="4" w:space="0" w:color="auto"/>
            </w:tcBorders>
            <w:shd w:val="clear" w:color="000000" w:fill="F2F2F2"/>
            <w:vAlign w:val="center"/>
            <w:hideMark/>
          </w:tcPr>
          <w:p w14:paraId="7401EEC0" w14:textId="0CEF9504"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0931392F" w14:textId="5E347AD1"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10,490,349</w:t>
            </w:r>
          </w:p>
        </w:tc>
        <w:tc>
          <w:tcPr>
            <w:tcW w:w="1066" w:type="dxa"/>
            <w:tcBorders>
              <w:top w:val="nil"/>
              <w:left w:val="nil"/>
              <w:bottom w:val="single" w:sz="4" w:space="0" w:color="auto"/>
              <w:right w:val="single" w:sz="4" w:space="0" w:color="auto"/>
            </w:tcBorders>
            <w:shd w:val="clear" w:color="auto" w:fill="auto"/>
            <w:vAlign w:val="center"/>
            <w:hideMark/>
          </w:tcPr>
          <w:p w14:paraId="406B7619" w14:textId="1E587EE4"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8,894,332</w:t>
            </w:r>
          </w:p>
        </w:tc>
        <w:tc>
          <w:tcPr>
            <w:tcW w:w="1134" w:type="dxa"/>
            <w:tcBorders>
              <w:top w:val="nil"/>
              <w:left w:val="nil"/>
              <w:bottom w:val="single" w:sz="4" w:space="0" w:color="auto"/>
              <w:right w:val="single" w:sz="4" w:space="0" w:color="auto"/>
            </w:tcBorders>
            <w:shd w:val="clear" w:color="auto" w:fill="auto"/>
            <w:vAlign w:val="center"/>
            <w:hideMark/>
          </w:tcPr>
          <w:p w14:paraId="759E757F" w14:textId="4408B7EF"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4,230,808</w:t>
            </w:r>
          </w:p>
        </w:tc>
        <w:tc>
          <w:tcPr>
            <w:tcW w:w="992" w:type="dxa"/>
            <w:tcBorders>
              <w:top w:val="nil"/>
              <w:left w:val="nil"/>
              <w:bottom w:val="single" w:sz="4" w:space="0" w:color="auto"/>
              <w:right w:val="single" w:sz="4" w:space="0" w:color="auto"/>
            </w:tcBorders>
            <w:shd w:val="clear" w:color="000000" w:fill="F2F2F2"/>
            <w:vAlign w:val="center"/>
            <w:hideMark/>
          </w:tcPr>
          <w:p w14:paraId="5B0E6FDD" w14:textId="1D853420"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53E64C52" w14:textId="1A2D837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103,840,326</w:t>
            </w:r>
          </w:p>
        </w:tc>
      </w:tr>
      <w:tr w:rsidR="00E24F19" w:rsidRPr="00E24F19" w14:paraId="1CBE240E"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62C740" w14:textId="77777777"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2014</w:t>
            </w:r>
          </w:p>
        </w:tc>
        <w:tc>
          <w:tcPr>
            <w:tcW w:w="1134" w:type="dxa"/>
            <w:tcBorders>
              <w:top w:val="nil"/>
              <w:left w:val="nil"/>
              <w:bottom w:val="single" w:sz="4" w:space="0" w:color="auto"/>
              <w:right w:val="single" w:sz="4" w:space="0" w:color="auto"/>
            </w:tcBorders>
            <w:shd w:val="clear" w:color="auto" w:fill="auto"/>
            <w:vAlign w:val="center"/>
            <w:hideMark/>
          </w:tcPr>
          <w:p w14:paraId="0482B679" w14:textId="5F19763F"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40,127,415</w:t>
            </w:r>
          </w:p>
        </w:tc>
        <w:tc>
          <w:tcPr>
            <w:tcW w:w="1134" w:type="dxa"/>
            <w:tcBorders>
              <w:top w:val="nil"/>
              <w:left w:val="nil"/>
              <w:bottom w:val="single" w:sz="4" w:space="0" w:color="auto"/>
              <w:right w:val="single" w:sz="4" w:space="0" w:color="auto"/>
            </w:tcBorders>
            <w:shd w:val="clear" w:color="auto" w:fill="auto"/>
            <w:vAlign w:val="center"/>
            <w:hideMark/>
          </w:tcPr>
          <w:p w14:paraId="259EF9BB" w14:textId="6EDA3F0D"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56,897,993</w:t>
            </w:r>
          </w:p>
        </w:tc>
        <w:tc>
          <w:tcPr>
            <w:tcW w:w="992" w:type="dxa"/>
            <w:tcBorders>
              <w:top w:val="nil"/>
              <w:left w:val="nil"/>
              <w:bottom w:val="single" w:sz="4" w:space="0" w:color="auto"/>
              <w:right w:val="single" w:sz="4" w:space="0" w:color="auto"/>
            </w:tcBorders>
            <w:shd w:val="clear" w:color="000000" w:fill="F2F2F2"/>
            <w:vAlign w:val="center"/>
            <w:hideMark/>
          </w:tcPr>
          <w:p w14:paraId="5EDF3022" w14:textId="45B1D2B4" w:rsidR="00E24F19" w:rsidRPr="00E24F19" w:rsidRDefault="00E24F19" w:rsidP="006506B8">
            <w:pPr>
              <w:spacing w:after="0"/>
              <w:jc w:val="center"/>
              <w:rPr>
                <w:rFonts w:eastAsia="Times New Roman" w:cs="Times New Roman"/>
                <w:color w:val="000000"/>
                <w:sz w:val="18"/>
                <w:szCs w:val="18"/>
              </w:rPr>
            </w:pPr>
          </w:p>
        </w:tc>
        <w:tc>
          <w:tcPr>
            <w:tcW w:w="1061" w:type="dxa"/>
            <w:tcBorders>
              <w:top w:val="nil"/>
              <w:left w:val="nil"/>
              <w:bottom w:val="single" w:sz="4" w:space="0" w:color="auto"/>
              <w:right w:val="single" w:sz="4" w:space="0" w:color="auto"/>
            </w:tcBorders>
            <w:shd w:val="clear" w:color="auto" w:fill="auto"/>
            <w:vAlign w:val="center"/>
            <w:hideMark/>
          </w:tcPr>
          <w:p w14:paraId="334660D8" w14:textId="51ED1C54"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13,335,954</w:t>
            </w:r>
          </w:p>
        </w:tc>
        <w:tc>
          <w:tcPr>
            <w:tcW w:w="1066" w:type="dxa"/>
            <w:tcBorders>
              <w:top w:val="nil"/>
              <w:left w:val="nil"/>
              <w:bottom w:val="single" w:sz="4" w:space="0" w:color="auto"/>
              <w:right w:val="single" w:sz="4" w:space="0" w:color="auto"/>
            </w:tcBorders>
            <w:shd w:val="clear" w:color="auto" w:fill="auto"/>
            <w:vAlign w:val="center"/>
            <w:hideMark/>
          </w:tcPr>
          <w:p w14:paraId="2DFE05CD" w14:textId="1064B3A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11,649,770</w:t>
            </w:r>
          </w:p>
        </w:tc>
        <w:tc>
          <w:tcPr>
            <w:tcW w:w="1134" w:type="dxa"/>
            <w:tcBorders>
              <w:top w:val="nil"/>
              <w:left w:val="nil"/>
              <w:bottom w:val="single" w:sz="4" w:space="0" w:color="auto"/>
              <w:right w:val="single" w:sz="4" w:space="0" w:color="auto"/>
            </w:tcBorders>
            <w:shd w:val="clear" w:color="auto" w:fill="auto"/>
            <w:vAlign w:val="center"/>
            <w:hideMark/>
          </w:tcPr>
          <w:p w14:paraId="05316052" w14:textId="024D1884"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5,632,438</w:t>
            </w:r>
          </w:p>
        </w:tc>
        <w:tc>
          <w:tcPr>
            <w:tcW w:w="992" w:type="dxa"/>
            <w:tcBorders>
              <w:top w:val="nil"/>
              <w:left w:val="nil"/>
              <w:bottom w:val="single" w:sz="4" w:space="0" w:color="auto"/>
              <w:right w:val="single" w:sz="4" w:space="0" w:color="auto"/>
            </w:tcBorders>
            <w:shd w:val="clear" w:color="000000" w:fill="F2F2F2"/>
            <w:vAlign w:val="center"/>
            <w:hideMark/>
          </w:tcPr>
          <w:p w14:paraId="5248CAE8" w14:textId="62B22351" w:rsidR="00E24F19" w:rsidRPr="00E24F19" w:rsidRDefault="00E24F19" w:rsidP="006506B8">
            <w:pPr>
              <w:spacing w:after="0"/>
              <w:jc w:val="center"/>
              <w:rPr>
                <w:rFonts w:eastAsia="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D9D0B0F" w14:textId="6701D070"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127,643,570</w:t>
            </w:r>
          </w:p>
        </w:tc>
      </w:tr>
      <w:tr w:rsidR="00E24F19" w:rsidRPr="00E24F19" w14:paraId="25D8821B"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79EC40" w14:textId="67E2F0AF" w:rsidR="00E24F19" w:rsidRPr="00E24F19" w:rsidRDefault="00E24F19" w:rsidP="006506B8">
            <w:pPr>
              <w:spacing w:after="0"/>
              <w:jc w:val="center"/>
              <w:rPr>
                <w:rFonts w:eastAsia="Times New Roman" w:cs="Times New Roman"/>
                <w:color w:val="000000"/>
                <w:sz w:val="18"/>
                <w:szCs w:val="18"/>
              </w:rPr>
            </w:pPr>
            <w:r w:rsidRPr="00E24F19">
              <w:rPr>
                <w:rFonts w:eastAsia="Times New Roman" w:cs="Times New Roman"/>
                <w:color w:val="000000"/>
                <w:sz w:val="18"/>
                <w:szCs w:val="18"/>
              </w:rPr>
              <w:t>2015</w:t>
            </w:r>
            <w:r w:rsidR="002A19F4">
              <w:rPr>
                <w:rFonts w:eastAsia="Times New Roman" w:cs="Times New Roman"/>
                <w:color w:val="000000"/>
                <w:sz w:val="18"/>
                <w:szCs w:val="18"/>
                <w:vertAlign w:val="superscript"/>
              </w:rPr>
              <w:t xml:space="preserve"> a</w:t>
            </w:r>
          </w:p>
        </w:tc>
        <w:tc>
          <w:tcPr>
            <w:tcW w:w="1134" w:type="dxa"/>
            <w:tcBorders>
              <w:top w:val="nil"/>
              <w:left w:val="nil"/>
              <w:bottom w:val="single" w:sz="4" w:space="0" w:color="auto"/>
              <w:right w:val="single" w:sz="4" w:space="0" w:color="auto"/>
            </w:tcBorders>
            <w:shd w:val="clear" w:color="auto" w:fill="auto"/>
            <w:vAlign w:val="center"/>
            <w:hideMark/>
          </w:tcPr>
          <w:p w14:paraId="716931CF" w14:textId="4BA64CC0"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46,793,551</w:t>
            </w:r>
          </w:p>
        </w:tc>
        <w:tc>
          <w:tcPr>
            <w:tcW w:w="1134" w:type="dxa"/>
            <w:tcBorders>
              <w:top w:val="nil"/>
              <w:left w:val="nil"/>
              <w:bottom w:val="single" w:sz="4" w:space="0" w:color="auto"/>
              <w:right w:val="single" w:sz="4" w:space="0" w:color="auto"/>
            </w:tcBorders>
            <w:shd w:val="clear" w:color="auto" w:fill="auto"/>
            <w:vAlign w:val="center"/>
            <w:hideMark/>
          </w:tcPr>
          <w:p w14:paraId="6BA8B4E1" w14:textId="45DB4973"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64,406,773</w:t>
            </w:r>
          </w:p>
        </w:tc>
        <w:tc>
          <w:tcPr>
            <w:tcW w:w="992" w:type="dxa"/>
            <w:tcBorders>
              <w:top w:val="nil"/>
              <w:left w:val="nil"/>
              <w:bottom w:val="single" w:sz="4" w:space="0" w:color="auto"/>
              <w:right w:val="single" w:sz="4" w:space="0" w:color="auto"/>
            </w:tcBorders>
            <w:shd w:val="clear" w:color="auto" w:fill="auto"/>
            <w:vAlign w:val="center"/>
            <w:hideMark/>
          </w:tcPr>
          <w:p w14:paraId="422FFE1F" w14:textId="089DA99B"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1,316,790</w:t>
            </w:r>
          </w:p>
        </w:tc>
        <w:tc>
          <w:tcPr>
            <w:tcW w:w="1061" w:type="dxa"/>
            <w:tcBorders>
              <w:top w:val="nil"/>
              <w:left w:val="nil"/>
              <w:bottom w:val="single" w:sz="4" w:space="0" w:color="auto"/>
              <w:right w:val="single" w:sz="4" w:space="0" w:color="auto"/>
            </w:tcBorders>
            <w:shd w:val="clear" w:color="auto" w:fill="auto"/>
            <w:vAlign w:val="center"/>
            <w:hideMark/>
          </w:tcPr>
          <w:p w14:paraId="4634B1C5" w14:textId="23805735"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16,214,828</w:t>
            </w:r>
          </w:p>
        </w:tc>
        <w:tc>
          <w:tcPr>
            <w:tcW w:w="1066" w:type="dxa"/>
            <w:tcBorders>
              <w:top w:val="nil"/>
              <w:left w:val="nil"/>
              <w:bottom w:val="single" w:sz="4" w:space="0" w:color="auto"/>
              <w:right w:val="single" w:sz="4" w:space="0" w:color="auto"/>
            </w:tcBorders>
            <w:shd w:val="clear" w:color="auto" w:fill="auto"/>
            <w:vAlign w:val="center"/>
            <w:hideMark/>
          </w:tcPr>
          <w:p w14:paraId="6E94A97B" w14:textId="0D9E5311"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14,915,673</w:t>
            </w:r>
          </w:p>
        </w:tc>
        <w:tc>
          <w:tcPr>
            <w:tcW w:w="1134" w:type="dxa"/>
            <w:tcBorders>
              <w:top w:val="nil"/>
              <w:left w:val="nil"/>
              <w:bottom w:val="single" w:sz="4" w:space="0" w:color="auto"/>
              <w:right w:val="single" w:sz="4" w:space="0" w:color="auto"/>
            </w:tcBorders>
            <w:shd w:val="clear" w:color="auto" w:fill="auto"/>
            <w:vAlign w:val="center"/>
            <w:hideMark/>
          </w:tcPr>
          <w:p w14:paraId="5836C87F" w14:textId="0DE5593E"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6,697,742</w:t>
            </w:r>
          </w:p>
        </w:tc>
        <w:tc>
          <w:tcPr>
            <w:tcW w:w="992" w:type="dxa"/>
            <w:tcBorders>
              <w:top w:val="nil"/>
              <w:left w:val="nil"/>
              <w:bottom w:val="single" w:sz="4" w:space="0" w:color="auto"/>
              <w:right w:val="single" w:sz="4" w:space="0" w:color="auto"/>
            </w:tcBorders>
            <w:shd w:val="clear" w:color="auto" w:fill="auto"/>
            <w:vAlign w:val="center"/>
            <w:hideMark/>
          </w:tcPr>
          <w:p w14:paraId="48B690DE" w14:textId="329D5D7E"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481,860</w:t>
            </w:r>
          </w:p>
        </w:tc>
        <w:tc>
          <w:tcPr>
            <w:tcW w:w="1276" w:type="dxa"/>
            <w:tcBorders>
              <w:top w:val="nil"/>
              <w:left w:val="nil"/>
              <w:bottom w:val="single" w:sz="4" w:space="0" w:color="auto"/>
              <w:right w:val="single" w:sz="4" w:space="0" w:color="auto"/>
            </w:tcBorders>
            <w:shd w:val="clear" w:color="auto" w:fill="auto"/>
            <w:vAlign w:val="center"/>
            <w:hideMark/>
          </w:tcPr>
          <w:p w14:paraId="1EE08199" w14:textId="5A186691"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150,827,216</w:t>
            </w:r>
          </w:p>
        </w:tc>
      </w:tr>
      <w:tr w:rsidR="00E24F19" w:rsidRPr="00E24F19" w14:paraId="71DAB5AD" w14:textId="77777777" w:rsidTr="006506B8">
        <w:trPr>
          <w:trHeight w:val="30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041022" w14:textId="41875D3A" w:rsidR="00E24F19" w:rsidRPr="00E24F19" w:rsidRDefault="00E24F19" w:rsidP="006506B8">
            <w:pPr>
              <w:spacing w:after="0"/>
              <w:jc w:val="center"/>
              <w:rPr>
                <w:rFonts w:eastAsia="Times New Roman" w:cs="Times New Roman"/>
                <w:color w:val="000000"/>
                <w:sz w:val="18"/>
                <w:szCs w:val="18"/>
                <w:vertAlign w:val="superscript"/>
              </w:rPr>
            </w:pPr>
            <w:r w:rsidRPr="00E24F19">
              <w:rPr>
                <w:rFonts w:eastAsia="Times New Roman" w:cs="Times New Roman"/>
                <w:color w:val="000000"/>
                <w:sz w:val="18"/>
                <w:szCs w:val="18"/>
              </w:rPr>
              <w:t>2016</w:t>
            </w:r>
            <w:r w:rsidR="003A079A">
              <w:rPr>
                <w:rFonts w:eastAsia="Times New Roman" w:cs="Times New Roman"/>
                <w:color w:val="000000"/>
                <w:sz w:val="18"/>
                <w:szCs w:val="18"/>
              </w:rPr>
              <w:t xml:space="preserve"> </w:t>
            </w:r>
            <w:r w:rsidR="00DB4780">
              <w:rPr>
                <w:rFonts w:eastAsia="Times New Roman" w:cs="Times New Roman"/>
                <w:color w:val="000000"/>
                <w:sz w:val="18"/>
                <w:szCs w:val="18"/>
                <w:vertAlign w:val="superscript"/>
              </w:rPr>
              <w:t>a</w:t>
            </w:r>
          </w:p>
        </w:tc>
        <w:tc>
          <w:tcPr>
            <w:tcW w:w="1134" w:type="dxa"/>
            <w:tcBorders>
              <w:top w:val="nil"/>
              <w:left w:val="nil"/>
              <w:bottom w:val="single" w:sz="4" w:space="0" w:color="auto"/>
              <w:right w:val="single" w:sz="4" w:space="0" w:color="auto"/>
            </w:tcBorders>
            <w:shd w:val="clear" w:color="auto" w:fill="auto"/>
            <w:vAlign w:val="center"/>
            <w:hideMark/>
          </w:tcPr>
          <w:p w14:paraId="7CEBEFBE" w14:textId="7523A090"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41,416,092</w:t>
            </w:r>
          </w:p>
        </w:tc>
        <w:tc>
          <w:tcPr>
            <w:tcW w:w="1134" w:type="dxa"/>
            <w:tcBorders>
              <w:top w:val="nil"/>
              <w:left w:val="nil"/>
              <w:bottom w:val="single" w:sz="4" w:space="0" w:color="auto"/>
              <w:right w:val="single" w:sz="4" w:space="0" w:color="auto"/>
            </w:tcBorders>
            <w:shd w:val="clear" w:color="auto" w:fill="auto"/>
            <w:vAlign w:val="center"/>
            <w:hideMark/>
          </w:tcPr>
          <w:p w14:paraId="025954EC" w14:textId="72D3B6FC"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68,238,747</w:t>
            </w:r>
          </w:p>
        </w:tc>
        <w:tc>
          <w:tcPr>
            <w:tcW w:w="992" w:type="dxa"/>
            <w:tcBorders>
              <w:top w:val="nil"/>
              <w:left w:val="nil"/>
              <w:bottom w:val="single" w:sz="4" w:space="0" w:color="auto"/>
              <w:right w:val="single" w:sz="4" w:space="0" w:color="auto"/>
            </w:tcBorders>
            <w:shd w:val="clear" w:color="auto" w:fill="auto"/>
            <w:vAlign w:val="center"/>
            <w:hideMark/>
          </w:tcPr>
          <w:p w14:paraId="381B8FD1" w14:textId="3F1FD95C"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9,311,278</w:t>
            </w:r>
          </w:p>
        </w:tc>
        <w:tc>
          <w:tcPr>
            <w:tcW w:w="1061" w:type="dxa"/>
            <w:tcBorders>
              <w:top w:val="nil"/>
              <w:left w:val="nil"/>
              <w:bottom w:val="single" w:sz="4" w:space="0" w:color="auto"/>
              <w:right w:val="single" w:sz="4" w:space="0" w:color="auto"/>
            </w:tcBorders>
            <w:shd w:val="clear" w:color="auto" w:fill="auto"/>
            <w:vAlign w:val="center"/>
            <w:hideMark/>
          </w:tcPr>
          <w:p w14:paraId="1469139B" w14:textId="43E262FB"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14,872,966</w:t>
            </w:r>
          </w:p>
        </w:tc>
        <w:tc>
          <w:tcPr>
            <w:tcW w:w="1066" w:type="dxa"/>
            <w:tcBorders>
              <w:top w:val="nil"/>
              <w:left w:val="nil"/>
              <w:bottom w:val="single" w:sz="4" w:space="0" w:color="auto"/>
              <w:right w:val="single" w:sz="4" w:space="0" w:color="auto"/>
            </w:tcBorders>
            <w:shd w:val="clear" w:color="auto" w:fill="auto"/>
            <w:vAlign w:val="center"/>
            <w:hideMark/>
          </w:tcPr>
          <w:p w14:paraId="1E21E126" w14:textId="5EFC18BD"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16,107,761</w:t>
            </w:r>
          </w:p>
        </w:tc>
        <w:tc>
          <w:tcPr>
            <w:tcW w:w="1134" w:type="dxa"/>
            <w:tcBorders>
              <w:top w:val="nil"/>
              <w:left w:val="nil"/>
              <w:bottom w:val="single" w:sz="4" w:space="0" w:color="auto"/>
              <w:right w:val="single" w:sz="4" w:space="0" w:color="auto"/>
            </w:tcBorders>
            <w:shd w:val="clear" w:color="auto" w:fill="auto"/>
            <w:vAlign w:val="center"/>
            <w:hideMark/>
          </w:tcPr>
          <w:p w14:paraId="14C73F5B" w14:textId="084DF789"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6,003,773</w:t>
            </w:r>
          </w:p>
        </w:tc>
        <w:tc>
          <w:tcPr>
            <w:tcW w:w="992" w:type="dxa"/>
            <w:tcBorders>
              <w:top w:val="nil"/>
              <w:left w:val="nil"/>
              <w:bottom w:val="single" w:sz="4" w:space="0" w:color="auto"/>
              <w:right w:val="single" w:sz="4" w:space="0" w:color="auto"/>
            </w:tcBorders>
            <w:shd w:val="clear" w:color="auto" w:fill="auto"/>
            <w:vAlign w:val="center"/>
            <w:hideMark/>
          </w:tcPr>
          <w:p w14:paraId="3AD643A6" w14:textId="321DF353"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2,555,346</w:t>
            </w:r>
          </w:p>
        </w:tc>
        <w:tc>
          <w:tcPr>
            <w:tcW w:w="1276" w:type="dxa"/>
            <w:tcBorders>
              <w:top w:val="nil"/>
              <w:left w:val="nil"/>
              <w:bottom w:val="single" w:sz="4" w:space="0" w:color="auto"/>
              <w:right w:val="single" w:sz="4" w:space="0" w:color="auto"/>
            </w:tcBorders>
            <w:shd w:val="clear" w:color="auto" w:fill="auto"/>
            <w:vAlign w:val="center"/>
            <w:hideMark/>
          </w:tcPr>
          <w:p w14:paraId="48EE1CFB" w14:textId="420C859A" w:rsidR="00E24F19" w:rsidRPr="00E24F19" w:rsidRDefault="00E24F19" w:rsidP="006506B8">
            <w:pPr>
              <w:spacing w:after="0"/>
              <w:jc w:val="center"/>
              <w:rPr>
                <w:rFonts w:eastAsia="Times New Roman" w:cs="Times New Roman"/>
                <w:color w:val="000000"/>
                <w:sz w:val="18"/>
                <w:szCs w:val="18"/>
              </w:rPr>
            </w:pPr>
            <w:r w:rsidRPr="00E24F19">
              <w:rPr>
                <w:color w:val="000000"/>
                <w:sz w:val="18"/>
                <w:szCs w:val="18"/>
              </w:rPr>
              <w:t>158,505,963</w:t>
            </w:r>
          </w:p>
        </w:tc>
      </w:tr>
    </w:tbl>
    <w:p w14:paraId="57458B96" w14:textId="5F08B174" w:rsidR="00C000E4" w:rsidRDefault="00DB4780" w:rsidP="00DB4780">
      <w:pPr>
        <w:spacing w:after="0"/>
        <w:rPr>
          <w:rStyle w:val="FigurecaptionChar"/>
        </w:rPr>
      </w:pPr>
      <w:r>
        <w:rPr>
          <w:rStyle w:val="FigurecaptionChar"/>
        </w:rPr>
        <w:t>Note: The expenditure figures are based on the published price. Special pricing arrangements</w:t>
      </w:r>
      <w:r w:rsidR="00F434EB">
        <w:rPr>
          <w:rStyle w:val="FigurecaptionChar"/>
        </w:rPr>
        <w:t xml:space="preserve"> and risk sharing arrangements</w:t>
      </w:r>
      <w:r>
        <w:rPr>
          <w:rStyle w:val="FigurecaptionChar"/>
        </w:rPr>
        <w:t xml:space="preserve"> </w:t>
      </w:r>
      <w:r w:rsidR="000C54EA">
        <w:rPr>
          <w:rStyle w:val="FigurecaptionChar"/>
        </w:rPr>
        <w:t xml:space="preserve">may </w:t>
      </w:r>
      <w:r>
        <w:rPr>
          <w:rStyle w:val="FigurecaptionChar"/>
        </w:rPr>
        <w:t>apply.</w:t>
      </w:r>
    </w:p>
    <w:p w14:paraId="15E4EFAF" w14:textId="0ACBC8BF" w:rsidR="00226A7A" w:rsidRDefault="00226A7A" w:rsidP="00DB4780">
      <w:pPr>
        <w:spacing w:after="0"/>
        <w:rPr>
          <w:rStyle w:val="FigurecaptionChar"/>
        </w:rPr>
      </w:pPr>
      <w:r>
        <w:rPr>
          <w:rStyle w:val="FigurecaptionChar"/>
        </w:rPr>
        <w:t>Inflix, infliximab; Adal, adalimumab; Vedol, vedolizumab.</w:t>
      </w:r>
    </w:p>
    <w:p w14:paraId="1920D8CD" w14:textId="58D0A640" w:rsidR="00DB4780" w:rsidRDefault="00DB4780" w:rsidP="00DB4780">
      <w:pPr>
        <w:spacing w:after="0"/>
        <w:rPr>
          <w:rStyle w:val="FigurecaptionChar"/>
        </w:rPr>
      </w:pPr>
      <w:r>
        <w:rPr>
          <w:rStyle w:val="FigurecaptionChar"/>
        </w:rPr>
        <w:t xml:space="preserve">The expenditure figures from 2007 to 2013 were sourced from the </w:t>
      </w:r>
      <w:hyperlink r:id="rId34" w:history="1">
        <w:r w:rsidRPr="00DB4780">
          <w:rPr>
            <w:rStyle w:val="Hyperlink"/>
            <w:sz w:val="20"/>
            <w:szCs w:val="20"/>
            <w:lang w:eastAsia="en-US"/>
          </w:rPr>
          <w:t>2015 DUSC review of Crohn disease</w:t>
        </w:r>
      </w:hyperlink>
      <w:r>
        <w:rPr>
          <w:rStyle w:val="FigurecaptionChar"/>
        </w:rPr>
        <w:t>.</w:t>
      </w:r>
    </w:p>
    <w:p w14:paraId="34312482" w14:textId="7CF30ABF" w:rsidR="00DB4780" w:rsidRPr="00DB4780" w:rsidRDefault="00DB4780" w:rsidP="00DB4780">
      <w:pPr>
        <w:spacing w:after="0"/>
        <w:rPr>
          <w:highlight w:val="yellow"/>
        </w:rPr>
      </w:pPr>
      <w:r>
        <w:rPr>
          <w:rStyle w:val="FigurecaptionChar"/>
        </w:rPr>
        <w:t xml:space="preserve"> </w:t>
      </w:r>
      <w:r>
        <w:rPr>
          <w:rStyle w:val="FigurecaptionChar"/>
          <w:vertAlign w:val="superscript"/>
        </w:rPr>
        <w:t>a</w:t>
      </w:r>
      <w:r>
        <w:rPr>
          <w:rStyle w:val="FigurecaptionChar"/>
        </w:rPr>
        <w:t xml:space="preserve"> Infliximab was subject to a </w:t>
      </w:r>
      <w:hyperlink r:id="rId35" w:history="1">
        <w:r w:rsidRPr="00DB4780">
          <w:rPr>
            <w:rStyle w:val="Hyperlink"/>
            <w:sz w:val="20"/>
            <w:szCs w:val="20"/>
            <w:lang w:eastAsia="en-US"/>
          </w:rPr>
          <w:t>16% statutory price reduction from 1 December 2015</w:t>
        </w:r>
      </w:hyperlink>
      <w:r>
        <w:rPr>
          <w:rStyle w:val="FigurecaptionChar"/>
        </w:rPr>
        <w:t>.</w:t>
      </w:r>
    </w:p>
    <w:p w14:paraId="6530EE95" w14:textId="39AB6844" w:rsidR="00806970" w:rsidRDefault="00806970">
      <w:pPr>
        <w:spacing w:line="276" w:lineRule="auto"/>
        <w:rPr>
          <w:highlight w:val="yellow"/>
        </w:rPr>
      </w:pPr>
    </w:p>
    <w:p w14:paraId="4B15992F" w14:textId="381A54B8" w:rsidR="00C000E4" w:rsidRDefault="00D44F8F" w:rsidP="00A35800">
      <w:pPr>
        <w:rPr>
          <w:highlight w:val="yellow"/>
        </w:rPr>
      </w:pPr>
      <w:r>
        <w:rPr>
          <w:noProof/>
        </w:rPr>
        <w:drawing>
          <wp:inline distT="0" distB="0" distL="0" distR="0" wp14:anchorId="6788EE07" wp14:editId="71039283">
            <wp:extent cx="5752237" cy="3425120"/>
            <wp:effectExtent l="0" t="0" r="1270" b="4445"/>
            <wp:docPr id="1" name="Picture 1" descr="A graph outlining the millions of dollars in expenditure for biologics" title="R/PBS expenditure on biologics for Crohn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3992" cy="3426165"/>
                    </a:xfrm>
                    <a:prstGeom prst="rect">
                      <a:avLst/>
                    </a:prstGeom>
                    <a:noFill/>
                  </pic:spPr>
                </pic:pic>
              </a:graphicData>
            </a:graphic>
          </wp:inline>
        </w:drawing>
      </w:r>
    </w:p>
    <w:p w14:paraId="477DBBE2" w14:textId="7461B683" w:rsidR="008403D6" w:rsidRDefault="0014015E" w:rsidP="00226A7A">
      <w:pPr>
        <w:spacing w:after="0"/>
        <w:rPr>
          <w:rStyle w:val="FigurecaptionChar"/>
        </w:rPr>
      </w:pPr>
      <w:r>
        <w:rPr>
          <w:rStyle w:val="FiguretitleChar"/>
          <w:rFonts w:asciiTheme="minorHAnsi" w:hAnsiTheme="minorHAnsi"/>
        </w:rPr>
        <w:t>Figure 9</w:t>
      </w:r>
      <w:r w:rsidR="008403D6" w:rsidRPr="001B5780">
        <w:rPr>
          <w:rStyle w:val="FiguretitleChar"/>
          <w:rFonts w:asciiTheme="minorHAnsi" w:hAnsiTheme="minorHAnsi"/>
        </w:rPr>
        <w:t xml:space="preserve">: </w:t>
      </w:r>
      <w:r w:rsidR="008403D6">
        <w:rPr>
          <w:rStyle w:val="FiguretitleChar"/>
          <w:rFonts w:asciiTheme="minorHAnsi" w:hAnsiTheme="minorHAnsi"/>
        </w:rPr>
        <w:t xml:space="preserve">R/PBS expenditure on </w:t>
      </w:r>
      <w:r w:rsidR="002F559B">
        <w:rPr>
          <w:rStyle w:val="FiguretitleChar"/>
          <w:rFonts w:asciiTheme="minorHAnsi" w:hAnsiTheme="minorHAnsi"/>
        </w:rPr>
        <w:t>bDMDs</w:t>
      </w:r>
      <w:r w:rsidR="00C634D6">
        <w:rPr>
          <w:rStyle w:val="FiguretitleChar"/>
          <w:rFonts w:asciiTheme="minorHAnsi" w:hAnsiTheme="minorHAnsi"/>
        </w:rPr>
        <w:t xml:space="preserve"> for Crohn</w:t>
      </w:r>
      <w:r w:rsidR="008403D6">
        <w:rPr>
          <w:rStyle w:val="FiguretitleChar"/>
          <w:rFonts w:asciiTheme="minorHAnsi" w:hAnsiTheme="minorHAnsi"/>
        </w:rPr>
        <w:t xml:space="preserve"> disease</w:t>
      </w:r>
    </w:p>
    <w:p w14:paraId="3F32EB66" w14:textId="48089F4D" w:rsidR="00226A7A" w:rsidRDefault="00226A7A" w:rsidP="00226A7A">
      <w:pPr>
        <w:spacing w:after="0"/>
        <w:rPr>
          <w:rStyle w:val="FigurecaptionChar"/>
        </w:rPr>
      </w:pPr>
      <w:r>
        <w:rPr>
          <w:rStyle w:val="FigurecaptionChar"/>
        </w:rPr>
        <w:t>Note:</w:t>
      </w:r>
      <w:r w:rsidR="006506B8">
        <w:rPr>
          <w:rStyle w:val="FigurecaptionChar"/>
        </w:rPr>
        <w:t xml:space="preserve"> </w:t>
      </w:r>
      <w:r>
        <w:rPr>
          <w:rStyle w:val="FigurecaptionChar"/>
        </w:rPr>
        <w:t>Inflix, infliximab; Adal, adalimumab; Vedol, vedolizumab.</w:t>
      </w:r>
    </w:p>
    <w:p w14:paraId="76081FBB" w14:textId="53D8703E" w:rsidR="00AD1ED1" w:rsidRPr="0097052E" w:rsidRDefault="002A1081" w:rsidP="0097052E">
      <w:pPr>
        <w:spacing w:after="0"/>
        <w:rPr>
          <w:sz w:val="20"/>
          <w:szCs w:val="20"/>
          <w:lang w:eastAsia="en-US"/>
        </w:rPr>
      </w:pPr>
      <w:r>
        <w:rPr>
          <w:rStyle w:val="FigurecaptionChar"/>
        </w:rPr>
        <w:t>The expenditure figures are based on the published price. Special pricing arrangements and risk sharing arrangements may apply.</w:t>
      </w:r>
    </w:p>
    <w:p w14:paraId="0DD415E2" w14:textId="77777777" w:rsidR="006506B8" w:rsidRDefault="006506B8" w:rsidP="00B30D85">
      <w:pPr>
        <w:pStyle w:val="Heading4"/>
      </w:pPr>
    </w:p>
    <w:p w14:paraId="3555DFBA" w14:textId="60E8E761" w:rsidR="00591512" w:rsidRDefault="00AB3733" w:rsidP="00B30D85">
      <w:pPr>
        <w:pStyle w:val="Heading4"/>
      </w:pPr>
      <w:r>
        <w:lastRenderedPageBreak/>
        <w:t>D</w:t>
      </w:r>
      <w:r w:rsidR="007346C7" w:rsidRPr="005E22C2">
        <w:t>iscussion</w:t>
      </w:r>
    </w:p>
    <w:p w14:paraId="53907DC2" w14:textId="6AAD3143" w:rsidR="00ED61B9" w:rsidRDefault="00B702CF" w:rsidP="00084FC3">
      <w:pPr>
        <w:spacing w:before="240" w:after="240" w:line="300" w:lineRule="atLeast"/>
      </w:pPr>
      <w:r>
        <w:t>From</w:t>
      </w:r>
      <w:r w:rsidR="00ED61B9">
        <w:t xml:space="preserve"> 2007 to 2016</w:t>
      </w:r>
      <w:r w:rsidR="00ED6852">
        <w:t>,</w:t>
      </w:r>
      <w:r w:rsidR="00ED61B9">
        <w:t xml:space="preserve"> the number of prevalent patients ac</w:t>
      </w:r>
      <w:r w:rsidR="0000460C">
        <w:t xml:space="preserve">cessing </w:t>
      </w:r>
      <w:r w:rsidR="002F559B">
        <w:t>bDMDs</w:t>
      </w:r>
      <w:r w:rsidR="0000460C">
        <w:t xml:space="preserve"> for all of the</w:t>
      </w:r>
      <w:r w:rsidR="00ED61B9">
        <w:t xml:space="preserve"> R/PBS listed indications for</w:t>
      </w:r>
      <w:r w:rsidR="00612E3C">
        <w:t xml:space="preserve"> Crohn disease increased (Figures 1 to 3</w:t>
      </w:r>
      <w:r w:rsidR="003B3834">
        <w:t xml:space="preserve"> and Tables 2 to 4</w:t>
      </w:r>
      <w:r w:rsidR="00612E3C">
        <w:t xml:space="preserve">). </w:t>
      </w:r>
      <w:r w:rsidR="00A92B07">
        <w:t>There</w:t>
      </w:r>
      <w:r w:rsidR="00612E3C">
        <w:t xml:space="preserve"> was no </w:t>
      </w:r>
      <w:r w:rsidR="00A92B07">
        <w:t xml:space="preserve">indication </w:t>
      </w:r>
      <w:r w:rsidR="00612E3C">
        <w:t>of a slowing in the growth</w:t>
      </w:r>
      <w:r w:rsidR="00ED61B9">
        <w:t xml:space="preserve"> </w:t>
      </w:r>
      <w:r w:rsidR="00612E3C">
        <w:t xml:space="preserve">of </w:t>
      </w:r>
      <w:r w:rsidR="002F559B">
        <w:t>bDMD</w:t>
      </w:r>
      <w:r w:rsidR="00612E3C">
        <w:t xml:space="preserve"> use</w:t>
      </w:r>
      <w:r w:rsidR="00580A30">
        <w:t xml:space="preserve"> for any of the Crohn indications</w:t>
      </w:r>
      <w:r w:rsidR="00612E3C">
        <w:t xml:space="preserve">. </w:t>
      </w:r>
      <w:r w:rsidR="00ED61B9">
        <w:t xml:space="preserve">In particular, there was a steady increase in the number of Authority approvals for paediatric Crohn disease following the change in the dosing of corticosteroids for infliximab’s listing for this indication </w:t>
      </w:r>
      <w:r w:rsidR="00180196">
        <w:t xml:space="preserve">and the listing of adalimumab for this indication from August 2015 </w:t>
      </w:r>
      <w:r w:rsidR="00ED61B9">
        <w:t xml:space="preserve">(Figure 3). </w:t>
      </w:r>
    </w:p>
    <w:p w14:paraId="32275A2E" w14:textId="687AE3D8" w:rsidR="00084FC3" w:rsidRDefault="00084FC3" w:rsidP="00084FC3">
      <w:pPr>
        <w:spacing w:before="240" w:after="240" w:line="300" w:lineRule="atLeast"/>
      </w:pPr>
      <w:r>
        <w:t>There is limited epidemiological data on Crohn disease in Australia. Available evidence suggests that there are increasing diagnoses in Australia (Day et al., 2014)</w:t>
      </w:r>
      <w:r w:rsidR="008746DB">
        <w:t>. There was a trend towards an increasing number of incident patients for each Crohn indication</w:t>
      </w:r>
      <w:r w:rsidR="004814A4">
        <w:t xml:space="preserve"> </w:t>
      </w:r>
      <w:r w:rsidR="008746DB">
        <w:t>(Figures 1 to 3</w:t>
      </w:r>
      <w:r w:rsidR="00B52E27">
        <w:t xml:space="preserve"> and</w:t>
      </w:r>
      <w:r w:rsidR="008746DB">
        <w:t xml:space="preserve"> Tables 2 to 4).</w:t>
      </w:r>
      <w:r>
        <w:t xml:space="preserve"> An observational study undertaken in Victoria, Australia reported a point prevalence rate of </w:t>
      </w:r>
      <w:r>
        <w:rPr>
          <w:rFonts w:ascii="Calibri" w:hAnsi="Calibri"/>
        </w:rPr>
        <w:t>344.6 per 100,</w:t>
      </w:r>
      <w:r w:rsidRPr="00E36A32">
        <w:rPr>
          <w:rFonts w:ascii="Calibri" w:hAnsi="Calibri"/>
        </w:rPr>
        <w:t xml:space="preserve">000 </w:t>
      </w:r>
      <w:r w:rsidR="00806970">
        <w:rPr>
          <w:rFonts w:ascii="Calibri" w:hAnsi="Calibri"/>
        </w:rPr>
        <w:t xml:space="preserve">population </w:t>
      </w:r>
      <w:r>
        <w:rPr>
          <w:rFonts w:ascii="Calibri" w:hAnsi="Calibri"/>
        </w:rPr>
        <w:t xml:space="preserve">and an </w:t>
      </w:r>
      <w:r w:rsidRPr="00E36A32">
        <w:rPr>
          <w:rFonts w:ascii="Calibri" w:hAnsi="Calibri"/>
        </w:rPr>
        <w:t>incidence rate of 24.2 per 1</w:t>
      </w:r>
      <w:r>
        <w:rPr>
          <w:rFonts w:ascii="Calibri" w:hAnsi="Calibri"/>
        </w:rPr>
        <w:t>00,</w:t>
      </w:r>
      <w:r w:rsidRPr="00E36A32">
        <w:rPr>
          <w:rFonts w:ascii="Calibri" w:hAnsi="Calibri"/>
        </w:rPr>
        <w:t>000</w:t>
      </w:r>
      <w:r>
        <w:t xml:space="preserve"> </w:t>
      </w:r>
      <w:r w:rsidR="00806970">
        <w:t xml:space="preserve">population </w:t>
      </w:r>
      <w:r>
        <w:t>(Studd et al., 2016). As these estimates are specific to the Barwon region in Victoria with a relatively small population</w:t>
      </w:r>
      <w:r w:rsidR="00B52E27">
        <w:t>,</w:t>
      </w:r>
      <w:r>
        <w:t xml:space="preserve"> the findings may not apply to the broader Australian community.</w:t>
      </w:r>
      <w:r w:rsidR="00B73071">
        <w:t xml:space="preserve"> </w:t>
      </w:r>
    </w:p>
    <w:p w14:paraId="01CFF7B4" w14:textId="3FF7986D" w:rsidR="00D94F07" w:rsidRDefault="00421B34" w:rsidP="00084FC3">
      <w:pPr>
        <w:spacing w:before="240" w:after="240" w:line="300" w:lineRule="atLeast"/>
      </w:pPr>
      <w:r>
        <w:t xml:space="preserve">The </w:t>
      </w:r>
      <w:hyperlink r:id="rId37" w:history="1">
        <w:r w:rsidRPr="00A871E4">
          <w:rPr>
            <w:rStyle w:val="Hyperlink"/>
          </w:rPr>
          <w:t>2015 DUSC review on Crohn disease</w:t>
        </w:r>
      </w:hyperlink>
      <w:r>
        <w:t xml:space="preserve"> examined the r</w:t>
      </w:r>
      <w:r w:rsidR="008429CA">
        <w:t xml:space="preserve">ates of continuation on </w:t>
      </w:r>
      <w:r w:rsidR="002F559B">
        <w:t>bDMDs</w:t>
      </w:r>
      <w:r w:rsidR="008429CA">
        <w:t xml:space="preserve"> in patients first initiating on therapy in 2011 for severe refractory adult Crohn disease, fistulising Crohn disease and paediatric Crohn disease. This review extended these analyses for up to five years, corresponding to 10 to 11 Authority approvals for typical patients. The continuation rates were b</w:t>
      </w:r>
      <w:r w:rsidR="00817ABF">
        <w:t>ased on the Authorities data because infliximab, being a Highly Specialised Drug listing, did not have complete prescriptions data prior to 1 July 2013. For each Crohn indicat</w:t>
      </w:r>
      <w:r w:rsidR="000E60F4">
        <w:t xml:space="preserve">ion, around half of </w:t>
      </w:r>
      <w:r w:rsidR="00817ABF">
        <w:t xml:space="preserve">patients </w:t>
      </w:r>
      <w:r w:rsidR="000E60F4">
        <w:t>had continued</w:t>
      </w:r>
      <w:r w:rsidR="00817ABF">
        <w:t xml:space="preserve"> on their </w:t>
      </w:r>
      <w:r w:rsidR="000E60F4">
        <w:t>initiating</w:t>
      </w:r>
      <w:r w:rsidR="00817ABF">
        <w:t xml:space="preserve"> </w:t>
      </w:r>
      <w:r w:rsidR="002F559B">
        <w:t>bDMD</w:t>
      </w:r>
      <w:r w:rsidR="00817ABF">
        <w:t xml:space="preserve"> for up to 11 Authority approvals (Figures 4, </w:t>
      </w:r>
      <w:r w:rsidR="00265BFE">
        <w:t>5</w:t>
      </w:r>
      <w:r w:rsidR="00817ABF">
        <w:t xml:space="preserve"> and </w:t>
      </w:r>
      <w:r w:rsidR="00265BFE">
        <w:t>6</w:t>
      </w:r>
      <w:r w:rsidR="00817ABF">
        <w:t xml:space="preserve">). </w:t>
      </w:r>
      <w:r w:rsidR="00511D21">
        <w:t xml:space="preserve">For severe refractory adult Crohn disease and fistulising Crohn disease, the continuation rates were higher for those patients who switched to an alternative </w:t>
      </w:r>
      <w:r w:rsidR="002F559B">
        <w:t>bDMD</w:t>
      </w:r>
      <w:r w:rsidR="00511D21">
        <w:t xml:space="preserve"> (Figure</w:t>
      </w:r>
      <w:r w:rsidR="00B52E27">
        <w:t>s</w:t>
      </w:r>
      <w:r w:rsidR="00511D21">
        <w:t xml:space="preserve"> 4 and </w:t>
      </w:r>
      <w:r w:rsidR="00265BFE">
        <w:t>5</w:t>
      </w:r>
      <w:r w:rsidR="00511D21">
        <w:t xml:space="preserve">). </w:t>
      </w:r>
    </w:p>
    <w:p w14:paraId="7E571160" w14:textId="189F6125" w:rsidR="00B56B71" w:rsidRDefault="00B56B71" w:rsidP="00084FC3">
      <w:pPr>
        <w:spacing w:before="240" w:after="240" w:line="300" w:lineRule="atLeast"/>
      </w:pPr>
      <w:r>
        <w:t>Vedolizumab was first listed in August 2015 for severe</w:t>
      </w:r>
      <w:r w:rsidR="00005BC7">
        <w:t xml:space="preserve"> refractory adult Crohn disease. Preliminary data </w:t>
      </w:r>
      <w:r w:rsidR="00733F43">
        <w:t>showed that continuation on vedolizumab was similar to</w:t>
      </w:r>
      <w:r w:rsidR="006517FD">
        <w:t xml:space="preserve"> the alternative intravenously administered </w:t>
      </w:r>
      <w:r w:rsidR="002F559B">
        <w:t>bDMD</w:t>
      </w:r>
      <w:r w:rsidR="006517FD">
        <w:t xml:space="preserve">, </w:t>
      </w:r>
      <w:r w:rsidR="00733F43">
        <w:t>infliximab</w:t>
      </w:r>
      <w:r w:rsidR="00B52E27">
        <w:t>,</w:t>
      </w:r>
      <w:r w:rsidR="006342D7">
        <w:t xml:space="preserve"> which has the same frequency of administration</w:t>
      </w:r>
      <w:r w:rsidR="006517FD">
        <w:t xml:space="preserve">, </w:t>
      </w:r>
      <w:r w:rsidR="00733F43">
        <w:t>for</w:t>
      </w:r>
      <w:r w:rsidR="00005BC7">
        <w:t xml:space="preserve"> up to three Authority approvals</w:t>
      </w:r>
      <w:r w:rsidR="00265BFE">
        <w:t>.</w:t>
      </w:r>
    </w:p>
    <w:p w14:paraId="1F547F64" w14:textId="6C319D1D" w:rsidR="00005BC7" w:rsidRDefault="009569AD" w:rsidP="00084FC3">
      <w:pPr>
        <w:spacing w:before="240" w:after="240" w:line="300" w:lineRule="atLeast"/>
      </w:pPr>
      <w:r>
        <w:t xml:space="preserve">Continuation rates were also examined in </w:t>
      </w:r>
      <w:r w:rsidR="004648E3">
        <w:t xml:space="preserve">a later cohort of patients first initiating on a </w:t>
      </w:r>
      <w:r w:rsidR="002F559B">
        <w:t>bDMD</w:t>
      </w:r>
      <w:r w:rsidR="004648E3">
        <w:t xml:space="preserve"> in 2014 for each R/PBS listed indication for Crohn disease. Compared with the 2011 initiating cohorts, the continuation rates were similar in the 2014 cohorts for the first four Authority approvals across all of the listed Crohn indications (Figure 8).</w:t>
      </w:r>
    </w:p>
    <w:p w14:paraId="113F58FA" w14:textId="14D414BB" w:rsidR="00827AEC" w:rsidRDefault="00D3646B" w:rsidP="00084FC3">
      <w:pPr>
        <w:spacing w:before="240" w:after="240" w:line="300" w:lineRule="atLeast"/>
      </w:pPr>
      <w:r>
        <w:t>Table 9 summarises the response rates from the clinical trials considered in the submissions for infliximab, adalimumab and vedolizumab and continuation assumptions used to inform the financial estimates.</w:t>
      </w:r>
    </w:p>
    <w:p w14:paraId="5C9E95B6" w14:textId="77777777" w:rsidR="00B52E27" w:rsidRDefault="00B52E27" w:rsidP="00084FC3">
      <w:pPr>
        <w:spacing w:before="240" w:after="240" w:line="300" w:lineRule="atLeast"/>
        <w:rPr>
          <w:b/>
        </w:rPr>
      </w:pPr>
    </w:p>
    <w:p w14:paraId="4CBF181A" w14:textId="2BFE2082" w:rsidR="001A67CD" w:rsidRPr="001A67CD" w:rsidRDefault="001A67CD" w:rsidP="00084FC3">
      <w:pPr>
        <w:spacing w:before="240" w:after="240" w:line="300" w:lineRule="atLeast"/>
        <w:rPr>
          <w:b/>
        </w:rPr>
      </w:pPr>
      <w:r>
        <w:rPr>
          <w:b/>
        </w:rPr>
        <w:lastRenderedPageBreak/>
        <w:t>**** Committee-in-confidence ****</w:t>
      </w:r>
    </w:p>
    <w:p w14:paraId="3B8BBAF8" w14:textId="3FE92614" w:rsidR="009F16C2" w:rsidRPr="009F16C2" w:rsidRDefault="00BF2E95" w:rsidP="00B52E27">
      <w:pPr>
        <w:spacing w:before="200" w:after="20" w:line="300" w:lineRule="atLeast"/>
      </w:pPr>
      <w:r>
        <w:rPr>
          <w:b/>
        </w:rPr>
        <w:t>Tab</w:t>
      </w:r>
      <w:r w:rsidR="00827AEC">
        <w:rPr>
          <w:b/>
        </w:rPr>
        <w:t>le 9</w:t>
      </w:r>
      <w:r w:rsidRPr="00731076">
        <w:rPr>
          <w:b/>
        </w:rPr>
        <w:t xml:space="preserve">: </w:t>
      </w:r>
      <w:r w:rsidR="00445763">
        <w:rPr>
          <w:b/>
        </w:rPr>
        <w:t>Clinical trial response rates and continuation assumptions used for the financial estimates</w:t>
      </w:r>
    </w:p>
    <w:tbl>
      <w:tblPr>
        <w:tblW w:w="8808" w:type="dxa"/>
        <w:tblInd w:w="93" w:type="dxa"/>
        <w:tblLook w:val="04A0" w:firstRow="1" w:lastRow="0" w:firstColumn="1" w:lastColumn="0" w:noHBand="0" w:noVBand="1"/>
      </w:tblPr>
      <w:tblGrid>
        <w:gridCol w:w="2620"/>
        <w:gridCol w:w="1223"/>
        <w:gridCol w:w="1842"/>
        <w:gridCol w:w="3123"/>
      </w:tblGrid>
      <w:tr w:rsidR="00111580" w:rsidRPr="00111580" w14:paraId="5210ABF7" w14:textId="77777777" w:rsidTr="00B52E27">
        <w:trPr>
          <w:trHeight w:val="405"/>
          <w:tblHeader/>
        </w:trPr>
        <w:tc>
          <w:tcPr>
            <w:tcW w:w="2620" w:type="dxa"/>
            <w:tcBorders>
              <w:top w:val="nil"/>
              <w:left w:val="nil"/>
              <w:bottom w:val="nil"/>
              <w:right w:val="nil"/>
            </w:tcBorders>
            <w:shd w:val="clear" w:color="auto" w:fill="auto"/>
            <w:noWrap/>
            <w:hideMark/>
          </w:tcPr>
          <w:p w14:paraId="4F05645C" w14:textId="77777777" w:rsidR="00111580" w:rsidRPr="00111580" w:rsidRDefault="00111580" w:rsidP="00111580">
            <w:pPr>
              <w:spacing w:after="0"/>
              <w:rPr>
                <w:rFonts w:ascii="Calibri" w:eastAsia="Times New Roman" w:hAnsi="Calibri" w:cs="Times New Roman"/>
                <w:sz w:val="20"/>
                <w:szCs w:val="20"/>
              </w:rPr>
            </w:pPr>
          </w:p>
        </w:tc>
        <w:tc>
          <w:tcPr>
            <w:tcW w:w="1223" w:type="dxa"/>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14:paraId="1CE7F8C3" w14:textId="77777777" w:rsidR="00111580" w:rsidRPr="00111580" w:rsidRDefault="00111580" w:rsidP="00B52E27">
            <w:pPr>
              <w:spacing w:after="0"/>
              <w:jc w:val="center"/>
              <w:rPr>
                <w:rFonts w:ascii="Calibri" w:eastAsia="Times New Roman" w:hAnsi="Calibri" w:cs="Times New Roman"/>
                <w:b/>
                <w:bCs/>
                <w:sz w:val="20"/>
                <w:szCs w:val="20"/>
              </w:rPr>
            </w:pPr>
            <w:r w:rsidRPr="00111580">
              <w:rPr>
                <w:rFonts w:ascii="Calibri" w:eastAsia="Times New Roman" w:hAnsi="Calibri" w:cs="Times New Roman"/>
                <w:b/>
                <w:bCs/>
                <w:sz w:val="20"/>
                <w:szCs w:val="20"/>
              </w:rPr>
              <w:t>Trial</w:t>
            </w:r>
          </w:p>
        </w:tc>
        <w:tc>
          <w:tcPr>
            <w:tcW w:w="1842" w:type="dxa"/>
            <w:tcBorders>
              <w:top w:val="single" w:sz="4" w:space="0" w:color="auto"/>
              <w:left w:val="nil"/>
              <w:bottom w:val="nil"/>
              <w:right w:val="single" w:sz="4" w:space="0" w:color="auto"/>
            </w:tcBorders>
            <w:shd w:val="clear" w:color="auto" w:fill="BFBFBF" w:themeFill="background1" w:themeFillShade="BF"/>
            <w:noWrap/>
            <w:vAlign w:val="center"/>
            <w:hideMark/>
          </w:tcPr>
          <w:p w14:paraId="0A3F146E" w14:textId="77777777" w:rsidR="00111580" w:rsidRPr="00111580" w:rsidRDefault="00111580" w:rsidP="00B52E27">
            <w:pPr>
              <w:spacing w:after="0"/>
              <w:jc w:val="center"/>
              <w:rPr>
                <w:rFonts w:ascii="Calibri" w:eastAsia="Times New Roman" w:hAnsi="Calibri" w:cs="Times New Roman"/>
                <w:b/>
                <w:bCs/>
                <w:sz w:val="20"/>
                <w:szCs w:val="20"/>
              </w:rPr>
            </w:pPr>
            <w:r w:rsidRPr="00111580">
              <w:rPr>
                <w:rFonts w:ascii="Calibri" w:eastAsia="Times New Roman" w:hAnsi="Calibri" w:cs="Times New Roman"/>
                <w:b/>
                <w:bCs/>
                <w:sz w:val="20"/>
                <w:szCs w:val="20"/>
              </w:rPr>
              <w:t>Trial-based response rate</w:t>
            </w:r>
          </w:p>
        </w:tc>
        <w:tc>
          <w:tcPr>
            <w:tcW w:w="3123" w:type="dxa"/>
            <w:tcBorders>
              <w:top w:val="single" w:sz="4" w:space="0" w:color="auto"/>
              <w:left w:val="nil"/>
              <w:bottom w:val="nil"/>
              <w:right w:val="single" w:sz="4" w:space="0" w:color="auto"/>
            </w:tcBorders>
            <w:shd w:val="clear" w:color="auto" w:fill="BFBFBF" w:themeFill="background1" w:themeFillShade="BF"/>
            <w:noWrap/>
            <w:vAlign w:val="center"/>
            <w:hideMark/>
          </w:tcPr>
          <w:p w14:paraId="30FF6D4B" w14:textId="77777777" w:rsidR="00111580" w:rsidRPr="00111580" w:rsidRDefault="00111580" w:rsidP="00B52E27">
            <w:pPr>
              <w:spacing w:after="0"/>
              <w:jc w:val="center"/>
              <w:rPr>
                <w:rFonts w:ascii="Calibri" w:eastAsia="Times New Roman" w:hAnsi="Calibri" w:cs="Times New Roman"/>
                <w:b/>
                <w:bCs/>
                <w:sz w:val="20"/>
                <w:szCs w:val="20"/>
              </w:rPr>
            </w:pPr>
            <w:r w:rsidRPr="00111580">
              <w:rPr>
                <w:rFonts w:ascii="Calibri" w:eastAsia="Times New Roman" w:hAnsi="Calibri" w:cs="Times New Roman"/>
                <w:b/>
                <w:bCs/>
                <w:sz w:val="20"/>
                <w:szCs w:val="20"/>
              </w:rPr>
              <w:t>Continuation assumptions for the financial estimates</w:t>
            </w:r>
          </w:p>
        </w:tc>
      </w:tr>
      <w:tr w:rsidR="00111580" w:rsidRPr="00111580" w14:paraId="07FEA55E" w14:textId="77777777" w:rsidTr="00B52E27">
        <w:trPr>
          <w:trHeight w:val="480"/>
        </w:trPr>
        <w:tc>
          <w:tcPr>
            <w:tcW w:w="3843" w:type="dxa"/>
            <w:gridSpan w:val="2"/>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4A1F4C6" w14:textId="77777777" w:rsidR="00111580" w:rsidRPr="00111580" w:rsidRDefault="00111580" w:rsidP="00B52E27">
            <w:pPr>
              <w:spacing w:after="0"/>
              <w:rPr>
                <w:rFonts w:ascii="Calibri" w:eastAsia="Times New Roman" w:hAnsi="Calibri" w:cs="Times New Roman"/>
                <w:b/>
                <w:bCs/>
                <w:sz w:val="20"/>
                <w:szCs w:val="20"/>
              </w:rPr>
            </w:pPr>
            <w:r w:rsidRPr="00111580">
              <w:rPr>
                <w:rFonts w:ascii="Calibri" w:eastAsia="Times New Roman" w:hAnsi="Calibri" w:cs="Times New Roman"/>
                <w:b/>
                <w:bCs/>
                <w:sz w:val="20"/>
                <w:szCs w:val="20"/>
              </w:rPr>
              <w:t>Adult severe refractory Crohn disease</w:t>
            </w:r>
          </w:p>
        </w:tc>
        <w:tc>
          <w:tcPr>
            <w:tcW w:w="1842" w:type="dxa"/>
            <w:tcBorders>
              <w:top w:val="single" w:sz="4" w:space="0" w:color="auto"/>
              <w:left w:val="nil"/>
              <w:bottom w:val="single" w:sz="4" w:space="0" w:color="auto"/>
              <w:right w:val="nil"/>
            </w:tcBorders>
            <w:shd w:val="clear" w:color="auto" w:fill="F2F2F2" w:themeFill="background1" w:themeFillShade="F2"/>
            <w:noWrap/>
            <w:hideMark/>
          </w:tcPr>
          <w:p w14:paraId="34384C29"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c>
          <w:tcPr>
            <w:tcW w:w="3123"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6ECEA0E0"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r>
      <w:tr w:rsidR="00F92847" w:rsidRPr="00111580" w14:paraId="7C0A7144" w14:textId="77777777" w:rsidTr="00B52E27">
        <w:trPr>
          <w:trHeight w:val="42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F1AC184" w14:textId="7379B582" w:rsidR="00F92847" w:rsidRPr="00111580" w:rsidRDefault="00F92847" w:rsidP="00B52E27">
            <w:pPr>
              <w:spacing w:after="0"/>
              <w:rPr>
                <w:rFonts w:ascii="Calibri" w:eastAsia="Times New Roman" w:hAnsi="Calibri" w:cs="Times New Roman"/>
                <w:sz w:val="20"/>
                <w:szCs w:val="20"/>
                <w:vertAlign w:val="superscript"/>
              </w:rPr>
            </w:pPr>
            <w:r w:rsidRPr="00111580">
              <w:rPr>
                <w:rFonts w:ascii="Calibri" w:eastAsia="Times New Roman" w:hAnsi="Calibri" w:cs="Times New Roman"/>
                <w:sz w:val="20"/>
                <w:szCs w:val="20"/>
              </w:rPr>
              <w:t>Infliximab</w:t>
            </w:r>
          </w:p>
        </w:tc>
        <w:tc>
          <w:tcPr>
            <w:tcW w:w="1223" w:type="dxa"/>
            <w:tcBorders>
              <w:top w:val="nil"/>
              <w:left w:val="nil"/>
              <w:bottom w:val="single" w:sz="4" w:space="0" w:color="auto"/>
              <w:right w:val="single" w:sz="4" w:space="0" w:color="auto"/>
            </w:tcBorders>
            <w:shd w:val="clear" w:color="auto" w:fill="auto"/>
            <w:noWrap/>
            <w:hideMark/>
          </w:tcPr>
          <w:p w14:paraId="507ED1E6" w14:textId="15DA3124" w:rsidR="00F92847" w:rsidRPr="00111580" w:rsidRDefault="00F92847" w:rsidP="00111580">
            <w:pPr>
              <w:spacing w:after="0"/>
              <w:rPr>
                <w:rFonts w:ascii="Calibri" w:eastAsia="Times New Roman" w:hAnsi="Calibri" w:cs="Times New Roman"/>
                <w:sz w:val="20"/>
                <w:szCs w:val="20"/>
              </w:rPr>
            </w:pPr>
            <w:r w:rsidRPr="005C0178">
              <w:rPr>
                <w:rFonts w:ascii="Calibri" w:eastAsia="Times New Roman" w:hAnsi="Calibri" w:cs="Times New Roman"/>
                <w:sz w:val="20"/>
                <w:szCs w:val="20"/>
                <w:highlight w:val="black"/>
              </w:rPr>
              <w:t>XXXXXXX</w:t>
            </w:r>
          </w:p>
        </w:tc>
        <w:tc>
          <w:tcPr>
            <w:tcW w:w="1842" w:type="dxa"/>
            <w:tcBorders>
              <w:top w:val="nil"/>
              <w:left w:val="nil"/>
              <w:bottom w:val="single" w:sz="4" w:space="0" w:color="auto"/>
              <w:right w:val="single" w:sz="4" w:space="0" w:color="auto"/>
            </w:tcBorders>
            <w:shd w:val="clear" w:color="auto" w:fill="auto"/>
            <w:noWrap/>
            <w:hideMark/>
          </w:tcPr>
          <w:p w14:paraId="6D43CFF2"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2C474271" w14:textId="5D8D6C2D" w:rsidR="00F92847" w:rsidRPr="00111580" w:rsidRDefault="00F92847" w:rsidP="00755C6D">
            <w:pPr>
              <w:spacing w:after="0"/>
              <w:rPr>
                <w:rFonts w:ascii="Calibri" w:eastAsia="Times New Roman" w:hAnsi="Calibri" w:cs="Times New Roman"/>
                <w:sz w:val="20"/>
                <w:szCs w:val="20"/>
              </w:rPr>
            </w:pPr>
            <w:r w:rsidRPr="005C0178">
              <w:rPr>
                <w:rFonts w:ascii="Calibri" w:eastAsia="Times New Roman" w:hAnsi="Calibri" w:cs="Times New Roman"/>
                <w:sz w:val="20"/>
                <w:szCs w:val="20"/>
                <w:highlight w:val="black"/>
              </w:rPr>
              <w:t>XXXXXXXXXXXXXXX</w:t>
            </w:r>
          </w:p>
        </w:tc>
        <w:tc>
          <w:tcPr>
            <w:tcW w:w="3123" w:type="dxa"/>
            <w:tcBorders>
              <w:top w:val="nil"/>
              <w:left w:val="nil"/>
              <w:bottom w:val="single" w:sz="4" w:space="0" w:color="auto"/>
              <w:right w:val="single" w:sz="4" w:space="0" w:color="auto"/>
            </w:tcBorders>
            <w:shd w:val="clear" w:color="auto" w:fill="auto"/>
            <w:noWrap/>
            <w:hideMark/>
          </w:tcPr>
          <w:p w14:paraId="157BDE88" w14:textId="77777777" w:rsidR="00F92847" w:rsidRPr="005C0178" w:rsidRDefault="00F92847" w:rsidP="001A5053">
            <w:pPr>
              <w:spacing w:after="0"/>
              <w:rPr>
                <w:rFonts w:ascii="Calibri" w:hAnsi="Calibri" w:cs="Calibri"/>
                <w:color w:val="000000" w:themeColor="text1"/>
                <w:sz w:val="20"/>
                <w:szCs w:val="20"/>
                <w:highlight w:val="black"/>
              </w:rPr>
            </w:pPr>
            <w:r w:rsidRPr="005C0178">
              <w:rPr>
                <w:rFonts w:ascii="Calibri" w:hAnsi="Calibri" w:cs="Calibri"/>
                <w:color w:val="000000" w:themeColor="text1"/>
                <w:sz w:val="20"/>
                <w:szCs w:val="20"/>
                <w:highlight w:val="black"/>
              </w:rPr>
              <w:t>XXXXXXXXXXXXX</w:t>
            </w:r>
          </w:p>
          <w:p w14:paraId="4C14B543" w14:textId="77777777" w:rsidR="00F92847" w:rsidRPr="005C0178" w:rsidRDefault="00F92847" w:rsidP="001A5053">
            <w:pPr>
              <w:spacing w:after="0"/>
              <w:rPr>
                <w:rFonts w:ascii="Calibri" w:hAnsi="Calibri" w:cs="Calibri"/>
                <w:color w:val="000000" w:themeColor="text1"/>
                <w:sz w:val="20"/>
                <w:szCs w:val="20"/>
                <w:highlight w:val="black"/>
              </w:rPr>
            </w:pPr>
            <w:r w:rsidRPr="005C0178">
              <w:rPr>
                <w:rFonts w:ascii="Calibri" w:hAnsi="Calibri" w:cs="Calibri"/>
                <w:color w:val="000000" w:themeColor="text1"/>
                <w:sz w:val="20"/>
                <w:szCs w:val="20"/>
                <w:highlight w:val="black"/>
              </w:rPr>
              <w:t>XXXXXXXXXXXXXX</w:t>
            </w:r>
          </w:p>
          <w:p w14:paraId="517AAB79" w14:textId="77777777" w:rsidR="00F92847" w:rsidRPr="005C0178" w:rsidRDefault="00F92847" w:rsidP="001A5053">
            <w:pPr>
              <w:spacing w:after="0"/>
              <w:rPr>
                <w:rFonts w:ascii="Calibri" w:hAnsi="Calibri" w:cs="Calibri"/>
                <w:color w:val="000000" w:themeColor="text1"/>
                <w:sz w:val="20"/>
                <w:szCs w:val="20"/>
                <w:highlight w:val="black"/>
              </w:rPr>
            </w:pPr>
            <w:r w:rsidRPr="005C0178">
              <w:rPr>
                <w:rFonts w:ascii="Calibri" w:hAnsi="Calibri" w:cs="Calibri"/>
                <w:color w:val="000000" w:themeColor="text1"/>
                <w:sz w:val="20"/>
                <w:szCs w:val="20"/>
                <w:highlight w:val="black"/>
              </w:rPr>
              <w:t>XXXXXXXXXXXXXXXXXXXXXXXXXXX</w:t>
            </w:r>
          </w:p>
          <w:p w14:paraId="6A111C84" w14:textId="77777777" w:rsidR="00F92847" w:rsidRPr="005C0178" w:rsidRDefault="00F92847" w:rsidP="001A5053">
            <w:pPr>
              <w:spacing w:after="0"/>
              <w:rPr>
                <w:rFonts w:ascii="Calibri" w:hAnsi="Calibri" w:cs="Calibri"/>
                <w:color w:val="000000" w:themeColor="text1"/>
                <w:sz w:val="20"/>
                <w:szCs w:val="20"/>
                <w:highlight w:val="black"/>
              </w:rPr>
            </w:pPr>
            <w:r w:rsidRPr="005C0178">
              <w:rPr>
                <w:rFonts w:ascii="Calibri" w:hAnsi="Calibri" w:cs="Calibri"/>
                <w:color w:val="000000" w:themeColor="text1"/>
                <w:sz w:val="20"/>
                <w:szCs w:val="20"/>
                <w:highlight w:val="black"/>
              </w:rPr>
              <w:t>XXXXXXXXXXXXXXXX</w:t>
            </w:r>
          </w:p>
          <w:p w14:paraId="44CCB361" w14:textId="2D7FF2CF" w:rsidR="00F92847" w:rsidRPr="00111580" w:rsidRDefault="00F92847" w:rsidP="008B24FF">
            <w:pPr>
              <w:spacing w:after="0"/>
              <w:rPr>
                <w:rFonts w:ascii="Calibri" w:eastAsia="Times New Roman" w:hAnsi="Calibri" w:cs="Times New Roman"/>
                <w:sz w:val="20"/>
                <w:szCs w:val="20"/>
              </w:rPr>
            </w:pPr>
            <w:r w:rsidRPr="005C0178">
              <w:rPr>
                <w:rFonts w:ascii="Calibri" w:hAnsi="Calibri" w:cs="Calibri"/>
                <w:color w:val="000000" w:themeColor="text1"/>
                <w:sz w:val="20"/>
                <w:szCs w:val="20"/>
                <w:highlight w:val="black"/>
              </w:rPr>
              <w:t>XXXXXXXXXXXXXXXXXXXXXX</w:t>
            </w:r>
          </w:p>
        </w:tc>
      </w:tr>
      <w:tr w:rsidR="00F92847" w:rsidRPr="00111580" w14:paraId="2CD7F08B" w14:textId="77777777" w:rsidTr="00B52E27">
        <w:trPr>
          <w:trHeight w:val="465"/>
        </w:trPr>
        <w:tc>
          <w:tcPr>
            <w:tcW w:w="2620" w:type="dxa"/>
            <w:tcBorders>
              <w:top w:val="single" w:sz="4" w:space="0" w:color="auto"/>
              <w:left w:val="single" w:sz="4" w:space="0" w:color="auto"/>
              <w:right w:val="single" w:sz="4" w:space="0" w:color="auto"/>
            </w:tcBorders>
            <w:shd w:val="clear" w:color="auto" w:fill="auto"/>
            <w:noWrap/>
            <w:vAlign w:val="center"/>
            <w:hideMark/>
          </w:tcPr>
          <w:p w14:paraId="37A84686" w14:textId="466EA083" w:rsidR="00F92847" w:rsidRPr="00111580" w:rsidRDefault="00F92847" w:rsidP="00B52E27">
            <w:pPr>
              <w:spacing w:after="0"/>
              <w:rPr>
                <w:rFonts w:ascii="Calibri" w:eastAsia="Times New Roman" w:hAnsi="Calibri" w:cs="Times New Roman"/>
                <w:sz w:val="20"/>
                <w:szCs w:val="20"/>
                <w:vertAlign w:val="superscript"/>
              </w:rPr>
            </w:pPr>
            <w:r w:rsidRPr="00111580">
              <w:rPr>
                <w:rFonts w:ascii="Calibri" w:eastAsia="Times New Roman" w:hAnsi="Calibri" w:cs="Times New Roman"/>
                <w:sz w:val="20"/>
                <w:szCs w:val="20"/>
              </w:rPr>
              <w:t>Adalimumab</w:t>
            </w:r>
          </w:p>
        </w:tc>
        <w:tc>
          <w:tcPr>
            <w:tcW w:w="1223" w:type="dxa"/>
            <w:tcBorders>
              <w:top w:val="nil"/>
              <w:left w:val="nil"/>
              <w:bottom w:val="single" w:sz="4" w:space="0" w:color="auto"/>
              <w:right w:val="single" w:sz="4" w:space="0" w:color="auto"/>
            </w:tcBorders>
            <w:shd w:val="clear" w:color="auto" w:fill="auto"/>
            <w:noWrap/>
            <w:hideMark/>
          </w:tcPr>
          <w:p w14:paraId="4DA65015" w14:textId="45B234CA" w:rsidR="00F92847" w:rsidRPr="00111580" w:rsidRDefault="00F92847"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9B6C68">
              <w:rPr>
                <w:rFonts w:ascii="Calibri" w:eastAsia="Times New Roman" w:hAnsi="Calibri" w:cs="Times New Roman"/>
                <w:sz w:val="20"/>
                <w:szCs w:val="20"/>
                <w:highlight w:val="black"/>
              </w:rPr>
              <w:t>XXXXX</w:t>
            </w:r>
          </w:p>
        </w:tc>
        <w:tc>
          <w:tcPr>
            <w:tcW w:w="1842" w:type="dxa"/>
            <w:tcBorders>
              <w:top w:val="nil"/>
              <w:left w:val="nil"/>
              <w:bottom w:val="single" w:sz="4" w:space="0" w:color="auto"/>
              <w:right w:val="single" w:sz="4" w:space="0" w:color="auto"/>
            </w:tcBorders>
            <w:shd w:val="clear" w:color="auto" w:fill="auto"/>
            <w:noWrap/>
            <w:hideMark/>
          </w:tcPr>
          <w:p w14:paraId="04F4A4AD" w14:textId="77777777" w:rsidR="00F92847" w:rsidRPr="009B6C68" w:rsidRDefault="00F92847" w:rsidP="001A5053">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385E2E7B" w14:textId="77777777" w:rsidR="00F92847" w:rsidRPr="009B6C68" w:rsidRDefault="00F92847" w:rsidP="001A5053">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005B0176" w14:textId="1029EFEA" w:rsidR="00F92847" w:rsidRPr="00111580" w:rsidRDefault="00F92847" w:rsidP="00755C6D">
            <w:pPr>
              <w:spacing w:after="0"/>
              <w:rPr>
                <w:rFonts w:ascii="Calibri" w:eastAsia="Times New Roman" w:hAnsi="Calibri" w:cs="Times New Roman"/>
                <w:sz w:val="20"/>
                <w:szCs w:val="20"/>
              </w:rPr>
            </w:pPr>
            <w:r w:rsidRPr="009B6C68">
              <w:rPr>
                <w:rFonts w:ascii="Calibri" w:hAnsi="Calibri" w:cs="Calibri"/>
                <w:color w:val="000000" w:themeColor="text1"/>
                <w:sz w:val="20"/>
                <w:szCs w:val="20"/>
                <w:highlight w:val="black"/>
              </w:rPr>
              <w:t>XXXXXXXXXXXXX</w:t>
            </w:r>
          </w:p>
        </w:tc>
        <w:tc>
          <w:tcPr>
            <w:tcW w:w="3123" w:type="dxa"/>
            <w:tcBorders>
              <w:top w:val="single" w:sz="4" w:space="0" w:color="auto"/>
              <w:left w:val="nil"/>
              <w:right w:val="single" w:sz="4" w:space="0" w:color="auto"/>
            </w:tcBorders>
            <w:shd w:val="clear" w:color="auto" w:fill="auto"/>
            <w:noWrap/>
            <w:hideMark/>
          </w:tcPr>
          <w:p w14:paraId="326F28B1" w14:textId="77777777" w:rsidR="00F92847" w:rsidRPr="009B6C68" w:rsidRDefault="00F92847" w:rsidP="00F92847">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6D78D88D" w14:textId="77777777" w:rsidR="00F92847" w:rsidRPr="009B6C68" w:rsidRDefault="00F92847" w:rsidP="00F92847">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3E53B873" w14:textId="501899A6" w:rsidR="00F92847" w:rsidRPr="00111580" w:rsidRDefault="00F92847" w:rsidP="00F92847">
            <w:pPr>
              <w:spacing w:after="0"/>
              <w:rPr>
                <w:rFonts w:ascii="Calibri" w:eastAsia="Times New Roman" w:hAnsi="Calibri" w:cs="Times New Roman"/>
                <w:sz w:val="20"/>
                <w:szCs w:val="20"/>
              </w:rPr>
            </w:pPr>
            <w:r w:rsidRPr="009B6C68">
              <w:rPr>
                <w:rFonts w:ascii="Calibri" w:hAnsi="Calibri" w:cs="Calibri"/>
                <w:color w:val="000000" w:themeColor="text1"/>
                <w:sz w:val="20"/>
                <w:szCs w:val="20"/>
                <w:highlight w:val="black"/>
              </w:rPr>
              <w:t>XXXXXXXXXXXXX</w:t>
            </w:r>
          </w:p>
        </w:tc>
      </w:tr>
      <w:tr w:rsidR="00F92847" w:rsidRPr="00111580" w14:paraId="1F5ECAD0" w14:textId="77777777" w:rsidTr="00B52E27">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634CE52D" w14:textId="77777777" w:rsidR="00F92847" w:rsidRPr="00111580" w:rsidRDefault="00F92847" w:rsidP="00B52E27">
            <w:pPr>
              <w:spacing w:after="0"/>
              <w:rPr>
                <w:rFonts w:ascii="Calibri" w:eastAsia="Times New Roman" w:hAnsi="Calibri" w:cs="Times New Roman"/>
                <w:sz w:val="20"/>
                <w:szCs w:val="20"/>
              </w:rPr>
            </w:pPr>
          </w:p>
        </w:tc>
        <w:tc>
          <w:tcPr>
            <w:tcW w:w="1223" w:type="dxa"/>
            <w:tcBorders>
              <w:top w:val="nil"/>
              <w:left w:val="nil"/>
              <w:bottom w:val="single" w:sz="4" w:space="0" w:color="auto"/>
              <w:right w:val="single" w:sz="4" w:space="0" w:color="auto"/>
            </w:tcBorders>
            <w:shd w:val="clear" w:color="auto" w:fill="auto"/>
            <w:noWrap/>
          </w:tcPr>
          <w:p w14:paraId="1800DB66" w14:textId="60A00D56" w:rsidR="00F92847" w:rsidRPr="00111580" w:rsidRDefault="00F92847"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9B6C68">
              <w:rPr>
                <w:rFonts w:ascii="Calibri" w:eastAsia="Times New Roman" w:hAnsi="Calibri" w:cs="Times New Roman"/>
                <w:sz w:val="20"/>
                <w:szCs w:val="20"/>
                <w:highlight w:val="black"/>
              </w:rPr>
              <w:t>XXXXX</w:t>
            </w:r>
          </w:p>
        </w:tc>
        <w:tc>
          <w:tcPr>
            <w:tcW w:w="1842" w:type="dxa"/>
            <w:tcBorders>
              <w:top w:val="nil"/>
              <w:left w:val="nil"/>
              <w:bottom w:val="single" w:sz="4" w:space="0" w:color="auto"/>
              <w:right w:val="single" w:sz="4" w:space="0" w:color="auto"/>
            </w:tcBorders>
            <w:shd w:val="clear" w:color="auto" w:fill="auto"/>
            <w:noWrap/>
          </w:tcPr>
          <w:p w14:paraId="33E5A592" w14:textId="77777777" w:rsidR="00F92847" w:rsidRPr="009B6C68" w:rsidRDefault="00F92847" w:rsidP="001A5053">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0C0DA969" w14:textId="77777777" w:rsidR="00F92847" w:rsidRPr="009B6C68" w:rsidRDefault="00F92847" w:rsidP="001A5053">
            <w:pPr>
              <w:spacing w:after="0"/>
              <w:rPr>
                <w:rFonts w:ascii="Calibri" w:hAnsi="Calibri" w:cs="Calibri"/>
                <w:color w:val="000000" w:themeColor="text1"/>
                <w:sz w:val="20"/>
                <w:szCs w:val="20"/>
                <w:highlight w:val="black"/>
              </w:rPr>
            </w:pPr>
            <w:r w:rsidRPr="009B6C68">
              <w:rPr>
                <w:rFonts w:ascii="Calibri" w:hAnsi="Calibri" w:cs="Calibri"/>
                <w:color w:val="000000" w:themeColor="text1"/>
                <w:sz w:val="20"/>
                <w:szCs w:val="20"/>
                <w:highlight w:val="black"/>
              </w:rPr>
              <w:t>XXXXXXXXXXXXX</w:t>
            </w:r>
          </w:p>
          <w:p w14:paraId="73ED88AE" w14:textId="0328CCAF" w:rsidR="00F92847" w:rsidRPr="00755C6D" w:rsidRDefault="00F92847" w:rsidP="00461B43">
            <w:pPr>
              <w:autoSpaceDE w:val="0"/>
              <w:autoSpaceDN w:val="0"/>
              <w:adjustRightInd w:val="0"/>
              <w:spacing w:before="60" w:after="60"/>
              <w:rPr>
                <w:rFonts w:ascii="Calibri" w:hAnsi="Calibri" w:cs="Calibri"/>
                <w:color w:val="000000" w:themeColor="text1"/>
                <w:sz w:val="20"/>
                <w:szCs w:val="20"/>
              </w:rPr>
            </w:pPr>
            <w:r w:rsidRPr="009B6C68">
              <w:rPr>
                <w:rFonts w:ascii="Calibri" w:hAnsi="Calibri" w:cs="Calibri"/>
                <w:color w:val="000000" w:themeColor="text1"/>
                <w:sz w:val="20"/>
                <w:szCs w:val="20"/>
                <w:highlight w:val="black"/>
              </w:rPr>
              <w:t>XXXXXXXXXXXXX</w:t>
            </w:r>
          </w:p>
        </w:tc>
        <w:tc>
          <w:tcPr>
            <w:tcW w:w="3123" w:type="dxa"/>
            <w:tcBorders>
              <w:top w:val="nil"/>
              <w:left w:val="nil"/>
              <w:bottom w:val="single" w:sz="4" w:space="0" w:color="auto"/>
              <w:right w:val="single" w:sz="4" w:space="0" w:color="auto"/>
            </w:tcBorders>
            <w:shd w:val="clear" w:color="auto" w:fill="auto"/>
            <w:noWrap/>
          </w:tcPr>
          <w:p w14:paraId="7AA176FD" w14:textId="77777777" w:rsidR="00F92847" w:rsidRPr="00111580" w:rsidRDefault="00F92847" w:rsidP="009130B3">
            <w:pPr>
              <w:autoSpaceDE w:val="0"/>
              <w:autoSpaceDN w:val="0"/>
              <w:adjustRightInd w:val="0"/>
              <w:spacing w:before="60" w:after="60"/>
              <w:rPr>
                <w:rFonts w:ascii="Calibri" w:eastAsia="Times New Roman" w:hAnsi="Calibri" w:cs="Times New Roman"/>
                <w:color w:val="000000" w:themeColor="text1"/>
                <w:sz w:val="20"/>
                <w:szCs w:val="20"/>
              </w:rPr>
            </w:pPr>
          </w:p>
        </w:tc>
      </w:tr>
      <w:tr w:rsidR="00111580" w:rsidRPr="00111580" w14:paraId="135CB07B" w14:textId="77777777" w:rsidTr="00B52E27">
        <w:trPr>
          <w:trHeight w:val="42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333C169" w14:textId="0725B12D" w:rsidR="00111580" w:rsidRPr="00111580" w:rsidRDefault="00111580" w:rsidP="00B52E27">
            <w:pPr>
              <w:spacing w:after="0"/>
              <w:rPr>
                <w:rFonts w:ascii="Calibri" w:eastAsia="Times New Roman" w:hAnsi="Calibri" w:cs="Times New Roman"/>
                <w:sz w:val="20"/>
                <w:szCs w:val="20"/>
                <w:vertAlign w:val="superscript"/>
              </w:rPr>
            </w:pPr>
            <w:r w:rsidRPr="00111580">
              <w:rPr>
                <w:rFonts w:ascii="Calibri" w:eastAsia="Times New Roman" w:hAnsi="Calibri" w:cs="Times New Roman"/>
                <w:sz w:val="20"/>
                <w:szCs w:val="20"/>
              </w:rPr>
              <w:t>Vedolizumab</w:t>
            </w:r>
          </w:p>
        </w:tc>
        <w:tc>
          <w:tcPr>
            <w:tcW w:w="1223" w:type="dxa"/>
            <w:tcBorders>
              <w:top w:val="nil"/>
              <w:left w:val="nil"/>
              <w:bottom w:val="single" w:sz="4" w:space="0" w:color="auto"/>
              <w:right w:val="single" w:sz="4" w:space="0" w:color="auto"/>
            </w:tcBorders>
            <w:shd w:val="clear" w:color="auto" w:fill="auto"/>
            <w:noWrap/>
            <w:hideMark/>
          </w:tcPr>
          <w:p w14:paraId="238FCCD6" w14:textId="0902B9EF" w:rsidR="00111580" w:rsidRPr="00111580" w:rsidRDefault="00111580" w:rsidP="00384526">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00384526" w:rsidRPr="00111580">
              <w:rPr>
                <w:rFonts w:ascii="Calibri" w:eastAsia="Times New Roman" w:hAnsi="Calibri" w:cs="Times New Roman"/>
                <w:sz w:val="20"/>
                <w:szCs w:val="20"/>
              </w:rPr>
              <w:t> </w:t>
            </w:r>
            <w:r w:rsidR="00384526" w:rsidRPr="009B6C68">
              <w:rPr>
                <w:rFonts w:ascii="Calibri" w:eastAsia="Times New Roman" w:hAnsi="Calibri" w:cs="Times New Roman"/>
                <w:sz w:val="20"/>
                <w:szCs w:val="20"/>
                <w:highlight w:val="black"/>
              </w:rPr>
              <w:t>XXXXX</w:t>
            </w:r>
          </w:p>
        </w:tc>
        <w:tc>
          <w:tcPr>
            <w:tcW w:w="1842" w:type="dxa"/>
            <w:tcBorders>
              <w:top w:val="nil"/>
              <w:left w:val="nil"/>
              <w:bottom w:val="single" w:sz="4" w:space="0" w:color="auto"/>
              <w:right w:val="single" w:sz="4" w:space="0" w:color="auto"/>
            </w:tcBorders>
            <w:shd w:val="clear" w:color="auto" w:fill="auto"/>
            <w:noWrap/>
            <w:hideMark/>
          </w:tcPr>
          <w:p w14:paraId="31D39855" w14:textId="20001371" w:rsidR="00384526" w:rsidRPr="005C0178" w:rsidRDefault="00384526" w:rsidP="00384526">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5EB1F29A" w14:textId="1D87D35E" w:rsidR="00384526" w:rsidRPr="00111580" w:rsidRDefault="00384526" w:rsidP="00384526">
            <w:pPr>
              <w:spacing w:after="0"/>
              <w:rPr>
                <w:rFonts w:ascii="Calibri" w:eastAsia="Times New Roman" w:hAnsi="Calibri" w:cs="Times New Roman"/>
                <w:sz w:val="20"/>
                <w:szCs w:val="20"/>
              </w:rPr>
            </w:pPr>
            <w:r w:rsidRPr="005C0178">
              <w:rPr>
                <w:rFonts w:ascii="Calibri" w:eastAsia="Times New Roman" w:hAnsi="Calibri" w:cs="Times New Roman"/>
                <w:sz w:val="20"/>
                <w:szCs w:val="20"/>
                <w:highlight w:val="black"/>
              </w:rPr>
              <w:t>XXXXXXXXXXXXXXX</w:t>
            </w:r>
          </w:p>
        </w:tc>
        <w:tc>
          <w:tcPr>
            <w:tcW w:w="3123" w:type="dxa"/>
            <w:tcBorders>
              <w:top w:val="nil"/>
              <w:left w:val="nil"/>
              <w:bottom w:val="single" w:sz="4" w:space="0" w:color="auto"/>
              <w:right w:val="single" w:sz="4" w:space="0" w:color="auto"/>
            </w:tcBorders>
            <w:shd w:val="clear" w:color="auto" w:fill="auto"/>
            <w:noWrap/>
            <w:hideMark/>
          </w:tcPr>
          <w:p w14:paraId="6E5723AA" w14:textId="77777777" w:rsidR="00384526" w:rsidRPr="005C0178" w:rsidRDefault="00384526" w:rsidP="00384526">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6BB4D502" w14:textId="7EC4727E" w:rsidR="00111580" w:rsidRPr="00111580" w:rsidRDefault="00111580" w:rsidP="00111580">
            <w:pPr>
              <w:spacing w:after="0"/>
              <w:rPr>
                <w:rFonts w:ascii="Calibri" w:eastAsia="Times New Roman" w:hAnsi="Calibri" w:cs="Times New Roman"/>
                <w:sz w:val="20"/>
                <w:szCs w:val="20"/>
              </w:rPr>
            </w:pPr>
          </w:p>
        </w:tc>
      </w:tr>
      <w:tr w:rsidR="00111580" w:rsidRPr="00111580" w14:paraId="23DD7C88" w14:textId="77777777" w:rsidTr="00B52E27">
        <w:trPr>
          <w:trHeight w:val="360"/>
        </w:trPr>
        <w:tc>
          <w:tcPr>
            <w:tcW w:w="262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5EB10CF" w14:textId="0011618C" w:rsidR="00111580" w:rsidRPr="00111580" w:rsidRDefault="00111580" w:rsidP="00B52E27">
            <w:pPr>
              <w:spacing w:after="0"/>
              <w:rPr>
                <w:rFonts w:ascii="Calibri" w:eastAsia="Times New Roman" w:hAnsi="Calibri" w:cs="Times New Roman"/>
                <w:b/>
                <w:bCs/>
                <w:sz w:val="20"/>
                <w:szCs w:val="20"/>
              </w:rPr>
            </w:pPr>
            <w:r w:rsidRPr="00111580">
              <w:rPr>
                <w:rFonts w:ascii="Calibri" w:eastAsia="Times New Roman" w:hAnsi="Calibri" w:cs="Times New Roman"/>
                <w:b/>
                <w:bCs/>
                <w:sz w:val="20"/>
                <w:szCs w:val="20"/>
              </w:rPr>
              <w:t>Fistulising Crohn disease</w:t>
            </w:r>
          </w:p>
        </w:tc>
        <w:tc>
          <w:tcPr>
            <w:tcW w:w="1223" w:type="dxa"/>
            <w:tcBorders>
              <w:top w:val="single" w:sz="4" w:space="0" w:color="auto"/>
              <w:left w:val="nil"/>
              <w:bottom w:val="single" w:sz="4" w:space="0" w:color="auto"/>
              <w:right w:val="nil"/>
            </w:tcBorders>
            <w:shd w:val="clear" w:color="auto" w:fill="F2F2F2" w:themeFill="background1" w:themeFillShade="F2"/>
            <w:noWrap/>
            <w:hideMark/>
          </w:tcPr>
          <w:p w14:paraId="05F0C2E6"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c>
          <w:tcPr>
            <w:tcW w:w="1842" w:type="dxa"/>
            <w:tcBorders>
              <w:top w:val="single" w:sz="4" w:space="0" w:color="auto"/>
              <w:left w:val="nil"/>
              <w:bottom w:val="single" w:sz="4" w:space="0" w:color="auto"/>
              <w:right w:val="nil"/>
            </w:tcBorders>
            <w:shd w:val="clear" w:color="auto" w:fill="F2F2F2" w:themeFill="background1" w:themeFillShade="F2"/>
            <w:noWrap/>
            <w:hideMark/>
          </w:tcPr>
          <w:p w14:paraId="0071A20A"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c>
          <w:tcPr>
            <w:tcW w:w="3123"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261FAC1"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r>
      <w:tr w:rsidR="00F92847" w:rsidRPr="00111580" w14:paraId="03A0C59E" w14:textId="77777777" w:rsidTr="00B52E27">
        <w:trPr>
          <w:trHeight w:val="37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F3827" w14:textId="77777777" w:rsidR="00F92847" w:rsidRPr="00111580" w:rsidRDefault="00F92847" w:rsidP="00B52E27">
            <w:pPr>
              <w:spacing w:after="0"/>
              <w:rPr>
                <w:rFonts w:ascii="Calibri" w:eastAsia="Times New Roman" w:hAnsi="Calibri" w:cs="Times New Roman"/>
                <w:sz w:val="20"/>
                <w:szCs w:val="20"/>
              </w:rPr>
            </w:pPr>
            <w:r w:rsidRPr="00111580">
              <w:rPr>
                <w:rFonts w:ascii="Calibri" w:eastAsia="Times New Roman" w:hAnsi="Calibri" w:cs="Times New Roman"/>
                <w:sz w:val="20"/>
                <w:szCs w:val="20"/>
              </w:rPr>
              <w:t>Infliximab</w:t>
            </w:r>
          </w:p>
        </w:tc>
        <w:tc>
          <w:tcPr>
            <w:tcW w:w="1223" w:type="dxa"/>
            <w:tcBorders>
              <w:top w:val="single" w:sz="4" w:space="0" w:color="auto"/>
              <w:left w:val="nil"/>
              <w:bottom w:val="single" w:sz="4" w:space="0" w:color="auto"/>
              <w:right w:val="single" w:sz="4" w:space="0" w:color="auto"/>
            </w:tcBorders>
            <w:shd w:val="clear" w:color="auto" w:fill="auto"/>
            <w:noWrap/>
            <w:hideMark/>
          </w:tcPr>
          <w:p w14:paraId="5DD29771" w14:textId="77777777" w:rsidR="00F92847" w:rsidRDefault="00F92847" w:rsidP="001A5053">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5C0178">
              <w:rPr>
                <w:rFonts w:ascii="Calibri" w:eastAsia="Times New Roman" w:hAnsi="Calibri" w:cs="Times New Roman"/>
                <w:sz w:val="20"/>
                <w:szCs w:val="20"/>
                <w:highlight w:val="black"/>
              </w:rPr>
              <w:t>XXXXXXX</w:t>
            </w:r>
          </w:p>
          <w:p w14:paraId="1419D79F" w14:textId="1D4DCAE7" w:rsidR="00F92847" w:rsidRPr="00111580" w:rsidRDefault="00F92847" w:rsidP="00A347E7">
            <w:pPr>
              <w:spacing w:after="0"/>
              <w:rPr>
                <w:rFonts w:ascii="Calibri" w:eastAsia="Times New Roman" w:hAnsi="Calibri" w:cs="Times New Roman"/>
                <w:sz w:val="20"/>
                <w:szCs w:val="20"/>
              </w:rPr>
            </w:pPr>
          </w:p>
        </w:tc>
        <w:tc>
          <w:tcPr>
            <w:tcW w:w="1842" w:type="dxa"/>
            <w:tcBorders>
              <w:top w:val="single" w:sz="4" w:space="0" w:color="auto"/>
              <w:left w:val="nil"/>
              <w:bottom w:val="single" w:sz="4" w:space="0" w:color="auto"/>
              <w:right w:val="single" w:sz="4" w:space="0" w:color="auto"/>
            </w:tcBorders>
            <w:shd w:val="clear" w:color="auto" w:fill="auto"/>
            <w:noWrap/>
            <w:hideMark/>
          </w:tcPr>
          <w:p w14:paraId="7308BD36"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3E71A75F" w14:textId="294E26EE" w:rsidR="00F92847" w:rsidRPr="000F315C" w:rsidRDefault="00F92847" w:rsidP="00111580">
            <w:pPr>
              <w:spacing w:after="0"/>
              <w:rPr>
                <w:rFonts w:ascii="Arial" w:hAnsi="Arial" w:cs="Arial"/>
                <w:sz w:val="20"/>
                <w:szCs w:val="20"/>
                <w:vertAlign w:val="superscript"/>
              </w:rPr>
            </w:pPr>
          </w:p>
        </w:tc>
        <w:tc>
          <w:tcPr>
            <w:tcW w:w="3123" w:type="dxa"/>
            <w:tcBorders>
              <w:top w:val="single" w:sz="4" w:space="0" w:color="auto"/>
              <w:left w:val="nil"/>
              <w:bottom w:val="single" w:sz="4" w:space="0" w:color="auto"/>
              <w:right w:val="single" w:sz="4" w:space="0" w:color="auto"/>
            </w:tcBorders>
            <w:shd w:val="clear" w:color="auto" w:fill="auto"/>
            <w:noWrap/>
            <w:hideMark/>
          </w:tcPr>
          <w:p w14:paraId="314FC7CA"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292ECDFA" w14:textId="29D1249D" w:rsidR="00F92847" w:rsidRPr="00111580" w:rsidRDefault="00F92847" w:rsidP="00111580">
            <w:pPr>
              <w:spacing w:after="0"/>
              <w:rPr>
                <w:rFonts w:ascii="Calibri" w:eastAsia="Times New Roman" w:hAnsi="Calibri" w:cs="Times New Roman"/>
                <w:sz w:val="20"/>
                <w:szCs w:val="20"/>
                <w:vertAlign w:val="superscript"/>
              </w:rPr>
            </w:pPr>
          </w:p>
        </w:tc>
      </w:tr>
      <w:tr w:rsidR="00F92847" w:rsidRPr="00111580" w14:paraId="019AA598" w14:textId="77777777" w:rsidTr="00B52E27">
        <w:trPr>
          <w:trHeight w:val="37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9C9F10D" w14:textId="281FB814" w:rsidR="00F92847" w:rsidRPr="00111580" w:rsidRDefault="00F92847" w:rsidP="00B52E27">
            <w:pPr>
              <w:spacing w:after="0"/>
              <w:rPr>
                <w:rFonts w:ascii="Calibri" w:eastAsia="Times New Roman" w:hAnsi="Calibri" w:cs="Times New Roman"/>
                <w:sz w:val="20"/>
                <w:szCs w:val="20"/>
              </w:rPr>
            </w:pPr>
            <w:r w:rsidRPr="00111580">
              <w:rPr>
                <w:rFonts w:ascii="Calibri" w:eastAsia="Times New Roman" w:hAnsi="Calibri" w:cs="Times New Roman"/>
                <w:sz w:val="20"/>
                <w:szCs w:val="20"/>
              </w:rPr>
              <w:t>Adalimumab</w:t>
            </w:r>
          </w:p>
        </w:tc>
        <w:tc>
          <w:tcPr>
            <w:tcW w:w="1223" w:type="dxa"/>
            <w:tcBorders>
              <w:top w:val="nil"/>
              <w:left w:val="nil"/>
              <w:bottom w:val="single" w:sz="4" w:space="0" w:color="auto"/>
              <w:right w:val="single" w:sz="4" w:space="0" w:color="auto"/>
            </w:tcBorders>
            <w:shd w:val="clear" w:color="auto" w:fill="auto"/>
            <w:noWrap/>
            <w:hideMark/>
          </w:tcPr>
          <w:p w14:paraId="63315178" w14:textId="0B68C415" w:rsidR="00F92847" w:rsidRPr="00111580" w:rsidRDefault="00F92847" w:rsidP="00F92847">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9B6C68">
              <w:rPr>
                <w:rFonts w:ascii="Calibri" w:eastAsia="Times New Roman" w:hAnsi="Calibri" w:cs="Times New Roman"/>
                <w:sz w:val="20"/>
                <w:szCs w:val="20"/>
                <w:highlight w:val="black"/>
              </w:rPr>
              <w:t>XXXXX</w:t>
            </w:r>
          </w:p>
        </w:tc>
        <w:tc>
          <w:tcPr>
            <w:tcW w:w="1842" w:type="dxa"/>
            <w:tcBorders>
              <w:top w:val="nil"/>
              <w:left w:val="nil"/>
              <w:bottom w:val="single" w:sz="4" w:space="0" w:color="auto"/>
              <w:right w:val="single" w:sz="4" w:space="0" w:color="auto"/>
            </w:tcBorders>
            <w:shd w:val="clear" w:color="auto" w:fill="auto"/>
            <w:noWrap/>
            <w:hideMark/>
          </w:tcPr>
          <w:p w14:paraId="760F48F3" w14:textId="4D3716FF" w:rsidR="00F92847" w:rsidRPr="009E132B" w:rsidRDefault="00F92847" w:rsidP="00111580">
            <w:pPr>
              <w:spacing w:after="0"/>
              <w:rPr>
                <w:rFonts w:ascii="Calibri" w:eastAsia="Times New Roman" w:hAnsi="Calibri" w:cs="Times New Roman"/>
                <w:sz w:val="20"/>
                <w:szCs w:val="20"/>
                <w:vertAlign w:val="superscript"/>
              </w:rPr>
            </w:pPr>
            <w:r w:rsidRPr="009B6C68">
              <w:rPr>
                <w:rFonts w:ascii="Calibri" w:eastAsia="Times New Roman" w:hAnsi="Calibri" w:cs="Times New Roman"/>
                <w:sz w:val="20"/>
                <w:szCs w:val="20"/>
                <w:highlight w:val="black"/>
              </w:rPr>
              <w:t>XXXXXXXXXXXXXX</w:t>
            </w:r>
          </w:p>
        </w:tc>
        <w:tc>
          <w:tcPr>
            <w:tcW w:w="3123" w:type="dxa"/>
            <w:tcBorders>
              <w:top w:val="nil"/>
              <w:left w:val="nil"/>
              <w:bottom w:val="single" w:sz="4" w:space="0" w:color="auto"/>
              <w:right w:val="single" w:sz="4" w:space="0" w:color="auto"/>
            </w:tcBorders>
            <w:shd w:val="clear" w:color="auto" w:fill="auto"/>
            <w:noWrap/>
            <w:hideMark/>
          </w:tcPr>
          <w:p w14:paraId="557A0569" w14:textId="77777777" w:rsidR="00F92847" w:rsidRPr="009B6C68" w:rsidRDefault="00F92847" w:rsidP="001A5053">
            <w:pPr>
              <w:spacing w:after="0"/>
              <w:rPr>
                <w:rFonts w:ascii="Calibri" w:eastAsia="Times New Roman" w:hAnsi="Calibri" w:cs="Times New Roman"/>
                <w:sz w:val="20"/>
                <w:szCs w:val="20"/>
                <w:highlight w:val="black"/>
              </w:rPr>
            </w:pPr>
            <w:r w:rsidRPr="009B6C68">
              <w:rPr>
                <w:rFonts w:ascii="Calibri" w:eastAsia="Times New Roman" w:hAnsi="Calibri" w:cs="Times New Roman"/>
                <w:sz w:val="20"/>
                <w:szCs w:val="20"/>
                <w:highlight w:val="black"/>
              </w:rPr>
              <w:t>XXXXXXXXXXXXXXXXXXXXXXXXXXXX</w:t>
            </w:r>
          </w:p>
          <w:p w14:paraId="452E5FA4" w14:textId="77777777" w:rsidR="00F92847" w:rsidRPr="009B6C68" w:rsidRDefault="00F92847" w:rsidP="001A5053">
            <w:pPr>
              <w:spacing w:after="0"/>
              <w:rPr>
                <w:rFonts w:ascii="Calibri" w:eastAsia="Times New Roman" w:hAnsi="Calibri" w:cs="Times New Roman"/>
                <w:sz w:val="20"/>
                <w:szCs w:val="20"/>
                <w:highlight w:val="black"/>
              </w:rPr>
            </w:pPr>
            <w:r w:rsidRPr="009B6C68">
              <w:rPr>
                <w:rFonts w:ascii="Calibri" w:eastAsia="Times New Roman" w:hAnsi="Calibri" w:cs="Times New Roman"/>
                <w:sz w:val="20"/>
                <w:szCs w:val="20"/>
                <w:highlight w:val="black"/>
              </w:rPr>
              <w:t>XXXXXXXXXXXXXXXXXXXXX</w:t>
            </w:r>
          </w:p>
          <w:p w14:paraId="436E82BF" w14:textId="1F17EFE5" w:rsidR="00F92847" w:rsidRPr="00111580" w:rsidRDefault="00F92847" w:rsidP="00111580">
            <w:pPr>
              <w:spacing w:after="0"/>
              <w:rPr>
                <w:rFonts w:ascii="Calibri" w:eastAsia="Times New Roman" w:hAnsi="Calibri" w:cs="Times New Roman"/>
                <w:sz w:val="20"/>
                <w:szCs w:val="20"/>
              </w:rPr>
            </w:pPr>
            <w:r w:rsidRPr="009B6C68">
              <w:rPr>
                <w:rFonts w:ascii="Calibri" w:eastAsia="Times New Roman" w:hAnsi="Calibri" w:cs="Times New Roman"/>
                <w:sz w:val="20"/>
                <w:szCs w:val="20"/>
                <w:highlight w:val="black"/>
              </w:rPr>
              <w:t>XXXXXXXXX</w:t>
            </w:r>
          </w:p>
        </w:tc>
      </w:tr>
      <w:tr w:rsidR="00111580" w:rsidRPr="00111580" w14:paraId="2724D6E2" w14:textId="77777777" w:rsidTr="00B52E27">
        <w:trPr>
          <w:trHeight w:val="300"/>
        </w:trPr>
        <w:tc>
          <w:tcPr>
            <w:tcW w:w="2620" w:type="dxa"/>
            <w:tcBorders>
              <w:top w:val="nil"/>
              <w:left w:val="single" w:sz="4" w:space="0" w:color="auto"/>
              <w:bottom w:val="single" w:sz="4" w:space="0" w:color="auto"/>
              <w:right w:val="nil"/>
            </w:tcBorders>
            <w:shd w:val="clear" w:color="auto" w:fill="F2F2F2" w:themeFill="background1" w:themeFillShade="F2"/>
            <w:noWrap/>
            <w:vAlign w:val="center"/>
            <w:hideMark/>
          </w:tcPr>
          <w:p w14:paraId="24CF6148" w14:textId="77777777" w:rsidR="00111580" w:rsidRPr="00111580" w:rsidRDefault="00111580" w:rsidP="00B52E27">
            <w:pPr>
              <w:spacing w:after="0"/>
              <w:rPr>
                <w:rFonts w:ascii="Calibri" w:eastAsia="Times New Roman" w:hAnsi="Calibri" w:cs="Times New Roman"/>
                <w:b/>
                <w:bCs/>
                <w:sz w:val="20"/>
                <w:szCs w:val="20"/>
              </w:rPr>
            </w:pPr>
            <w:r w:rsidRPr="00111580">
              <w:rPr>
                <w:rFonts w:ascii="Calibri" w:eastAsia="Times New Roman" w:hAnsi="Calibri" w:cs="Times New Roman"/>
                <w:b/>
                <w:bCs/>
                <w:sz w:val="20"/>
                <w:szCs w:val="20"/>
              </w:rPr>
              <w:t>Paediatric Crohn disease</w:t>
            </w:r>
          </w:p>
        </w:tc>
        <w:tc>
          <w:tcPr>
            <w:tcW w:w="1223" w:type="dxa"/>
            <w:tcBorders>
              <w:top w:val="nil"/>
              <w:left w:val="nil"/>
              <w:bottom w:val="single" w:sz="4" w:space="0" w:color="auto"/>
              <w:right w:val="nil"/>
            </w:tcBorders>
            <w:shd w:val="clear" w:color="auto" w:fill="F2F2F2" w:themeFill="background1" w:themeFillShade="F2"/>
            <w:noWrap/>
            <w:hideMark/>
          </w:tcPr>
          <w:p w14:paraId="42D3CF50"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c>
          <w:tcPr>
            <w:tcW w:w="1842" w:type="dxa"/>
            <w:tcBorders>
              <w:top w:val="nil"/>
              <w:left w:val="nil"/>
              <w:bottom w:val="single" w:sz="4" w:space="0" w:color="auto"/>
              <w:right w:val="nil"/>
            </w:tcBorders>
            <w:shd w:val="clear" w:color="auto" w:fill="F2F2F2" w:themeFill="background1" w:themeFillShade="F2"/>
            <w:noWrap/>
            <w:hideMark/>
          </w:tcPr>
          <w:p w14:paraId="52C51255"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c>
          <w:tcPr>
            <w:tcW w:w="3123" w:type="dxa"/>
            <w:tcBorders>
              <w:top w:val="nil"/>
              <w:left w:val="nil"/>
              <w:bottom w:val="single" w:sz="4" w:space="0" w:color="auto"/>
              <w:right w:val="single" w:sz="4" w:space="0" w:color="auto"/>
            </w:tcBorders>
            <w:shd w:val="clear" w:color="auto" w:fill="F2F2F2" w:themeFill="background1" w:themeFillShade="F2"/>
            <w:noWrap/>
            <w:hideMark/>
          </w:tcPr>
          <w:p w14:paraId="6D5D1613" w14:textId="77777777" w:rsidR="00111580" w:rsidRPr="00111580" w:rsidRDefault="00111580" w:rsidP="00111580">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p>
        </w:tc>
      </w:tr>
      <w:tr w:rsidR="00F92847" w:rsidRPr="00111580" w14:paraId="5E990427" w14:textId="77777777" w:rsidTr="00B52E27">
        <w:trPr>
          <w:trHeight w:val="30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B5458DE" w14:textId="77777777" w:rsidR="00F92847" w:rsidRPr="00111580" w:rsidRDefault="00F92847" w:rsidP="00B52E27">
            <w:pPr>
              <w:spacing w:after="0"/>
              <w:rPr>
                <w:rFonts w:ascii="Calibri" w:eastAsia="Times New Roman" w:hAnsi="Calibri" w:cs="Times New Roman"/>
                <w:sz w:val="20"/>
                <w:szCs w:val="20"/>
              </w:rPr>
            </w:pPr>
            <w:r w:rsidRPr="00111580">
              <w:rPr>
                <w:rFonts w:ascii="Calibri" w:eastAsia="Times New Roman" w:hAnsi="Calibri" w:cs="Times New Roman"/>
                <w:sz w:val="20"/>
                <w:szCs w:val="20"/>
              </w:rPr>
              <w:t>Infliximab</w:t>
            </w:r>
          </w:p>
        </w:tc>
        <w:tc>
          <w:tcPr>
            <w:tcW w:w="1223" w:type="dxa"/>
            <w:tcBorders>
              <w:top w:val="nil"/>
              <w:left w:val="nil"/>
              <w:bottom w:val="single" w:sz="4" w:space="0" w:color="auto"/>
              <w:right w:val="single" w:sz="4" w:space="0" w:color="auto"/>
            </w:tcBorders>
            <w:shd w:val="clear" w:color="auto" w:fill="auto"/>
            <w:noWrap/>
            <w:hideMark/>
          </w:tcPr>
          <w:p w14:paraId="66F6BE6B" w14:textId="77777777" w:rsidR="00F92847" w:rsidRDefault="00F92847" w:rsidP="001A5053">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5C0178">
              <w:rPr>
                <w:rFonts w:ascii="Calibri" w:eastAsia="Times New Roman" w:hAnsi="Calibri" w:cs="Times New Roman"/>
                <w:sz w:val="20"/>
                <w:szCs w:val="20"/>
                <w:highlight w:val="black"/>
              </w:rPr>
              <w:t>XXXXXXX</w:t>
            </w:r>
          </w:p>
          <w:p w14:paraId="7DE22266" w14:textId="3A90FAEA" w:rsidR="00F92847" w:rsidRPr="00111580" w:rsidRDefault="00F92847" w:rsidP="00F92847">
            <w:pPr>
              <w:spacing w:after="0"/>
              <w:rPr>
                <w:rFonts w:ascii="Calibri" w:eastAsia="Times New Roman" w:hAnsi="Calibri" w:cs="Times New Roman"/>
                <w:sz w:val="20"/>
                <w:szCs w:val="20"/>
              </w:rPr>
            </w:pPr>
          </w:p>
        </w:tc>
        <w:tc>
          <w:tcPr>
            <w:tcW w:w="1842" w:type="dxa"/>
            <w:tcBorders>
              <w:top w:val="nil"/>
              <w:left w:val="nil"/>
              <w:bottom w:val="single" w:sz="4" w:space="0" w:color="auto"/>
              <w:right w:val="single" w:sz="4" w:space="0" w:color="auto"/>
            </w:tcBorders>
            <w:shd w:val="clear" w:color="auto" w:fill="auto"/>
            <w:noWrap/>
            <w:hideMark/>
          </w:tcPr>
          <w:p w14:paraId="05A8B7F6"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w:t>
            </w:r>
          </w:p>
          <w:p w14:paraId="674E9684" w14:textId="22F3FFCA" w:rsidR="00F92847" w:rsidRPr="00CA65EB" w:rsidRDefault="00F92847" w:rsidP="00F92847">
            <w:pPr>
              <w:spacing w:after="0"/>
              <w:rPr>
                <w:rFonts w:ascii="Calibri" w:eastAsia="Times New Roman" w:hAnsi="Calibri" w:cs="Times New Roman"/>
                <w:sz w:val="20"/>
                <w:szCs w:val="20"/>
                <w:vertAlign w:val="superscript"/>
              </w:rPr>
            </w:pPr>
          </w:p>
        </w:tc>
        <w:tc>
          <w:tcPr>
            <w:tcW w:w="3123" w:type="dxa"/>
            <w:tcBorders>
              <w:top w:val="nil"/>
              <w:left w:val="nil"/>
              <w:bottom w:val="single" w:sz="4" w:space="0" w:color="auto"/>
              <w:right w:val="single" w:sz="4" w:space="0" w:color="auto"/>
            </w:tcBorders>
            <w:shd w:val="clear" w:color="auto" w:fill="auto"/>
            <w:noWrap/>
            <w:hideMark/>
          </w:tcPr>
          <w:p w14:paraId="34A60819" w14:textId="77777777" w:rsidR="00F92847" w:rsidRPr="005C0178" w:rsidRDefault="00F92847" w:rsidP="001A5053">
            <w:pPr>
              <w:spacing w:after="0"/>
              <w:rPr>
                <w:rFonts w:ascii="Calibri" w:eastAsia="Times New Roman" w:hAnsi="Calibri" w:cs="Times New Roman"/>
                <w:sz w:val="20"/>
                <w:szCs w:val="20"/>
                <w:highlight w:val="black"/>
              </w:rPr>
            </w:pPr>
            <w:r w:rsidRPr="00111580">
              <w:rPr>
                <w:rFonts w:ascii="Calibri" w:eastAsia="Times New Roman" w:hAnsi="Calibri" w:cs="Times New Roman"/>
                <w:sz w:val="20"/>
                <w:szCs w:val="20"/>
              </w:rPr>
              <w:t> </w:t>
            </w:r>
            <w:r w:rsidRPr="005C0178">
              <w:rPr>
                <w:rFonts w:ascii="Calibri" w:eastAsia="Times New Roman" w:hAnsi="Calibri" w:cs="Times New Roman"/>
                <w:sz w:val="20"/>
                <w:szCs w:val="20"/>
                <w:highlight w:val="black"/>
              </w:rPr>
              <w:t>XXXXXXXXXXXXXXX</w:t>
            </w:r>
          </w:p>
          <w:p w14:paraId="6091759B" w14:textId="77777777" w:rsidR="00F92847" w:rsidRDefault="00F92847" w:rsidP="001A5053">
            <w:pPr>
              <w:spacing w:after="0"/>
              <w:rPr>
                <w:rFonts w:ascii="Calibri" w:eastAsia="Times New Roman" w:hAnsi="Calibri" w:cs="Times New Roman"/>
                <w:sz w:val="20"/>
                <w:szCs w:val="20"/>
              </w:rPr>
            </w:pPr>
          </w:p>
          <w:p w14:paraId="4759A2EF"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XXXXXXXXXXXXXXXXXXXXXXX</w:t>
            </w:r>
          </w:p>
          <w:p w14:paraId="54CC8CAE" w14:textId="77777777" w:rsidR="00F92847" w:rsidRPr="005C0178" w:rsidRDefault="00F92847" w:rsidP="001A5053">
            <w:pPr>
              <w:spacing w:after="0"/>
              <w:rPr>
                <w:rFonts w:ascii="Calibri" w:eastAsia="Times New Roman" w:hAnsi="Calibri" w:cs="Times New Roman"/>
                <w:sz w:val="20"/>
                <w:szCs w:val="20"/>
                <w:highlight w:val="black"/>
              </w:rPr>
            </w:pPr>
            <w:r w:rsidRPr="005C0178">
              <w:rPr>
                <w:rFonts w:ascii="Calibri" w:eastAsia="Times New Roman" w:hAnsi="Calibri" w:cs="Times New Roman"/>
                <w:sz w:val="20"/>
                <w:szCs w:val="20"/>
                <w:highlight w:val="black"/>
              </w:rPr>
              <w:t>XXXXXXXXXXXXXXXXXXXXXXXXX</w:t>
            </w:r>
          </w:p>
          <w:p w14:paraId="4CF142B5" w14:textId="463DD197" w:rsidR="00F92847" w:rsidRPr="00697089" w:rsidRDefault="00F92847" w:rsidP="00111580">
            <w:pPr>
              <w:spacing w:after="0"/>
              <w:rPr>
                <w:rFonts w:ascii="Calibri" w:eastAsia="Times New Roman" w:hAnsi="Calibri" w:cs="Times New Roman"/>
                <w:sz w:val="20"/>
                <w:szCs w:val="20"/>
                <w:vertAlign w:val="superscript"/>
              </w:rPr>
            </w:pPr>
            <w:r w:rsidRPr="005C0178">
              <w:rPr>
                <w:rFonts w:ascii="Calibri" w:eastAsia="Times New Roman" w:hAnsi="Calibri" w:cs="Times New Roman"/>
                <w:sz w:val="20"/>
                <w:szCs w:val="20"/>
                <w:highlight w:val="black"/>
              </w:rPr>
              <w:t>XXXXXXXXXXXXXXX</w:t>
            </w:r>
          </w:p>
        </w:tc>
      </w:tr>
      <w:tr w:rsidR="00F92847" w:rsidRPr="00111580" w14:paraId="6D73BAFD" w14:textId="77777777" w:rsidTr="00B52E27">
        <w:trPr>
          <w:trHeight w:val="30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F412350" w14:textId="77777777" w:rsidR="00F92847" w:rsidRPr="00111580" w:rsidRDefault="00F92847" w:rsidP="00B52E27">
            <w:pPr>
              <w:spacing w:after="0"/>
              <w:rPr>
                <w:rFonts w:ascii="Calibri" w:eastAsia="Times New Roman" w:hAnsi="Calibri" w:cs="Times New Roman"/>
                <w:sz w:val="20"/>
                <w:szCs w:val="20"/>
              </w:rPr>
            </w:pPr>
            <w:r w:rsidRPr="00111580">
              <w:rPr>
                <w:rFonts w:ascii="Calibri" w:eastAsia="Times New Roman" w:hAnsi="Calibri" w:cs="Times New Roman"/>
                <w:sz w:val="20"/>
                <w:szCs w:val="20"/>
              </w:rPr>
              <w:t>Adalimumab</w:t>
            </w:r>
          </w:p>
        </w:tc>
        <w:tc>
          <w:tcPr>
            <w:tcW w:w="1223" w:type="dxa"/>
            <w:tcBorders>
              <w:top w:val="nil"/>
              <w:left w:val="nil"/>
              <w:bottom w:val="single" w:sz="4" w:space="0" w:color="auto"/>
              <w:right w:val="single" w:sz="4" w:space="0" w:color="auto"/>
            </w:tcBorders>
            <w:shd w:val="clear" w:color="auto" w:fill="auto"/>
            <w:noWrap/>
            <w:hideMark/>
          </w:tcPr>
          <w:p w14:paraId="70F4710D" w14:textId="3E19C535" w:rsidR="00F92847" w:rsidRPr="00111580" w:rsidRDefault="00F92847" w:rsidP="00F92847">
            <w:pPr>
              <w:spacing w:after="0"/>
              <w:rPr>
                <w:rFonts w:ascii="Calibri" w:eastAsia="Times New Roman" w:hAnsi="Calibri" w:cs="Times New Roman"/>
                <w:sz w:val="20"/>
                <w:szCs w:val="20"/>
              </w:rPr>
            </w:pPr>
            <w:r w:rsidRPr="00111580">
              <w:rPr>
                <w:rFonts w:ascii="Calibri" w:eastAsia="Times New Roman" w:hAnsi="Calibri" w:cs="Times New Roman"/>
                <w:sz w:val="20"/>
                <w:szCs w:val="20"/>
              </w:rPr>
              <w:t>   </w:t>
            </w:r>
            <w:r w:rsidRPr="009B6C68">
              <w:rPr>
                <w:rFonts w:ascii="Calibri" w:eastAsia="Times New Roman" w:hAnsi="Calibri" w:cs="Times New Roman"/>
                <w:sz w:val="20"/>
                <w:szCs w:val="20"/>
                <w:highlight w:val="black"/>
              </w:rPr>
              <w:t>XXXXX</w:t>
            </w:r>
          </w:p>
        </w:tc>
        <w:tc>
          <w:tcPr>
            <w:tcW w:w="1842" w:type="dxa"/>
            <w:tcBorders>
              <w:top w:val="nil"/>
              <w:left w:val="nil"/>
              <w:bottom w:val="single" w:sz="4" w:space="0" w:color="auto"/>
              <w:right w:val="single" w:sz="4" w:space="0" w:color="auto"/>
            </w:tcBorders>
            <w:shd w:val="clear" w:color="auto" w:fill="auto"/>
            <w:noWrap/>
            <w:hideMark/>
          </w:tcPr>
          <w:p w14:paraId="6CA1FA61" w14:textId="4D164340" w:rsidR="00F92847" w:rsidRPr="000F0DC3" w:rsidRDefault="00F92847" w:rsidP="00F92847">
            <w:pPr>
              <w:spacing w:after="0"/>
              <w:rPr>
                <w:rFonts w:ascii="Calibri" w:eastAsia="Times New Roman" w:hAnsi="Calibri" w:cs="Times New Roman"/>
                <w:sz w:val="20"/>
                <w:szCs w:val="20"/>
                <w:vertAlign w:val="superscript"/>
              </w:rPr>
            </w:pPr>
            <w:r w:rsidRPr="00111580">
              <w:rPr>
                <w:rFonts w:ascii="Calibri" w:eastAsia="Times New Roman" w:hAnsi="Calibri" w:cs="Times New Roman"/>
                <w:sz w:val="20"/>
                <w:szCs w:val="20"/>
              </w:rPr>
              <w:t> </w:t>
            </w:r>
            <w:r w:rsidRPr="009B6C68">
              <w:rPr>
                <w:rFonts w:ascii="Calibri" w:eastAsia="Times New Roman" w:hAnsi="Calibri" w:cs="Times New Roman"/>
                <w:sz w:val="20"/>
                <w:szCs w:val="20"/>
                <w:highlight w:val="black"/>
              </w:rPr>
              <w:t>XXXXXXXXXXXXXX</w:t>
            </w:r>
          </w:p>
        </w:tc>
        <w:tc>
          <w:tcPr>
            <w:tcW w:w="3123" w:type="dxa"/>
            <w:tcBorders>
              <w:top w:val="nil"/>
              <w:left w:val="nil"/>
              <w:bottom w:val="single" w:sz="4" w:space="0" w:color="auto"/>
              <w:right w:val="single" w:sz="4" w:space="0" w:color="auto"/>
            </w:tcBorders>
            <w:shd w:val="clear" w:color="auto" w:fill="auto"/>
            <w:noWrap/>
            <w:hideMark/>
          </w:tcPr>
          <w:p w14:paraId="6A1ECB89" w14:textId="77777777" w:rsidR="00F92847" w:rsidRPr="009B6C68" w:rsidRDefault="00F92847" w:rsidP="001A5053">
            <w:pPr>
              <w:spacing w:after="0"/>
              <w:rPr>
                <w:rFonts w:ascii="Calibri" w:eastAsia="Times New Roman" w:hAnsi="Calibri" w:cs="Times New Roman"/>
                <w:sz w:val="20"/>
                <w:szCs w:val="20"/>
                <w:highlight w:val="black"/>
              </w:rPr>
            </w:pPr>
            <w:r w:rsidRPr="009B6C68">
              <w:rPr>
                <w:rFonts w:ascii="Calibri" w:eastAsia="Times New Roman" w:hAnsi="Calibri" w:cs="Times New Roman"/>
                <w:sz w:val="20"/>
                <w:szCs w:val="20"/>
                <w:highlight w:val="black"/>
              </w:rPr>
              <w:t>XXXXXXXXXXXXXXXXXXXXXXXXXXXX</w:t>
            </w:r>
          </w:p>
          <w:p w14:paraId="3A732614" w14:textId="77777777" w:rsidR="00F92847" w:rsidRPr="009B6C68" w:rsidRDefault="00F92847" w:rsidP="001A5053">
            <w:pPr>
              <w:spacing w:after="0"/>
              <w:rPr>
                <w:rFonts w:ascii="Calibri" w:eastAsia="Times New Roman" w:hAnsi="Calibri" w:cs="Times New Roman"/>
                <w:sz w:val="20"/>
                <w:szCs w:val="20"/>
                <w:highlight w:val="black"/>
              </w:rPr>
            </w:pPr>
            <w:r w:rsidRPr="009B6C68">
              <w:rPr>
                <w:rFonts w:ascii="Calibri" w:eastAsia="Times New Roman" w:hAnsi="Calibri" w:cs="Times New Roman"/>
                <w:sz w:val="20"/>
                <w:szCs w:val="20"/>
                <w:highlight w:val="black"/>
              </w:rPr>
              <w:t>XXXXXXXXXXXXXXXXXXXXX</w:t>
            </w:r>
          </w:p>
          <w:p w14:paraId="1D0F426B" w14:textId="0BC48561" w:rsidR="00F92847" w:rsidRPr="00111580" w:rsidRDefault="00F92847" w:rsidP="00111580">
            <w:pPr>
              <w:spacing w:after="0"/>
              <w:rPr>
                <w:rFonts w:ascii="Calibri" w:eastAsia="Times New Roman" w:hAnsi="Calibri" w:cs="Times New Roman"/>
                <w:sz w:val="20"/>
                <w:szCs w:val="20"/>
              </w:rPr>
            </w:pPr>
            <w:r w:rsidRPr="009B6C68">
              <w:rPr>
                <w:rFonts w:ascii="Calibri" w:eastAsia="Times New Roman" w:hAnsi="Calibri" w:cs="Times New Roman"/>
                <w:sz w:val="20"/>
                <w:szCs w:val="20"/>
                <w:highlight w:val="black"/>
              </w:rPr>
              <w:t>XXXXXXXXX</w:t>
            </w:r>
          </w:p>
        </w:tc>
      </w:tr>
    </w:tbl>
    <w:p w14:paraId="6BC3CC88" w14:textId="718B91ED" w:rsidR="005F46C0" w:rsidRDefault="005F40DF" w:rsidP="0052283A">
      <w:pPr>
        <w:spacing w:after="0" w:line="300" w:lineRule="atLeast"/>
        <w:rPr>
          <w:rFonts w:ascii="Calibri" w:eastAsia="MS Mincho" w:hAnsi="Calibri" w:cs="Times New Roman"/>
          <w:sz w:val="20"/>
          <w:szCs w:val="20"/>
          <w:lang w:eastAsia="en-US"/>
        </w:rPr>
      </w:pPr>
      <w:r w:rsidRPr="0052283A">
        <w:rPr>
          <w:rFonts w:ascii="Calibri" w:eastAsia="MS Mincho" w:hAnsi="Calibri" w:cs="Times New Roman"/>
          <w:sz w:val="20"/>
          <w:szCs w:val="20"/>
          <w:lang w:eastAsia="en-US"/>
        </w:rPr>
        <w:t>Note: Continuation in this table refers to continuation with the same medicine.</w:t>
      </w:r>
    </w:p>
    <w:p w14:paraId="2C142046" w14:textId="3E436C75" w:rsidR="00134586" w:rsidRDefault="00134586" w:rsidP="0052283A">
      <w:pPr>
        <w:spacing w:after="0" w:line="300" w:lineRule="atLeast"/>
        <w:rPr>
          <w:rFonts w:ascii="Calibri" w:eastAsia="MS Mincho" w:hAnsi="Calibri" w:cs="Times New Roman"/>
          <w:sz w:val="20"/>
          <w:szCs w:val="20"/>
          <w:lang w:eastAsia="en-US"/>
        </w:rPr>
      </w:pPr>
      <w:r w:rsidRPr="00134586">
        <w:rPr>
          <w:rFonts w:ascii="Calibri" w:eastAsia="MS Mincho" w:hAnsi="Calibri" w:cs="Times New Roman"/>
          <w:sz w:val="20"/>
          <w:szCs w:val="20"/>
          <w:highlight w:val="black"/>
          <w:lang w:eastAsia="en-US"/>
        </w:rPr>
        <w:t>Xxxxxxxxxxxxxxxxxxxxxxxxxxxxxxxxxxxxxxxxxxxxxxxxxxxxxxxxxxxxxxxxxxxxxxxxxx</w:t>
      </w:r>
    </w:p>
    <w:p w14:paraId="1A12B407" w14:textId="6D55CA06" w:rsidR="00FF0555" w:rsidRDefault="00134586" w:rsidP="0052283A">
      <w:pPr>
        <w:spacing w:after="0" w:line="300" w:lineRule="atLeast"/>
        <w:rPr>
          <w:rFonts w:ascii="Calibri" w:eastAsia="MS Mincho" w:hAnsi="Calibri" w:cs="Times New Roman"/>
          <w:sz w:val="20"/>
          <w:szCs w:val="20"/>
          <w:lang w:eastAsia="en-US"/>
        </w:rPr>
      </w:pPr>
      <w:r w:rsidRPr="00134586">
        <w:rPr>
          <w:rFonts w:ascii="Calibri" w:eastAsia="MS Mincho" w:hAnsi="Calibri" w:cs="Times New Roman"/>
          <w:sz w:val="20"/>
          <w:szCs w:val="20"/>
          <w:highlight w:val="black"/>
          <w:lang w:eastAsia="en-US"/>
        </w:rPr>
        <w:t>XXXXXXXXXXXXXXXXXXXXXXXXXXXXXXXXXXXXXXXXXXXXXXXXXXXXXXXXXXXXXXXXXXXXXXXXXXXXXXXXXXXXXXXXXXXXXXXXXXXXXXXXXXXXX</w:t>
      </w:r>
    </w:p>
    <w:p w14:paraId="77EFCEFA" w14:textId="45E43652" w:rsidR="00024DAF" w:rsidRPr="0052283A" w:rsidRDefault="00024DAF" w:rsidP="0052283A">
      <w:pPr>
        <w:spacing w:after="0" w:line="300" w:lineRule="atLeast"/>
        <w:rPr>
          <w:rFonts w:ascii="Calibri" w:eastAsia="MS Mincho" w:hAnsi="Calibri" w:cs="Times New Roman"/>
          <w:sz w:val="20"/>
          <w:szCs w:val="20"/>
          <w:lang w:eastAsia="en-US"/>
        </w:rPr>
      </w:pPr>
      <w:r w:rsidRPr="00024DAF">
        <w:rPr>
          <w:rFonts w:ascii="Calibri" w:eastAsia="MS Mincho" w:hAnsi="Calibri" w:cs="Times New Roman"/>
          <w:sz w:val="20"/>
          <w:szCs w:val="20"/>
          <w:highlight w:val="black"/>
          <w:lang w:eastAsia="en-US"/>
        </w:rPr>
        <w:t>XXXXXXXXXXXXXXXXXXXXXXXXXXXXXXXXXXXXXXXXXXXXXXXXX</w:t>
      </w:r>
    </w:p>
    <w:p w14:paraId="0F3440AB" w14:textId="62A19698" w:rsidR="00134586" w:rsidRDefault="00134586" w:rsidP="0052283A">
      <w:pPr>
        <w:spacing w:after="0" w:line="300" w:lineRule="atLeast"/>
        <w:rPr>
          <w:sz w:val="20"/>
          <w:szCs w:val="20"/>
        </w:rPr>
      </w:pPr>
      <w:r w:rsidRPr="00134586">
        <w:rPr>
          <w:sz w:val="20"/>
          <w:szCs w:val="20"/>
          <w:highlight w:val="black"/>
        </w:rPr>
        <w:t>XXXXXXXXXXXXXXXXXXXXXXXXXXXXXXXXXXXXXXXXXXXXXXXXXXXXXXXXXXXXXXXXXXXXXXXXXXXXXXXXXXXXXXXXXXXXXXXXXXXXXXXXXXXXXXXXX</w:t>
      </w:r>
    </w:p>
    <w:p w14:paraId="6C1B2114" w14:textId="67D0F0A1" w:rsidR="00134586" w:rsidRDefault="00134586" w:rsidP="0052283A">
      <w:pPr>
        <w:spacing w:after="0" w:line="300" w:lineRule="atLeast"/>
        <w:rPr>
          <w:sz w:val="20"/>
          <w:szCs w:val="20"/>
        </w:rPr>
      </w:pPr>
      <w:r w:rsidRPr="00134586">
        <w:rPr>
          <w:sz w:val="20"/>
          <w:szCs w:val="20"/>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5AC2DC6" w14:textId="4964E43D" w:rsidR="00134586" w:rsidRDefault="00134586" w:rsidP="0052283A">
      <w:pPr>
        <w:spacing w:after="0" w:line="300" w:lineRule="atLeast"/>
        <w:rPr>
          <w:sz w:val="20"/>
          <w:szCs w:val="20"/>
        </w:rPr>
      </w:pPr>
      <w:r w:rsidRPr="00134586">
        <w:rPr>
          <w:sz w:val="20"/>
          <w:szCs w:val="20"/>
          <w:highlight w:val="black"/>
        </w:rPr>
        <w:t>XXXXXXXXXXXXXXXXXXXXXXXXXXXXXXXXXXXXXXXXXXXXXXXXXXXXXXXXXXXXXXXXXXXXXXXXXXXXXXXXXXXXXXXXXXXXXXXXXXXXXXXXXXXXXXXXXXXXXXXXXXXXXXXXXXXXXXXXXXXXXXXXXXXXXXXXXX</w:t>
      </w:r>
    </w:p>
    <w:p w14:paraId="3E94D3CC" w14:textId="6E8E1891" w:rsidR="00134586" w:rsidRDefault="00134586" w:rsidP="0052283A">
      <w:pPr>
        <w:spacing w:after="0" w:line="300" w:lineRule="atLeast"/>
        <w:rPr>
          <w:sz w:val="20"/>
          <w:szCs w:val="20"/>
        </w:rPr>
      </w:pPr>
      <w:r w:rsidRPr="00134586">
        <w:rPr>
          <w:sz w:val="20"/>
          <w:szCs w:val="20"/>
          <w:highlight w:val="black"/>
        </w:rPr>
        <w:lastRenderedPageBreak/>
        <w:t>XXXXXXXXXXXXXXXXXXXXXXXXXXXXXXXXXXXXXXXXXXXXXXXXXXXXXXXXXXXXXXXXXXXXXXXXXXXXXXXXXXXXXXXXXXXXXXXXXXXXXXXXXXXXXXXXXXXXXXXXXXXXXXXXXXXXXXXXXXXXXXXXXXXXXXXXXXXXXXXXXXXXXXXX</w:t>
      </w:r>
    </w:p>
    <w:p w14:paraId="5C515C40" w14:textId="384CDA8B" w:rsidR="00134586" w:rsidRDefault="00134586" w:rsidP="0052283A">
      <w:pPr>
        <w:spacing w:after="0" w:line="300" w:lineRule="atLeast"/>
        <w:rPr>
          <w:sz w:val="20"/>
          <w:szCs w:val="20"/>
        </w:rPr>
      </w:pPr>
      <w:r w:rsidRPr="00134586">
        <w:rPr>
          <w:sz w:val="20"/>
          <w:szCs w:val="20"/>
          <w:highlight w:val="black"/>
        </w:rPr>
        <w:t>XXXXXXXXXXXXXXXXXXXXXXXXXXXXXXXXXXXXX</w:t>
      </w:r>
    </w:p>
    <w:p w14:paraId="7768D16C" w14:textId="0B370EA7" w:rsidR="00134586" w:rsidRDefault="00134586" w:rsidP="0052283A">
      <w:pPr>
        <w:spacing w:after="0" w:line="300" w:lineRule="atLeast"/>
        <w:rPr>
          <w:sz w:val="20"/>
          <w:szCs w:val="20"/>
        </w:rPr>
      </w:pPr>
      <w:r w:rsidRPr="00134586">
        <w:rPr>
          <w:sz w:val="20"/>
          <w:szCs w:val="20"/>
          <w:highlight w:val="black"/>
        </w:rPr>
        <w:t>XXXXXXXXXXXXXXXXXXXXXXXXXXXXXXXXXXXXXXXXXXXXXXXXXXXXXXXXXXXXXXXXXXXXXXXXXXXXXXXXXXXXXXXXXXXXXXXXXXXXXXXXXXXXXXXXXXXXXXXXXXXXXX</w:t>
      </w:r>
    </w:p>
    <w:p w14:paraId="4014CD9C" w14:textId="37557EC6" w:rsidR="009C0C87" w:rsidRPr="00224787" w:rsidRDefault="009C0C87" w:rsidP="00224787">
      <w:pPr>
        <w:spacing w:before="240" w:after="240" w:line="300" w:lineRule="atLeast"/>
        <w:rPr>
          <w:b/>
        </w:rPr>
      </w:pPr>
      <w:r>
        <w:rPr>
          <w:b/>
        </w:rPr>
        <w:t>**** End committee-in-confidence ****</w:t>
      </w:r>
    </w:p>
    <w:p w14:paraId="2D511801" w14:textId="37EF7784" w:rsidR="00E73C87" w:rsidRDefault="002F1CD9" w:rsidP="0052283A">
      <w:pPr>
        <w:spacing w:after="0" w:line="300" w:lineRule="atLeast"/>
      </w:pPr>
      <w:r>
        <w:t xml:space="preserve">The continuation rates for PBS </w:t>
      </w:r>
      <w:r w:rsidR="002F559B">
        <w:t>bDMD</w:t>
      </w:r>
      <w:r w:rsidR="000F70E3">
        <w:t xml:space="preserve"> </w:t>
      </w:r>
      <w:r>
        <w:t xml:space="preserve">therapy </w:t>
      </w:r>
      <w:r w:rsidR="000F70E3">
        <w:t xml:space="preserve">(Figure 8) </w:t>
      </w:r>
      <w:r>
        <w:t xml:space="preserve">were </w:t>
      </w:r>
      <w:r w:rsidR="00442C04">
        <w:t xml:space="preserve">considerably </w:t>
      </w:r>
      <w:r>
        <w:t>higher than the response rates</w:t>
      </w:r>
      <w:r w:rsidR="000F70E3">
        <w:t xml:space="preserve"> in the key clinical trials</w:t>
      </w:r>
      <w:r w:rsidR="00442C04">
        <w:t xml:space="preserve"> </w:t>
      </w:r>
      <w:r w:rsidR="009C0C87">
        <w:t xml:space="preserve">for infliximab, adalimumab and vedolizumab. </w:t>
      </w:r>
      <w:r w:rsidR="00593FDE">
        <w:t xml:space="preserve">This could partly relate to the trial response rates being based on continuation on the same medicine whereas patients may switch their therapy under the PBS restrictions. </w:t>
      </w:r>
      <w:r w:rsidR="00066896">
        <w:t xml:space="preserve">As shown in Figures </w:t>
      </w:r>
      <w:r w:rsidR="00E73C87">
        <w:t xml:space="preserve">4 to 6, a higher proportion of patients who switch to an alternative </w:t>
      </w:r>
      <w:r w:rsidR="002F559B">
        <w:t>bDMD</w:t>
      </w:r>
      <w:r w:rsidR="00E73C87">
        <w:t xml:space="preserve"> remain on therapy for longe</w:t>
      </w:r>
      <w:r w:rsidR="008A592B">
        <w:t>r than those patients who continue</w:t>
      </w:r>
      <w:r w:rsidR="00E73C87">
        <w:t xml:space="preserve"> on the same </w:t>
      </w:r>
      <w:r w:rsidR="002F559B">
        <w:t>bDMD</w:t>
      </w:r>
      <w:r w:rsidR="00E73C87">
        <w:t>.</w:t>
      </w:r>
      <w:r w:rsidR="0097295D">
        <w:t xml:space="preserve"> </w:t>
      </w:r>
      <w:r w:rsidR="009125F5">
        <w:t xml:space="preserve">Further, the use of complementary immunosuppressive therapy can improve the effectiveness </w:t>
      </w:r>
      <w:r w:rsidR="00435167">
        <w:t xml:space="preserve">and tolerability </w:t>
      </w:r>
      <w:r w:rsidR="009125F5">
        <w:t>of anti-TNF therapy</w:t>
      </w:r>
      <w:r w:rsidR="004B2F73">
        <w:t xml:space="preserve"> (Hanauer et al., 2002)</w:t>
      </w:r>
      <w:r w:rsidR="00475F9F">
        <w:t xml:space="preserve">. </w:t>
      </w:r>
      <w:r w:rsidR="002425C2">
        <w:t>Differences in the</w:t>
      </w:r>
      <w:r w:rsidR="00475F9F">
        <w:t xml:space="preserve"> concurrent use of </w:t>
      </w:r>
      <w:r w:rsidR="002F559B">
        <w:t>bDMDs</w:t>
      </w:r>
      <w:r w:rsidR="00475F9F">
        <w:t xml:space="preserve"> with corticosteroids or immunosuppressive therapy between PBS clients and trial participants</w:t>
      </w:r>
      <w:r w:rsidR="009125F5">
        <w:t xml:space="preserve"> </w:t>
      </w:r>
      <w:r w:rsidR="005714C2">
        <w:t xml:space="preserve">could potentially </w:t>
      </w:r>
      <w:r w:rsidR="002425C2">
        <w:t xml:space="preserve">be a factor in </w:t>
      </w:r>
      <w:r w:rsidR="005714C2">
        <w:t xml:space="preserve">the </w:t>
      </w:r>
      <w:r w:rsidR="002425C2">
        <w:t xml:space="preserve">variation in </w:t>
      </w:r>
      <w:r w:rsidR="00475F9F">
        <w:t>continuation</w:t>
      </w:r>
      <w:r w:rsidR="005714C2">
        <w:t xml:space="preserve"> rates observed in the clinical trials compared with PBS use.</w:t>
      </w:r>
    </w:p>
    <w:p w14:paraId="16937620" w14:textId="2CFDEBF9" w:rsidR="00084FC3" w:rsidRDefault="000F65EB" w:rsidP="00294231">
      <w:pPr>
        <w:spacing w:before="240" w:after="240" w:line="300" w:lineRule="atLeast"/>
      </w:pPr>
      <w:r>
        <w:t xml:space="preserve">The use of prior therapy against the PBS restrictions for </w:t>
      </w:r>
      <w:r w:rsidR="005B7C56">
        <w:t xml:space="preserve">the </w:t>
      </w:r>
      <w:r>
        <w:t xml:space="preserve">adult severe refractory Crohn disease and paediatric Crohn disease </w:t>
      </w:r>
      <w:r w:rsidR="005B7C56">
        <w:t xml:space="preserve">indications </w:t>
      </w:r>
      <w:r w:rsidR="00F33369">
        <w:t>was examined in patients first in</w:t>
      </w:r>
      <w:r w:rsidR="00B37BEC">
        <w:t xml:space="preserve">itiating on a </w:t>
      </w:r>
      <w:r w:rsidR="002F559B">
        <w:t>bDMD</w:t>
      </w:r>
      <w:r w:rsidR="00B37BEC">
        <w:t xml:space="preserve"> in 2016. </w:t>
      </w:r>
      <w:r w:rsidR="006B5646">
        <w:t xml:space="preserve">There were only a small number of cases where a </w:t>
      </w:r>
      <w:r w:rsidR="002F559B">
        <w:t>bDMD</w:t>
      </w:r>
      <w:r w:rsidR="006B5646">
        <w:t xml:space="preserve"> was </w:t>
      </w:r>
      <w:r w:rsidR="00C3438F">
        <w:t xml:space="preserve">first </w:t>
      </w:r>
      <w:r w:rsidR="006B5646">
        <w:t>initiated without a record of a prior supply of a corticosteroid or immunosuppressive therapy (</w:t>
      </w:r>
      <w:r w:rsidR="008C6C0C">
        <w:t>azathioprine, 6-mercaptopurine or methotrexate)</w:t>
      </w:r>
      <w:r>
        <w:t xml:space="preserve"> (Tables 5 </w:t>
      </w:r>
      <w:r w:rsidR="003A3335">
        <w:t>and 6</w:t>
      </w:r>
      <w:r w:rsidR="004C61C4">
        <w:t xml:space="preserve">). </w:t>
      </w:r>
      <w:r w:rsidR="00C3438F">
        <w:t xml:space="preserve">This may represent legitimate use in patients who were contraindicated to </w:t>
      </w:r>
      <w:r w:rsidR="007E01CC">
        <w:t>these prior therapies.</w:t>
      </w:r>
      <w:r w:rsidR="007C062D">
        <w:t xml:space="preserve"> Some paediatric patients recorded as having only received a prior course of a corticosteroid only or immunosuppressive drug only may have also received a course of enteral nutrition.</w:t>
      </w:r>
    </w:p>
    <w:p w14:paraId="51225206" w14:textId="10EE71CE" w:rsidR="00294231" w:rsidRDefault="00294231" w:rsidP="00294231">
      <w:pPr>
        <w:spacing w:before="240" w:after="240" w:line="300" w:lineRule="atLeast"/>
      </w:pPr>
      <w:r>
        <w:t xml:space="preserve">Adalimumab was first listed for the treatment of severe refractory Crohn disease in children and adolescents from 1 August 2015. </w:t>
      </w:r>
      <w:r w:rsidR="00842D59">
        <w:t>Before this listing a small number of patients less than 18 years of age were identified as having been supplied adalimumab under the adult listing for severe refractory Crohn disease (23 patients in 2016). The proportion of patients switching from the adult to paediatric listing for severe Crohn d</w:t>
      </w:r>
      <w:r w:rsidR="00BA4A3D">
        <w:t>isease in 2016 was 8.4% (Table 7</w:t>
      </w:r>
      <w:r w:rsidR="00842D59">
        <w:t>). Of these, 16% of patients were le</w:t>
      </w:r>
      <w:r w:rsidR="00BA4A3D">
        <w:t>ss than 18 years of age (Table 7</w:t>
      </w:r>
      <w:r w:rsidR="00842D59">
        <w:t>). The remainder could involve an incorrect entry of the PBS item code.</w:t>
      </w:r>
    </w:p>
    <w:p w14:paraId="7438B907" w14:textId="3FB8B492" w:rsidR="00730BAF" w:rsidRDefault="00053DCA" w:rsidP="00294231">
      <w:pPr>
        <w:spacing w:before="240" w:after="240" w:line="300" w:lineRule="atLeast"/>
      </w:pPr>
      <w:r>
        <w:t xml:space="preserve">Expenditure on </w:t>
      </w:r>
      <w:r w:rsidR="002F559B">
        <w:t>bDMDs</w:t>
      </w:r>
      <w:r>
        <w:t xml:space="preserve"> for </w:t>
      </w:r>
      <w:r w:rsidR="007114E6">
        <w:t xml:space="preserve">all R/PBS listed indications for Crohn disease had steadily increased from 2007 to 2016 </w:t>
      </w:r>
      <w:r w:rsidR="00BA4A3D">
        <w:t>(Table 8</w:t>
      </w:r>
      <w:r w:rsidR="007114E6">
        <w:t xml:space="preserve">, </w:t>
      </w:r>
      <w:r w:rsidR="0014015E">
        <w:t>Figure 9</w:t>
      </w:r>
      <w:r w:rsidR="007114E6">
        <w:t xml:space="preserve">). Based on the published prices, in 2016 the total expenditure was $158.5 million. </w:t>
      </w:r>
      <w:r w:rsidR="00C96C32">
        <w:t xml:space="preserve">Severe refractory Crohn disease had a larger treated population compared with fistulising Crohn disease and paediatric Crohn disease. As such, </w:t>
      </w:r>
      <w:r w:rsidR="0057697B">
        <w:t>t</w:t>
      </w:r>
      <w:r w:rsidR="007114E6">
        <w:t xml:space="preserve">he growth in expenditure was </w:t>
      </w:r>
      <w:r>
        <w:t xml:space="preserve">largely driven by </w:t>
      </w:r>
      <w:r w:rsidR="007114E6">
        <w:t xml:space="preserve">infliximab and </w:t>
      </w:r>
      <w:r>
        <w:t xml:space="preserve">adalimumab </w:t>
      </w:r>
      <w:r w:rsidR="0057697B">
        <w:t xml:space="preserve">for </w:t>
      </w:r>
      <w:r>
        <w:t xml:space="preserve"> </w:t>
      </w:r>
      <w:r w:rsidR="00C96C32">
        <w:t xml:space="preserve">adult severe refractory Crohn disease </w:t>
      </w:r>
      <w:r w:rsidR="00E35CE8">
        <w:t>(Table 8</w:t>
      </w:r>
      <w:r>
        <w:t xml:space="preserve">, </w:t>
      </w:r>
      <w:r w:rsidR="0014015E">
        <w:t>Figure 9</w:t>
      </w:r>
      <w:r>
        <w:t xml:space="preserve">). </w:t>
      </w:r>
    </w:p>
    <w:p w14:paraId="61771357" w14:textId="77777777" w:rsidR="006A1568" w:rsidRDefault="006A1568" w:rsidP="004B23CD">
      <w:pPr>
        <w:pStyle w:val="Heading4"/>
      </w:pPr>
    </w:p>
    <w:p w14:paraId="4DCB01D3" w14:textId="77777777" w:rsidR="004B23CD" w:rsidRDefault="004B23CD" w:rsidP="004B23CD">
      <w:pPr>
        <w:pStyle w:val="Heading4"/>
      </w:pPr>
      <w:r>
        <w:lastRenderedPageBreak/>
        <w:t>DUSC consideration</w:t>
      </w:r>
    </w:p>
    <w:p w14:paraId="6B67944B" w14:textId="69DBEDA8"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lang w:eastAsia="en-US"/>
        </w:rPr>
        <w:t xml:space="preserve">DUSC noted that of the adult patients with severe refractory Crohn disease initiating on </w:t>
      </w:r>
      <w:r w:rsidR="002F559B">
        <w:rPr>
          <w:rFonts w:ascii="Calibri" w:eastAsia="Times New Roman" w:hAnsi="Calibri" w:cs="Calibri"/>
          <w:lang w:eastAsia="en-US"/>
        </w:rPr>
        <w:t>bDMD</w:t>
      </w:r>
      <w:r w:rsidRPr="004B23CD">
        <w:rPr>
          <w:rFonts w:ascii="Calibri" w:eastAsia="Times New Roman" w:hAnsi="Calibri" w:cs="Calibri"/>
          <w:lang w:eastAsia="en-US"/>
        </w:rPr>
        <w:t xml:space="preserve"> therapy in 2011, around 60% remained on treatment after five years. DUSC noted this is much higher than the continuation rates in the clinical trials, which may partly be due to some patients switching to a second (or third) </w:t>
      </w:r>
      <w:r w:rsidR="002F559B">
        <w:rPr>
          <w:rFonts w:ascii="Calibri" w:eastAsia="Times New Roman" w:hAnsi="Calibri" w:cs="Calibri"/>
          <w:lang w:eastAsia="en-US"/>
        </w:rPr>
        <w:t>bDMD</w:t>
      </w:r>
      <w:r w:rsidRPr="004B23CD">
        <w:rPr>
          <w:rFonts w:ascii="Calibri" w:eastAsia="Times New Roman" w:hAnsi="Calibri" w:cs="Calibri"/>
          <w:lang w:eastAsia="en-US"/>
        </w:rPr>
        <w:t xml:space="preserve"> agent. DUSC commented that the continuation rates in fistulising Crohn disease patients seem high and considered patients may not be ceasing treatment after fistula closure. However, DUSC acknowledged that the restrictions do not include rules or advice of when patients should stop or restart treatment and therefore patients may be receiving continuous treatment.</w:t>
      </w:r>
    </w:p>
    <w:p w14:paraId="7FB0F3A8" w14:textId="77777777" w:rsidR="004B23CD" w:rsidRPr="004B23CD" w:rsidRDefault="004B23CD" w:rsidP="004B23CD">
      <w:pPr>
        <w:spacing w:after="0"/>
        <w:rPr>
          <w:rFonts w:ascii="Calibri" w:eastAsia="Times New Roman" w:hAnsi="Calibri" w:cs="Calibri"/>
          <w:lang w:eastAsia="en-US"/>
        </w:rPr>
      </w:pPr>
    </w:p>
    <w:p w14:paraId="42808252" w14:textId="7136FE3E"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lang w:eastAsia="en-US"/>
        </w:rPr>
        <w:t xml:space="preserve">DUSC noted the analysis of paediatric patients showed a low proportion of patients first supplied a </w:t>
      </w:r>
      <w:r w:rsidR="002F559B">
        <w:rPr>
          <w:rFonts w:ascii="Calibri" w:eastAsia="Times New Roman" w:hAnsi="Calibri" w:cs="Calibri"/>
          <w:lang w:eastAsia="en-US"/>
        </w:rPr>
        <w:t>bDMD</w:t>
      </w:r>
      <w:r w:rsidRPr="004B23CD">
        <w:rPr>
          <w:rFonts w:ascii="Calibri" w:eastAsia="Times New Roman" w:hAnsi="Calibri" w:cs="Calibri"/>
          <w:lang w:eastAsia="en-US"/>
        </w:rPr>
        <w:t xml:space="preserve"> for moderate to severe paediatric Crohn disease in 2016 did not have a prior R/PBS supply of a corticosteroid or immunosuppressive therapy. DUSC commented </w:t>
      </w:r>
      <w:r w:rsidR="006A1568">
        <w:rPr>
          <w:rFonts w:ascii="Calibri" w:eastAsia="Times New Roman" w:hAnsi="Calibri" w:cs="Calibri"/>
          <w:lang w:eastAsia="en-US"/>
        </w:rPr>
        <w:t xml:space="preserve">that </w:t>
      </w:r>
      <w:r w:rsidRPr="004B23CD">
        <w:rPr>
          <w:rFonts w:ascii="Calibri" w:eastAsia="Times New Roman" w:hAnsi="Calibri" w:cs="Calibri"/>
          <w:lang w:eastAsia="en-US"/>
        </w:rPr>
        <w:t>paediatric patients treated in teaching hospitals may not be captured in the analyses.</w:t>
      </w:r>
    </w:p>
    <w:p w14:paraId="57145B3B" w14:textId="77777777" w:rsidR="004B23CD" w:rsidRPr="004B23CD" w:rsidRDefault="004B23CD" w:rsidP="004B23CD">
      <w:pPr>
        <w:spacing w:after="0"/>
        <w:rPr>
          <w:rFonts w:ascii="Calibri" w:eastAsia="Times New Roman" w:hAnsi="Calibri" w:cs="Calibri"/>
          <w:lang w:eastAsia="en-US"/>
        </w:rPr>
      </w:pPr>
    </w:p>
    <w:p w14:paraId="42FCBF4C" w14:textId="77777777"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lang w:eastAsia="en-US"/>
        </w:rPr>
        <w:t xml:space="preserve">DUSC noted the comments in the response from the Gastroenterological Society of Australia (GESA) regarding the high continuation rate of Crohn disease patients on anti-TNF therapy compared to clinical trial participants. The response noted: </w:t>
      </w:r>
    </w:p>
    <w:p w14:paraId="2CDEA6AB" w14:textId="77777777" w:rsidR="004B23CD" w:rsidRPr="004B23CD" w:rsidRDefault="004B23CD" w:rsidP="004B23CD">
      <w:pPr>
        <w:spacing w:after="0"/>
        <w:rPr>
          <w:rFonts w:ascii="Calibri" w:eastAsia="Times New Roman" w:hAnsi="Calibri" w:cs="Calibri"/>
          <w:lang w:eastAsia="en-US"/>
        </w:rPr>
      </w:pPr>
    </w:p>
    <w:p w14:paraId="7543B0C8" w14:textId="59A2D978" w:rsidR="004B23CD" w:rsidRPr="004B23CD" w:rsidRDefault="004B23CD" w:rsidP="004B23CD">
      <w:pPr>
        <w:numPr>
          <w:ilvl w:val="0"/>
          <w:numId w:val="20"/>
        </w:numPr>
        <w:spacing w:after="0"/>
        <w:contextualSpacing/>
        <w:rPr>
          <w:rFonts w:ascii="Calibri" w:eastAsia="Times New Roman" w:hAnsi="Calibri" w:cs="Times New Roman"/>
          <w:lang w:eastAsia="en-US"/>
        </w:rPr>
      </w:pPr>
      <w:r w:rsidRPr="004B23CD">
        <w:rPr>
          <w:rFonts w:ascii="Calibri" w:eastAsia="Times New Roman" w:hAnsi="Calibri" w:cs="Times New Roman"/>
          <w:lang w:eastAsia="en-US"/>
        </w:rPr>
        <w:t>The patients entering clinical trials do not represent the real life population with Crohn disease. Many of the patients entering studies are doing so because they have longer duration, more complicated or more refractory to standard therapy disease and this is known to result in lower response rates to anti-TNF therapies. Ha and colleagues report that only 34% of patients would qualify to enter a clinical study (Ha, Ullman, Siegel, &amp; Kornbluth, 2012).</w:t>
      </w:r>
    </w:p>
    <w:p w14:paraId="40E1D142" w14:textId="77777777" w:rsidR="004B23CD" w:rsidRPr="004B23CD" w:rsidRDefault="004B23CD" w:rsidP="004B23CD">
      <w:pPr>
        <w:numPr>
          <w:ilvl w:val="0"/>
          <w:numId w:val="20"/>
        </w:numPr>
        <w:spacing w:after="0"/>
        <w:contextualSpacing/>
        <w:rPr>
          <w:rFonts w:ascii="Calibri" w:eastAsia="Times New Roman" w:hAnsi="Calibri" w:cs="Times New Roman"/>
          <w:lang w:eastAsia="en-US"/>
        </w:rPr>
      </w:pPr>
      <w:r w:rsidRPr="004B23CD">
        <w:rPr>
          <w:rFonts w:ascii="Calibri" w:eastAsia="Times New Roman" w:hAnsi="Calibri" w:cs="Times New Roman"/>
          <w:lang w:eastAsia="en-US"/>
        </w:rPr>
        <w:t xml:space="preserve">In clinical trials, use of any additional therapy such as the surgical resection of a stricture, a short course of corticosteroids, bile salt sequestering agents to reduce diarrhoea, anti-diarrhoeal drugs for a short colon or an increase in anti-TNF dose sourced from compassionate access are considered a protocol deviation, whereas under the PBS system these effectively maintain remission at the next assessment point. </w:t>
      </w:r>
    </w:p>
    <w:p w14:paraId="32259A55" w14:textId="0B5C31DC" w:rsidR="004B23CD" w:rsidRPr="004B23CD" w:rsidRDefault="004B23CD" w:rsidP="004B23CD">
      <w:pPr>
        <w:numPr>
          <w:ilvl w:val="0"/>
          <w:numId w:val="20"/>
        </w:numPr>
        <w:spacing w:after="0"/>
        <w:contextualSpacing/>
        <w:rPr>
          <w:rFonts w:ascii="Calibri" w:eastAsia="Times New Roman" w:hAnsi="Calibri" w:cs="Times New Roman"/>
          <w:lang w:eastAsia="en-US"/>
        </w:rPr>
      </w:pPr>
      <w:r w:rsidRPr="004B23CD">
        <w:rPr>
          <w:rFonts w:ascii="Calibri" w:eastAsia="Times New Roman" w:hAnsi="Calibri" w:cs="Times New Roman"/>
          <w:lang w:eastAsia="en-US"/>
        </w:rPr>
        <w:t xml:space="preserve">Registration studies for TNF inhibitors only included clinical assessments (CDAI) and biomarker inclusion criteria such as CRP, faecal calprotectin and demonstration of active inflammatory disease at endoscopy, all of which are standard in newer Crohn disease trials. It is well known that anti-inflammatory therapies are ineffective against fibrotic complications such as symptomatic intestinal strictures or against functional symptoms such as irritable bowel syndrome or other mechanical and maldigestive issues like bile salt malabsorption or small bowel intestinal bacterial overgrowth. Clinical practice recognises the importance of thorough assessment of active inflammatory disease and so the patients treated in Australia are likely to have a greater response and persistence rates than the population enrolled in the initial studies. </w:t>
      </w:r>
    </w:p>
    <w:p w14:paraId="679E820C" w14:textId="77777777" w:rsidR="004B23CD" w:rsidRPr="004B23CD" w:rsidRDefault="004B23CD" w:rsidP="004B23CD">
      <w:pPr>
        <w:numPr>
          <w:ilvl w:val="0"/>
          <w:numId w:val="20"/>
        </w:numPr>
        <w:spacing w:after="0"/>
        <w:contextualSpacing/>
        <w:rPr>
          <w:rFonts w:ascii="Calibri" w:eastAsia="Times New Roman" w:hAnsi="Calibri" w:cs="Times New Roman"/>
          <w:lang w:eastAsia="en-US"/>
        </w:rPr>
      </w:pPr>
      <w:r w:rsidRPr="004B23CD">
        <w:rPr>
          <w:rFonts w:ascii="Calibri" w:eastAsia="Times New Roman" w:hAnsi="Calibri" w:cs="Times New Roman"/>
          <w:lang w:eastAsia="en-US"/>
        </w:rPr>
        <w:t xml:space="preserve">Only 25% of patients enrolled in the Accent I infliximab study received concomitant immunosuppression with azathioprine (Hanauer, Feagan, Lichtenstein, &amp; Mayer, 2002). This co-therapy is now recognised to reduce the formation of anti-drug </w:t>
      </w:r>
      <w:r w:rsidRPr="004B23CD">
        <w:rPr>
          <w:rFonts w:ascii="Calibri" w:eastAsia="Times New Roman" w:hAnsi="Calibri" w:cs="Times New Roman"/>
          <w:lang w:eastAsia="en-US"/>
        </w:rPr>
        <w:lastRenderedPageBreak/>
        <w:t>antibodies against anti-TNF agents and therefore prolong clinical response. The requirements of PBS approval include the use of immunosuppressive agents or intolerance and so therefore a higher percentage of Australian patients were on co-therapy with a likely lowering of immunogenicity and subsequent secondary loss of response.</w:t>
      </w:r>
    </w:p>
    <w:p w14:paraId="46EFF807" w14:textId="77777777" w:rsidR="004B23CD" w:rsidRPr="004B23CD" w:rsidRDefault="004B23CD" w:rsidP="004B23CD">
      <w:pPr>
        <w:spacing w:after="0"/>
        <w:rPr>
          <w:rFonts w:ascii="Calibri" w:eastAsia="Times New Roman" w:hAnsi="Calibri" w:cs="Calibri"/>
          <w:lang w:eastAsia="en-US"/>
        </w:rPr>
      </w:pPr>
    </w:p>
    <w:p w14:paraId="7F0AED12" w14:textId="77777777" w:rsidR="004B23CD" w:rsidRPr="004B23CD" w:rsidRDefault="004B23CD" w:rsidP="004B23CD">
      <w:pPr>
        <w:spacing w:after="0"/>
        <w:rPr>
          <w:rFonts w:ascii="Calibri" w:eastAsia="Times New Roman" w:hAnsi="Calibri" w:cs="Calibri"/>
          <w:highlight w:val="black"/>
          <w:lang w:eastAsia="en-US"/>
        </w:rPr>
      </w:pPr>
      <w:r w:rsidRPr="004B23CD">
        <w:rPr>
          <w:rFonts w:ascii="Calibri" w:eastAsia="Times New Roman" w:hAnsi="Calibri" w:cs="Calibri"/>
          <w:noProof/>
          <w:color w:val="000000"/>
          <w:highlight w:val="black"/>
          <w:lang w:eastAsia="en-US"/>
        </w:rPr>
        <w:t xml:space="preserve">'''''''''' '''''''''' '''''' ''''''''''''''''''' '''''''''' '''' ''''''' '''' ''''''''''''''' ''''''''''''''''' '''' ''''''' ''''''''' '''''''''' '''''' ''''''''''''''' '''' ''''''' ''''''''''''''''''' '''''''''' '''' ''''''''''''''''''' '''''''''''''''''' ''''''''''''''''''' '''' '''''''''''''''''' '''''''''''''' '''''''''''''''''' '''''''''' ''''''''''''' '''' '''''' '''''''''' '''''''' ''''''''''' '''' '''''' ''''''''''' ''''''' '''''''''''''''' '''''''''''' '''''' '''''''''' '''' ''''''''''' ''''''''''''' ''''''' ''''''' ''''''''''''' '''' '''''''''''''''' '''''''' '''''''''''''' ''''''''''''''' '''' ''''''''''''''' ''' ''' '''''''''''''''''''''' '''' '''''' '''''''''''''''' ''''''''' ''''''' '''''''' '''''' '''''''''' '''''''''''''''''''''''' ''' '''''''''''''''' </w:t>
      </w:r>
    </w:p>
    <w:p w14:paraId="6135C525" w14:textId="77777777" w:rsidR="004B23CD" w:rsidRPr="004B23CD" w:rsidRDefault="004B23CD" w:rsidP="004B23CD">
      <w:pPr>
        <w:spacing w:after="0"/>
        <w:rPr>
          <w:rFonts w:ascii="Calibri" w:eastAsia="Times New Roman" w:hAnsi="Calibri" w:cs="Calibri"/>
          <w:lang w:eastAsia="en-US"/>
        </w:rPr>
      </w:pPr>
    </w:p>
    <w:p w14:paraId="66D91526" w14:textId="77777777" w:rsidR="004B23CD" w:rsidRPr="004B23CD" w:rsidRDefault="004B23CD" w:rsidP="004B23CD">
      <w:pPr>
        <w:spacing w:after="0"/>
        <w:rPr>
          <w:rFonts w:ascii="Calibri" w:eastAsia="Times New Roman" w:hAnsi="Calibri" w:cs="Calibri"/>
          <w:highlight w:val="black"/>
          <w:lang w:eastAsia="en-US"/>
        </w:rPr>
      </w:pPr>
      <w:r w:rsidRPr="004B23CD">
        <w:rPr>
          <w:rFonts w:ascii="Calibri" w:eastAsia="Times New Roman" w:hAnsi="Calibri" w:cs="Calibri"/>
          <w:noProof/>
          <w:color w:val="000000"/>
          <w:highlight w:val="black"/>
          <w:lang w:eastAsia="en-US"/>
        </w:rPr>
        <w:t xml:space="preserve">'''''''' '''''''''''''''''' ''''''''''''''''''' '''''''''''''' '''' ''''' '''''''''''''''' '''''''''' ''' '''''''' '''''''''''' '''' '''''''' '''''''''' '''''''' '''''''''''''' ''''''''''''''''''' '''''''' ''''''' '''''''''''''' ''''''''''''''''''''' '''''''''' </w:t>
      </w:r>
    </w:p>
    <w:p w14:paraId="310D448C" w14:textId="77777777" w:rsidR="004B23CD" w:rsidRPr="004B23CD" w:rsidRDefault="004B23CD" w:rsidP="004B23CD">
      <w:pPr>
        <w:spacing w:after="0"/>
        <w:ind w:left="720" w:hanging="360"/>
        <w:contextualSpacing/>
        <w:rPr>
          <w:rFonts w:ascii="Calibri" w:eastAsia="Times New Roman" w:hAnsi="Calibri" w:cs="Times New Roman"/>
          <w:highlight w:val="black"/>
          <w:lang w:eastAsia="en-US"/>
        </w:rPr>
      </w:pP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p>
    <w:p w14:paraId="650B7E5B" w14:textId="77777777" w:rsidR="004B23CD" w:rsidRPr="004B23CD" w:rsidRDefault="004B23CD" w:rsidP="004B23CD">
      <w:pPr>
        <w:spacing w:after="0"/>
        <w:ind w:left="720" w:hanging="360"/>
        <w:contextualSpacing/>
        <w:rPr>
          <w:rFonts w:ascii="Calibri" w:eastAsia="Times New Roman" w:hAnsi="Calibri" w:cs="Times New Roman"/>
          <w:highlight w:val="black"/>
          <w:lang w:eastAsia="en-US"/>
        </w:rPr>
      </w:pP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p>
    <w:p w14:paraId="04FB5E8D" w14:textId="77777777" w:rsidR="004B23CD" w:rsidRPr="004B23CD" w:rsidRDefault="004B23CD" w:rsidP="004B23CD">
      <w:pPr>
        <w:spacing w:after="0"/>
        <w:ind w:left="720" w:hanging="360"/>
        <w:contextualSpacing/>
        <w:rPr>
          <w:rFonts w:ascii="Calibri" w:eastAsia="Times New Roman" w:hAnsi="Calibri" w:cs="Times New Roman"/>
          <w:highlight w:val="black"/>
          <w:lang w:eastAsia="en-US"/>
        </w:rPr>
      </w:pP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p>
    <w:p w14:paraId="3A66F382" w14:textId="77777777" w:rsidR="004B23CD" w:rsidRPr="004B23CD" w:rsidRDefault="004B23CD" w:rsidP="004B23CD">
      <w:pPr>
        <w:spacing w:after="0"/>
        <w:ind w:left="720" w:hanging="360"/>
        <w:contextualSpacing/>
        <w:rPr>
          <w:rFonts w:ascii="Calibri" w:eastAsia="Times New Roman" w:hAnsi="Calibri" w:cs="Times New Roman"/>
          <w:highlight w:val="black"/>
          <w:lang w:eastAsia="en-US"/>
        </w:rPr>
      </w:pP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p>
    <w:p w14:paraId="1A98831E" w14:textId="77777777" w:rsidR="004B23CD" w:rsidRPr="004B23CD" w:rsidRDefault="004B23CD" w:rsidP="004B23CD">
      <w:pPr>
        <w:spacing w:after="0"/>
        <w:ind w:left="720" w:hanging="360"/>
        <w:contextualSpacing/>
        <w:rPr>
          <w:rFonts w:ascii="Calibri" w:eastAsia="Times New Roman" w:hAnsi="Calibri" w:cs="Times New Roman"/>
          <w:highlight w:val="black"/>
          <w:lang w:eastAsia="en-US"/>
        </w:rPr>
      </w:pP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r w:rsidRPr="004B23CD">
        <w:rPr>
          <w:rFonts w:ascii="Symbol" w:eastAsia="Times New Roman" w:hAnsi="Symbol" w:cs="Times New Roman"/>
          <w:noProof/>
          <w:color w:val="000000"/>
          <w:highlight w:val="black"/>
          <w:lang w:eastAsia="en-US"/>
        </w:rPr>
        <w:t></w:t>
      </w:r>
    </w:p>
    <w:p w14:paraId="67EAD4E9" w14:textId="77777777" w:rsidR="004B23CD" w:rsidRPr="004B23CD" w:rsidRDefault="004B23CD" w:rsidP="004B23CD">
      <w:pPr>
        <w:spacing w:after="0"/>
        <w:rPr>
          <w:rFonts w:ascii="Calibri" w:eastAsia="Times New Roman" w:hAnsi="Calibri" w:cs="Calibri"/>
          <w:lang w:eastAsia="en-US"/>
        </w:rPr>
      </w:pPr>
    </w:p>
    <w:p w14:paraId="36F6E5A2" w14:textId="58920DBC"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noProof/>
          <w:color w:val="000000"/>
          <w:highlight w:val="black"/>
          <w:lang w:eastAsia="en-US"/>
        </w:rPr>
        <w:t>''''''''''' ''''''''''''''''''' ''''''''' '''''' '''''''''''''''' ''''''''''' ''''''''''' ''''''' ''''''' '''''''''''' '''''' ''''''''''' '''''''''''''' '''' '''' ''''''' ''''''''' ''''' ''''''''''''''''''''' ''''''''''' ''''''''''' ''''''' ''''''''''''' '''' ''''''' ''''''''''''''''' '''''''' '''''' ''''''''''''''''' ''''''''''''''''''' '''' ''''''''''''''''' '''' ''''''''''''''''' ''''''''''''''''''' '''''' '''''''''''''''' '''' ''''''''''''''''' '''''''''''''' ''''''''''''' ''''''''''' '''''''''''' ''''''' '''''''''''''' ''''''''''''''''''' '''' '''''' '''''''''''''''' '''''''''''''''' '''''''''''''''''''''' ''' '''''''''''' ''''''''''' '''''''''''''''' '''''' ''''' ''''''''</w:t>
      </w:r>
      <w:r w:rsidRPr="004B23CD">
        <w:rPr>
          <w:rFonts w:ascii="Calibri" w:eastAsia="Times New Roman" w:hAnsi="Calibri" w:cs="Calibri"/>
          <w:lang w:eastAsia="en-US"/>
        </w:rPr>
        <w:t xml:space="preserve"> </w:t>
      </w:r>
      <w:r w:rsidRPr="004B23CD">
        <w:rPr>
          <w:rFonts w:ascii="Calibri" w:eastAsia="Times New Roman" w:hAnsi="Calibri" w:cs="Calibri"/>
          <w:noProof/>
          <w:color w:val="000000"/>
          <w:highlight w:val="black"/>
          <w:lang w:eastAsia="en-US"/>
        </w:rPr>
        <w:t>'''''''''''' '''''''''''' '''''''''' '''''''''''''''''''' '''''' '''''''''''''''' ''''''''''''''' '''' '''''''''' ''''''''</w:t>
      </w:r>
      <w:r w:rsidRPr="004B23CD">
        <w:rPr>
          <w:rFonts w:ascii="Calibri" w:eastAsia="Times New Roman" w:hAnsi="Calibri" w:cs="Calibri"/>
          <w:lang w:eastAsia="en-US"/>
        </w:rPr>
        <w:t xml:space="preserve"> DUSC considered that if patients with earlier or milder disease will be treated more aggressively, receive </w:t>
      </w:r>
      <w:r w:rsidR="002F559B">
        <w:rPr>
          <w:rFonts w:ascii="Calibri" w:eastAsia="Times New Roman" w:hAnsi="Calibri" w:cs="Calibri"/>
          <w:lang w:eastAsia="en-US"/>
        </w:rPr>
        <w:t>bDMDs</w:t>
      </w:r>
      <w:r w:rsidRPr="004B23CD">
        <w:rPr>
          <w:rFonts w:ascii="Calibri" w:eastAsia="Times New Roman" w:hAnsi="Calibri" w:cs="Calibri"/>
          <w:lang w:eastAsia="en-US"/>
        </w:rPr>
        <w:t xml:space="preserve"> earlier, and are more likely to receive co-medication of </w:t>
      </w:r>
      <w:r w:rsidR="002F559B">
        <w:rPr>
          <w:rFonts w:ascii="Calibri" w:eastAsia="Times New Roman" w:hAnsi="Calibri" w:cs="Calibri"/>
          <w:lang w:eastAsia="en-US"/>
        </w:rPr>
        <w:t>bDMDs</w:t>
      </w:r>
      <w:r w:rsidRPr="004B23CD">
        <w:rPr>
          <w:rFonts w:ascii="Calibri" w:eastAsia="Times New Roman" w:hAnsi="Calibri" w:cs="Calibri"/>
          <w:lang w:eastAsia="en-US"/>
        </w:rPr>
        <w:t xml:space="preserve"> and immunotherapy then it is likely the market is not saturated and use will continue to grow. </w:t>
      </w:r>
      <w:r w:rsidRPr="004B23CD">
        <w:rPr>
          <w:rFonts w:ascii="Calibri" w:eastAsia="Times New Roman" w:hAnsi="Calibri" w:cs="Calibri"/>
          <w:noProof/>
          <w:color w:val="000000"/>
          <w:highlight w:val="black"/>
          <w:lang w:eastAsia="en-US"/>
        </w:rPr>
        <w:t>'''''''''' '''''''''' ''''''' '''''' '''''''' ''''''''' '''''' ''''''''''''''''''' '''' ''''''''''''''''''''''''''''''''' '''''''''' ''''''''' '''''' '''''''' ''''' '''''''''''''''''' '''''' ''''''' '''''''''''''' ''''''''''''''''''''''' ''''' ''''''''''''''' '''''''''' ''''' ''''''''</w:t>
      </w:r>
    </w:p>
    <w:p w14:paraId="38D43C69" w14:textId="77777777" w:rsidR="004B23CD" w:rsidRPr="004B23CD" w:rsidRDefault="004B23CD" w:rsidP="004B23CD">
      <w:pPr>
        <w:spacing w:after="0"/>
        <w:rPr>
          <w:rFonts w:ascii="Calibri" w:eastAsia="Times New Roman" w:hAnsi="Calibri" w:cs="Calibri"/>
          <w:lang w:eastAsia="en-US"/>
        </w:rPr>
      </w:pPr>
    </w:p>
    <w:p w14:paraId="411E69B4" w14:textId="77777777" w:rsidR="004B23CD" w:rsidRPr="004B23CD" w:rsidRDefault="004B23CD" w:rsidP="004B23CD">
      <w:pPr>
        <w:spacing w:after="0"/>
        <w:rPr>
          <w:rFonts w:ascii="Calibri" w:eastAsia="Times New Roman" w:hAnsi="Calibri" w:cs="Calibri"/>
          <w:noProof/>
          <w:color w:val="000000"/>
          <w:lang w:eastAsia="en-US"/>
        </w:rPr>
      </w:pPr>
      <w:r w:rsidRPr="004B23CD">
        <w:rPr>
          <w:rFonts w:ascii="Calibri" w:eastAsia="Times New Roman" w:hAnsi="Calibri" w:cs="Calibri"/>
          <w:noProof/>
          <w:color w:val="000000"/>
          <w:highlight w:val="black"/>
          <w:lang w:eastAsia="en-US"/>
        </w:rPr>
        <w:t>'''''''''''' ''''''''''' ''''''' '''''''''''''''''''' '''' '''''' '''''''''' '''''''''' '''''' '''''''''''''''' '''' '''''''''''''''''''''' '''''''''''''''' '''''''''''' '''''''''''' ''''''''''' ''''''' '''' '''''''''''''''' '''' ''''''''''' ''' '' ''''''' ''''' '''''''''''''''''''''''''' ''''''''' ''''''' '''''''''''' ''''''''''''''' ''''''' ''' '''''''''''''' ''''''''''''''''''' '''' ''''''''''' ''''''''''' ''''''''' '''''' ''''''''' '''''''''''''' '' '''''''''' '''' ''''''' ''''''''' '''''''' ''''''''''''' ''''''' ''''''''''''''''' '''''''' '''''''''''' '''''''' '''''''''' '''''' ''''''''''' ''''''''''''''''' ''''''''' '''''''''''' ''''' '''''''''''''''''''</w:t>
      </w:r>
    </w:p>
    <w:p w14:paraId="46C9E4E6" w14:textId="77777777" w:rsidR="004B23CD" w:rsidRPr="004B23CD" w:rsidRDefault="004B23CD" w:rsidP="004B23CD">
      <w:pPr>
        <w:spacing w:after="0"/>
        <w:rPr>
          <w:rFonts w:ascii="Calibri" w:eastAsia="Times New Roman" w:hAnsi="Calibri" w:cs="Calibri"/>
          <w:lang w:eastAsia="en-US"/>
        </w:rPr>
      </w:pPr>
    </w:p>
    <w:p w14:paraId="4A5F2279" w14:textId="77777777"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lang w:eastAsia="en-US"/>
        </w:rPr>
        <w:lastRenderedPageBreak/>
        <w:t xml:space="preserve">DUSC commented that the use of medicines in this clinical area is likely to continue to increase, particularly as clinical practice is tending to treat earlier stages of disease. DUSC considered it is unknown if cost savings from surgical procedures, such as complete colectomies, has eventuated. </w:t>
      </w:r>
    </w:p>
    <w:p w14:paraId="3EBA4A68" w14:textId="77777777" w:rsidR="004B23CD" w:rsidRPr="004B23CD" w:rsidRDefault="004B23CD" w:rsidP="004B23CD">
      <w:pPr>
        <w:spacing w:after="0"/>
        <w:rPr>
          <w:rFonts w:ascii="Calibri" w:eastAsia="Times New Roman" w:hAnsi="Calibri" w:cs="Calibri"/>
          <w:lang w:eastAsia="en-US"/>
        </w:rPr>
      </w:pPr>
    </w:p>
    <w:p w14:paraId="0BC55871" w14:textId="23E59393" w:rsidR="004B23CD" w:rsidRPr="004B23CD" w:rsidRDefault="004B23CD" w:rsidP="004B23CD">
      <w:pPr>
        <w:spacing w:after="0"/>
        <w:rPr>
          <w:rFonts w:ascii="Calibri" w:eastAsia="Times New Roman" w:hAnsi="Calibri" w:cs="Calibri"/>
          <w:lang w:eastAsia="en-US"/>
        </w:rPr>
      </w:pPr>
      <w:r w:rsidRPr="004B23CD">
        <w:rPr>
          <w:rFonts w:ascii="Calibri" w:eastAsia="Times New Roman" w:hAnsi="Calibri" w:cs="Calibri"/>
          <w:lang w:eastAsia="en-US"/>
        </w:rPr>
        <w:t xml:space="preserve">DUSC commented it is unknown if the use of these medicines with higher than expected continuation rates is cost effective. DUSC considered that the coadministration with immunotherapies may be contributing to the longer than anticipated continuation rates of </w:t>
      </w:r>
      <w:r w:rsidR="002F559B">
        <w:rPr>
          <w:rFonts w:ascii="Calibri" w:eastAsia="Times New Roman" w:hAnsi="Calibri" w:cs="Calibri"/>
          <w:lang w:eastAsia="en-US"/>
        </w:rPr>
        <w:t>bDMDs</w:t>
      </w:r>
      <w:r w:rsidRPr="004B23CD">
        <w:rPr>
          <w:rFonts w:ascii="Calibri" w:eastAsia="Times New Roman" w:hAnsi="Calibri" w:cs="Calibri"/>
          <w:lang w:eastAsia="en-US"/>
        </w:rPr>
        <w:t>. DUSC also considered that other practices, such as patients receiving treatment earlier, may be involved in driving the continuation rates.</w:t>
      </w:r>
    </w:p>
    <w:p w14:paraId="21F35258" w14:textId="77777777" w:rsidR="004B23CD" w:rsidRDefault="004B23CD" w:rsidP="004B23CD">
      <w:pPr>
        <w:pStyle w:val="Heading4"/>
      </w:pPr>
      <w:r>
        <w:t>DUSC actions</w:t>
      </w:r>
    </w:p>
    <w:p w14:paraId="24278CE3" w14:textId="2E68A72F" w:rsidR="004B23CD" w:rsidRDefault="004B23CD">
      <w:pPr>
        <w:spacing w:line="276" w:lineRule="auto"/>
      </w:pPr>
      <w:r w:rsidRPr="004B23CD">
        <w:rPr>
          <w:rFonts w:ascii="Calibri" w:eastAsia="Times New Roman" w:hAnsi="Calibri" w:cs="Calibri"/>
          <w:lang w:eastAsia="en-US"/>
        </w:rPr>
        <w:t>DUSC requested that the report, stakeholder response</w:t>
      </w:r>
      <w:r w:rsidR="009E49BA">
        <w:rPr>
          <w:rFonts w:ascii="Calibri" w:eastAsia="Times New Roman" w:hAnsi="Calibri" w:cs="Calibri"/>
          <w:lang w:eastAsia="en-US"/>
        </w:rPr>
        <w:t>s</w:t>
      </w:r>
      <w:r w:rsidRPr="004B23CD">
        <w:rPr>
          <w:rFonts w:ascii="Calibri" w:eastAsia="Times New Roman" w:hAnsi="Calibri" w:cs="Calibri"/>
          <w:lang w:eastAsia="en-US"/>
        </w:rPr>
        <w:t xml:space="preserve"> and DUSC minutes be provided to the PBAC.</w:t>
      </w:r>
      <w:r w:rsidRPr="004B23CD">
        <w:t xml:space="preserve"> </w:t>
      </w:r>
    </w:p>
    <w:p w14:paraId="5918C577" w14:textId="77777777" w:rsidR="004B23CD" w:rsidRDefault="004B23CD">
      <w:pPr>
        <w:spacing w:line="276" w:lineRule="auto"/>
        <w:rPr>
          <w:b/>
          <w:sz w:val="32"/>
          <w:szCs w:val="32"/>
        </w:rPr>
      </w:pPr>
      <w:r w:rsidRPr="004B23CD">
        <w:rPr>
          <w:b/>
          <w:sz w:val="32"/>
          <w:szCs w:val="32"/>
        </w:rPr>
        <w:t>Context for analysis</w:t>
      </w:r>
    </w:p>
    <w:p w14:paraId="1D1F01D0" w14:textId="77777777" w:rsidR="004B23CD" w:rsidRDefault="004B23CD" w:rsidP="004B23CD">
      <w:r>
        <w:t xml:space="preserve">The DUSC is a Sub Committee of the Pharmaceutical Benefits Advisory Committee (PBAC). The DUSC assesses estimates on projected usage and financial cost of medicines. The DUSC also analyses data on actual use of medicines, including the utilisation of PBS listed medicines, and provides advice to the PBAC on these matters. This may include outlining how the current utilisation of PBS medicines compares with the use as recommended by the PBAC. The DUSC operates in accordance with the quality use of medicines objective of the National Medicines Policy and considers that the DUSC utilisation analyses will assist consumers and health professionals to better understand the costs, benefits and risks of medicines. The utilisation analysis report was provided to the pharmaceutical sponsors of each drug and comments on the report were provided to DUSC prior to its consideration of the analysis. </w:t>
      </w:r>
    </w:p>
    <w:p w14:paraId="7DB1575A" w14:textId="5E0E51D9" w:rsidR="004B23CD" w:rsidRDefault="004B23CD" w:rsidP="004B23CD">
      <w:pPr>
        <w:spacing w:line="276" w:lineRule="auto"/>
        <w:rPr>
          <w:b/>
          <w:sz w:val="32"/>
          <w:szCs w:val="32"/>
        </w:rPr>
      </w:pPr>
      <w:r w:rsidRPr="00DA4A06">
        <w:rPr>
          <w:b/>
          <w:sz w:val="32"/>
          <w:szCs w:val="32"/>
        </w:rPr>
        <w:t>Sponsor comments</w:t>
      </w:r>
    </w:p>
    <w:p w14:paraId="378F1ECA" w14:textId="77777777" w:rsidR="006443BC" w:rsidRDefault="00CA7105" w:rsidP="006443BC">
      <w:pPr>
        <w:spacing w:after="120"/>
      </w:pPr>
      <w:r w:rsidRPr="00CA7105">
        <w:rPr>
          <w:u w:val="single"/>
        </w:rPr>
        <w:t>Takeda Pharmaceuticals Australia Pty Ltd</w:t>
      </w:r>
      <w:r w:rsidR="00055E66">
        <w:t>:</w:t>
      </w:r>
    </w:p>
    <w:p w14:paraId="4EDAC38C" w14:textId="089D0574" w:rsidR="00055E66" w:rsidRDefault="00055E66" w:rsidP="006443BC">
      <w:pPr>
        <w:spacing w:after="120"/>
      </w:pPr>
      <w:r>
        <w:t>Takeda notes the report’s findings the bDMDs are being initiated as per their restrictions for prior therapies in the majority of cases, meaning their use is consistent with the PBAC’s recommendations for each of the three medicines, including Takeda’s vedolizumab.</w:t>
      </w:r>
    </w:p>
    <w:p w14:paraId="7EFA2944" w14:textId="3DB05F08" w:rsidR="00FF27F3" w:rsidRPr="00FF27F3" w:rsidRDefault="00FF27F3" w:rsidP="00FF27F3">
      <w:pPr>
        <w:rPr>
          <w:u w:val="single"/>
        </w:rPr>
      </w:pPr>
      <w:r w:rsidRPr="00FF27F3">
        <w:rPr>
          <w:u w:val="single"/>
        </w:rPr>
        <w:t>AbbVie Pty Ltd</w:t>
      </w:r>
      <w:r w:rsidR="00237487">
        <w:rPr>
          <w:u w:val="single"/>
        </w:rPr>
        <w:t>:</w:t>
      </w:r>
    </w:p>
    <w:p w14:paraId="5E0E0E67" w14:textId="7849EE40" w:rsidR="00FF27F3" w:rsidRPr="00FF27F3" w:rsidRDefault="00FF27F3" w:rsidP="00FF27F3">
      <w:r>
        <w:t>The sponsor had no comment.</w:t>
      </w:r>
    </w:p>
    <w:p w14:paraId="5C4B67F3" w14:textId="323A997D" w:rsidR="00FF27F3" w:rsidRPr="00FF27F3" w:rsidRDefault="00FF27F3" w:rsidP="00FF27F3">
      <w:pPr>
        <w:rPr>
          <w:u w:val="single"/>
        </w:rPr>
      </w:pPr>
      <w:r w:rsidRPr="00FF27F3">
        <w:rPr>
          <w:u w:val="single"/>
        </w:rPr>
        <w:t>Pfizer Australia Pty Ltd</w:t>
      </w:r>
      <w:r w:rsidR="00237487">
        <w:rPr>
          <w:u w:val="single"/>
        </w:rPr>
        <w:t>:</w:t>
      </w:r>
    </w:p>
    <w:p w14:paraId="53DFA9A5" w14:textId="7862B5D9" w:rsidR="00FF27F3" w:rsidRPr="006443BC" w:rsidRDefault="00FF27F3" w:rsidP="00FF27F3">
      <w:r>
        <w:t>The sponsor had no comment.</w:t>
      </w:r>
    </w:p>
    <w:p w14:paraId="6DE6EB38" w14:textId="0D1F1340" w:rsidR="00055E66" w:rsidRPr="00FF27F3" w:rsidRDefault="00FF27F3" w:rsidP="00FF27F3">
      <w:pPr>
        <w:rPr>
          <w:u w:val="single"/>
        </w:rPr>
      </w:pPr>
      <w:r w:rsidRPr="00FF27F3">
        <w:rPr>
          <w:u w:val="single"/>
        </w:rPr>
        <w:t>Janssen-</w:t>
      </w:r>
      <w:proofErr w:type="spellStart"/>
      <w:r w:rsidRPr="00FF27F3">
        <w:rPr>
          <w:u w:val="single"/>
        </w:rPr>
        <w:t>Cilag</w:t>
      </w:r>
      <w:proofErr w:type="spellEnd"/>
      <w:r w:rsidRPr="00FF27F3">
        <w:rPr>
          <w:u w:val="single"/>
        </w:rPr>
        <w:t xml:space="preserve"> Pty Ltd</w:t>
      </w:r>
      <w:r w:rsidR="00237487">
        <w:rPr>
          <w:u w:val="single"/>
        </w:rPr>
        <w:t>:</w:t>
      </w:r>
    </w:p>
    <w:p w14:paraId="2D21D0D7" w14:textId="46B9A7D2" w:rsidR="00CA7105" w:rsidRPr="00FF27F3" w:rsidRDefault="00FF27F3" w:rsidP="00DA4A06">
      <w:r>
        <w:t>The sponsor had no comment.</w:t>
      </w:r>
    </w:p>
    <w:p w14:paraId="657BEBB4" w14:textId="13271A10" w:rsidR="004B23CD" w:rsidRDefault="004B23CD" w:rsidP="004B23CD">
      <w:pPr>
        <w:spacing w:line="276" w:lineRule="auto"/>
        <w:rPr>
          <w:b/>
          <w:sz w:val="32"/>
          <w:szCs w:val="32"/>
        </w:rPr>
      </w:pPr>
      <w:r>
        <w:rPr>
          <w:b/>
          <w:sz w:val="32"/>
          <w:szCs w:val="32"/>
        </w:rPr>
        <w:lastRenderedPageBreak/>
        <w:t>Disclaimer</w:t>
      </w:r>
    </w:p>
    <w:p w14:paraId="5A807BB2" w14:textId="77777777" w:rsidR="004B23CD" w:rsidRDefault="004B23CD" w:rsidP="004B23CD">
      <w:r>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 </w:t>
      </w:r>
    </w:p>
    <w:p w14:paraId="07906AB3" w14:textId="77777777" w:rsidR="004B23CD" w:rsidRDefault="004B23CD" w:rsidP="004B23CD">
      <w:r>
        <w:t xml:space="preserve">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 </w:t>
      </w:r>
    </w:p>
    <w:p w14:paraId="7B35EC55" w14:textId="77777777" w:rsidR="004B23CD" w:rsidRDefault="004B23CD" w:rsidP="004B23CD">
      <w:r>
        <w:t xml:space="preserve">To the extent provided by law, DoH makes no warranties or representations as to accuracy or completeness of information contained in this report. </w:t>
      </w:r>
    </w:p>
    <w:p w14:paraId="6666DC87" w14:textId="5EB87F4C" w:rsidR="004B23CD" w:rsidRPr="004B23CD" w:rsidRDefault="004B23CD" w:rsidP="004B23CD">
      <w:pPr>
        <w:rPr>
          <w:sz w:val="32"/>
          <w:szCs w:val="32"/>
        </w:rPr>
      </w:pPr>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05B3C96" w14:textId="49953F7C" w:rsidR="004B23CD" w:rsidRDefault="004B23CD" w:rsidP="004B23CD">
      <w:pPr>
        <w:rPr>
          <w:b/>
          <w:sz w:val="32"/>
          <w:szCs w:val="32"/>
        </w:rPr>
      </w:pPr>
      <w:r>
        <w:br w:type="page"/>
      </w:r>
    </w:p>
    <w:p w14:paraId="35AA6988" w14:textId="3B778B32" w:rsidR="004B306F" w:rsidRDefault="004B306F" w:rsidP="00B30D85">
      <w:pPr>
        <w:pStyle w:val="Heading4"/>
      </w:pPr>
      <w:r>
        <w:lastRenderedPageBreak/>
        <w:t>References</w:t>
      </w:r>
    </w:p>
    <w:p w14:paraId="09660305" w14:textId="499D19DA" w:rsidR="0025772B" w:rsidRDefault="0025772B" w:rsidP="0025772B">
      <w:pPr>
        <w:autoSpaceDE w:val="0"/>
        <w:autoSpaceDN w:val="0"/>
        <w:adjustRightInd w:val="0"/>
        <w:spacing w:after="0"/>
      </w:pPr>
      <w:r w:rsidRPr="0025772B">
        <w:t xml:space="preserve">Ananthakrishnan AN. </w:t>
      </w:r>
      <w:r>
        <w:t xml:space="preserve">Environmental Risk Factors for </w:t>
      </w:r>
      <w:r w:rsidRPr="0025772B">
        <w:t>Inflammatory Bowel Disease. Gastroenterology &amp; Hepatology 2013 9(6): 367-374.</w:t>
      </w:r>
    </w:p>
    <w:p w14:paraId="39E693D3" w14:textId="77777777" w:rsidR="0025772B" w:rsidRDefault="0025772B" w:rsidP="0025772B">
      <w:pPr>
        <w:autoSpaceDE w:val="0"/>
        <w:autoSpaceDN w:val="0"/>
        <w:adjustRightInd w:val="0"/>
        <w:spacing w:after="0"/>
      </w:pPr>
    </w:p>
    <w:p w14:paraId="07E42857" w14:textId="19AA83E4" w:rsidR="00101A38" w:rsidRDefault="00101A38" w:rsidP="00A1567B">
      <w:r w:rsidRPr="00101A38">
        <w:t xml:space="preserve">Boyapati R, Satsangi J and Ho G-T. Pathogenesis of </w:t>
      </w:r>
      <w:r w:rsidR="000C2656">
        <w:t>Crohn</w:t>
      </w:r>
      <w:r w:rsidRPr="00101A38">
        <w:t xml:space="preserve"> disease. F1000Prime Reports 2015 7:44.</w:t>
      </w:r>
    </w:p>
    <w:p w14:paraId="287B7437" w14:textId="1F73A061" w:rsidR="00A1567B" w:rsidRDefault="00CB12F6" w:rsidP="00A1567B">
      <w:r>
        <w:t>Danese S, and Fiocchi</w:t>
      </w:r>
      <w:r w:rsidR="00A1567B" w:rsidRPr="007B5A8A">
        <w:t xml:space="preserve"> C. Ulcerative colitis. N Engl J Med. </w:t>
      </w:r>
      <w:r>
        <w:t xml:space="preserve">2011 </w:t>
      </w:r>
      <w:r w:rsidR="00A1567B" w:rsidRPr="007B5A8A">
        <w:t>365:1713-25.</w:t>
      </w:r>
    </w:p>
    <w:p w14:paraId="23261D8D" w14:textId="04C4110B" w:rsidR="00A1567B" w:rsidRDefault="00CB12F6" w:rsidP="00A1567B">
      <w:pPr>
        <w:autoSpaceDE w:val="0"/>
        <w:autoSpaceDN w:val="0"/>
        <w:adjustRightInd w:val="0"/>
        <w:spacing w:after="0"/>
      </w:pPr>
      <w:r>
        <w:t>da Silva BC, Lyra AC, Rocha R</w:t>
      </w:r>
      <w:r w:rsidR="00A1567B">
        <w:t xml:space="preserve"> and </w:t>
      </w:r>
      <w:r>
        <w:t xml:space="preserve">Santana GO. </w:t>
      </w:r>
      <w:r w:rsidR="00A1567B" w:rsidRPr="00AC19E8">
        <w:t>Epidemiology, demographic characteristics and prognostic</w:t>
      </w:r>
      <w:r w:rsidR="00A1567B">
        <w:t xml:space="preserve"> </w:t>
      </w:r>
      <w:r w:rsidR="00A1567B" w:rsidRPr="00AC19E8">
        <w:t>predictors of ulcerative colitis</w:t>
      </w:r>
      <w:r w:rsidR="00A1567B">
        <w:t>.</w:t>
      </w:r>
      <w:r w:rsidR="00A1567B" w:rsidRPr="00AC19E8">
        <w:t xml:space="preserve"> World J Gastroenterol. </w:t>
      </w:r>
      <w:r>
        <w:t xml:space="preserve">2014 </w:t>
      </w:r>
      <w:r w:rsidR="00A1567B" w:rsidRPr="00AC19E8">
        <w:t>20(28): 9458-9467</w:t>
      </w:r>
      <w:r w:rsidR="00A1567B">
        <w:t>.</w:t>
      </w:r>
    </w:p>
    <w:p w14:paraId="3F93CC7B" w14:textId="77777777" w:rsidR="00B67AFD" w:rsidRDefault="00B67AFD" w:rsidP="00A1567B">
      <w:pPr>
        <w:autoSpaceDE w:val="0"/>
        <w:autoSpaceDN w:val="0"/>
        <w:adjustRightInd w:val="0"/>
        <w:spacing w:after="0"/>
      </w:pPr>
    </w:p>
    <w:p w14:paraId="75A0908C" w14:textId="77777777" w:rsidR="00B67AFD" w:rsidRPr="00B67AFD" w:rsidRDefault="00B67AFD" w:rsidP="00B67AFD">
      <w:pPr>
        <w:autoSpaceDE w:val="0"/>
        <w:autoSpaceDN w:val="0"/>
        <w:adjustRightInd w:val="0"/>
        <w:spacing w:after="0"/>
      </w:pPr>
      <w:r>
        <w:t xml:space="preserve">Day AS, Lemberg DA and Gearry RB. </w:t>
      </w:r>
      <w:r w:rsidRPr="00B67AFD">
        <w:t>Inflammatory Bowel Disease in Australasian</w:t>
      </w:r>
    </w:p>
    <w:p w14:paraId="241864E6" w14:textId="04E5649E" w:rsidR="00B67AFD" w:rsidRDefault="00B67AFD" w:rsidP="00B67AFD">
      <w:pPr>
        <w:autoSpaceDE w:val="0"/>
        <w:autoSpaceDN w:val="0"/>
        <w:adjustRightInd w:val="0"/>
        <w:spacing w:after="0"/>
      </w:pPr>
      <w:r w:rsidRPr="00B67AFD">
        <w:t>Children and Adolescents</w:t>
      </w:r>
      <w:r>
        <w:t xml:space="preserve">. </w:t>
      </w:r>
      <w:r w:rsidRPr="00B67AFD">
        <w:t>Gastroenterology Research and Practice</w:t>
      </w:r>
      <w:r>
        <w:t xml:space="preserve"> 2014 </w:t>
      </w:r>
      <w:r w:rsidRPr="00B67AFD">
        <w:t>http://dx.doi.org/10.1155/2014/703890</w:t>
      </w:r>
    </w:p>
    <w:p w14:paraId="08486D36" w14:textId="77777777" w:rsidR="00A1567B" w:rsidRDefault="00A1567B" w:rsidP="00A1567B">
      <w:pPr>
        <w:autoSpaceDE w:val="0"/>
        <w:autoSpaceDN w:val="0"/>
        <w:adjustRightInd w:val="0"/>
        <w:spacing w:after="0"/>
      </w:pPr>
    </w:p>
    <w:p w14:paraId="5D9272ED" w14:textId="77777777" w:rsidR="00A1567B" w:rsidRDefault="00A1567B" w:rsidP="00A1567B">
      <w:pPr>
        <w:autoSpaceDE w:val="0"/>
        <w:autoSpaceDN w:val="0"/>
        <w:adjustRightInd w:val="0"/>
        <w:spacing w:after="0"/>
      </w:pPr>
      <w:r>
        <w:t xml:space="preserve">(GESA Guidelines 2013). </w:t>
      </w:r>
      <w:r w:rsidRPr="00D35DB5">
        <w:t xml:space="preserve">Australian Guidelines for General Practitioners and Physicians: Inflammatory Bowel Disease. Gastroentrological Society of Australia.  </w:t>
      </w:r>
      <w:r>
        <w:t>Third Edition.</w:t>
      </w:r>
    </w:p>
    <w:p w14:paraId="707AA241" w14:textId="77777777" w:rsidR="005F6C2E" w:rsidRDefault="005F6C2E" w:rsidP="005F6C2E">
      <w:pPr>
        <w:pStyle w:val="Default"/>
      </w:pPr>
    </w:p>
    <w:p w14:paraId="7476A4B2" w14:textId="66C3D2F4" w:rsidR="005F6C2E" w:rsidRPr="005F6C2E" w:rsidRDefault="005F6C2E" w:rsidP="005F6C2E">
      <w:pPr>
        <w:pStyle w:val="Default"/>
        <w:rPr>
          <w:rFonts w:asciiTheme="minorHAnsi" w:hAnsiTheme="minorHAnsi" w:cstheme="minorBidi"/>
          <w:color w:val="auto"/>
        </w:rPr>
      </w:pPr>
      <w:r w:rsidRPr="005F6C2E">
        <w:rPr>
          <w:rFonts w:asciiTheme="minorHAnsi" w:hAnsiTheme="minorHAnsi" w:cstheme="minorBidi"/>
          <w:color w:val="auto"/>
        </w:rPr>
        <w:t>Guinane</w:t>
      </w:r>
      <w:r>
        <w:rPr>
          <w:rFonts w:asciiTheme="minorHAnsi" w:hAnsiTheme="minorHAnsi" w:cstheme="minorBidi"/>
          <w:color w:val="auto"/>
        </w:rPr>
        <w:t xml:space="preserve"> CM</w:t>
      </w:r>
      <w:r w:rsidRPr="005F6C2E">
        <w:rPr>
          <w:rFonts w:asciiTheme="minorHAnsi" w:hAnsiTheme="minorHAnsi" w:cstheme="minorBidi"/>
          <w:color w:val="auto"/>
        </w:rPr>
        <w:t xml:space="preserve"> and Cotter</w:t>
      </w:r>
      <w:r w:rsidR="00416738">
        <w:rPr>
          <w:rFonts w:asciiTheme="minorHAnsi" w:hAnsiTheme="minorHAnsi" w:cstheme="minorBidi"/>
          <w:color w:val="auto"/>
        </w:rPr>
        <w:t xml:space="preserve"> PD</w:t>
      </w:r>
      <w:r>
        <w:rPr>
          <w:rFonts w:asciiTheme="minorHAnsi" w:hAnsiTheme="minorHAnsi" w:cstheme="minorBidi"/>
          <w:color w:val="auto"/>
        </w:rPr>
        <w:t xml:space="preserve">. </w:t>
      </w:r>
      <w:r w:rsidRPr="005F6C2E">
        <w:rPr>
          <w:rFonts w:asciiTheme="minorHAnsi" w:hAnsiTheme="minorHAnsi" w:cstheme="minorBidi"/>
          <w:color w:val="auto"/>
        </w:rPr>
        <w:t xml:space="preserve">Role of the gut microbiota in health and chronic gastrointestinal disease: understanding a hidden metabolic organ. Ther Adv Gastroenterol. </w:t>
      </w:r>
    </w:p>
    <w:p w14:paraId="7754879E" w14:textId="5E513A16" w:rsidR="005F6C2E" w:rsidRDefault="005F6C2E" w:rsidP="005F6C2E">
      <w:pPr>
        <w:autoSpaceDE w:val="0"/>
        <w:autoSpaceDN w:val="0"/>
        <w:adjustRightInd w:val="0"/>
        <w:spacing w:after="0"/>
      </w:pPr>
      <w:r w:rsidRPr="005F6C2E">
        <w:t xml:space="preserve"> </w:t>
      </w:r>
      <w:r>
        <w:t>2013</w:t>
      </w:r>
      <w:r w:rsidRPr="005F6C2E">
        <w:t xml:space="preserve"> 6(4)</w:t>
      </w:r>
      <w:r>
        <w:t>:</w:t>
      </w:r>
      <w:r w:rsidRPr="005F6C2E">
        <w:t xml:space="preserve"> 295–308</w:t>
      </w:r>
      <w:r>
        <w:t>.</w:t>
      </w:r>
    </w:p>
    <w:p w14:paraId="12A54DD1" w14:textId="77777777" w:rsidR="00D8356F" w:rsidRDefault="00D8356F" w:rsidP="005F6C2E">
      <w:pPr>
        <w:autoSpaceDE w:val="0"/>
        <w:autoSpaceDN w:val="0"/>
        <w:adjustRightInd w:val="0"/>
        <w:spacing w:after="0"/>
      </w:pPr>
    </w:p>
    <w:p w14:paraId="6AA7060B" w14:textId="377CE8F4" w:rsidR="00D8356F" w:rsidRPr="00D8356F" w:rsidRDefault="00D8356F" w:rsidP="00D8356F">
      <w:pPr>
        <w:autoSpaceDE w:val="0"/>
        <w:autoSpaceDN w:val="0"/>
        <w:adjustRightInd w:val="0"/>
        <w:spacing w:after="0"/>
      </w:pPr>
      <w:r w:rsidRPr="00D8356F">
        <w:t>Hanauer SB, Feagan, BG, Lichtenstein GR et al. Maintenance infliximab for Crohn’s disease: the ACCENT I randomised trial. Lancet 2002 359: 1541–49.</w:t>
      </w:r>
    </w:p>
    <w:p w14:paraId="564FE4C8" w14:textId="5208CC26" w:rsidR="00A1567B" w:rsidRDefault="00DF5AD7" w:rsidP="00A1567B">
      <w:pPr>
        <w:shd w:val="clear" w:color="auto" w:fill="FFFFFF"/>
        <w:spacing w:before="120" w:after="120" w:line="300" w:lineRule="atLeast"/>
        <w:outlineLvl w:val="0"/>
      </w:pPr>
      <w:hyperlink r:id="rId38" w:history="1">
        <w:r w:rsidR="00A1567B" w:rsidRPr="00995C81">
          <w:t>Ho EY</w:t>
        </w:r>
      </w:hyperlink>
      <w:r w:rsidR="00A1567B" w:rsidRPr="00770212">
        <w:t>,</w:t>
      </w:r>
      <w:r w:rsidR="00A1567B" w:rsidRPr="00995C81">
        <w:t> </w:t>
      </w:r>
      <w:hyperlink r:id="rId39" w:history="1">
        <w:r w:rsidR="00A1567B" w:rsidRPr="00995C81">
          <w:t>Cominelli F</w:t>
        </w:r>
      </w:hyperlink>
      <w:r w:rsidR="00A1567B">
        <w:t xml:space="preserve"> and</w:t>
      </w:r>
      <w:r w:rsidR="00A1567B" w:rsidRPr="00995C81">
        <w:t> </w:t>
      </w:r>
      <w:hyperlink r:id="rId40" w:history="1">
        <w:r w:rsidR="00A1567B" w:rsidRPr="00995C81">
          <w:t>Katz J</w:t>
        </w:r>
      </w:hyperlink>
      <w:r w:rsidR="00A1567B">
        <w:t xml:space="preserve">. </w:t>
      </w:r>
      <w:r w:rsidR="00A1567B" w:rsidRPr="00770212">
        <w:t>Ulcerative Colitis: What is the Optimal Treatment Goal and How Do We Achieve It?</w:t>
      </w:r>
      <w:r w:rsidR="00A1567B" w:rsidRPr="00995C81">
        <w:t xml:space="preserve"> </w:t>
      </w:r>
      <w:hyperlink r:id="rId41" w:tooltip="Current treatment options in gastroenterology." w:history="1">
        <w:r w:rsidR="00A1567B" w:rsidRPr="00995C81">
          <w:t>Curr Treat Options Gastroenterol.</w:t>
        </w:r>
      </w:hyperlink>
      <w:r w:rsidR="00A1567B" w:rsidRPr="00995C81">
        <w:t> </w:t>
      </w:r>
      <w:r w:rsidR="00CB12F6">
        <w:t xml:space="preserve">2015 </w:t>
      </w:r>
      <w:r w:rsidR="00A1567B" w:rsidRPr="00770212">
        <w:t>13(1):130-42.</w:t>
      </w:r>
    </w:p>
    <w:p w14:paraId="2ED24384" w14:textId="77777777" w:rsidR="00ED595E" w:rsidRPr="00ED595E" w:rsidRDefault="00ED595E" w:rsidP="00ED595E">
      <w:pPr>
        <w:autoSpaceDE w:val="0"/>
        <w:autoSpaceDN w:val="0"/>
        <w:adjustRightInd w:val="0"/>
        <w:spacing w:after="0"/>
      </w:pPr>
      <w:r w:rsidRPr="00ED595E">
        <w:t>Ng WK, Wong SH and Ng SC. Changing epidemiological trends of inflammatory bowel</w:t>
      </w:r>
    </w:p>
    <w:p w14:paraId="31506282" w14:textId="0E4CF330" w:rsidR="00ED595E" w:rsidRDefault="00ED595E" w:rsidP="00ED595E">
      <w:pPr>
        <w:shd w:val="clear" w:color="auto" w:fill="FFFFFF"/>
        <w:spacing w:after="0"/>
        <w:outlineLvl w:val="0"/>
      </w:pPr>
      <w:r w:rsidRPr="00ED595E">
        <w:t xml:space="preserve">disease in Asia. </w:t>
      </w:r>
      <w:r w:rsidR="00A23B1C">
        <w:t xml:space="preserve">Intest Res 2016 </w:t>
      </w:r>
      <w:r w:rsidR="00A23B1C" w:rsidRPr="00A23B1C">
        <w:t>14(2):111-119</w:t>
      </w:r>
      <w:r w:rsidR="00A23B1C">
        <w:t>.</w:t>
      </w:r>
    </w:p>
    <w:p w14:paraId="62913CB9" w14:textId="77777777" w:rsidR="00ED595E" w:rsidRDefault="00ED595E" w:rsidP="00ED595E">
      <w:pPr>
        <w:shd w:val="clear" w:color="auto" w:fill="FFFFFF"/>
        <w:spacing w:after="0"/>
        <w:outlineLvl w:val="0"/>
      </w:pPr>
    </w:p>
    <w:p w14:paraId="3C826587" w14:textId="290A33B2" w:rsidR="00CC275B" w:rsidRPr="00E36A32" w:rsidRDefault="00CC275B" w:rsidP="00CC275B">
      <w:pPr>
        <w:shd w:val="clear" w:color="auto" w:fill="FFFFFF"/>
        <w:spacing w:after="101"/>
        <w:textAlignment w:val="baseline"/>
        <w:outlineLvl w:val="0"/>
        <w:rPr>
          <w:rFonts w:ascii="Calibri" w:hAnsi="Calibri"/>
        </w:rPr>
      </w:pPr>
      <w:r w:rsidRPr="00E36A32">
        <w:rPr>
          <w:rFonts w:ascii="Calibri" w:hAnsi="Calibri"/>
        </w:rPr>
        <w:t>Studd</w:t>
      </w:r>
      <w:r>
        <w:rPr>
          <w:rFonts w:ascii="Calibri" w:hAnsi="Calibri"/>
        </w:rPr>
        <w:t xml:space="preserve"> C</w:t>
      </w:r>
      <w:r w:rsidRPr="00E36A32">
        <w:rPr>
          <w:rFonts w:ascii="Calibri" w:hAnsi="Calibri"/>
        </w:rPr>
        <w:t>,</w:t>
      </w:r>
      <w:r>
        <w:rPr>
          <w:rFonts w:ascii="Calibri" w:hAnsi="Calibri"/>
        </w:rPr>
        <w:t xml:space="preserve"> Cameron G, Beswick L et al. </w:t>
      </w:r>
      <w:r w:rsidRPr="00E36A32">
        <w:rPr>
          <w:rFonts w:ascii="Calibri" w:hAnsi="Calibri"/>
        </w:rPr>
        <w:t>Never underestimate inflammatory bowel disease: High prevalence rates and confirmation of high incidence rates in Australia</w:t>
      </w:r>
      <w:r>
        <w:rPr>
          <w:rFonts w:ascii="Calibri" w:hAnsi="Calibri"/>
        </w:rPr>
        <w:t xml:space="preserve">. </w:t>
      </w:r>
      <w:r w:rsidRPr="00CC275B">
        <w:rPr>
          <w:rFonts w:ascii="Calibri" w:hAnsi="Calibri"/>
        </w:rPr>
        <w:t xml:space="preserve">Journal of Gastroenterology and Hepatology 2016  </w:t>
      </w:r>
      <w:r>
        <w:rPr>
          <w:rFonts w:ascii="Calibri" w:hAnsi="Calibri"/>
        </w:rPr>
        <w:t>31(1):</w:t>
      </w:r>
      <w:r w:rsidRPr="00CC275B">
        <w:rPr>
          <w:rFonts w:ascii="Calibri" w:hAnsi="Calibri"/>
        </w:rPr>
        <w:t>81–86</w:t>
      </w:r>
      <w:r>
        <w:rPr>
          <w:rFonts w:ascii="Calibri" w:hAnsi="Calibri"/>
        </w:rPr>
        <w:t>.</w:t>
      </w:r>
    </w:p>
    <w:p w14:paraId="5208C211" w14:textId="2C5934D1" w:rsidR="00A1567B" w:rsidRDefault="00CB12F6" w:rsidP="00A1567B">
      <w:pPr>
        <w:shd w:val="clear" w:color="auto" w:fill="FFFFFF"/>
        <w:spacing w:before="120" w:after="120" w:line="300" w:lineRule="atLeast"/>
        <w:outlineLvl w:val="0"/>
      </w:pPr>
      <w:r>
        <w:t>Zelinkova Z  and van der Woude C</w:t>
      </w:r>
      <w:r w:rsidR="00A1567B" w:rsidRPr="00A6593A">
        <w:t xml:space="preserve">J. Gender and Inflammatory Bowel Disease. J Clin Cell Immunol. </w:t>
      </w:r>
      <w:r>
        <w:t xml:space="preserve">2014 </w:t>
      </w:r>
      <w:r w:rsidR="00A1567B" w:rsidRPr="00A6593A">
        <w:t>5:4.</w:t>
      </w:r>
    </w:p>
    <w:p w14:paraId="79872925" w14:textId="51425F8F" w:rsidR="00347A74" w:rsidRDefault="00347A74">
      <w:pPr>
        <w:spacing w:line="276" w:lineRule="auto"/>
      </w:pPr>
      <w:r>
        <w:br w:type="page"/>
      </w:r>
    </w:p>
    <w:p w14:paraId="23C17BD3" w14:textId="2F4D070D" w:rsidR="006F2088" w:rsidRDefault="00703384" w:rsidP="00703384">
      <w:pPr>
        <w:pStyle w:val="Heading1"/>
        <w:rPr>
          <w:sz w:val="28"/>
        </w:rPr>
      </w:pPr>
      <w:r w:rsidRPr="00703384">
        <w:rPr>
          <w:sz w:val="28"/>
        </w:rPr>
        <w:lastRenderedPageBreak/>
        <w:t xml:space="preserve">Appendix </w:t>
      </w:r>
      <w:r w:rsidR="00F93916">
        <w:rPr>
          <w:sz w:val="28"/>
        </w:rPr>
        <w:t>A</w:t>
      </w:r>
      <w:r w:rsidR="006F2088">
        <w:rPr>
          <w:sz w:val="28"/>
        </w:rPr>
        <w:t>: PBS listing details as at April 2017</w:t>
      </w:r>
    </w:p>
    <w:p w14:paraId="3E01C14F" w14:textId="77777777" w:rsidR="006F2088" w:rsidRPr="00080340" w:rsidRDefault="006F2088" w:rsidP="006F2088">
      <w:pPr>
        <w:rPr>
          <w:u w:val="single"/>
        </w:rPr>
      </w:pPr>
      <w:r w:rsidRPr="00080340">
        <w:rPr>
          <w:u w:val="single"/>
        </w:rPr>
        <w:t>Severe refractory Crohn disease</w:t>
      </w:r>
    </w:p>
    <w:tbl>
      <w:tblPr>
        <w:tblW w:w="9229" w:type="dxa"/>
        <w:tblInd w:w="93" w:type="dxa"/>
        <w:tblLook w:val="04A0" w:firstRow="1" w:lastRow="0" w:firstColumn="1" w:lastColumn="0" w:noHBand="0" w:noVBand="1"/>
      </w:tblPr>
      <w:tblGrid>
        <w:gridCol w:w="994"/>
        <w:gridCol w:w="2706"/>
        <w:gridCol w:w="846"/>
        <w:gridCol w:w="655"/>
        <w:gridCol w:w="977"/>
        <w:gridCol w:w="3051"/>
      </w:tblGrid>
      <w:tr w:rsidR="006F2088" w:rsidRPr="00263DA2" w14:paraId="5C5FD530" w14:textId="77777777" w:rsidTr="00347A74">
        <w:trPr>
          <w:trHeight w:val="299"/>
          <w:tblHeader/>
        </w:trPr>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1BB54"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Item</w:t>
            </w:r>
          </w:p>
        </w:tc>
        <w:tc>
          <w:tcPr>
            <w:tcW w:w="270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45C783C"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Name, form &amp; strength, pack size</w:t>
            </w:r>
          </w:p>
        </w:tc>
        <w:tc>
          <w:tcPr>
            <w:tcW w:w="84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A7D4CCB"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Max. quant.</w:t>
            </w:r>
          </w:p>
        </w:tc>
        <w:tc>
          <w:tcPr>
            <w:tcW w:w="655"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3F7EE05"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Rpts</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97333B3"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DPMQ</w:t>
            </w:r>
          </w:p>
        </w:tc>
        <w:tc>
          <w:tcPr>
            <w:tcW w:w="305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3931380"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Brand name and manufacturer</w:t>
            </w:r>
          </w:p>
        </w:tc>
      </w:tr>
      <w:tr w:rsidR="006F2088" w:rsidRPr="00263DA2" w14:paraId="2B58BE2A" w14:textId="77777777" w:rsidTr="00347A74">
        <w:trPr>
          <w:trHeight w:val="299"/>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63827B6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05754W</w:t>
            </w:r>
          </w:p>
        </w:tc>
        <w:tc>
          <w:tcPr>
            <w:tcW w:w="2706" w:type="dxa"/>
            <w:tcBorders>
              <w:top w:val="single" w:sz="4" w:space="0" w:color="auto"/>
              <w:left w:val="nil"/>
              <w:bottom w:val="single" w:sz="4" w:space="0" w:color="auto"/>
              <w:right w:val="single" w:sz="4" w:space="0" w:color="auto"/>
            </w:tcBorders>
            <w:shd w:val="clear" w:color="auto" w:fill="auto"/>
            <w:noWrap/>
            <w:hideMark/>
          </w:tcPr>
          <w:p w14:paraId="1FC55758"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46" w:type="dxa"/>
            <w:tcBorders>
              <w:top w:val="single" w:sz="4" w:space="0" w:color="auto"/>
              <w:left w:val="nil"/>
              <w:bottom w:val="single" w:sz="4" w:space="0" w:color="auto"/>
              <w:right w:val="single" w:sz="4" w:space="0" w:color="auto"/>
            </w:tcBorders>
            <w:shd w:val="clear" w:color="auto" w:fill="auto"/>
            <w:noWrap/>
            <w:hideMark/>
          </w:tcPr>
          <w:p w14:paraId="70B48988"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single" w:sz="4" w:space="0" w:color="auto"/>
              <w:left w:val="nil"/>
              <w:bottom w:val="single" w:sz="4" w:space="0" w:color="auto"/>
              <w:right w:val="single" w:sz="4" w:space="0" w:color="auto"/>
            </w:tcBorders>
            <w:shd w:val="clear" w:color="auto" w:fill="auto"/>
            <w:noWrap/>
            <w:hideMark/>
          </w:tcPr>
          <w:p w14:paraId="590D19F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single" w:sz="4" w:space="0" w:color="auto"/>
              <w:left w:val="nil"/>
              <w:bottom w:val="single" w:sz="4" w:space="0" w:color="auto"/>
              <w:right w:val="single" w:sz="4" w:space="0" w:color="auto"/>
            </w:tcBorders>
            <w:shd w:val="clear" w:color="auto" w:fill="auto"/>
            <w:noWrap/>
            <w:hideMark/>
          </w:tcPr>
          <w:p w14:paraId="66A93659"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574.85</w:t>
            </w:r>
          </w:p>
        </w:tc>
        <w:tc>
          <w:tcPr>
            <w:tcW w:w="3051" w:type="dxa"/>
            <w:tcBorders>
              <w:top w:val="single" w:sz="4" w:space="0" w:color="auto"/>
              <w:left w:val="nil"/>
              <w:bottom w:val="single" w:sz="4" w:space="0" w:color="auto"/>
              <w:right w:val="single" w:sz="4" w:space="0" w:color="auto"/>
            </w:tcBorders>
            <w:shd w:val="clear" w:color="auto" w:fill="auto"/>
            <w:noWrap/>
            <w:hideMark/>
          </w:tcPr>
          <w:p w14:paraId="0496E195" w14:textId="3CEA1E33"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r w:rsidR="006F2088" w:rsidRPr="00263DA2" w14:paraId="36200BBC"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06840B1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09186L</w:t>
            </w:r>
          </w:p>
        </w:tc>
        <w:tc>
          <w:tcPr>
            <w:tcW w:w="2706" w:type="dxa"/>
            <w:tcBorders>
              <w:top w:val="nil"/>
              <w:left w:val="nil"/>
              <w:bottom w:val="single" w:sz="4" w:space="0" w:color="auto"/>
              <w:right w:val="single" w:sz="4" w:space="0" w:color="auto"/>
            </w:tcBorders>
            <w:shd w:val="clear" w:color="auto" w:fill="auto"/>
            <w:noWrap/>
            <w:hideMark/>
          </w:tcPr>
          <w:p w14:paraId="12AAC6F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6, 1</w:t>
            </w:r>
          </w:p>
        </w:tc>
        <w:tc>
          <w:tcPr>
            <w:tcW w:w="846" w:type="dxa"/>
            <w:tcBorders>
              <w:top w:val="nil"/>
              <w:left w:val="nil"/>
              <w:bottom w:val="single" w:sz="4" w:space="0" w:color="auto"/>
              <w:right w:val="single" w:sz="4" w:space="0" w:color="auto"/>
            </w:tcBorders>
            <w:shd w:val="clear" w:color="auto" w:fill="auto"/>
            <w:noWrap/>
            <w:hideMark/>
          </w:tcPr>
          <w:p w14:paraId="3CA03931"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nil"/>
              <w:left w:val="nil"/>
              <w:bottom w:val="single" w:sz="4" w:space="0" w:color="auto"/>
              <w:right w:val="single" w:sz="4" w:space="0" w:color="auto"/>
            </w:tcBorders>
            <w:shd w:val="clear" w:color="auto" w:fill="auto"/>
            <w:noWrap/>
            <w:hideMark/>
          </w:tcPr>
          <w:p w14:paraId="69BED481"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nil"/>
              <w:left w:val="nil"/>
              <w:bottom w:val="single" w:sz="4" w:space="0" w:color="auto"/>
              <w:right w:val="single" w:sz="4" w:space="0" w:color="auto"/>
            </w:tcBorders>
            <w:shd w:val="clear" w:color="auto" w:fill="auto"/>
            <w:noWrap/>
            <w:hideMark/>
          </w:tcPr>
          <w:p w14:paraId="58EB528C"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3051" w:type="dxa"/>
            <w:tcBorders>
              <w:top w:val="nil"/>
              <w:left w:val="nil"/>
              <w:bottom w:val="single" w:sz="4" w:space="0" w:color="auto"/>
              <w:right w:val="single" w:sz="4" w:space="0" w:color="auto"/>
            </w:tcBorders>
            <w:shd w:val="clear" w:color="auto" w:fill="auto"/>
            <w:noWrap/>
            <w:hideMark/>
          </w:tcPr>
          <w:p w14:paraId="56CA9E19"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12FFBCD2"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066EFF4C"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09187M</w:t>
            </w:r>
          </w:p>
        </w:tc>
        <w:tc>
          <w:tcPr>
            <w:tcW w:w="2706" w:type="dxa"/>
            <w:tcBorders>
              <w:top w:val="nil"/>
              <w:left w:val="nil"/>
              <w:bottom w:val="single" w:sz="4" w:space="0" w:color="auto"/>
              <w:right w:val="single" w:sz="4" w:space="0" w:color="auto"/>
            </w:tcBorders>
            <w:shd w:val="clear" w:color="auto" w:fill="auto"/>
            <w:noWrap/>
            <w:hideMark/>
          </w:tcPr>
          <w:p w14:paraId="6B44AB7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6, 1</w:t>
            </w:r>
          </w:p>
        </w:tc>
        <w:tc>
          <w:tcPr>
            <w:tcW w:w="846" w:type="dxa"/>
            <w:tcBorders>
              <w:top w:val="nil"/>
              <w:left w:val="nil"/>
              <w:bottom w:val="single" w:sz="4" w:space="0" w:color="auto"/>
              <w:right w:val="single" w:sz="4" w:space="0" w:color="auto"/>
            </w:tcBorders>
            <w:shd w:val="clear" w:color="auto" w:fill="auto"/>
            <w:noWrap/>
            <w:hideMark/>
          </w:tcPr>
          <w:p w14:paraId="447328E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nil"/>
              <w:left w:val="nil"/>
              <w:bottom w:val="single" w:sz="4" w:space="0" w:color="auto"/>
              <w:right w:val="single" w:sz="4" w:space="0" w:color="auto"/>
            </w:tcBorders>
            <w:shd w:val="clear" w:color="auto" w:fill="auto"/>
            <w:noWrap/>
            <w:hideMark/>
          </w:tcPr>
          <w:p w14:paraId="10F43D8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nil"/>
              <w:left w:val="nil"/>
              <w:bottom w:val="single" w:sz="4" w:space="0" w:color="auto"/>
              <w:right w:val="single" w:sz="4" w:space="0" w:color="auto"/>
            </w:tcBorders>
            <w:shd w:val="clear" w:color="auto" w:fill="auto"/>
            <w:noWrap/>
            <w:hideMark/>
          </w:tcPr>
          <w:p w14:paraId="04E9D65D"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3051" w:type="dxa"/>
            <w:tcBorders>
              <w:top w:val="nil"/>
              <w:left w:val="nil"/>
              <w:bottom w:val="single" w:sz="4" w:space="0" w:color="auto"/>
              <w:right w:val="single" w:sz="4" w:space="0" w:color="auto"/>
            </w:tcBorders>
            <w:shd w:val="clear" w:color="auto" w:fill="auto"/>
            <w:noWrap/>
            <w:hideMark/>
          </w:tcPr>
          <w:p w14:paraId="19D17199"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0E71D63B"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77FB8DA4"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09188N</w:t>
            </w:r>
          </w:p>
        </w:tc>
        <w:tc>
          <w:tcPr>
            <w:tcW w:w="2706" w:type="dxa"/>
            <w:tcBorders>
              <w:top w:val="nil"/>
              <w:left w:val="nil"/>
              <w:bottom w:val="single" w:sz="4" w:space="0" w:color="auto"/>
              <w:right w:val="single" w:sz="4" w:space="0" w:color="auto"/>
            </w:tcBorders>
            <w:shd w:val="clear" w:color="auto" w:fill="auto"/>
            <w:noWrap/>
            <w:hideMark/>
          </w:tcPr>
          <w:p w14:paraId="0875C61E"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46" w:type="dxa"/>
            <w:tcBorders>
              <w:top w:val="nil"/>
              <w:left w:val="nil"/>
              <w:bottom w:val="single" w:sz="4" w:space="0" w:color="auto"/>
              <w:right w:val="single" w:sz="4" w:space="0" w:color="auto"/>
            </w:tcBorders>
            <w:shd w:val="clear" w:color="auto" w:fill="auto"/>
            <w:noWrap/>
            <w:hideMark/>
          </w:tcPr>
          <w:p w14:paraId="293E11F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5" w:type="dxa"/>
            <w:tcBorders>
              <w:top w:val="nil"/>
              <w:left w:val="nil"/>
              <w:bottom w:val="single" w:sz="4" w:space="0" w:color="auto"/>
              <w:right w:val="single" w:sz="4" w:space="0" w:color="auto"/>
            </w:tcBorders>
            <w:shd w:val="clear" w:color="auto" w:fill="auto"/>
            <w:noWrap/>
            <w:hideMark/>
          </w:tcPr>
          <w:p w14:paraId="4D44ED60"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7" w:type="dxa"/>
            <w:tcBorders>
              <w:top w:val="nil"/>
              <w:left w:val="nil"/>
              <w:bottom w:val="single" w:sz="4" w:space="0" w:color="auto"/>
              <w:right w:val="single" w:sz="4" w:space="0" w:color="auto"/>
            </w:tcBorders>
            <w:shd w:val="clear" w:color="auto" w:fill="auto"/>
            <w:noWrap/>
            <w:hideMark/>
          </w:tcPr>
          <w:p w14:paraId="68536D3D"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1" w:type="dxa"/>
            <w:tcBorders>
              <w:top w:val="nil"/>
              <w:left w:val="nil"/>
              <w:bottom w:val="single" w:sz="4" w:space="0" w:color="auto"/>
              <w:right w:val="single" w:sz="4" w:space="0" w:color="auto"/>
            </w:tcBorders>
            <w:shd w:val="clear" w:color="auto" w:fill="auto"/>
            <w:noWrap/>
            <w:hideMark/>
          </w:tcPr>
          <w:p w14:paraId="6392B68B"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4C69A44F"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40343FD8"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09189P</w:t>
            </w:r>
          </w:p>
        </w:tc>
        <w:tc>
          <w:tcPr>
            <w:tcW w:w="2706" w:type="dxa"/>
            <w:tcBorders>
              <w:top w:val="nil"/>
              <w:left w:val="nil"/>
              <w:bottom w:val="single" w:sz="4" w:space="0" w:color="auto"/>
              <w:right w:val="single" w:sz="4" w:space="0" w:color="auto"/>
            </w:tcBorders>
            <w:shd w:val="clear" w:color="auto" w:fill="auto"/>
            <w:noWrap/>
            <w:hideMark/>
          </w:tcPr>
          <w:p w14:paraId="2F8213F7"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46" w:type="dxa"/>
            <w:tcBorders>
              <w:top w:val="nil"/>
              <w:left w:val="nil"/>
              <w:bottom w:val="single" w:sz="4" w:space="0" w:color="auto"/>
              <w:right w:val="single" w:sz="4" w:space="0" w:color="auto"/>
            </w:tcBorders>
            <w:shd w:val="clear" w:color="auto" w:fill="auto"/>
            <w:noWrap/>
            <w:hideMark/>
          </w:tcPr>
          <w:p w14:paraId="2C44C40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5" w:type="dxa"/>
            <w:tcBorders>
              <w:top w:val="nil"/>
              <w:left w:val="nil"/>
              <w:bottom w:val="single" w:sz="4" w:space="0" w:color="auto"/>
              <w:right w:val="single" w:sz="4" w:space="0" w:color="auto"/>
            </w:tcBorders>
            <w:shd w:val="clear" w:color="auto" w:fill="auto"/>
            <w:noWrap/>
            <w:hideMark/>
          </w:tcPr>
          <w:p w14:paraId="6521C79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7" w:type="dxa"/>
            <w:tcBorders>
              <w:top w:val="nil"/>
              <w:left w:val="nil"/>
              <w:bottom w:val="single" w:sz="4" w:space="0" w:color="auto"/>
              <w:right w:val="single" w:sz="4" w:space="0" w:color="auto"/>
            </w:tcBorders>
            <w:shd w:val="clear" w:color="auto" w:fill="auto"/>
            <w:noWrap/>
            <w:hideMark/>
          </w:tcPr>
          <w:p w14:paraId="5BF3C845"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1" w:type="dxa"/>
            <w:tcBorders>
              <w:top w:val="nil"/>
              <w:left w:val="nil"/>
              <w:bottom w:val="single" w:sz="4" w:space="0" w:color="auto"/>
              <w:right w:val="single" w:sz="4" w:space="0" w:color="auto"/>
            </w:tcBorders>
            <w:shd w:val="clear" w:color="auto" w:fill="auto"/>
            <w:noWrap/>
            <w:hideMark/>
          </w:tcPr>
          <w:p w14:paraId="3256F109"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067A4970"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0BD153D4"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09190Q</w:t>
            </w:r>
          </w:p>
        </w:tc>
        <w:tc>
          <w:tcPr>
            <w:tcW w:w="2706" w:type="dxa"/>
            <w:tcBorders>
              <w:top w:val="nil"/>
              <w:left w:val="nil"/>
              <w:bottom w:val="single" w:sz="4" w:space="0" w:color="auto"/>
              <w:right w:val="single" w:sz="4" w:space="0" w:color="auto"/>
            </w:tcBorders>
            <w:shd w:val="clear" w:color="auto" w:fill="auto"/>
            <w:noWrap/>
            <w:hideMark/>
          </w:tcPr>
          <w:p w14:paraId="7889996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46" w:type="dxa"/>
            <w:tcBorders>
              <w:top w:val="nil"/>
              <w:left w:val="nil"/>
              <w:bottom w:val="single" w:sz="4" w:space="0" w:color="auto"/>
              <w:right w:val="single" w:sz="4" w:space="0" w:color="auto"/>
            </w:tcBorders>
            <w:shd w:val="clear" w:color="auto" w:fill="auto"/>
            <w:noWrap/>
            <w:hideMark/>
          </w:tcPr>
          <w:p w14:paraId="51CFA0EB"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5" w:type="dxa"/>
            <w:tcBorders>
              <w:top w:val="nil"/>
              <w:left w:val="nil"/>
              <w:bottom w:val="single" w:sz="4" w:space="0" w:color="auto"/>
              <w:right w:val="single" w:sz="4" w:space="0" w:color="auto"/>
            </w:tcBorders>
            <w:shd w:val="clear" w:color="auto" w:fill="auto"/>
            <w:noWrap/>
            <w:hideMark/>
          </w:tcPr>
          <w:p w14:paraId="255D4BB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7" w:type="dxa"/>
            <w:tcBorders>
              <w:top w:val="nil"/>
              <w:left w:val="nil"/>
              <w:bottom w:val="single" w:sz="4" w:space="0" w:color="auto"/>
              <w:right w:val="single" w:sz="4" w:space="0" w:color="auto"/>
            </w:tcBorders>
            <w:shd w:val="clear" w:color="auto" w:fill="auto"/>
            <w:noWrap/>
            <w:hideMark/>
          </w:tcPr>
          <w:p w14:paraId="072F4883"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1" w:type="dxa"/>
            <w:tcBorders>
              <w:top w:val="nil"/>
              <w:left w:val="nil"/>
              <w:bottom w:val="single" w:sz="4" w:space="0" w:color="auto"/>
              <w:right w:val="single" w:sz="4" w:space="0" w:color="auto"/>
            </w:tcBorders>
            <w:shd w:val="clear" w:color="auto" w:fill="auto"/>
            <w:noWrap/>
            <w:hideMark/>
          </w:tcPr>
          <w:p w14:paraId="3BFD7B91"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2CA3D029"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1C60066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09191R</w:t>
            </w:r>
          </w:p>
        </w:tc>
        <w:tc>
          <w:tcPr>
            <w:tcW w:w="2706" w:type="dxa"/>
            <w:tcBorders>
              <w:top w:val="nil"/>
              <w:left w:val="nil"/>
              <w:bottom w:val="single" w:sz="4" w:space="0" w:color="auto"/>
              <w:right w:val="single" w:sz="4" w:space="0" w:color="auto"/>
            </w:tcBorders>
            <w:shd w:val="clear" w:color="auto" w:fill="auto"/>
            <w:noWrap/>
            <w:hideMark/>
          </w:tcPr>
          <w:p w14:paraId="2AE2B0E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46" w:type="dxa"/>
            <w:tcBorders>
              <w:top w:val="nil"/>
              <w:left w:val="nil"/>
              <w:bottom w:val="single" w:sz="4" w:space="0" w:color="auto"/>
              <w:right w:val="single" w:sz="4" w:space="0" w:color="auto"/>
            </w:tcBorders>
            <w:shd w:val="clear" w:color="auto" w:fill="auto"/>
            <w:noWrap/>
            <w:hideMark/>
          </w:tcPr>
          <w:p w14:paraId="55A86D3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5" w:type="dxa"/>
            <w:tcBorders>
              <w:top w:val="nil"/>
              <w:left w:val="nil"/>
              <w:bottom w:val="single" w:sz="4" w:space="0" w:color="auto"/>
              <w:right w:val="single" w:sz="4" w:space="0" w:color="auto"/>
            </w:tcBorders>
            <w:shd w:val="clear" w:color="auto" w:fill="auto"/>
            <w:noWrap/>
            <w:hideMark/>
          </w:tcPr>
          <w:p w14:paraId="3971FF9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7" w:type="dxa"/>
            <w:tcBorders>
              <w:top w:val="nil"/>
              <w:left w:val="nil"/>
              <w:bottom w:val="single" w:sz="4" w:space="0" w:color="auto"/>
              <w:right w:val="single" w:sz="4" w:space="0" w:color="auto"/>
            </w:tcBorders>
            <w:shd w:val="clear" w:color="auto" w:fill="auto"/>
            <w:noWrap/>
            <w:hideMark/>
          </w:tcPr>
          <w:p w14:paraId="65680BD1"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1" w:type="dxa"/>
            <w:tcBorders>
              <w:top w:val="nil"/>
              <w:left w:val="nil"/>
              <w:bottom w:val="single" w:sz="4" w:space="0" w:color="auto"/>
              <w:right w:val="single" w:sz="4" w:space="0" w:color="auto"/>
            </w:tcBorders>
            <w:shd w:val="clear" w:color="auto" w:fill="auto"/>
            <w:noWrap/>
            <w:hideMark/>
          </w:tcPr>
          <w:p w14:paraId="639A2C56"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3FD7E372" w14:textId="77777777" w:rsidTr="00347A74">
        <w:trPr>
          <w:trHeight w:val="299"/>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23758478"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09613Y</w:t>
            </w:r>
          </w:p>
        </w:tc>
        <w:tc>
          <w:tcPr>
            <w:tcW w:w="2706" w:type="dxa"/>
            <w:tcBorders>
              <w:top w:val="single" w:sz="4" w:space="0" w:color="auto"/>
              <w:left w:val="nil"/>
              <w:bottom w:val="single" w:sz="4" w:space="0" w:color="auto"/>
              <w:right w:val="single" w:sz="4" w:space="0" w:color="auto"/>
            </w:tcBorders>
            <w:shd w:val="clear" w:color="auto" w:fill="auto"/>
            <w:noWrap/>
            <w:hideMark/>
          </w:tcPr>
          <w:p w14:paraId="6E67C5AF"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46" w:type="dxa"/>
            <w:tcBorders>
              <w:top w:val="single" w:sz="4" w:space="0" w:color="auto"/>
              <w:left w:val="nil"/>
              <w:bottom w:val="single" w:sz="4" w:space="0" w:color="auto"/>
              <w:right w:val="single" w:sz="4" w:space="0" w:color="auto"/>
            </w:tcBorders>
            <w:shd w:val="clear" w:color="auto" w:fill="auto"/>
            <w:noWrap/>
            <w:hideMark/>
          </w:tcPr>
          <w:p w14:paraId="1E17BF77"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single" w:sz="4" w:space="0" w:color="auto"/>
              <w:left w:val="nil"/>
              <w:bottom w:val="single" w:sz="4" w:space="0" w:color="auto"/>
              <w:right w:val="single" w:sz="4" w:space="0" w:color="auto"/>
            </w:tcBorders>
            <w:shd w:val="clear" w:color="auto" w:fill="auto"/>
            <w:noWrap/>
            <w:hideMark/>
          </w:tcPr>
          <w:p w14:paraId="1018F97F"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single" w:sz="4" w:space="0" w:color="auto"/>
              <w:left w:val="nil"/>
              <w:bottom w:val="single" w:sz="4" w:space="0" w:color="auto"/>
              <w:right w:val="single" w:sz="4" w:space="0" w:color="auto"/>
            </w:tcBorders>
            <w:shd w:val="clear" w:color="auto" w:fill="auto"/>
            <w:noWrap/>
            <w:hideMark/>
          </w:tcPr>
          <w:p w14:paraId="292838A2"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604.86</w:t>
            </w:r>
          </w:p>
        </w:tc>
        <w:tc>
          <w:tcPr>
            <w:tcW w:w="3051" w:type="dxa"/>
            <w:tcBorders>
              <w:top w:val="single" w:sz="4" w:space="0" w:color="auto"/>
              <w:left w:val="nil"/>
              <w:bottom w:val="single" w:sz="4" w:space="0" w:color="auto"/>
              <w:right w:val="single" w:sz="4" w:space="0" w:color="auto"/>
            </w:tcBorders>
            <w:shd w:val="clear" w:color="auto" w:fill="auto"/>
            <w:noWrap/>
            <w:hideMark/>
          </w:tcPr>
          <w:p w14:paraId="07115ADF" w14:textId="07723BC4"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r w:rsidR="006F2088" w:rsidRPr="00263DA2" w14:paraId="21F8C05B"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583D5C5D"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10390W</w:t>
            </w:r>
          </w:p>
        </w:tc>
        <w:tc>
          <w:tcPr>
            <w:tcW w:w="2706" w:type="dxa"/>
            <w:tcBorders>
              <w:top w:val="nil"/>
              <w:left w:val="nil"/>
              <w:bottom w:val="single" w:sz="4" w:space="0" w:color="auto"/>
              <w:right w:val="single" w:sz="4" w:space="0" w:color="auto"/>
            </w:tcBorders>
            <w:shd w:val="clear" w:color="auto" w:fill="auto"/>
            <w:noWrap/>
            <w:hideMark/>
          </w:tcPr>
          <w:p w14:paraId="450D2E5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Vedolizumab, Powder for injection 300 mg, 1</w:t>
            </w:r>
          </w:p>
        </w:tc>
        <w:tc>
          <w:tcPr>
            <w:tcW w:w="846" w:type="dxa"/>
            <w:tcBorders>
              <w:top w:val="nil"/>
              <w:left w:val="nil"/>
              <w:bottom w:val="single" w:sz="4" w:space="0" w:color="auto"/>
              <w:right w:val="single" w:sz="4" w:space="0" w:color="auto"/>
            </w:tcBorders>
            <w:shd w:val="clear" w:color="auto" w:fill="auto"/>
            <w:noWrap/>
            <w:hideMark/>
          </w:tcPr>
          <w:p w14:paraId="25B83958"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nil"/>
              <w:left w:val="nil"/>
              <w:bottom w:val="single" w:sz="4" w:space="0" w:color="auto"/>
              <w:right w:val="single" w:sz="4" w:space="0" w:color="auto"/>
            </w:tcBorders>
            <w:shd w:val="clear" w:color="auto" w:fill="auto"/>
            <w:noWrap/>
            <w:hideMark/>
          </w:tcPr>
          <w:p w14:paraId="277CA81B"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nil"/>
              <w:left w:val="nil"/>
              <w:bottom w:val="single" w:sz="4" w:space="0" w:color="auto"/>
              <w:right w:val="single" w:sz="4" w:space="0" w:color="auto"/>
            </w:tcBorders>
            <w:shd w:val="clear" w:color="auto" w:fill="auto"/>
            <w:noWrap/>
            <w:hideMark/>
          </w:tcPr>
          <w:p w14:paraId="7449E40E"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3105.19</w:t>
            </w:r>
          </w:p>
        </w:tc>
        <w:tc>
          <w:tcPr>
            <w:tcW w:w="3051" w:type="dxa"/>
            <w:tcBorders>
              <w:top w:val="nil"/>
              <w:left w:val="nil"/>
              <w:bottom w:val="single" w:sz="4" w:space="0" w:color="auto"/>
              <w:right w:val="single" w:sz="4" w:space="0" w:color="auto"/>
            </w:tcBorders>
            <w:shd w:val="clear" w:color="auto" w:fill="auto"/>
            <w:noWrap/>
            <w:hideMark/>
          </w:tcPr>
          <w:p w14:paraId="51BEDB88"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 xml:space="preserve">Entyvio, </w:t>
            </w:r>
            <w:r>
              <w:rPr>
                <w:rFonts w:ascii="Calibri" w:eastAsia="Times New Roman" w:hAnsi="Calibri" w:cs="Times New Roman"/>
                <w:sz w:val="20"/>
                <w:szCs w:val="20"/>
              </w:rPr>
              <w:t>Takeda Pharmaceuticals Australia Pty Ltd</w:t>
            </w:r>
          </w:p>
        </w:tc>
      </w:tr>
      <w:tr w:rsidR="006F2088" w:rsidRPr="00263DA2" w14:paraId="6C2D0BB9"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5EF835A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10415E</w:t>
            </w:r>
          </w:p>
        </w:tc>
        <w:tc>
          <w:tcPr>
            <w:tcW w:w="2706" w:type="dxa"/>
            <w:tcBorders>
              <w:top w:val="nil"/>
              <w:left w:val="nil"/>
              <w:bottom w:val="single" w:sz="4" w:space="0" w:color="auto"/>
              <w:right w:val="single" w:sz="4" w:space="0" w:color="auto"/>
            </w:tcBorders>
            <w:shd w:val="clear" w:color="auto" w:fill="auto"/>
            <w:noWrap/>
            <w:hideMark/>
          </w:tcPr>
          <w:p w14:paraId="732E41C5"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Vedolizumab, Powder for injection 300 mg, 1</w:t>
            </w:r>
          </w:p>
        </w:tc>
        <w:tc>
          <w:tcPr>
            <w:tcW w:w="846" w:type="dxa"/>
            <w:tcBorders>
              <w:top w:val="nil"/>
              <w:left w:val="nil"/>
              <w:bottom w:val="single" w:sz="4" w:space="0" w:color="auto"/>
              <w:right w:val="single" w:sz="4" w:space="0" w:color="auto"/>
            </w:tcBorders>
            <w:shd w:val="clear" w:color="auto" w:fill="auto"/>
            <w:noWrap/>
            <w:hideMark/>
          </w:tcPr>
          <w:p w14:paraId="509E0C11"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5" w:type="dxa"/>
            <w:tcBorders>
              <w:top w:val="nil"/>
              <w:left w:val="nil"/>
              <w:bottom w:val="single" w:sz="4" w:space="0" w:color="auto"/>
              <w:right w:val="single" w:sz="4" w:space="0" w:color="auto"/>
            </w:tcBorders>
            <w:shd w:val="clear" w:color="auto" w:fill="auto"/>
            <w:noWrap/>
            <w:hideMark/>
          </w:tcPr>
          <w:p w14:paraId="5A41B86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nil"/>
              <w:left w:val="nil"/>
              <w:bottom w:val="single" w:sz="4" w:space="0" w:color="auto"/>
              <w:right w:val="single" w:sz="4" w:space="0" w:color="auto"/>
            </w:tcBorders>
            <w:shd w:val="clear" w:color="auto" w:fill="auto"/>
            <w:noWrap/>
            <w:hideMark/>
          </w:tcPr>
          <w:p w14:paraId="264CF5AE"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3152.21</w:t>
            </w:r>
          </w:p>
        </w:tc>
        <w:tc>
          <w:tcPr>
            <w:tcW w:w="3051" w:type="dxa"/>
            <w:tcBorders>
              <w:top w:val="nil"/>
              <w:left w:val="nil"/>
              <w:bottom w:val="single" w:sz="4" w:space="0" w:color="auto"/>
              <w:right w:val="single" w:sz="4" w:space="0" w:color="auto"/>
            </w:tcBorders>
            <w:shd w:val="clear" w:color="auto" w:fill="auto"/>
            <w:noWrap/>
            <w:hideMark/>
          </w:tcPr>
          <w:p w14:paraId="7179E402"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 xml:space="preserve">Entyvio, </w:t>
            </w:r>
            <w:r>
              <w:rPr>
                <w:rFonts w:ascii="Calibri" w:eastAsia="Times New Roman" w:hAnsi="Calibri" w:cs="Times New Roman"/>
                <w:sz w:val="20"/>
                <w:szCs w:val="20"/>
              </w:rPr>
              <w:t>Takeda Pharmaceuticals Australia Pty Ltd</w:t>
            </w:r>
          </w:p>
        </w:tc>
      </w:tr>
    </w:tbl>
    <w:p w14:paraId="664E0EC2" w14:textId="3D906039" w:rsidR="006F2088" w:rsidRPr="00347A74" w:rsidRDefault="006F2088" w:rsidP="00347A74">
      <w:pPr>
        <w:pStyle w:val="Notes"/>
      </w:pPr>
      <w:r w:rsidRPr="00A35800">
        <w:t xml:space="preserve">Source: </w:t>
      </w:r>
      <w:r>
        <w:t xml:space="preserve">the </w:t>
      </w:r>
      <w:hyperlink r:id="rId42" w:history="1">
        <w:r w:rsidRPr="001624D7">
          <w:rPr>
            <w:rStyle w:val="Hyperlink"/>
          </w:rPr>
          <w:t>PBS website</w:t>
        </w:r>
      </w:hyperlink>
      <w:r>
        <w:t xml:space="preserve">.  </w:t>
      </w:r>
      <w:r w:rsidRPr="0080485E">
        <w:t>Special Pricing Arrangement</w:t>
      </w:r>
      <w:r>
        <w:t>s</w:t>
      </w:r>
      <w:r w:rsidRPr="0080485E">
        <w:t xml:space="preserve"> </w:t>
      </w:r>
      <w:r>
        <w:t>apply for these listings</w:t>
      </w:r>
      <w:r w:rsidRPr="0080485E">
        <w:t>.</w:t>
      </w:r>
    </w:p>
    <w:p w14:paraId="5B9906BC" w14:textId="77777777" w:rsidR="006F2088" w:rsidRPr="00080340" w:rsidRDefault="006F2088" w:rsidP="006F2088">
      <w:pPr>
        <w:rPr>
          <w:u w:val="single"/>
        </w:rPr>
      </w:pPr>
      <w:r w:rsidRPr="00080340">
        <w:rPr>
          <w:u w:val="single"/>
        </w:rPr>
        <w:t>Fistulising Crohn disease</w:t>
      </w:r>
    </w:p>
    <w:tbl>
      <w:tblPr>
        <w:tblW w:w="9229" w:type="dxa"/>
        <w:tblInd w:w="93" w:type="dxa"/>
        <w:tblLook w:val="04A0" w:firstRow="1" w:lastRow="0" w:firstColumn="1" w:lastColumn="0" w:noHBand="0" w:noVBand="1"/>
      </w:tblPr>
      <w:tblGrid>
        <w:gridCol w:w="994"/>
        <w:gridCol w:w="2699"/>
        <w:gridCol w:w="857"/>
        <w:gridCol w:w="652"/>
        <w:gridCol w:w="977"/>
        <w:gridCol w:w="3050"/>
      </w:tblGrid>
      <w:tr w:rsidR="006F2088" w:rsidRPr="00263DA2" w14:paraId="069D87B8" w14:textId="77777777" w:rsidTr="00347A74">
        <w:trPr>
          <w:trHeight w:val="299"/>
          <w:tblHeader/>
        </w:trPr>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A44778"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Item</w:t>
            </w:r>
          </w:p>
        </w:tc>
        <w:tc>
          <w:tcPr>
            <w:tcW w:w="2699"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1569305"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Name, form &amp; strength, pack size</w:t>
            </w:r>
          </w:p>
        </w:tc>
        <w:tc>
          <w:tcPr>
            <w:tcW w:w="85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1530B26"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Max. quant.</w:t>
            </w:r>
          </w:p>
        </w:tc>
        <w:tc>
          <w:tcPr>
            <w:tcW w:w="652"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9DF6CAD"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Rpts</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5B58E158"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DPMQ</w:t>
            </w:r>
          </w:p>
        </w:tc>
        <w:tc>
          <w:tcPr>
            <w:tcW w:w="3050"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BC9C528"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Brand name and manufacturer</w:t>
            </w:r>
          </w:p>
        </w:tc>
      </w:tr>
      <w:tr w:rsidR="006F2088" w:rsidRPr="00263DA2" w14:paraId="1EAAB50F" w14:textId="77777777" w:rsidTr="00347A74">
        <w:trPr>
          <w:trHeight w:val="299"/>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646C5ECE"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08961P</w:t>
            </w:r>
          </w:p>
        </w:tc>
        <w:tc>
          <w:tcPr>
            <w:tcW w:w="2699" w:type="dxa"/>
            <w:tcBorders>
              <w:top w:val="single" w:sz="4" w:space="0" w:color="auto"/>
              <w:left w:val="nil"/>
              <w:bottom w:val="single" w:sz="4" w:space="0" w:color="auto"/>
              <w:right w:val="single" w:sz="4" w:space="0" w:color="auto"/>
            </w:tcBorders>
            <w:shd w:val="clear" w:color="auto" w:fill="auto"/>
            <w:noWrap/>
            <w:hideMark/>
          </w:tcPr>
          <w:p w14:paraId="2C7DF12F"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6, 1</w:t>
            </w:r>
          </w:p>
        </w:tc>
        <w:tc>
          <w:tcPr>
            <w:tcW w:w="857" w:type="dxa"/>
            <w:tcBorders>
              <w:top w:val="single" w:sz="4" w:space="0" w:color="auto"/>
              <w:left w:val="nil"/>
              <w:bottom w:val="single" w:sz="4" w:space="0" w:color="auto"/>
              <w:right w:val="single" w:sz="4" w:space="0" w:color="auto"/>
            </w:tcBorders>
            <w:shd w:val="clear" w:color="auto" w:fill="auto"/>
            <w:noWrap/>
            <w:hideMark/>
          </w:tcPr>
          <w:p w14:paraId="769A6493"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single" w:sz="4" w:space="0" w:color="auto"/>
              <w:left w:val="nil"/>
              <w:bottom w:val="single" w:sz="4" w:space="0" w:color="auto"/>
              <w:right w:val="single" w:sz="4" w:space="0" w:color="auto"/>
            </w:tcBorders>
            <w:shd w:val="clear" w:color="auto" w:fill="auto"/>
            <w:noWrap/>
            <w:hideMark/>
          </w:tcPr>
          <w:p w14:paraId="1C1146B4"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single" w:sz="4" w:space="0" w:color="auto"/>
              <w:left w:val="nil"/>
              <w:bottom w:val="single" w:sz="4" w:space="0" w:color="auto"/>
              <w:right w:val="single" w:sz="4" w:space="0" w:color="auto"/>
            </w:tcBorders>
            <w:shd w:val="clear" w:color="auto" w:fill="auto"/>
            <w:noWrap/>
            <w:hideMark/>
          </w:tcPr>
          <w:p w14:paraId="5DD21F10"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3050" w:type="dxa"/>
            <w:tcBorders>
              <w:top w:val="single" w:sz="4" w:space="0" w:color="auto"/>
              <w:left w:val="nil"/>
              <w:bottom w:val="single" w:sz="4" w:space="0" w:color="auto"/>
              <w:right w:val="single" w:sz="4" w:space="0" w:color="auto"/>
            </w:tcBorders>
            <w:shd w:val="clear" w:color="auto" w:fill="auto"/>
            <w:noWrap/>
            <w:hideMark/>
          </w:tcPr>
          <w:p w14:paraId="60FE8114"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400E6797"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15F0BD4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08962Q</w:t>
            </w:r>
          </w:p>
        </w:tc>
        <w:tc>
          <w:tcPr>
            <w:tcW w:w="2699" w:type="dxa"/>
            <w:tcBorders>
              <w:top w:val="nil"/>
              <w:left w:val="nil"/>
              <w:bottom w:val="single" w:sz="4" w:space="0" w:color="auto"/>
              <w:right w:val="single" w:sz="4" w:space="0" w:color="auto"/>
            </w:tcBorders>
            <w:shd w:val="clear" w:color="auto" w:fill="auto"/>
            <w:noWrap/>
            <w:hideMark/>
          </w:tcPr>
          <w:p w14:paraId="4F9AAC9A"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6, 1</w:t>
            </w:r>
          </w:p>
        </w:tc>
        <w:tc>
          <w:tcPr>
            <w:tcW w:w="857" w:type="dxa"/>
            <w:tcBorders>
              <w:top w:val="nil"/>
              <w:left w:val="nil"/>
              <w:bottom w:val="single" w:sz="4" w:space="0" w:color="auto"/>
              <w:right w:val="single" w:sz="4" w:space="0" w:color="auto"/>
            </w:tcBorders>
            <w:shd w:val="clear" w:color="auto" w:fill="auto"/>
            <w:noWrap/>
            <w:hideMark/>
          </w:tcPr>
          <w:p w14:paraId="7BDC7F4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nil"/>
              <w:left w:val="nil"/>
              <w:bottom w:val="single" w:sz="4" w:space="0" w:color="auto"/>
              <w:right w:val="single" w:sz="4" w:space="0" w:color="auto"/>
            </w:tcBorders>
            <w:shd w:val="clear" w:color="auto" w:fill="auto"/>
            <w:noWrap/>
            <w:hideMark/>
          </w:tcPr>
          <w:p w14:paraId="550C1093"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nil"/>
              <w:left w:val="nil"/>
              <w:bottom w:val="single" w:sz="4" w:space="0" w:color="auto"/>
              <w:right w:val="single" w:sz="4" w:space="0" w:color="auto"/>
            </w:tcBorders>
            <w:shd w:val="clear" w:color="auto" w:fill="auto"/>
            <w:noWrap/>
            <w:hideMark/>
          </w:tcPr>
          <w:p w14:paraId="4AE4B763"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3050" w:type="dxa"/>
            <w:tcBorders>
              <w:top w:val="nil"/>
              <w:left w:val="nil"/>
              <w:bottom w:val="single" w:sz="4" w:space="0" w:color="auto"/>
              <w:right w:val="single" w:sz="4" w:space="0" w:color="auto"/>
            </w:tcBorders>
            <w:shd w:val="clear" w:color="auto" w:fill="auto"/>
            <w:noWrap/>
            <w:hideMark/>
          </w:tcPr>
          <w:p w14:paraId="435C1E97"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5F972EEE"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03A8D27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08963R</w:t>
            </w:r>
          </w:p>
        </w:tc>
        <w:tc>
          <w:tcPr>
            <w:tcW w:w="2699" w:type="dxa"/>
            <w:tcBorders>
              <w:top w:val="nil"/>
              <w:left w:val="nil"/>
              <w:bottom w:val="single" w:sz="4" w:space="0" w:color="auto"/>
              <w:right w:val="single" w:sz="4" w:space="0" w:color="auto"/>
            </w:tcBorders>
            <w:shd w:val="clear" w:color="auto" w:fill="auto"/>
            <w:noWrap/>
            <w:hideMark/>
          </w:tcPr>
          <w:p w14:paraId="7E9DF092"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57" w:type="dxa"/>
            <w:tcBorders>
              <w:top w:val="nil"/>
              <w:left w:val="nil"/>
              <w:bottom w:val="single" w:sz="4" w:space="0" w:color="auto"/>
              <w:right w:val="single" w:sz="4" w:space="0" w:color="auto"/>
            </w:tcBorders>
            <w:shd w:val="clear" w:color="auto" w:fill="auto"/>
            <w:noWrap/>
            <w:hideMark/>
          </w:tcPr>
          <w:p w14:paraId="0C2301B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360643F7"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7" w:type="dxa"/>
            <w:tcBorders>
              <w:top w:val="nil"/>
              <w:left w:val="nil"/>
              <w:bottom w:val="single" w:sz="4" w:space="0" w:color="auto"/>
              <w:right w:val="single" w:sz="4" w:space="0" w:color="auto"/>
            </w:tcBorders>
            <w:shd w:val="clear" w:color="auto" w:fill="auto"/>
            <w:noWrap/>
            <w:hideMark/>
          </w:tcPr>
          <w:p w14:paraId="296A3D30"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0" w:type="dxa"/>
            <w:tcBorders>
              <w:top w:val="nil"/>
              <w:left w:val="nil"/>
              <w:bottom w:val="single" w:sz="4" w:space="0" w:color="auto"/>
              <w:right w:val="single" w:sz="4" w:space="0" w:color="auto"/>
            </w:tcBorders>
            <w:shd w:val="clear" w:color="auto" w:fill="auto"/>
            <w:noWrap/>
            <w:hideMark/>
          </w:tcPr>
          <w:p w14:paraId="6BBA27D6"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43B66A82"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45F059C5"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08964T</w:t>
            </w:r>
          </w:p>
        </w:tc>
        <w:tc>
          <w:tcPr>
            <w:tcW w:w="2699" w:type="dxa"/>
            <w:tcBorders>
              <w:top w:val="nil"/>
              <w:left w:val="nil"/>
              <w:bottom w:val="single" w:sz="4" w:space="0" w:color="auto"/>
              <w:right w:val="single" w:sz="4" w:space="0" w:color="auto"/>
            </w:tcBorders>
            <w:shd w:val="clear" w:color="auto" w:fill="auto"/>
            <w:noWrap/>
            <w:hideMark/>
          </w:tcPr>
          <w:p w14:paraId="30B0B754"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57" w:type="dxa"/>
            <w:tcBorders>
              <w:top w:val="nil"/>
              <w:left w:val="nil"/>
              <w:bottom w:val="single" w:sz="4" w:space="0" w:color="auto"/>
              <w:right w:val="single" w:sz="4" w:space="0" w:color="auto"/>
            </w:tcBorders>
            <w:shd w:val="clear" w:color="auto" w:fill="auto"/>
            <w:noWrap/>
            <w:hideMark/>
          </w:tcPr>
          <w:p w14:paraId="0675E66A"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74151C43"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7" w:type="dxa"/>
            <w:tcBorders>
              <w:top w:val="nil"/>
              <w:left w:val="nil"/>
              <w:bottom w:val="single" w:sz="4" w:space="0" w:color="auto"/>
              <w:right w:val="single" w:sz="4" w:space="0" w:color="auto"/>
            </w:tcBorders>
            <w:shd w:val="clear" w:color="auto" w:fill="auto"/>
            <w:noWrap/>
            <w:hideMark/>
          </w:tcPr>
          <w:p w14:paraId="68EA398A"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0" w:type="dxa"/>
            <w:tcBorders>
              <w:top w:val="nil"/>
              <w:left w:val="nil"/>
              <w:bottom w:val="single" w:sz="4" w:space="0" w:color="auto"/>
              <w:right w:val="single" w:sz="4" w:space="0" w:color="auto"/>
            </w:tcBorders>
            <w:shd w:val="clear" w:color="auto" w:fill="auto"/>
            <w:noWrap/>
            <w:hideMark/>
          </w:tcPr>
          <w:p w14:paraId="7CAE3F11"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54F4D7AB"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4820D677"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08965W</w:t>
            </w:r>
          </w:p>
        </w:tc>
        <w:tc>
          <w:tcPr>
            <w:tcW w:w="2699" w:type="dxa"/>
            <w:tcBorders>
              <w:top w:val="nil"/>
              <w:left w:val="nil"/>
              <w:bottom w:val="single" w:sz="4" w:space="0" w:color="auto"/>
              <w:right w:val="single" w:sz="4" w:space="0" w:color="auto"/>
            </w:tcBorders>
            <w:shd w:val="clear" w:color="auto" w:fill="auto"/>
            <w:noWrap/>
            <w:hideMark/>
          </w:tcPr>
          <w:p w14:paraId="2ED079E2"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57" w:type="dxa"/>
            <w:tcBorders>
              <w:top w:val="nil"/>
              <w:left w:val="nil"/>
              <w:bottom w:val="single" w:sz="4" w:space="0" w:color="auto"/>
              <w:right w:val="single" w:sz="4" w:space="0" w:color="auto"/>
            </w:tcBorders>
            <w:shd w:val="clear" w:color="auto" w:fill="auto"/>
            <w:noWrap/>
            <w:hideMark/>
          </w:tcPr>
          <w:p w14:paraId="0EE0A71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5B77354F"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7" w:type="dxa"/>
            <w:tcBorders>
              <w:top w:val="nil"/>
              <w:left w:val="nil"/>
              <w:bottom w:val="single" w:sz="4" w:space="0" w:color="auto"/>
              <w:right w:val="single" w:sz="4" w:space="0" w:color="auto"/>
            </w:tcBorders>
            <w:shd w:val="clear" w:color="auto" w:fill="auto"/>
            <w:noWrap/>
            <w:hideMark/>
          </w:tcPr>
          <w:p w14:paraId="0744FFA1"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0" w:type="dxa"/>
            <w:tcBorders>
              <w:top w:val="nil"/>
              <w:left w:val="nil"/>
              <w:bottom w:val="single" w:sz="4" w:space="0" w:color="auto"/>
              <w:right w:val="single" w:sz="4" w:space="0" w:color="auto"/>
            </w:tcBorders>
            <w:shd w:val="clear" w:color="auto" w:fill="auto"/>
            <w:noWrap/>
            <w:hideMark/>
          </w:tcPr>
          <w:p w14:paraId="7D0F747D"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3D1F1E97" w14:textId="77777777" w:rsidTr="00347A74">
        <w:trPr>
          <w:trHeight w:val="299"/>
        </w:trPr>
        <w:tc>
          <w:tcPr>
            <w:tcW w:w="994" w:type="dxa"/>
            <w:tcBorders>
              <w:top w:val="nil"/>
              <w:left w:val="single" w:sz="4" w:space="0" w:color="auto"/>
              <w:bottom w:val="single" w:sz="4" w:space="0" w:color="auto"/>
              <w:right w:val="single" w:sz="4" w:space="0" w:color="auto"/>
            </w:tcBorders>
            <w:shd w:val="clear" w:color="auto" w:fill="auto"/>
            <w:noWrap/>
            <w:hideMark/>
          </w:tcPr>
          <w:p w14:paraId="5002A97D"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08966X</w:t>
            </w:r>
          </w:p>
        </w:tc>
        <w:tc>
          <w:tcPr>
            <w:tcW w:w="2699" w:type="dxa"/>
            <w:tcBorders>
              <w:top w:val="nil"/>
              <w:left w:val="nil"/>
              <w:bottom w:val="single" w:sz="4" w:space="0" w:color="auto"/>
              <w:right w:val="single" w:sz="4" w:space="0" w:color="auto"/>
            </w:tcBorders>
            <w:shd w:val="clear" w:color="auto" w:fill="auto"/>
            <w:noWrap/>
            <w:hideMark/>
          </w:tcPr>
          <w:p w14:paraId="112D0F9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57" w:type="dxa"/>
            <w:tcBorders>
              <w:top w:val="nil"/>
              <w:left w:val="nil"/>
              <w:bottom w:val="single" w:sz="4" w:space="0" w:color="auto"/>
              <w:right w:val="single" w:sz="4" w:space="0" w:color="auto"/>
            </w:tcBorders>
            <w:shd w:val="clear" w:color="auto" w:fill="auto"/>
            <w:noWrap/>
            <w:hideMark/>
          </w:tcPr>
          <w:p w14:paraId="08BC7611"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410A2BF7"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7" w:type="dxa"/>
            <w:tcBorders>
              <w:top w:val="nil"/>
              <w:left w:val="nil"/>
              <w:bottom w:val="single" w:sz="4" w:space="0" w:color="auto"/>
              <w:right w:val="single" w:sz="4" w:space="0" w:color="auto"/>
            </w:tcBorders>
            <w:shd w:val="clear" w:color="auto" w:fill="auto"/>
            <w:noWrap/>
            <w:hideMark/>
          </w:tcPr>
          <w:p w14:paraId="3E4568A4"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3050" w:type="dxa"/>
            <w:tcBorders>
              <w:top w:val="nil"/>
              <w:left w:val="nil"/>
              <w:bottom w:val="single" w:sz="4" w:space="0" w:color="auto"/>
              <w:right w:val="single" w:sz="4" w:space="0" w:color="auto"/>
            </w:tcBorders>
            <w:shd w:val="clear" w:color="auto" w:fill="auto"/>
            <w:noWrap/>
            <w:hideMark/>
          </w:tcPr>
          <w:p w14:paraId="07CC211E" w14:textId="77777777" w:rsidR="006F2088" w:rsidRPr="00263DA2" w:rsidRDefault="006F2088" w:rsidP="00881981">
            <w:pPr>
              <w:spacing w:after="0"/>
              <w:rPr>
                <w:rFonts w:ascii="Calibri" w:eastAsia="Times New Roman" w:hAnsi="Calibri" w:cs="Times New Roman"/>
                <w:sz w:val="20"/>
                <w:szCs w:val="20"/>
              </w:rPr>
            </w:pPr>
            <w:r w:rsidRPr="00FA6061">
              <w:rPr>
                <w:rFonts w:ascii="Calibri" w:eastAsia="Times New Roman" w:hAnsi="Calibri" w:cs="Times New Roman"/>
                <w:sz w:val="20"/>
                <w:szCs w:val="20"/>
              </w:rPr>
              <w:t>Humira, Abbvie Pty Ltd</w:t>
            </w:r>
          </w:p>
        </w:tc>
      </w:tr>
      <w:tr w:rsidR="006F2088" w:rsidRPr="00263DA2" w14:paraId="660738E0" w14:textId="77777777" w:rsidTr="00347A74">
        <w:trPr>
          <w:trHeight w:val="299"/>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6DE56483"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09654D</w:t>
            </w:r>
          </w:p>
        </w:tc>
        <w:tc>
          <w:tcPr>
            <w:tcW w:w="2699" w:type="dxa"/>
            <w:tcBorders>
              <w:top w:val="single" w:sz="4" w:space="0" w:color="auto"/>
              <w:left w:val="nil"/>
              <w:bottom w:val="single" w:sz="4" w:space="0" w:color="auto"/>
              <w:right w:val="single" w:sz="4" w:space="0" w:color="auto"/>
            </w:tcBorders>
            <w:shd w:val="clear" w:color="auto" w:fill="auto"/>
            <w:noWrap/>
            <w:hideMark/>
          </w:tcPr>
          <w:p w14:paraId="144DF7BE"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57" w:type="dxa"/>
            <w:tcBorders>
              <w:top w:val="single" w:sz="4" w:space="0" w:color="auto"/>
              <w:left w:val="nil"/>
              <w:bottom w:val="single" w:sz="4" w:space="0" w:color="auto"/>
              <w:right w:val="single" w:sz="4" w:space="0" w:color="auto"/>
            </w:tcBorders>
            <w:shd w:val="clear" w:color="auto" w:fill="auto"/>
            <w:noWrap/>
            <w:hideMark/>
          </w:tcPr>
          <w:p w14:paraId="0E25FB2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single" w:sz="4" w:space="0" w:color="auto"/>
              <w:left w:val="nil"/>
              <w:bottom w:val="single" w:sz="4" w:space="0" w:color="auto"/>
              <w:right w:val="single" w:sz="4" w:space="0" w:color="auto"/>
            </w:tcBorders>
            <w:shd w:val="clear" w:color="auto" w:fill="auto"/>
            <w:noWrap/>
            <w:hideMark/>
          </w:tcPr>
          <w:p w14:paraId="6220094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single" w:sz="4" w:space="0" w:color="auto"/>
              <w:left w:val="nil"/>
              <w:bottom w:val="single" w:sz="4" w:space="0" w:color="auto"/>
              <w:right w:val="single" w:sz="4" w:space="0" w:color="auto"/>
            </w:tcBorders>
            <w:shd w:val="clear" w:color="auto" w:fill="auto"/>
            <w:noWrap/>
            <w:hideMark/>
          </w:tcPr>
          <w:p w14:paraId="02112FBB"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574.85</w:t>
            </w:r>
          </w:p>
        </w:tc>
        <w:tc>
          <w:tcPr>
            <w:tcW w:w="3050" w:type="dxa"/>
            <w:tcBorders>
              <w:top w:val="single" w:sz="4" w:space="0" w:color="auto"/>
              <w:left w:val="nil"/>
              <w:bottom w:val="single" w:sz="4" w:space="0" w:color="auto"/>
              <w:right w:val="single" w:sz="4" w:space="0" w:color="auto"/>
            </w:tcBorders>
            <w:shd w:val="clear" w:color="auto" w:fill="auto"/>
            <w:noWrap/>
            <w:hideMark/>
          </w:tcPr>
          <w:p w14:paraId="6860D639" w14:textId="6E5D1F39"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r w:rsidR="006F2088" w:rsidRPr="00263DA2" w14:paraId="1850F165" w14:textId="77777777" w:rsidTr="00347A74">
        <w:trPr>
          <w:trHeight w:val="299"/>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3E1DD6FF"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09674E</w:t>
            </w:r>
          </w:p>
        </w:tc>
        <w:tc>
          <w:tcPr>
            <w:tcW w:w="2699" w:type="dxa"/>
            <w:tcBorders>
              <w:top w:val="single" w:sz="4" w:space="0" w:color="auto"/>
              <w:left w:val="nil"/>
              <w:bottom w:val="single" w:sz="4" w:space="0" w:color="auto"/>
              <w:right w:val="single" w:sz="4" w:space="0" w:color="auto"/>
            </w:tcBorders>
            <w:shd w:val="clear" w:color="auto" w:fill="auto"/>
            <w:noWrap/>
            <w:hideMark/>
          </w:tcPr>
          <w:p w14:paraId="19CDC483"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57" w:type="dxa"/>
            <w:tcBorders>
              <w:top w:val="single" w:sz="4" w:space="0" w:color="auto"/>
              <w:left w:val="nil"/>
              <w:bottom w:val="single" w:sz="4" w:space="0" w:color="auto"/>
              <w:right w:val="single" w:sz="4" w:space="0" w:color="auto"/>
            </w:tcBorders>
            <w:shd w:val="clear" w:color="auto" w:fill="auto"/>
            <w:noWrap/>
            <w:hideMark/>
          </w:tcPr>
          <w:p w14:paraId="05F8A13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single" w:sz="4" w:space="0" w:color="auto"/>
              <w:left w:val="nil"/>
              <w:bottom w:val="single" w:sz="4" w:space="0" w:color="auto"/>
              <w:right w:val="single" w:sz="4" w:space="0" w:color="auto"/>
            </w:tcBorders>
            <w:shd w:val="clear" w:color="auto" w:fill="auto"/>
            <w:noWrap/>
            <w:hideMark/>
          </w:tcPr>
          <w:p w14:paraId="2E4CB935"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7" w:type="dxa"/>
            <w:tcBorders>
              <w:top w:val="single" w:sz="4" w:space="0" w:color="auto"/>
              <w:left w:val="nil"/>
              <w:bottom w:val="single" w:sz="4" w:space="0" w:color="auto"/>
              <w:right w:val="single" w:sz="4" w:space="0" w:color="auto"/>
            </w:tcBorders>
            <w:shd w:val="clear" w:color="auto" w:fill="auto"/>
            <w:noWrap/>
            <w:hideMark/>
          </w:tcPr>
          <w:p w14:paraId="5069E904"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604.86</w:t>
            </w:r>
          </w:p>
        </w:tc>
        <w:tc>
          <w:tcPr>
            <w:tcW w:w="3050" w:type="dxa"/>
            <w:tcBorders>
              <w:top w:val="single" w:sz="4" w:space="0" w:color="auto"/>
              <w:left w:val="nil"/>
              <w:bottom w:val="single" w:sz="4" w:space="0" w:color="auto"/>
              <w:right w:val="single" w:sz="4" w:space="0" w:color="auto"/>
            </w:tcBorders>
            <w:shd w:val="clear" w:color="auto" w:fill="auto"/>
            <w:noWrap/>
            <w:hideMark/>
          </w:tcPr>
          <w:p w14:paraId="0A1D123A" w14:textId="27E4AA6B"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bl>
    <w:p w14:paraId="74497D9D" w14:textId="77777777" w:rsidR="006F2088" w:rsidRPr="007D2A2D" w:rsidRDefault="006F2088" w:rsidP="006F2088">
      <w:pPr>
        <w:pStyle w:val="Notes"/>
      </w:pPr>
      <w:r w:rsidRPr="00A35800">
        <w:t xml:space="preserve">Source: </w:t>
      </w:r>
      <w:r>
        <w:t xml:space="preserve">the </w:t>
      </w:r>
      <w:hyperlink r:id="rId43" w:history="1">
        <w:r w:rsidRPr="001624D7">
          <w:rPr>
            <w:rStyle w:val="Hyperlink"/>
          </w:rPr>
          <w:t>PBS website</w:t>
        </w:r>
      </w:hyperlink>
      <w:r>
        <w:t xml:space="preserve">.  </w:t>
      </w:r>
      <w:r w:rsidRPr="0080485E">
        <w:t>Special Pricing Arrangement</w:t>
      </w:r>
      <w:r>
        <w:t>s</w:t>
      </w:r>
      <w:r w:rsidRPr="0080485E">
        <w:t xml:space="preserve"> </w:t>
      </w:r>
      <w:r>
        <w:t>apply for these listings</w:t>
      </w:r>
      <w:r w:rsidRPr="0080485E">
        <w:t>.</w:t>
      </w:r>
    </w:p>
    <w:p w14:paraId="66C8527B" w14:textId="77777777" w:rsidR="00347A74" w:rsidRDefault="00347A74" w:rsidP="006F2088">
      <w:pPr>
        <w:rPr>
          <w:u w:val="single"/>
        </w:rPr>
      </w:pPr>
    </w:p>
    <w:p w14:paraId="4264ECA4" w14:textId="77777777" w:rsidR="006F2088" w:rsidRPr="00080340" w:rsidRDefault="006F2088" w:rsidP="006F2088">
      <w:pPr>
        <w:rPr>
          <w:u w:val="single"/>
        </w:rPr>
      </w:pPr>
      <w:r w:rsidRPr="00080340">
        <w:rPr>
          <w:u w:val="single"/>
        </w:rPr>
        <w:lastRenderedPageBreak/>
        <w:t>Paediatric Crohn disease</w:t>
      </w:r>
    </w:p>
    <w:tbl>
      <w:tblPr>
        <w:tblW w:w="9080" w:type="dxa"/>
        <w:tblInd w:w="93" w:type="dxa"/>
        <w:tblLook w:val="04A0" w:firstRow="1" w:lastRow="0" w:firstColumn="1" w:lastColumn="0" w:noHBand="0" w:noVBand="1"/>
      </w:tblPr>
      <w:tblGrid>
        <w:gridCol w:w="994"/>
        <w:gridCol w:w="2699"/>
        <w:gridCol w:w="857"/>
        <w:gridCol w:w="652"/>
        <w:gridCol w:w="977"/>
        <w:gridCol w:w="2901"/>
      </w:tblGrid>
      <w:tr w:rsidR="006F2088" w:rsidRPr="00263DA2" w14:paraId="3DFF0941" w14:textId="77777777" w:rsidTr="00881981">
        <w:trPr>
          <w:trHeight w:val="299"/>
          <w:tblHeader/>
        </w:trPr>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4D72C1E"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Item</w:t>
            </w:r>
          </w:p>
        </w:tc>
        <w:tc>
          <w:tcPr>
            <w:tcW w:w="2699"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DC43AE3"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Name, form &amp; strength, pack size</w:t>
            </w:r>
          </w:p>
        </w:tc>
        <w:tc>
          <w:tcPr>
            <w:tcW w:w="85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C13F4F3"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Max. quant.</w:t>
            </w:r>
          </w:p>
        </w:tc>
        <w:tc>
          <w:tcPr>
            <w:tcW w:w="652"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4A8E9FE"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Rpts</w:t>
            </w:r>
          </w:p>
        </w:tc>
        <w:tc>
          <w:tcPr>
            <w:tcW w:w="97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F257557"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DPMQ</w:t>
            </w:r>
          </w:p>
        </w:tc>
        <w:tc>
          <w:tcPr>
            <w:tcW w:w="29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B1349B2" w14:textId="77777777" w:rsidR="006F2088" w:rsidRPr="00410B0B" w:rsidRDefault="006F2088" w:rsidP="00881981">
            <w:pPr>
              <w:spacing w:after="0"/>
              <w:jc w:val="center"/>
              <w:rPr>
                <w:rFonts w:ascii="Calibri" w:eastAsia="Times New Roman" w:hAnsi="Calibri" w:cs="Times New Roman"/>
                <w:b/>
                <w:sz w:val="20"/>
                <w:szCs w:val="20"/>
              </w:rPr>
            </w:pPr>
            <w:r w:rsidRPr="00410B0B">
              <w:rPr>
                <w:b/>
                <w:sz w:val="20"/>
                <w:szCs w:val="20"/>
              </w:rPr>
              <w:t>Brand name and manufacturer</w:t>
            </w:r>
          </w:p>
        </w:tc>
      </w:tr>
      <w:tr w:rsidR="006F2088" w:rsidRPr="00263DA2" w14:paraId="3A463BC2" w14:textId="77777777" w:rsidTr="00881981">
        <w:trPr>
          <w:trHeight w:val="299"/>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7C12E96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05755X</w:t>
            </w:r>
          </w:p>
        </w:tc>
        <w:tc>
          <w:tcPr>
            <w:tcW w:w="2699" w:type="dxa"/>
            <w:tcBorders>
              <w:top w:val="single" w:sz="4" w:space="0" w:color="auto"/>
              <w:left w:val="nil"/>
              <w:bottom w:val="single" w:sz="4" w:space="0" w:color="auto"/>
              <w:right w:val="single" w:sz="4" w:space="0" w:color="auto"/>
            </w:tcBorders>
            <w:shd w:val="clear" w:color="auto" w:fill="auto"/>
            <w:noWrap/>
            <w:hideMark/>
          </w:tcPr>
          <w:p w14:paraId="7C916970"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57" w:type="dxa"/>
            <w:tcBorders>
              <w:top w:val="single" w:sz="4" w:space="0" w:color="auto"/>
              <w:left w:val="nil"/>
              <w:bottom w:val="single" w:sz="4" w:space="0" w:color="auto"/>
              <w:right w:val="single" w:sz="4" w:space="0" w:color="auto"/>
            </w:tcBorders>
            <w:shd w:val="clear" w:color="auto" w:fill="auto"/>
            <w:noWrap/>
            <w:hideMark/>
          </w:tcPr>
          <w:p w14:paraId="7186D71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single" w:sz="4" w:space="0" w:color="auto"/>
              <w:left w:val="nil"/>
              <w:bottom w:val="single" w:sz="4" w:space="0" w:color="auto"/>
              <w:right w:val="single" w:sz="4" w:space="0" w:color="auto"/>
            </w:tcBorders>
            <w:shd w:val="clear" w:color="auto" w:fill="auto"/>
            <w:noWrap/>
            <w:hideMark/>
          </w:tcPr>
          <w:p w14:paraId="5CF73CE3"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single" w:sz="4" w:space="0" w:color="auto"/>
              <w:left w:val="nil"/>
              <w:bottom w:val="single" w:sz="4" w:space="0" w:color="auto"/>
              <w:right w:val="single" w:sz="4" w:space="0" w:color="auto"/>
            </w:tcBorders>
            <w:shd w:val="clear" w:color="auto" w:fill="auto"/>
            <w:noWrap/>
            <w:hideMark/>
          </w:tcPr>
          <w:p w14:paraId="13E7CA14"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574.85</w:t>
            </w:r>
          </w:p>
        </w:tc>
        <w:tc>
          <w:tcPr>
            <w:tcW w:w="2901" w:type="dxa"/>
            <w:tcBorders>
              <w:top w:val="single" w:sz="4" w:space="0" w:color="auto"/>
              <w:left w:val="nil"/>
              <w:bottom w:val="single" w:sz="4" w:space="0" w:color="auto"/>
              <w:right w:val="single" w:sz="4" w:space="0" w:color="auto"/>
            </w:tcBorders>
            <w:shd w:val="clear" w:color="auto" w:fill="auto"/>
            <w:noWrap/>
            <w:hideMark/>
          </w:tcPr>
          <w:p w14:paraId="3E400D2D" w14:textId="33B73FE9"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r w:rsidR="006F2088" w:rsidRPr="00263DA2" w14:paraId="413F7669" w14:textId="77777777" w:rsidTr="00881981">
        <w:trPr>
          <w:trHeight w:val="299"/>
        </w:trPr>
        <w:tc>
          <w:tcPr>
            <w:tcW w:w="995" w:type="dxa"/>
            <w:tcBorders>
              <w:top w:val="nil"/>
              <w:left w:val="single" w:sz="4" w:space="0" w:color="auto"/>
              <w:bottom w:val="nil"/>
              <w:right w:val="single" w:sz="4" w:space="0" w:color="auto"/>
            </w:tcBorders>
            <w:shd w:val="clear" w:color="auto" w:fill="auto"/>
            <w:noWrap/>
            <w:hideMark/>
          </w:tcPr>
          <w:p w14:paraId="336F551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09612X</w:t>
            </w:r>
          </w:p>
        </w:tc>
        <w:tc>
          <w:tcPr>
            <w:tcW w:w="2699" w:type="dxa"/>
            <w:tcBorders>
              <w:top w:val="nil"/>
              <w:left w:val="nil"/>
              <w:bottom w:val="nil"/>
              <w:right w:val="single" w:sz="4" w:space="0" w:color="auto"/>
            </w:tcBorders>
            <w:shd w:val="clear" w:color="auto" w:fill="auto"/>
            <w:noWrap/>
            <w:hideMark/>
          </w:tcPr>
          <w:p w14:paraId="51206ED5"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Infliximab, Powder for I.V. infusion 100 mg, 1</w:t>
            </w:r>
          </w:p>
        </w:tc>
        <w:tc>
          <w:tcPr>
            <w:tcW w:w="857" w:type="dxa"/>
            <w:tcBorders>
              <w:top w:val="nil"/>
              <w:left w:val="nil"/>
              <w:bottom w:val="nil"/>
              <w:right w:val="single" w:sz="4" w:space="0" w:color="auto"/>
            </w:tcBorders>
            <w:shd w:val="clear" w:color="auto" w:fill="auto"/>
            <w:noWrap/>
            <w:hideMark/>
          </w:tcPr>
          <w:p w14:paraId="6448B78B"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nil"/>
              <w:left w:val="nil"/>
              <w:bottom w:val="nil"/>
              <w:right w:val="single" w:sz="4" w:space="0" w:color="auto"/>
            </w:tcBorders>
            <w:shd w:val="clear" w:color="auto" w:fill="auto"/>
            <w:noWrap/>
            <w:hideMark/>
          </w:tcPr>
          <w:p w14:paraId="54B64B5A"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nil"/>
              <w:right w:val="single" w:sz="4" w:space="0" w:color="auto"/>
            </w:tcBorders>
            <w:shd w:val="clear" w:color="auto" w:fill="auto"/>
            <w:noWrap/>
            <w:hideMark/>
          </w:tcPr>
          <w:p w14:paraId="70759F33"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604.86</w:t>
            </w:r>
          </w:p>
        </w:tc>
        <w:tc>
          <w:tcPr>
            <w:tcW w:w="2901" w:type="dxa"/>
            <w:tcBorders>
              <w:top w:val="nil"/>
              <w:left w:val="nil"/>
              <w:bottom w:val="nil"/>
              <w:right w:val="single" w:sz="4" w:space="0" w:color="auto"/>
            </w:tcBorders>
            <w:shd w:val="clear" w:color="auto" w:fill="auto"/>
            <w:noWrap/>
            <w:hideMark/>
          </w:tcPr>
          <w:p w14:paraId="6B6949C2" w14:textId="73D06170" w:rsidR="006F2088" w:rsidRPr="00263DA2" w:rsidRDefault="001124DC" w:rsidP="00881981">
            <w:pPr>
              <w:spacing w:after="0"/>
              <w:rPr>
                <w:rFonts w:ascii="Calibri" w:eastAsia="Times New Roman" w:hAnsi="Calibri" w:cs="Times New Roman"/>
                <w:sz w:val="20"/>
                <w:szCs w:val="20"/>
              </w:rPr>
            </w:pPr>
            <w:r>
              <w:rPr>
                <w:rFonts w:ascii="Calibri" w:eastAsia="Times New Roman" w:hAnsi="Calibri" w:cs="Times New Roman"/>
                <w:sz w:val="20"/>
                <w:szCs w:val="20"/>
              </w:rPr>
              <w:t>Remicade®</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 xml:space="preserve">Janssen-Cilag Pty Ltd, </w:t>
            </w:r>
            <w:r w:rsidR="00401746">
              <w:rPr>
                <w:rFonts w:ascii="Calibri" w:eastAsia="Times New Roman" w:hAnsi="Calibri" w:cs="Times New Roman"/>
                <w:sz w:val="20"/>
                <w:szCs w:val="20"/>
              </w:rPr>
              <w:t>Inflectra®</w:t>
            </w:r>
            <w:r w:rsidR="006F2088" w:rsidRPr="00263DA2">
              <w:rPr>
                <w:rFonts w:ascii="Calibri" w:eastAsia="Times New Roman" w:hAnsi="Calibri" w:cs="Times New Roman"/>
                <w:sz w:val="20"/>
                <w:szCs w:val="20"/>
              </w:rPr>
              <w:t xml:space="preserve">, </w:t>
            </w:r>
            <w:r w:rsidR="006F2088">
              <w:rPr>
                <w:rFonts w:ascii="Calibri" w:eastAsia="Times New Roman" w:hAnsi="Calibri" w:cs="Times New Roman"/>
                <w:sz w:val="20"/>
                <w:szCs w:val="20"/>
              </w:rPr>
              <w:t>Pfizer Australia Pty Ltd</w:t>
            </w:r>
          </w:p>
        </w:tc>
      </w:tr>
      <w:tr w:rsidR="006F2088" w:rsidRPr="00263DA2" w14:paraId="54DB26FA" w14:textId="77777777" w:rsidTr="00881981">
        <w:trPr>
          <w:trHeight w:val="299"/>
        </w:trPr>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3AAE796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10389T</w:t>
            </w:r>
          </w:p>
        </w:tc>
        <w:tc>
          <w:tcPr>
            <w:tcW w:w="2699" w:type="dxa"/>
            <w:tcBorders>
              <w:top w:val="single" w:sz="4" w:space="0" w:color="auto"/>
              <w:left w:val="nil"/>
              <w:bottom w:val="single" w:sz="4" w:space="0" w:color="auto"/>
              <w:right w:val="single" w:sz="4" w:space="0" w:color="auto"/>
            </w:tcBorders>
            <w:shd w:val="clear" w:color="auto" w:fill="auto"/>
            <w:noWrap/>
            <w:hideMark/>
          </w:tcPr>
          <w:p w14:paraId="527352E8"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20 mg in 0.4 mL pre-filled syringe, 2</w:t>
            </w:r>
          </w:p>
        </w:tc>
        <w:tc>
          <w:tcPr>
            <w:tcW w:w="857" w:type="dxa"/>
            <w:tcBorders>
              <w:top w:val="single" w:sz="4" w:space="0" w:color="auto"/>
              <w:left w:val="nil"/>
              <w:bottom w:val="single" w:sz="4" w:space="0" w:color="auto"/>
              <w:right w:val="single" w:sz="4" w:space="0" w:color="auto"/>
            </w:tcBorders>
            <w:shd w:val="clear" w:color="auto" w:fill="auto"/>
            <w:noWrap/>
            <w:hideMark/>
          </w:tcPr>
          <w:p w14:paraId="2D4071D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single" w:sz="4" w:space="0" w:color="auto"/>
              <w:left w:val="nil"/>
              <w:bottom w:val="single" w:sz="4" w:space="0" w:color="auto"/>
              <w:right w:val="single" w:sz="4" w:space="0" w:color="auto"/>
            </w:tcBorders>
            <w:shd w:val="clear" w:color="auto" w:fill="auto"/>
            <w:noWrap/>
            <w:hideMark/>
          </w:tcPr>
          <w:p w14:paraId="1C5CEE20"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3</w:t>
            </w:r>
          </w:p>
        </w:tc>
        <w:tc>
          <w:tcPr>
            <w:tcW w:w="976" w:type="dxa"/>
            <w:tcBorders>
              <w:top w:val="single" w:sz="4" w:space="0" w:color="auto"/>
              <w:left w:val="nil"/>
              <w:bottom w:val="single" w:sz="4" w:space="0" w:color="auto"/>
              <w:right w:val="single" w:sz="4" w:space="0" w:color="auto"/>
            </w:tcBorders>
            <w:shd w:val="clear" w:color="auto" w:fill="auto"/>
            <w:noWrap/>
            <w:hideMark/>
          </w:tcPr>
          <w:p w14:paraId="3427F600"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single" w:sz="4" w:space="0" w:color="auto"/>
              <w:left w:val="nil"/>
              <w:bottom w:val="single" w:sz="4" w:space="0" w:color="auto"/>
              <w:right w:val="single" w:sz="4" w:space="0" w:color="auto"/>
            </w:tcBorders>
            <w:shd w:val="clear" w:color="auto" w:fill="auto"/>
            <w:noWrap/>
            <w:hideMark/>
          </w:tcPr>
          <w:p w14:paraId="7C153690"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 xml:space="preserve">Humira, </w:t>
            </w:r>
            <w:r>
              <w:rPr>
                <w:rFonts w:ascii="Calibri" w:eastAsia="Times New Roman" w:hAnsi="Calibri" w:cs="Times New Roman"/>
                <w:sz w:val="20"/>
                <w:szCs w:val="20"/>
              </w:rPr>
              <w:t>Abbvie Pty Ltd</w:t>
            </w:r>
          </w:p>
        </w:tc>
      </w:tr>
      <w:tr w:rsidR="006F2088" w:rsidRPr="00263DA2" w14:paraId="319B4087"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7673179D"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10396E</w:t>
            </w:r>
          </w:p>
        </w:tc>
        <w:tc>
          <w:tcPr>
            <w:tcW w:w="2699" w:type="dxa"/>
            <w:tcBorders>
              <w:top w:val="nil"/>
              <w:left w:val="nil"/>
              <w:bottom w:val="single" w:sz="4" w:space="0" w:color="auto"/>
              <w:right w:val="single" w:sz="4" w:space="0" w:color="auto"/>
            </w:tcBorders>
            <w:shd w:val="clear" w:color="auto" w:fill="auto"/>
            <w:noWrap/>
            <w:hideMark/>
          </w:tcPr>
          <w:p w14:paraId="385DD73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20 mg in 0.4 mL pre-filled syringe, 2</w:t>
            </w:r>
          </w:p>
        </w:tc>
        <w:tc>
          <w:tcPr>
            <w:tcW w:w="857" w:type="dxa"/>
            <w:tcBorders>
              <w:top w:val="nil"/>
              <w:left w:val="nil"/>
              <w:bottom w:val="single" w:sz="4" w:space="0" w:color="auto"/>
              <w:right w:val="single" w:sz="4" w:space="0" w:color="auto"/>
            </w:tcBorders>
            <w:shd w:val="clear" w:color="auto" w:fill="auto"/>
            <w:noWrap/>
            <w:hideMark/>
          </w:tcPr>
          <w:p w14:paraId="031682D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11A669D8"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6" w:type="dxa"/>
            <w:tcBorders>
              <w:top w:val="nil"/>
              <w:left w:val="nil"/>
              <w:bottom w:val="single" w:sz="4" w:space="0" w:color="auto"/>
              <w:right w:val="single" w:sz="4" w:space="0" w:color="auto"/>
            </w:tcBorders>
            <w:shd w:val="clear" w:color="auto" w:fill="auto"/>
            <w:noWrap/>
            <w:hideMark/>
          </w:tcPr>
          <w:p w14:paraId="383740FD"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3AC4F943"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 xml:space="preserve">Humira, </w:t>
            </w:r>
            <w:r>
              <w:rPr>
                <w:rFonts w:ascii="Calibri" w:eastAsia="Times New Roman" w:hAnsi="Calibri" w:cs="Times New Roman"/>
                <w:sz w:val="20"/>
                <w:szCs w:val="20"/>
              </w:rPr>
              <w:t>Abbvie Pty Ltd</w:t>
            </w:r>
          </w:p>
        </w:tc>
      </w:tr>
      <w:tr w:rsidR="006F2088" w:rsidRPr="00263DA2" w14:paraId="5A0E747A"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2C0755EF"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10397F</w:t>
            </w:r>
          </w:p>
        </w:tc>
        <w:tc>
          <w:tcPr>
            <w:tcW w:w="2699" w:type="dxa"/>
            <w:tcBorders>
              <w:top w:val="nil"/>
              <w:left w:val="nil"/>
              <w:bottom w:val="single" w:sz="4" w:space="0" w:color="auto"/>
              <w:right w:val="single" w:sz="4" w:space="0" w:color="auto"/>
            </w:tcBorders>
            <w:shd w:val="clear" w:color="auto" w:fill="auto"/>
            <w:noWrap/>
            <w:hideMark/>
          </w:tcPr>
          <w:p w14:paraId="307871F7"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6, 1</w:t>
            </w:r>
          </w:p>
        </w:tc>
        <w:tc>
          <w:tcPr>
            <w:tcW w:w="857" w:type="dxa"/>
            <w:tcBorders>
              <w:top w:val="nil"/>
              <w:left w:val="nil"/>
              <w:bottom w:val="single" w:sz="4" w:space="0" w:color="auto"/>
              <w:right w:val="single" w:sz="4" w:space="0" w:color="auto"/>
            </w:tcBorders>
            <w:shd w:val="clear" w:color="auto" w:fill="auto"/>
            <w:noWrap/>
            <w:hideMark/>
          </w:tcPr>
          <w:p w14:paraId="17B8D6CB"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nil"/>
              <w:left w:val="nil"/>
              <w:bottom w:val="single" w:sz="4" w:space="0" w:color="auto"/>
              <w:right w:val="single" w:sz="4" w:space="0" w:color="auto"/>
            </w:tcBorders>
            <w:shd w:val="clear" w:color="auto" w:fill="auto"/>
            <w:noWrap/>
            <w:hideMark/>
          </w:tcPr>
          <w:p w14:paraId="2914D6DB"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single" w:sz="4" w:space="0" w:color="auto"/>
              <w:right w:val="single" w:sz="4" w:space="0" w:color="auto"/>
            </w:tcBorders>
            <w:shd w:val="clear" w:color="auto" w:fill="auto"/>
            <w:noWrap/>
            <w:hideMark/>
          </w:tcPr>
          <w:p w14:paraId="1F835060"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2901" w:type="dxa"/>
            <w:tcBorders>
              <w:top w:val="nil"/>
              <w:left w:val="nil"/>
              <w:bottom w:val="single" w:sz="4" w:space="0" w:color="auto"/>
              <w:right w:val="single" w:sz="4" w:space="0" w:color="auto"/>
            </w:tcBorders>
            <w:shd w:val="clear" w:color="auto" w:fill="auto"/>
            <w:noWrap/>
            <w:hideMark/>
          </w:tcPr>
          <w:p w14:paraId="0BAF2AED"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1F9E4BEF"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779756DE"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10399H</w:t>
            </w:r>
          </w:p>
        </w:tc>
        <w:tc>
          <w:tcPr>
            <w:tcW w:w="2699" w:type="dxa"/>
            <w:tcBorders>
              <w:top w:val="nil"/>
              <w:left w:val="nil"/>
              <w:bottom w:val="single" w:sz="4" w:space="0" w:color="auto"/>
              <w:right w:val="single" w:sz="4" w:space="0" w:color="auto"/>
            </w:tcBorders>
            <w:shd w:val="clear" w:color="auto" w:fill="auto"/>
            <w:noWrap/>
            <w:hideMark/>
          </w:tcPr>
          <w:p w14:paraId="03EC67B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57" w:type="dxa"/>
            <w:tcBorders>
              <w:top w:val="nil"/>
              <w:left w:val="nil"/>
              <w:bottom w:val="single" w:sz="4" w:space="0" w:color="auto"/>
              <w:right w:val="single" w:sz="4" w:space="0" w:color="auto"/>
            </w:tcBorders>
            <w:shd w:val="clear" w:color="auto" w:fill="auto"/>
            <w:noWrap/>
            <w:hideMark/>
          </w:tcPr>
          <w:p w14:paraId="1F5425C3"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7A395F7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single" w:sz="4" w:space="0" w:color="auto"/>
              <w:right w:val="single" w:sz="4" w:space="0" w:color="auto"/>
            </w:tcBorders>
            <w:shd w:val="clear" w:color="auto" w:fill="auto"/>
            <w:noWrap/>
            <w:hideMark/>
          </w:tcPr>
          <w:p w14:paraId="06111A5A"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592C9D60"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4A074EE8"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16D3E46C"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10400J</w:t>
            </w:r>
          </w:p>
        </w:tc>
        <w:tc>
          <w:tcPr>
            <w:tcW w:w="2699" w:type="dxa"/>
            <w:tcBorders>
              <w:top w:val="nil"/>
              <w:left w:val="nil"/>
              <w:bottom w:val="single" w:sz="4" w:space="0" w:color="auto"/>
              <w:right w:val="single" w:sz="4" w:space="0" w:color="auto"/>
            </w:tcBorders>
            <w:shd w:val="clear" w:color="auto" w:fill="auto"/>
            <w:noWrap/>
            <w:hideMark/>
          </w:tcPr>
          <w:p w14:paraId="59EEB97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57" w:type="dxa"/>
            <w:tcBorders>
              <w:top w:val="nil"/>
              <w:left w:val="nil"/>
              <w:bottom w:val="single" w:sz="4" w:space="0" w:color="auto"/>
              <w:right w:val="single" w:sz="4" w:space="0" w:color="auto"/>
            </w:tcBorders>
            <w:shd w:val="clear" w:color="auto" w:fill="auto"/>
            <w:noWrap/>
            <w:hideMark/>
          </w:tcPr>
          <w:p w14:paraId="364E9101"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7F1DADB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single" w:sz="4" w:space="0" w:color="auto"/>
              <w:right w:val="single" w:sz="4" w:space="0" w:color="auto"/>
            </w:tcBorders>
            <w:shd w:val="clear" w:color="auto" w:fill="auto"/>
            <w:noWrap/>
            <w:hideMark/>
          </w:tcPr>
          <w:p w14:paraId="309E94A9"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4EB9D403"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5C4E7E4D"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156AEFA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10404N</w:t>
            </w:r>
          </w:p>
        </w:tc>
        <w:tc>
          <w:tcPr>
            <w:tcW w:w="2699" w:type="dxa"/>
            <w:tcBorders>
              <w:top w:val="nil"/>
              <w:left w:val="nil"/>
              <w:bottom w:val="single" w:sz="4" w:space="0" w:color="auto"/>
              <w:right w:val="single" w:sz="4" w:space="0" w:color="auto"/>
            </w:tcBorders>
            <w:shd w:val="clear" w:color="auto" w:fill="auto"/>
            <w:noWrap/>
            <w:hideMark/>
          </w:tcPr>
          <w:p w14:paraId="4277A2B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6, 1</w:t>
            </w:r>
          </w:p>
        </w:tc>
        <w:tc>
          <w:tcPr>
            <w:tcW w:w="857" w:type="dxa"/>
            <w:tcBorders>
              <w:top w:val="nil"/>
              <w:left w:val="nil"/>
              <w:bottom w:val="single" w:sz="4" w:space="0" w:color="auto"/>
              <w:right w:val="single" w:sz="4" w:space="0" w:color="auto"/>
            </w:tcBorders>
            <w:shd w:val="clear" w:color="auto" w:fill="auto"/>
            <w:noWrap/>
            <w:hideMark/>
          </w:tcPr>
          <w:p w14:paraId="02A94AC7"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1</w:t>
            </w:r>
          </w:p>
        </w:tc>
        <w:tc>
          <w:tcPr>
            <w:tcW w:w="652" w:type="dxa"/>
            <w:tcBorders>
              <w:top w:val="nil"/>
              <w:left w:val="nil"/>
              <w:bottom w:val="single" w:sz="4" w:space="0" w:color="auto"/>
              <w:right w:val="single" w:sz="4" w:space="0" w:color="auto"/>
            </w:tcBorders>
            <w:shd w:val="clear" w:color="auto" w:fill="auto"/>
            <w:noWrap/>
            <w:hideMark/>
          </w:tcPr>
          <w:p w14:paraId="33A66C0A"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single" w:sz="4" w:space="0" w:color="auto"/>
              <w:right w:val="single" w:sz="4" w:space="0" w:color="auto"/>
            </w:tcBorders>
            <w:shd w:val="clear" w:color="auto" w:fill="auto"/>
            <w:noWrap/>
            <w:hideMark/>
          </w:tcPr>
          <w:p w14:paraId="128B9ADF"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4298.62</w:t>
            </w:r>
          </w:p>
        </w:tc>
        <w:tc>
          <w:tcPr>
            <w:tcW w:w="2901" w:type="dxa"/>
            <w:tcBorders>
              <w:top w:val="nil"/>
              <w:left w:val="nil"/>
              <w:bottom w:val="single" w:sz="4" w:space="0" w:color="auto"/>
              <w:right w:val="single" w:sz="4" w:space="0" w:color="auto"/>
            </w:tcBorders>
            <w:shd w:val="clear" w:color="auto" w:fill="auto"/>
            <w:noWrap/>
            <w:hideMark/>
          </w:tcPr>
          <w:p w14:paraId="10C12253"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20A33B5B"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4A5039FF"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10412B</w:t>
            </w:r>
          </w:p>
        </w:tc>
        <w:tc>
          <w:tcPr>
            <w:tcW w:w="2699" w:type="dxa"/>
            <w:tcBorders>
              <w:top w:val="nil"/>
              <w:left w:val="nil"/>
              <w:bottom w:val="single" w:sz="4" w:space="0" w:color="auto"/>
              <w:right w:val="single" w:sz="4" w:space="0" w:color="auto"/>
            </w:tcBorders>
            <w:shd w:val="clear" w:color="auto" w:fill="auto"/>
            <w:noWrap/>
            <w:hideMark/>
          </w:tcPr>
          <w:p w14:paraId="02CDC64E"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57" w:type="dxa"/>
            <w:tcBorders>
              <w:top w:val="nil"/>
              <w:left w:val="nil"/>
              <w:bottom w:val="single" w:sz="4" w:space="0" w:color="auto"/>
              <w:right w:val="single" w:sz="4" w:space="0" w:color="auto"/>
            </w:tcBorders>
            <w:shd w:val="clear" w:color="auto" w:fill="auto"/>
            <w:noWrap/>
            <w:hideMark/>
          </w:tcPr>
          <w:p w14:paraId="2B3D499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693C3876"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6" w:type="dxa"/>
            <w:tcBorders>
              <w:top w:val="nil"/>
              <w:left w:val="nil"/>
              <w:bottom w:val="single" w:sz="4" w:space="0" w:color="auto"/>
              <w:right w:val="single" w:sz="4" w:space="0" w:color="auto"/>
            </w:tcBorders>
            <w:shd w:val="clear" w:color="auto" w:fill="auto"/>
            <w:noWrap/>
            <w:hideMark/>
          </w:tcPr>
          <w:p w14:paraId="464EF037"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5D6256A7"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534EDB9D"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3128E11C"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10413C</w:t>
            </w:r>
          </w:p>
        </w:tc>
        <w:tc>
          <w:tcPr>
            <w:tcW w:w="2699" w:type="dxa"/>
            <w:tcBorders>
              <w:top w:val="nil"/>
              <w:left w:val="nil"/>
              <w:bottom w:val="single" w:sz="4" w:space="0" w:color="auto"/>
              <w:right w:val="single" w:sz="4" w:space="0" w:color="auto"/>
            </w:tcBorders>
            <w:shd w:val="clear" w:color="auto" w:fill="auto"/>
            <w:noWrap/>
            <w:hideMark/>
          </w:tcPr>
          <w:p w14:paraId="0850BADA"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57" w:type="dxa"/>
            <w:tcBorders>
              <w:top w:val="nil"/>
              <w:left w:val="nil"/>
              <w:bottom w:val="single" w:sz="4" w:space="0" w:color="auto"/>
              <w:right w:val="single" w:sz="4" w:space="0" w:color="auto"/>
            </w:tcBorders>
            <w:shd w:val="clear" w:color="auto" w:fill="auto"/>
            <w:noWrap/>
            <w:hideMark/>
          </w:tcPr>
          <w:p w14:paraId="1C1D0235"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1FEA69E5"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6" w:type="dxa"/>
            <w:tcBorders>
              <w:top w:val="nil"/>
              <w:left w:val="nil"/>
              <w:bottom w:val="single" w:sz="4" w:space="0" w:color="auto"/>
              <w:right w:val="single" w:sz="4" w:space="0" w:color="auto"/>
            </w:tcBorders>
            <w:shd w:val="clear" w:color="auto" w:fill="auto"/>
            <w:noWrap/>
            <w:hideMark/>
          </w:tcPr>
          <w:p w14:paraId="7EED4A55"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70499E67" w14:textId="77777777" w:rsidR="006F2088" w:rsidRPr="00263DA2" w:rsidRDefault="006F2088" w:rsidP="00881981">
            <w:pPr>
              <w:spacing w:after="0"/>
              <w:rPr>
                <w:rFonts w:ascii="Calibri" w:eastAsia="Times New Roman" w:hAnsi="Calibri" w:cs="Times New Roman"/>
                <w:sz w:val="20"/>
                <w:szCs w:val="20"/>
              </w:rPr>
            </w:pPr>
            <w:r w:rsidRPr="00BC0771">
              <w:rPr>
                <w:rFonts w:ascii="Calibri" w:eastAsia="Times New Roman" w:hAnsi="Calibri" w:cs="Times New Roman"/>
                <w:sz w:val="20"/>
                <w:szCs w:val="20"/>
              </w:rPr>
              <w:t>Humira, Abbvie Pty Ltd</w:t>
            </w:r>
          </w:p>
        </w:tc>
      </w:tr>
      <w:tr w:rsidR="006F2088" w:rsidRPr="00263DA2" w14:paraId="39CE8E74"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134BFC2A"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10419J</w:t>
            </w:r>
          </w:p>
        </w:tc>
        <w:tc>
          <w:tcPr>
            <w:tcW w:w="2699" w:type="dxa"/>
            <w:tcBorders>
              <w:top w:val="nil"/>
              <w:left w:val="nil"/>
              <w:bottom w:val="single" w:sz="4" w:space="0" w:color="auto"/>
              <w:right w:val="single" w:sz="4" w:space="0" w:color="auto"/>
            </w:tcBorders>
            <w:shd w:val="clear" w:color="auto" w:fill="auto"/>
            <w:noWrap/>
            <w:hideMark/>
          </w:tcPr>
          <w:p w14:paraId="6515A0D6"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syringe, 2</w:t>
            </w:r>
          </w:p>
        </w:tc>
        <w:tc>
          <w:tcPr>
            <w:tcW w:w="857" w:type="dxa"/>
            <w:tcBorders>
              <w:top w:val="nil"/>
              <w:left w:val="nil"/>
              <w:bottom w:val="single" w:sz="4" w:space="0" w:color="auto"/>
              <w:right w:val="single" w:sz="4" w:space="0" w:color="auto"/>
            </w:tcBorders>
            <w:shd w:val="clear" w:color="auto" w:fill="auto"/>
            <w:noWrap/>
            <w:hideMark/>
          </w:tcPr>
          <w:p w14:paraId="09C819D2"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5C934C3A"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976" w:type="dxa"/>
            <w:tcBorders>
              <w:top w:val="nil"/>
              <w:left w:val="nil"/>
              <w:bottom w:val="single" w:sz="4" w:space="0" w:color="auto"/>
              <w:right w:val="single" w:sz="4" w:space="0" w:color="auto"/>
            </w:tcBorders>
            <w:shd w:val="clear" w:color="auto" w:fill="auto"/>
            <w:noWrap/>
            <w:hideMark/>
          </w:tcPr>
          <w:p w14:paraId="19E03D17"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4A946409" w14:textId="77777777" w:rsidR="006F2088" w:rsidRPr="00263DA2" w:rsidRDefault="006F2088" w:rsidP="00881981">
            <w:pPr>
              <w:spacing w:after="0"/>
              <w:rPr>
                <w:rFonts w:ascii="Calibri" w:eastAsia="Times New Roman" w:hAnsi="Calibri" w:cs="Times New Roman"/>
                <w:sz w:val="20"/>
                <w:szCs w:val="20"/>
              </w:rPr>
            </w:pPr>
            <w:r w:rsidRPr="00395EC8">
              <w:rPr>
                <w:rFonts w:ascii="Calibri" w:eastAsia="Times New Roman" w:hAnsi="Calibri" w:cs="Times New Roman"/>
                <w:sz w:val="20"/>
                <w:szCs w:val="20"/>
              </w:rPr>
              <w:t>Humira, Abbvie Pty Ltd</w:t>
            </w:r>
          </w:p>
        </w:tc>
      </w:tr>
      <w:tr w:rsidR="006F2088" w:rsidRPr="00263DA2" w14:paraId="1993192B"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443BC22B"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10420K</w:t>
            </w:r>
          </w:p>
        </w:tc>
        <w:tc>
          <w:tcPr>
            <w:tcW w:w="2699" w:type="dxa"/>
            <w:tcBorders>
              <w:top w:val="nil"/>
              <w:left w:val="nil"/>
              <w:bottom w:val="single" w:sz="4" w:space="0" w:color="auto"/>
              <w:right w:val="single" w:sz="4" w:space="0" w:color="auto"/>
            </w:tcBorders>
            <w:shd w:val="clear" w:color="auto" w:fill="auto"/>
            <w:noWrap/>
            <w:hideMark/>
          </w:tcPr>
          <w:p w14:paraId="4394D725"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40 mg in 0.8 mL pre-filled pen, 2</w:t>
            </w:r>
          </w:p>
        </w:tc>
        <w:tc>
          <w:tcPr>
            <w:tcW w:w="857" w:type="dxa"/>
            <w:tcBorders>
              <w:top w:val="nil"/>
              <w:left w:val="nil"/>
              <w:bottom w:val="single" w:sz="4" w:space="0" w:color="auto"/>
              <w:right w:val="single" w:sz="4" w:space="0" w:color="auto"/>
            </w:tcBorders>
            <w:shd w:val="clear" w:color="auto" w:fill="auto"/>
            <w:noWrap/>
            <w:hideMark/>
          </w:tcPr>
          <w:p w14:paraId="400E7305"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055F52B9"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5</w:t>
            </w:r>
          </w:p>
        </w:tc>
        <w:tc>
          <w:tcPr>
            <w:tcW w:w="976" w:type="dxa"/>
            <w:tcBorders>
              <w:top w:val="nil"/>
              <w:left w:val="nil"/>
              <w:bottom w:val="single" w:sz="4" w:space="0" w:color="auto"/>
              <w:right w:val="single" w:sz="4" w:space="0" w:color="auto"/>
            </w:tcBorders>
            <w:shd w:val="clear" w:color="auto" w:fill="auto"/>
            <w:noWrap/>
            <w:hideMark/>
          </w:tcPr>
          <w:p w14:paraId="34F536C2"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3E42891E" w14:textId="77777777" w:rsidR="006F2088" w:rsidRPr="00263DA2" w:rsidRDefault="006F2088" w:rsidP="00881981">
            <w:pPr>
              <w:spacing w:after="0"/>
              <w:rPr>
                <w:rFonts w:ascii="Calibri" w:eastAsia="Times New Roman" w:hAnsi="Calibri" w:cs="Times New Roman"/>
                <w:sz w:val="20"/>
                <w:szCs w:val="20"/>
              </w:rPr>
            </w:pPr>
            <w:r w:rsidRPr="00395EC8">
              <w:rPr>
                <w:rFonts w:ascii="Calibri" w:eastAsia="Times New Roman" w:hAnsi="Calibri" w:cs="Times New Roman"/>
                <w:sz w:val="20"/>
                <w:szCs w:val="20"/>
              </w:rPr>
              <w:t>Humira, Abbvie Pty Ltd</w:t>
            </w:r>
          </w:p>
        </w:tc>
      </w:tr>
      <w:tr w:rsidR="006F2088" w:rsidRPr="00263DA2" w14:paraId="19F59C79" w14:textId="77777777" w:rsidTr="00881981">
        <w:trPr>
          <w:trHeight w:val="299"/>
        </w:trPr>
        <w:tc>
          <w:tcPr>
            <w:tcW w:w="995" w:type="dxa"/>
            <w:tcBorders>
              <w:top w:val="nil"/>
              <w:left w:val="single" w:sz="4" w:space="0" w:color="auto"/>
              <w:bottom w:val="single" w:sz="4" w:space="0" w:color="auto"/>
              <w:right w:val="single" w:sz="4" w:space="0" w:color="auto"/>
            </w:tcBorders>
            <w:shd w:val="clear" w:color="auto" w:fill="auto"/>
            <w:noWrap/>
            <w:hideMark/>
          </w:tcPr>
          <w:p w14:paraId="3B395539"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10422M</w:t>
            </w:r>
          </w:p>
        </w:tc>
        <w:tc>
          <w:tcPr>
            <w:tcW w:w="2699" w:type="dxa"/>
            <w:tcBorders>
              <w:top w:val="nil"/>
              <w:left w:val="nil"/>
              <w:bottom w:val="single" w:sz="4" w:space="0" w:color="auto"/>
              <w:right w:val="single" w:sz="4" w:space="0" w:color="auto"/>
            </w:tcBorders>
            <w:shd w:val="clear" w:color="auto" w:fill="auto"/>
            <w:noWrap/>
            <w:hideMark/>
          </w:tcPr>
          <w:p w14:paraId="218733F1" w14:textId="77777777" w:rsidR="006F2088" w:rsidRPr="00263DA2" w:rsidRDefault="006F2088" w:rsidP="00881981">
            <w:pPr>
              <w:spacing w:after="0"/>
              <w:rPr>
                <w:rFonts w:ascii="Calibri" w:eastAsia="Times New Roman" w:hAnsi="Calibri" w:cs="Times New Roman"/>
                <w:sz w:val="20"/>
                <w:szCs w:val="20"/>
              </w:rPr>
            </w:pPr>
            <w:r w:rsidRPr="00263DA2">
              <w:rPr>
                <w:rFonts w:ascii="Calibri" w:eastAsia="Times New Roman" w:hAnsi="Calibri" w:cs="Times New Roman"/>
                <w:sz w:val="20"/>
                <w:szCs w:val="20"/>
              </w:rPr>
              <w:t>Adalimumab, Injection 20 mg in 0.4 mL pre-filled syringe, 2</w:t>
            </w:r>
          </w:p>
        </w:tc>
        <w:tc>
          <w:tcPr>
            <w:tcW w:w="857" w:type="dxa"/>
            <w:tcBorders>
              <w:top w:val="nil"/>
              <w:left w:val="nil"/>
              <w:bottom w:val="single" w:sz="4" w:space="0" w:color="auto"/>
              <w:right w:val="single" w:sz="4" w:space="0" w:color="auto"/>
            </w:tcBorders>
            <w:shd w:val="clear" w:color="auto" w:fill="auto"/>
            <w:noWrap/>
            <w:hideMark/>
          </w:tcPr>
          <w:p w14:paraId="5AE05BEC"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2</w:t>
            </w:r>
          </w:p>
        </w:tc>
        <w:tc>
          <w:tcPr>
            <w:tcW w:w="652" w:type="dxa"/>
            <w:tcBorders>
              <w:top w:val="nil"/>
              <w:left w:val="nil"/>
              <w:bottom w:val="single" w:sz="4" w:space="0" w:color="auto"/>
              <w:right w:val="single" w:sz="4" w:space="0" w:color="auto"/>
            </w:tcBorders>
            <w:shd w:val="clear" w:color="auto" w:fill="auto"/>
            <w:noWrap/>
            <w:hideMark/>
          </w:tcPr>
          <w:p w14:paraId="6C334F7D" w14:textId="77777777" w:rsidR="006F2088" w:rsidRPr="00263DA2" w:rsidRDefault="006F2088" w:rsidP="00881981">
            <w:pPr>
              <w:spacing w:after="0"/>
              <w:jc w:val="center"/>
              <w:rPr>
                <w:rFonts w:ascii="Calibri" w:eastAsia="Times New Roman" w:hAnsi="Calibri" w:cs="Times New Roman"/>
                <w:sz w:val="20"/>
                <w:szCs w:val="20"/>
              </w:rPr>
            </w:pPr>
            <w:r w:rsidRPr="00263DA2">
              <w:rPr>
                <w:rFonts w:ascii="Calibri" w:eastAsia="Times New Roman" w:hAnsi="Calibri" w:cs="Times New Roman"/>
                <w:sz w:val="20"/>
                <w:szCs w:val="20"/>
              </w:rPr>
              <w:t>0</w:t>
            </w:r>
          </w:p>
        </w:tc>
        <w:tc>
          <w:tcPr>
            <w:tcW w:w="976" w:type="dxa"/>
            <w:tcBorders>
              <w:top w:val="nil"/>
              <w:left w:val="nil"/>
              <w:bottom w:val="single" w:sz="4" w:space="0" w:color="auto"/>
              <w:right w:val="single" w:sz="4" w:space="0" w:color="auto"/>
            </w:tcBorders>
            <w:shd w:val="clear" w:color="auto" w:fill="auto"/>
            <w:noWrap/>
            <w:hideMark/>
          </w:tcPr>
          <w:p w14:paraId="077D57B0" w14:textId="77777777" w:rsidR="006F2088" w:rsidRPr="00263DA2" w:rsidRDefault="006F2088" w:rsidP="0088198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263DA2">
              <w:rPr>
                <w:rFonts w:ascii="Calibri" w:eastAsia="Times New Roman" w:hAnsi="Calibri" w:cs="Times New Roman"/>
                <w:sz w:val="20"/>
                <w:szCs w:val="20"/>
              </w:rPr>
              <w:t>1508.65</w:t>
            </w:r>
          </w:p>
        </w:tc>
        <w:tc>
          <w:tcPr>
            <w:tcW w:w="2901" w:type="dxa"/>
            <w:tcBorders>
              <w:top w:val="nil"/>
              <w:left w:val="nil"/>
              <w:bottom w:val="single" w:sz="4" w:space="0" w:color="auto"/>
              <w:right w:val="single" w:sz="4" w:space="0" w:color="auto"/>
            </w:tcBorders>
            <w:shd w:val="clear" w:color="auto" w:fill="auto"/>
            <w:noWrap/>
            <w:hideMark/>
          </w:tcPr>
          <w:p w14:paraId="6E99B65A" w14:textId="77777777" w:rsidR="006F2088" w:rsidRPr="00263DA2" w:rsidRDefault="006F2088" w:rsidP="00881981">
            <w:pPr>
              <w:spacing w:after="0"/>
              <w:rPr>
                <w:rFonts w:ascii="Calibri" w:eastAsia="Times New Roman" w:hAnsi="Calibri" w:cs="Times New Roman"/>
                <w:sz w:val="20"/>
                <w:szCs w:val="20"/>
              </w:rPr>
            </w:pPr>
            <w:r w:rsidRPr="00395EC8">
              <w:rPr>
                <w:rFonts w:ascii="Calibri" w:eastAsia="Times New Roman" w:hAnsi="Calibri" w:cs="Times New Roman"/>
                <w:sz w:val="20"/>
                <w:szCs w:val="20"/>
              </w:rPr>
              <w:t>Humira, Abbvie Pty Ltd</w:t>
            </w:r>
          </w:p>
        </w:tc>
      </w:tr>
    </w:tbl>
    <w:p w14:paraId="7E809882" w14:textId="77777777" w:rsidR="006F2088" w:rsidRPr="00A35800" w:rsidRDefault="006F2088" w:rsidP="006F2088">
      <w:pPr>
        <w:pStyle w:val="Notes"/>
      </w:pPr>
      <w:r w:rsidRPr="00A35800">
        <w:t xml:space="preserve">Source: </w:t>
      </w:r>
      <w:r>
        <w:t xml:space="preserve">the </w:t>
      </w:r>
      <w:hyperlink r:id="rId44" w:history="1">
        <w:r w:rsidRPr="001624D7">
          <w:rPr>
            <w:rStyle w:val="Hyperlink"/>
          </w:rPr>
          <w:t>PBS website</w:t>
        </w:r>
      </w:hyperlink>
      <w:r>
        <w:t xml:space="preserve">.  </w:t>
      </w:r>
      <w:r w:rsidRPr="0080485E">
        <w:t>Special Pricing Arrangement</w:t>
      </w:r>
      <w:r>
        <w:t>s</w:t>
      </w:r>
      <w:r w:rsidRPr="0080485E">
        <w:t xml:space="preserve"> </w:t>
      </w:r>
      <w:r>
        <w:t>apply for these listings</w:t>
      </w:r>
      <w:r w:rsidRPr="0080485E">
        <w:t>.</w:t>
      </w:r>
    </w:p>
    <w:p w14:paraId="25D65B04" w14:textId="32C97A2C" w:rsidR="00FE645A" w:rsidRPr="00703384" w:rsidRDefault="00FE645A" w:rsidP="00703384">
      <w:pPr>
        <w:pStyle w:val="Heading1"/>
        <w:rPr>
          <w:sz w:val="28"/>
        </w:rPr>
      </w:pPr>
    </w:p>
    <w:sectPr w:rsidR="00FE645A" w:rsidRPr="00703384" w:rsidSect="00DD188C">
      <w:footerReference w:type="even" r:id="rId45"/>
      <w:footerReference w:type="default" r:id="rId46"/>
      <w:footerReference w:type="first" r:id="rId4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7720" w14:textId="77777777" w:rsidR="001F0C76" w:rsidRDefault="001F0C76" w:rsidP="00A35800">
      <w:r>
        <w:separator/>
      </w:r>
    </w:p>
  </w:endnote>
  <w:endnote w:type="continuationSeparator" w:id="0">
    <w:p w14:paraId="72925095" w14:textId="77777777" w:rsidR="001F0C76" w:rsidRDefault="001F0C7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DIN-Bold">
    <w:altName w:val="DIN-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906A0A" w:rsidRDefault="00906A0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906A0A" w:rsidRDefault="00906A0A"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5EF4142E" w:rsidR="00906A0A" w:rsidRPr="000E72C6" w:rsidRDefault="00906A0A" w:rsidP="000E72C6">
            <w:pPr>
              <w:pStyle w:val="Footer"/>
              <w:jc w:val="center"/>
              <w:rPr>
                <w:i/>
                <w:sz w:val="20"/>
              </w:rPr>
            </w:pPr>
            <w:r>
              <w:rPr>
                <w:i/>
                <w:sz w:val="20"/>
              </w:rPr>
              <w:t>Public Release Document, June 2017 DUSC Meeting</w:t>
            </w:r>
          </w:p>
          <w:p w14:paraId="10292A9A" w14:textId="275D445E" w:rsidR="00906A0A" w:rsidRDefault="00906A0A"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DF5AD7">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DF5AD7">
              <w:rPr>
                <w:bCs/>
                <w:i/>
                <w:noProof/>
                <w:sz w:val="20"/>
              </w:rPr>
              <w:t>38</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906A0A" w:rsidRDefault="00906A0A" w:rsidP="007A5733">
    <w:pPr>
      <w:pStyle w:val="Footer"/>
      <w:jc w:val="center"/>
      <w:rPr>
        <w:rStyle w:val="PageNumber"/>
      </w:rPr>
    </w:pPr>
    <w:r>
      <w:rPr>
        <w:rStyle w:val="PageNumber"/>
      </w:rPr>
      <w:t>Committee-in-Confidence</w:t>
    </w:r>
  </w:p>
  <w:p w14:paraId="3CE6880B" w14:textId="77777777" w:rsidR="00906A0A" w:rsidRDefault="00906A0A"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92A88" w14:textId="77777777" w:rsidR="001F0C76" w:rsidRDefault="001F0C76" w:rsidP="00A35800">
      <w:r>
        <w:separator/>
      </w:r>
    </w:p>
  </w:footnote>
  <w:footnote w:type="continuationSeparator" w:id="0">
    <w:p w14:paraId="071B1966" w14:textId="77777777" w:rsidR="001F0C76" w:rsidRDefault="001F0C76" w:rsidP="00A35800">
      <w:r>
        <w:continuationSeparator/>
      </w:r>
    </w:p>
  </w:footnote>
  <w:footnote w:id="1">
    <w:p w14:paraId="6595EF1F" w14:textId="63D73A96" w:rsidR="00906A0A" w:rsidRDefault="00906A0A" w:rsidP="00C12468">
      <w:pPr>
        <w:pStyle w:val="FootnoteText"/>
      </w:pPr>
      <w:r>
        <w:rPr>
          <w:rStyle w:val="FootnoteReference"/>
        </w:rPr>
        <w:footnoteRef/>
      </w:r>
      <w:r>
        <w:t xml:space="preserve"> Infliximab (Remicade®) Product Information. Available from </w:t>
      </w:r>
      <w:proofErr w:type="gramStart"/>
      <w:r>
        <w:t xml:space="preserve">the  </w:t>
      </w:r>
      <w:proofErr w:type="gramEnd"/>
      <w:r w:rsidR="00DF5AD7">
        <w:fldChar w:fldCharType="begin"/>
      </w:r>
      <w:r w:rsidR="00DF5AD7">
        <w:instrText xml:space="preserve"> HYPERLINK "https://www.tga.gov.au/australian-register-therapeutic-goods" </w:instrText>
      </w:r>
      <w:r w:rsidR="00DF5AD7">
        <w:fldChar w:fldCharType="separate"/>
      </w:r>
      <w:r w:rsidRPr="00A005B2">
        <w:rPr>
          <w:rStyle w:val="Hyperlink"/>
        </w:rPr>
        <w:t>Australian Register of Therapeutic Goods</w:t>
      </w:r>
      <w:r w:rsidR="00DF5AD7">
        <w:rPr>
          <w:rStyle w:val="Hyperlink"/>
        </w:rPr>
        <w:fldChar w:fldCharType="end"/>
      </w:r>
      <w:r>
        <w:t xml:space="preserve">. </w:t>
      </w:r>
      <w:r w:rsidR="007049C2">
        <w:br/>
      </w:r>
      <w:proofErr w:type="gramStart"/>
      <w:r>
        <w:t>Accessed 24 March 2017.</w:t>
      </w:r>
      <w:proofErr w:type="gramEnd"/>
    </w:p>
  </w:footnote>
  <w:footnote w:id="2">
    <w:p w14:paraId="3E449A91" w14:textId="52EF80C8" w:rsidR="00906A0A" w:rsidRDefault="00906A0A" w:rsidP="00C12468">
      <w:pPr>
        <w:pStyle w:val="FootnoteText"/>
      </w:pPr>
      <w:r>
        <w:rPr>
          <w:rStyle w:val="FootnoteReference"/>
        </w:rPr>
        <w:footnoteRef/>
      </w:r>
      <w:r>
        <w:t xml:space="preserve"> Adalimumab (Humira) </w:t>
      </w:r>
      <w:r w:rsidRPr="00F06285">
        <w:t xml:space="preserve">Product Information. </w:t>
      </w:r>
      <w:proofErr w:type="gramStart"/>
      <w:r w:rsidRPr="00F06285">
        <w:t>Available from</w:t>
      </w:r>
      <w:r>
        <w:t xml:space="preserve"> the </w:t>
      </w:r>
      <w:hyperlink r:id="rId1" w:history="1">
        <w:r w:rsidRPr="00A005B2">
          <w:rPr>
            <w:rStyle w:val="Hyperlink"/>
          </w:rPr>
          <w:t>Australian Register of Therapeutic Goods</w:t>
        </w:r>
      </w:hyperlink>
      <w:r>
        <w:t>.</w:t>
      </w:r>
      <w:proofErr w:type="gramEnd"/>
      <w:r w:rsidR="007049C2">
        <w:br/>
      </w:r>
      <w:r>
        <w:t xml:space="preserve"> </w:t>
      </w:r>
      <w:proofErr w:type="gramStart"/>
      <w:r>
        <w:t>Accessed 24 March 2017.</w:t>
      </w:r>
      <w:proofErr w:type="gramEnd"/>
    </w:p>
  </w:footnote>
  <w:footnote w:id="3">
    <w:p w14:paraId="549572E8" w14:textId="492C4EE6" w:rsidR="00906A0A" w:rsidRDefault="00906A0A" w:rsidP="00C12468">
      <w:pPr>
        <w:pStyle w:val="FootnoteText"/>
      </w:pPr>
      <w:r>
        <w:rPr>
          <w:rStyle w:val="FootnoteReference"/>
        </w:rPr>
        <w:footnoteRef/>
      </w:r>
      <w:r>
        <w:t xml:space="preserve"> </w:t>
      </w:r>
      <w:proofErr w:type="spellStart"/>
      <w:proofErr w:type="gramStart"/>
      <w:r>
        <w:t>Vedolizumab</w:t>
      </w:r>
      <w:proofErr w:type="spellEnd"/>
      <w:r>
        <w:t xml:space="preserve"> (</w:t>
      </w:r>
      <w:proofErr w:type="spellStart"/>
      <w:r w:rsidR="0030341A">
        <w:t>Entyvio</w:t>
      </w:r>
      <w:proofErr w:type="spellEnd"/>
      <w:r>
        <w:t xml:space="preserve">) </w:t>
      </w:r>
      <w:r w:rsidRPr="00F06285">
        <w:t>Product Information.</w:t>
      </w:r>
      <w:proofErr w:type="gramEnd"/>
      <w:r w:rsidRPr="00F06285">
        <w:t xml:space="preserve"> Available from</w:t>
      </w:r>
      <w:r>
        <w:t xml:space="preserve"> </w:t>
      </w:r>
      <w:proofErr w:type="gramStart"/>
      <w:r>
        <w:t xml:space="preserve">the </w:t>
      </w:r>
      <w:r w:rsidRPr="00F06285">
        <w:t xml:space="preserve"> </w:t>
      </w:r>
      <w:proofErr w:type="gramEnd"/>
      <w:hyperlink r:id="rId2" w:history="1">
        <w:r w:rsidRPr="00A005B2">
          <w:rPr>
            <w:rStyle w:val="Hyperlink"/>
          </w:rPr>
          <w:t>Australian Register of Therapeutic Goods</w:t>
        </w:r>
      </w:hyperlink>
      <w:r>
        <w:t xml:space="preserve">. </w:t>
      </w:r>
      <w:r w:rsidR="007049C2">
        <w:br/>
      </w:r>
      <w:r>
        <w:t>Accessed 24 March 2017.</w:t>
      </w:r>
    </w:p>
  </w:footnote>
  <w:footnote w:id="4">
    <w:p w14:paraId="2B6C7584" w14:textId="77777777" w:rsidR="00906A0A" w:rsidRPr="00BC5AE2" w:rsidRDefault="00906A0A" w:rsidP="001C4F4C">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3" w:history="1">
        <w:r>
          <w:rPr>
            <w:rStyle w:val="Hyperlink"/>
            <w:sz w:val="20"/>
          </w:rPr>
          <w:t>http://www.medicareaustralia.gov.au/provider/pbs/stats.jsp</w:t>
        </w:r>
      </w:hyperlink>
      <w:r>
        <w:rPr>
          <w:sz w:val="20"/>
        </w:rP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94D"/>
    <w:multiLevelType w:val="hybridMultilevel"/>
    <w:tmpl w:val="DB2EF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90122E7"/>
    <w:multiLevelType w:val="hybridMultilevel"/>
    <w:tmpl w:val="65E0A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FF46A1"/>
    <w:multiLevelType w:val="hybridMultilevel"/>
    <w:tmpl w:val="9CEA6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2E1D61"/>
    <w:multiLevelType w:val="multilevel"/>
    <w:tmpl w:val="8CBC9E56"/>
    <w:lvl w:ilvl="0">
      <w:start w:val="1"/>
      <w:numFmt w:val="bullet"/>
      <w:lvlText w:val=""/>
      <w:lvlJc w:val="left"/>
      <w:pPr>
        <w:tabs>
          <w:tab w:val="num" w:pos="731"/>
        </w:tabs>
        <w:ind w:left="731" w:hanging="360"/>
      </w:pPr>
      <w:rPr>
        <w:rFonts w:ascii="Symbol" w:hAnsi="Symbol" w:hint="default"/>
        <w:sz w:val="20"/>
      </w:rPr>
    </w:lvl>
    <w:lvl w:ilvl="1" w:tentative="1">
      <w:start w:val="1"/>
      <w:numFmt w:val="bullet"/>
      <w:lvlText w:val="o"/>
      <w:lvlJc w:val="left"/>
      <w:pPr>
        <w:tabs>
          <w:tab w:val="num" w:pos="1451"/>
        </w:tabs>
        <w:ind w:left="1451" w:hanging="360"/>
      </w:pPr>
      <w:rPr>
        <w:rFonts w:ascii="Courier New" w:hAnsi="Courier New" w:hint="default"/>
        <w:sz w:val="20"/>
      </w:rPr>
    </w:lvl>
    <w:lvl w:ilvl="2" w:tentative="1">
      <w:start w:val="1"/>
      <w:numFmt w:val="bullet"/>
      <w:lvlText w:val=""/>
      <w:lvlJc w:val="left"/>
      <w:pPr>
        <w:tabs>
          <w:tab w:val="num" w:pos="2171"/>
        </w:tabs>
        <w:ind w:left="2171" w:hanging="360"/>
      </w:pPr>
      <w:rPr>
        <w:rFonts w:ascii="Wingdings" w:hAnsi="Wingdings" w:hint="default"/>
        <w:sz w:val="20"/>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4">
    <w:nsid w:val="11436632"/>
    <w:multiLevelType w:val="hybridMultilevel"/>
    <w:tmpl w:val="CA8A9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DA15525"/>
    <w:multiLevelType w:val="hybridMultilevel"/>
    <w:tmpl w:val="607C0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D93802"/>
    <w:multiLevelType w:val="hybridMultilevel"/>
    <w:tmpl w:val="AA2E4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234471"/>
    <w:multiLevelType w:val="hybridMultilevel"/>
    <w:tmpl w:val="E820A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2D0743"/>
    <w:multiLevelType w:val="hybridMultilevel"/>
    <w:tmpl w:val="9F9CB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8F00A9"/>
    <w:multiLevelType w:val="hybridMultilevel"/>
    <w:tmpl w:val="0EF2C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11C5B13"/>
    <w:multiLevelType w:val="hybridMultilevel"/>
    <w:tmpl w:val="E2F46E2C"/>
    <w:lvl w:ilvl="0" w:tplc="0C090001">
      <w:start w:val="1"/>
      <w:numFmt w:val="bullet"/>
      <w:lvlText w:val=""/>
      <w:lvlJc w:val="left"/>
      <w:pPr>
        <w:ind w:left="720" w:hanging="360"/>
      </w:pPr>
      <w:rPr>
        <w:rFonts w:ascii="Symbol" w:hAnsi="Symbol" w:hint="default"/>
      </w:rPr>
    </w:lvl>
    <w:lvl w:ilvl="1" w:tplc="02AA903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BD11A7"/>
    <w:multiLevelType w:val="hybridMultilevel"/>
    <w:tmpl w:val="B052E068"/>
    <w:lvl w:ilvl="0" w:tplc="601EB6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FC09F6"/>
    <w:multiLevelType w:val="hybridMultilevel"/>
    <w:tmpl w:val="9854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9082872"/>
    <w:multiLevelType w:val="hybridMultilevel"/>
    <w:tmpl w:val="895CF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2880EB7"/>
    <w:multiLevelType w:val="hybridMultilevel"/>
    <w:tmpl w:val="BBE84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3990B7F"/>
    <w:multiLevelType w:val="hybridMultilevel"/>
    <w:tmpl w:val="6D942DDE"/>
    <w:lvl w:ilvl="0" w:tplc="0C090001">
      <w:start w:val="1"/>
      <w:numFmt w:val="bullet"/>
      <w:lvlText w:val=""/>
      <w:lvlJc w:val="left"/>
      <w:pPr>
        <w:ind w:left="720" w:hanging="360"/>
      </w:pPr>
      <w:rPr>
        <w:rFonts w:ascii="Symbol" w:hAnsi="Symbol" w:hint="default"/>
      </w:rPr>
    </w:lvl>
    <w:lvl w:ilvl="1" w:tplc="02AA903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5442FF2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A9745D9"/>
    <w:multiLevelType w:val="multilevel"/>
    <w:tmpl w:val="B37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6"/>
  </w:num>
  <w:num w:numId="4">
    <w:abstractNumId w:val="7"/>
  </w:num>
  <w:num w:numId="5">
    <w:abstractNumId w:val="13"/>
  </w:num>
  <w:num w:numId="6">
    <w:abstractNumId w:val="18"/>
  </w:num>
  <w:num w:numId="7">
    <w:abstractNumId w:val="11"/>
  </w:num>
  <w:num w:numId="8">
    <w:abstractNumId w:val="17"/>
  </w:num>
  <w:num w:numId="9">
    <w:abstractNumId w:val="3"/>
  </w:num>
  <w:num w:numId="10">
    <w:abstractNumId w:val="19"/>
  </w:num>
  <w:num w:numId="11">
    <w:abstractNumId w:val="10"/>
  </w:num>
  <w:num w:numId="12">
    <w:abstractNumId w:val="5"/>
  </w:num>
  <w:num w:numId="13">
    <w:abstractNumId w:val="15"/>
  </w:num>
  <w:num w:numId="14">
    <w:abstractNumId w:val="12"/>
  </w:num>
  <w:num w:numId="15">
    <w:abstractNumId w:val="4"/>
  </w:num>
  <w:num w:numId="16">
    <w:abstractNumId w:val="2"/>
  </w:num>
  <w:num w:numId="17">
    <w:abstractNumId w:val="9"/>
  </w:num>
  <w:num w:numId="18">
    <w:abstractNumId w:val="0"/>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7C0"/>
    <w:rsid w:val="00001CE9"/>
    <w:rsid w:val="0000460C"/>
    <w:rsid w:val="00004E62"/>
    <w:rsid w:val="00005BC7"/>
    <w:rsid w:val="00005DCF"/>
    <w:rsid w:val="00007E85"/>
    <w:rsid w:val="00011617"/>
    <w:rsid w:val="00012987"/>
    <w:rsid w:val="00013465"/>
    <w:rsid w:val="00013FE0"/>
    <w:rsid w:val="00014EC5"/>
    <w:rsid w:val="00014F4C"/>
    <w:rsid w:val="000154AE"/>
    <w:rsid w:val="00021963"/>
    <w:rsid w:val="00021D12"/>
    <w:rsid w:val="000226B3"/>
    <w:rsid w:val="00023090"/>
    <w:rsid w:val="00024549"/>
    <w:rsid w:val="000246C9"/>
    <w:rsid w:val="00024DAF"/>
    <w:rsid w:val="00027B50"/>
    <w:rsid w:val="000301A7"/>
    <w:rsid w:val="00032D1E"/>
    <w:rsid w:val="000334EB"/>
    <w:rsid w:val="000354C1"/>
    <w:rsid w:val="00035CD0"/>
    <w:rsid w:val="000364B9"/>
    <w:rsid w:val="00037921"/>
    <w:rsid w:val="000428A8"/>
    <w:rsid w:val="000474F2"/>
    <w:rsid w:val="000512B3"/>
    <w:rsid w:val="0005228B"/>
    <w:rsid w:val="00052CCB"/>
    <w:rsid w:val="00053DCA"/>
    <w:rsid w:val="00053E80"/>
    <w:rsid w:val="000544B6"/>
    <w:rsid w:val="00055633"/>
    <w:rsid w:val="0005597F"/>
    <w:rsid w:val="00055E66"/>
    <w:rsid w:val="00057027"/>
    <w:rsid w:val="000604AF"/>
    <w:rsid w:val="00060AA7"/>
    <w:rsid w:val="00060FB0"/>
    <w:rsid w:val="000610BB"/>
    <w:rsid w:val="00061CFD"/>
    <w:rsid w:val="00062389"/>
    <w:rsid w:val="00063580"/>
    <w:rsid w:val="00063900"/>
    <w:rsid w:val="000642E6"/>
    <w:rsid w:val="00065F4D"/>
    <w:rsid w:val="000662D3"/>
    <w:rsid w:val="00066896"/>
    <w:rsid w:val="00066D9E"/>
    <w:rsid w:val="00067556"/>
    <w:rsid w:val="0007105F"/>
    <w:rsid w:val="000712D9"/>
    <w:rsid w:val="000727F9"/>
    <w:rsid w:val="00074766"/>
    <w:rsid w:val="000757C7"/>
    <w:rsid w:val="000758AA"/>
    <w:rsid w:val="00076E4B"/>
    <w:rsid w:val="00077536"/>
    <w:rsid w:val="00080340"/>
    <w:rsid w:val="000816BF"/>
    <w:rsid w:val="000830CC"/>
    <w:rsid w:val="0008334E"/>
    <w:rsid w:val="00083DC1"/>
    <w:rsid w:val="000849CA"/>
    <w:rsid w:val="00084FC3"/>
    <w:rsid w:val="00085066"/>
    <w:rsid w:val="00086C11"/>
    <w:rsid w:val="000908BA"/>
    <w:rsid w:val="0009163E"/>
    <w:rsid w:val="00091C4A"/>
    <w:rsid w:val="00092058"/>
    <w:rsid w:val="00094DCF"/>
    <w:rsid w:val="000956D4"/>
    <w:rsid w:val="0009576B"/>
    <w:rsid w:val="000957E3"/>
    <w:rsid w:val="00095EE6"/>
    <w:rsid w:val="000966D1"/>
    <w:rsid w:val="0009769A"/>
    <w:rsid w:val="000A0D0A"/>
    <w:rsid w:val="000A1B03"/>
    <w:rsid w:val="000A44A0"/>
    <w:rsid w:val="000A5E18"/>
    <w:rsid w:val="000A5F49"/>
    <w:rsid w:val="000A676F"/>
    <w:rsid w:val="000A69C0"/>
    <w:rsid w:val="000A6A7D"/>
    <w:rsid w:val="000A6BD0"/>
    <w:rsid w:val="000A6CFD"/>
    <w:rsid w:val="000B0982"/>
    <w:rsid w:val="000B10AD"/>
    <w:rsid w:val="000B2DC1"/>
    <w:rsid w:val="000B38ED"/>
    <w:rsid w:val="000B3FBA"/>
    <w:rsid w:val="000B67F9"/>
    <w:rsid w:val="000B7004"/>
    <w:rsid w:val="000B796C"/>
    <w:rsid w:val="000B7B9B"/>
    <w:rsid w:val="000C016B"/>
    <w:rsid w:val="000C1B85"/>
    <w:rsid w:val="000C2656"/>
    <w:rsid w:val="000C2981"/>
    <w:rsid w:val="000C46BB"/>
    <w:rsid w:val="000C498E"/>
    <w:rsid w:val="000C4B7F"/>
    <w:rsid w:val="000C4D9D"/>
    <w:rsid w:val="000C54EA"/>
    <w:rsid w:val="000C59DA"/>
    <w:rsid w:val="000C6185"/>
    <w:rsid w:val="000C6657"/>
    <w:rsid w:val="000C6D1E"/>
    <w:rsid w:val="000C7C4B"/>
    <w:rsid w:val="000C7D8B"/>
    <w:rsid w:val="000D1275"/>
    <w:rsid w:val="000D12EB"/>
    <w:rsid w:val="000D1B2A"/>
    <w:rsid w:val="000D218C"/>
    <w:rsid w:val="000D3ECD"/>
    <w:rsid w:val="000D57BD"/>
    <w:rsid w:val="000D5E92"/>
    <w:rsid w:val="000D6B54"/>
    <w:rsid w:val="000D7484"/>
    <w:rsid w:val="000E0AF3"/>
    <w:rsid w:val="000E24BD"/>
    <w:rsid w:val="000E24C4"/>
    <w:rsid w:val="000E4476"/>
    <w:rsid w:val="000E485D"/>
    <w:rsid w:val="000E501E"/>
    <w:rsid w:val="000E5B1A"/>
    <w:rsid w:val="000E60F4"/>
    <w:rsid w:val="000E72C6"/>
    <w:rsid w:val="000E7B01"/>
    <w:rsid w:val="000F02E8"/>
    <w:rsid w:val="000F02EB"/>
    <w:rsid w:val="000F044C"/>
    <w:rsid w:val="000F044D"/>
    <w:rsid w:val="000F0DC3"/>
    <w:rsid w:val="000F1893"/>
    <w:rsid w:val="000F1CA6"/>
    <w:rsid w:val="000F1F9B"/>
    <w:rsid w:val="000F2A3C"/>
    <w:rsid w:val="000F2F51"/>
    <w:rsid w:val="000F2F78"/>
    <w:rsid w:val="000F315C"/>
    <w:rsid w:val="000F3ADE"/>
    <w:rsid w:val="000F4B24"/>
    <w:rsid w:val="000F5776"/>
    <w:rsid w:val="000F62B0"/>
    <w:rsid w:val="000F65EB"/>
    <w:rsid w:val="000F70E3"/>
    <w:rsid w:val="000F7B91"/>
    <w:rsid w:val="0010072B"/>
    <w:rsid w:val="0010078B"/>
    <w:rsid w:val="00101A38"/>
    <w:rsid w:val="00102680"/>
    <w:rsid w:val="00103C18"/>
    <w:rsid w:val="00104EB9"/>
    <w:rsid w:val="00106753"/>
    <w:rsid w:val="00106EC4"/>
    <w:rsid w:val="0010746C"/>
    <w:rsid w:val="001074CD"/>
    <w:rsid w:val="00111580"/>
    <w:rsid w:val="0011187D"/>
    <w:rsid w:val="001124DC"/>
    <w:rsid w:val="00112937"/>
    <w:rsid w:val="0011356D"/>
    <w:rsid w:val="00113CF8"/>
    <w:rsid w:val="00113D74"/>
    <w:rsid w:val="001151ED"/>
    <w:rsid w:val="00117BC5"/>
    <w:rsid w:val="00117C5C"/>
    <w:rsid w:val="00120AC1"/>
    <w:rsid w:val="00121296"/>
    <w:rsid w:val="00121315"/>
    <w:rsid w:val="0012233C"/>
    <w:rsid w:val="00123089"/>
    <w:rsid w:val="001233FC"/>
    <w:rsid w:val="001251C0"/>
    <w:rsid w:val="00125254"/>
    <w:rsid w:val="00126000"/>
    <w:rsid w:val="00127186"/>
    <w:rsid w:val="001305B7"/>
    <w:rsid w:val="001310AE"/>
    <w:rsid w:val="00131174"/>
    <w:rsid w:val="00131DAB"/>
    <w:rsid w:val="00133900"/>
    <w:rsid w:val="00133E64"/>
    <w:rsid w:val="0013423B"/>
    <w:rsid w:val="00134586"/>
    <w:rsid w:val="00134AF4"/>
    <w:rsid w:val="00134B4C"/>
    <w:rsid w:val="00135543"/>
    <w:rsid w:val="001366E0"/>
    <w:rsid w:val="001373E7"/>
    <w:rsid w:val="0013799F"/>
    <w:rsid w:val="0014015E"/>
    <w:rsid w:val="00141903"/>
    <w:rsid w:val="001420B3"/>
    <w:rsid w:val="00143028"/>
    <w:rsid w:val="00143EEA"/>
    <w:rsid w:val="00144D70"/>
    <w:rsid w:val="0014514A"/>
    <w:rsid w:val="0014539F"/>
    <w:rsid w:val="00146677"/>
    <w:rsid w:val="001466ED"/>
    <w:rsid w:val="00146B9B"/>
    <w:rsid w:val="00146EDE"/>
    <w:rsid w:val="00146FA5"/>
    <w:rsid w:val="00147064"/>
    <w:rsid w:val="0014782E"/>
    <w:rsid w:val="001501CF"/>
    <w:rsid w:val="00150DCE"/>
    <w:rsid w:val="001510C7"/>
    <w:rsid w:val="00153AC0"/>
    <w:rsid w:val="00153CCA"/>
    <w:rsid w:val="00154081"/>
    <w:rsid w:val="001540D5"/>
    <w:rsid w:val="00154F0C"/>
    <w:rsid w:val="001550B2"/>
    <w:rsid w:val="0015691C"/>
    <w:rsid w:val="00160F8E"/>
    <w:rsid w:val="001621F7"/>
    <w:rsid w:val="001624D7"/>
    <w:rsid w:val="0016259A"/>
    <w:rsid w:val="001631B0"/>
    <w:rsid w:val="00163510"/>
    <w:rsid w:val="0016556D"/>
    <w:rsid w:val="0016577D"/>
    <w:rsid w:val="0016662B"/>
    <w:rsid w:val="00166883"/>
    <w:rsid w:val="00166FC7"/>
    <w:rsid w:val="00172C89"/>
    <w:rsid w:val="00173690"/>
    <w:rsid w:val="0017389F"/>
    <w:rsid w:val="00175961"/>
    <w:rsid w:val="00176BE5"/>
    <w:rsid w:val="00176E88"/>
    <w:rsid w:val="00176F81"/>
    <w:rsid w:val="00177B86"/>
    <w:rsid w:val="00177F96"/>
    <w:rsid w:val="00180196"/>
    <w:rsid w:val="00180DB6"/>
    <w:rsid w:val="00182585"/>
    <w:rsid w:val="00185CB0"/>
    <w:rsid w:val="00187B28"/>
    <w:rsid w:val="00190256"/>
    <w:rsid w:val="001902C9"/>
    <w:rsid w:val="00190355"/>
    <w:rsid w:val="00191182"/>
    <w:rsid w:val="00192381"/>
    <w:rsid w:val="00193A7A"/>
    <w:rsid w:val="00193B99"/>
    <w:rsid w:val="0019409C"/>
    <w:rsid w:val="00194C67"/>
    <w:rsid w:val="0019607B"/>
    <w:rsid w:val="0019664D"/>
    <w:rsid w:val="0019729A"/>
    <w:rsid w:val="00197B04"/>
    <w:rsid w:val="00197D75"/>
    <w:rsid w:val="001A06A5"/>
    <w:rsid w:val="001A13A1"/>
    <w:rsid w:val="001A1DEC"/>
    <w:rsid w:val="001A2F2F"/>
    <w:rsid w:val="001A4108"/>
    <w:rsid w:val="001A448D"/>
    <w:rsid w:val="001A5053"/>
    <w:rsid w:val="001A6103"/>
    <w:rsid w:val="001A67CD"/>
    <w:rsid w:val="001B008E"/>
    <w:rsid w:val="001B0103"/>
    <w:rsid w:val="001B0401"/>
    <w:rsid w:val="001B145D"/>
    <w:rsid w:val="001B1CB7"/>
    <w:rsid w:val="001B24F5"/>
    <w:rsid w:val="001B3700"/>
    <w:rsid w:val="001B3A55"/>
    <w:rsid w:val="001B4C50"/>
    <w:rsid w:val="001B5D37"/>
    <w:rsid w:val="001B5F15"/>
    <w:rsid w:val="001B5F18"/>
    <w:rsid w:val="001B6584"/>
    <w:rsid w:val="001B74BD"/>
    <w:rsid w:val="001B7515"/>
    <w:rsid w:val="001B761D"/>
    <w:rsid w:val="001B76EF"/>
    <w:rsid w:val="001C00EC"/>
    <w:rsid w:val="001C0532"/>
    <w:rsid w:val="001C0763"/>
    <w:rsid w:val="001C0992"/>
    <w:rsid w:val="001C0A40"/>
    <w:rsid w:val="001C0B95"/>
    <w:rsid w:val="001C2286"/>
    <w:rsid w:val="001C2940"/>
    <w:rsid w:val="001C3A5D"/>
    <w:rsid w:val="001C4016"/>
    <w:rsid w:val="001C4476"/>
    <w:rsid w:val="001C4F4C"/>
    <w:rsid w:val="001C548D"/>
    <w:rsid w:val="001C6899"/>
    <w:rsid w:val="001C6A5D"/>
    <w:rsid w:val="001C75E9"/>
    <w:rsid w:val="001C7EB9"/>
    <w:rsid w:val="001D1F54"/>
    <w:rsid w:val="001D27DE"/>
    <w:rsid w:val="001D2856"/>
    <w:rsid w:val="001D4128"/>
    <w:rsid w:val="001D497C"/>
    <w:rsid w:val="001D5BC0"/>
    <w:rsid w:val="001D5BD7"/>
    <w:rsid w:val="001E0E1B"/>
    <w:rsid w:val="001E14EB"/>
    <w:rsid w:val="001E2960"/>
    <w:rsid w:val="001E31A6"/>
    <w:rsid w:val="001E42C7"/>
    <w:rsid w:val="001E45ED"/>
    <w:rsid w:val="001E4CAB"/>
    <w:rsid w:val="001E5A3F"/>
    <w:rsid w:val="001E5AD4"/>
    <w:rsid w:val="001E5D36"/>
    <w:rsid w:val="001E6540"/>
    <w:rsid w:val="001E6847"/>
    <w:rsid w:val="001F0935"/>
    <w:rsid w:val="001F0961"/>
    <w:rsid w:val="001F0C76"/>
    <w:rsid w:val="001F0F37"/>
    <w:rsid w:val="001F13FA"/>
    <w:rsid w:val="001F20BF"/>
    <w:rsid w:val="001F2F3E"/>
    <w:rsid w:val="001F471D"/>
    <w:rsid w:val="001F4906"/>
    <w:rsid w:val="001F561B"/>
    <w:rsid w:val="001F63D1"/>
    <w:rsid w:val="001F6F9E"/>
    <w:rsid w:val="001F7C4A"/>
    <w:rsid w:val="0020115F"/>
    <w:rsid w:val="002025D9"/>
    <w:rsid w:val="00203B20"/>
    <w:rsid w:val="00203D97"/>
    <w:rsid w:val="00204319"/>
    <w:rsid w:val="00204426"/>
    <w:rsid w:val="00204F9A"/>
    <w:rsid w:val="00205402"/>
    <w:rsid w:val="0020578A"/>
    <w:rsid w:val="00207631"/>
    <w:rsid w:val="002079B9"/>
    <w:rsid w:val="00211144"/>
    <w:rsid w:val="00212F59"/>
    <w:rsid w:val="0021310C"/>
    <w:rsid w:val="002138B7"/>
    <w:rsid w:val="00214013"/>
    <w:rsid w:val="00215F3F"/>
    <w:rsid w:val="00216F67"/>
    <w:rsid w:val="00217E5B"/>
    <w:rsid w:val="00220FC1"/>
    <w:rsid w:val="00221159"/>
    <w:rsid w:val="00221B26"/>
    <w:rsid w:val="002229B4"/>
    <w:rsid w:val="00222E9A"/>
    <w:rsid w:val="00224505"/>
    <w:rsid w:val="00224787"/>
    <w:rsid w:val="00225F3A"/>
    <w:rsid w:val="002268DC"/>
    <w:rsid w:val="00226A7A"/>
    <w:rsid w:val="00226D1C"/>
    <w:rsid w:val="0022727B"/>
    <w:rsid w:val="0023179D"/>
    <w:rsid w:val="002321DD"/>
    <w:rsid w:val="002344CA"/>
    <w:rsid w:val="00234E3C"/>
    <w:rsid w:val="00236884"/>
    <w:rsid w:val="002368AE"/>
    <w:rsid w:val="002368BD"/>
    <w:rsid w:val="00237487"/>
    <w:rsid w:val="00241476"/>
    <w:rsid w:val="0024171C"/>
    <w:rsid w:val="002425C2"/>
    <w:rsid w:val="0024354F"/>
    <w:rsid w:val="002448BC"/>
    <w:rsid w:val="0024490B"/>
    <w:rsid w:val="002452BD"/>
    <w:rsid w:val="00245480"/>
    <w:rsid w:val="00250406"/>
    <w:rsid w:val="002504C7"/>
    <w:rsid w:val="00251CC2"/>
    <w:rsid w:val="00252B56"/>
    <w:rsid w:val="0025389D"/>
    <w:rsid w:val="002575B6"/>
    <w:rsid w:val="00257633"/>
    <w:rsid w:val="0025772B"/>
    <w:rsid w:val="002611C5"/>
    <w:rsid w:val="002612DC"/>
    <w:rsid w:val="00261AA4"/>
    <w:rsid w:val="0026265F"/>
    <w:rsid w:val="002629F2"/>
    <w:rsid w:val="002632CD"/>
    <w:rsid w:val="00263DA2"/>
    <w:rsid w:val="00263F89"/>
    <w:rsid w:val="00265BFE"/>
    <w:rsid w:val="00266769"/>
    <w:rsid w:val="00266B19"/>
    <w:rsid w:val="002727DA"/>
    <w:rsid w:val="0027292B"/>
    <w:rsid w:val="00272CE0"/>
    <w:rsid w:val="00274B9D"/>
    <w:rsid w:val="002756CA"/>
    <w:rsid w:val="00275FF0"/>
    <w:rsid w:val="00276810"/>
    <w:rsid w:val="002768D9"/>
    <w:rsid w:val="00276ACB"/>
    <w:rsid w:val="00281C69"/>
    <w:rsid w:val="00282EF9"/>
    <w:rsid w:val="00283A12"/>
    <w:rsid w:val="00285CCE"/>
    <w:rsid w:val="0028637F"/>
    <w:rsid w:val="00286C3A"/>
    <w:rsid w:val="00287E9A"/>
    <w:rsid w:val="002916DF"/>
    <w:rsid w:val="00292299"/>
    <w:rsid w:val="002924DB"/>
    <w:rsid w:val="002930F5"/>
    <w:rsid w:val="00294231"/>
    <w:rsid w:val="00296C9C"/>
    <w:rsid w:val="002A06B7"/>
    <w:rsid w:val="002A1081"/>
    <w:rsid w:val="002A19F4"/>
    <w:rsid w:val="002A2578"/>
    <w:rsid w:val="002A3460"/>
    <w:rsid w:val="002A3FF8"/>
    <w:rsid w:val="002A7C67"/>
    <w:rsid w:val="002B195B"/>
    <w:rsid w:val="002B3103"/>
    <w:rsid w:val="002B3889"/>
    <w:rsid w:val="002B3B9D"/>
    <w:rsid w:val="002C1140"/>
    <w:rsid w:val="002C22B7"/>
    <w:rsid w:val="002C233D"/>
    <w:rsid w:val="002C3031"/>
    <w:rsid w:val="002C3EE0"/>
    <w:rsid w:val="002C449C"/>
    <w:rsid w:val="002C56CF"/>
    <w:rsid w:val="002C6E0C"/>
    <w:rsid w:val="002C6F38"/>
    <w:rsid w:val="002C7961"/>
    <w:rsid w:val="002C7F2C"/>
    <w:rsid w:val="002D11E9"/>
    <w:rsid w:val="002D144A"/>
    <w:rsid w:val="002D478A"/>
    <w:rsid w:val="002D52ED"/>
    <w:rsid w:val="002D57CC"/>
    <w:rsid w:val="002D6113"/>
    <w:rsid w:val="002D73BE"/>
    <w:rsid w:val="002D7F75"/>
    <w:rsid w:val="002E19A3"/>
    <w:rsid w:val="002E212B"/>
    <w:rsid w:val="002E2CB1"/>
    <w:rsid w:val="002E3337"/>
    <w:rsid w:val="002E3901"/>
    <w:rsid w:val="002E4835"/>
    <w:rsid w:val="002E59F6"/>
    <w:rsid w:val="002E5C45"/>
    <w:rsid w:val="002E6B52"/>
    <w:rsid w:val="002E6D03"/>
    <w:rsid w:val="002F02E6"/>
    <w:rsid w:val="002F088C"/>
    <w:rsid w:val="002F146D"/>
    <w:rsid w:val="002F170F"/>
    <w:rsid w:val="002F17EA"/>
    <w:rsid w:val="002F1CD9"/>
    <w:rsid w:val="002F243E"/>
    <w:rsid w:val="002F25D0"/>
    <w:rsid w:val="002F29AE"/>
    <w:rsid w:val="002F365A"/>
    <w:rsid w:val="002F3AF1"/>
    <w:rsid w:val="002F49A8"/>
    <w:rsid w:val="002F53C8"/>
    <w:rsid w:val="002F559B"/>
    <w:rsid w:val="002F55D4"/>
    <w:rsid w:val="002F5E66"/>
    <w:rsid w:val="002F61CA"/>
    <w:rsid w:val="002F68C5"/>
    <w:rsid w:val="002F7F4B"/>
    <w:rsid w:val="0030010D"/>
    <w:rsid w:val="00301199"/>
    <w:rsid w:val="00302079"/>
    <w:rsid w:val="0030341A"/>
    <w:rsid w:val="00303A29"/>
    <w:rsid w:val="00311349"/>
    <w:rsid w:val="003125DA"/>
    <w:rsid w:val="00313082"/>
    <w:rsid w:val="003131A7"/>
    <w:rsid w:val="00315CD1"/>
    <w:rsid w:val="00316006"/>
    <w:rsid w:val="0031665A"/>
    <w:rsid w:val="003217E5"/>
    <w:rsid w:val="00321B2F"/>
    <w:rsid w:val="00321D33"/>
    <w:rsid w:val="00322E8C"/>
    <w:rsid w:val="00325314"/>
    <w:rsid w:val="00325AF2"/>
    <w:rsid w:val="0032622F"/>
    <w:rsid w:val="003266B1"/>
    <w:rsid w:val="003267C2"/>
    <w:rsid w:val="00330103"/>
    <w:rsid w:val="00330EB2"/>
    <w:rsid w:val="0033123D"/>
    <w:rsid w:val="00332057"/>
    <w:rsid w:val="003327F6"/>
    <w:rsid w:val="003341B9"/>
    <w:rsid w:val="00334EB1"/>
    <w:rsid w:val="0033504C"/>
    <w:rsid w:val="003351FD"/>
    <w:rsid w:val="003353FE"/>
    <w:rsid w:val="003361FE"/>
    <w:rsid w:val="00336816"/>
    <w:rsid w:val="003370D0"/>
    <w:rsid w:val="00337355"/>
    <w:rsid w:val="00337F98"/>
    <w:rsid w:val="003402E4"/>
    <w:rsid w:val="00340B6E"/>
    <w:rsid w:val="00340D13"/>
    <w:rsid w:val="00340F95"/>
    <w:rsid w:val="00341769"/>
    <w:rsid w:val="00341933"/>
    <w:rsid w:val="00341ED6"/>
    <w:rsid w:val="00343185"/>
    <w:rsid w:val="003440B1"/>
    <w:rsid w:val="00347A74"/>
    <w:rsid w:val="0035297E"/>
    <w:rsid w:val="00352BCA"/>
    <w:rsid w:val="003531ED"/>
    <w:rsid w:val="00353833"/>
    <w:rsid w:val="00353CFE"/>
    <w:rsid w:val="00354F99"/>
    <w:rsid w:val="00357460"/>
    <w:rsid w:val="00360B9A"/>
    <w:rsid w:val="00361170"/>
    <w:rsid w:val="00363840"/>
    <w:rsid w:val="00365C03"/>
    <w:rsid w:val="00365D8F"/>
    <w:rsid w:val="003661AD"/>
    <w:rsid w:val="0036744E"/>
    <w:rsid w:val="00367525"/>
    <w:rsid w:val="003676F0"/>
    <w:rsid w:val="00373FBA"/>
    <w:rsid w:val="00375685"/>
    <w:rsid w:val="00375686"/>
    <w:rsid w:val="003825C7"/>
    <w:rsid w:val="00382F93"/>
    <w:rsid w:val="003834F4"/>
    <w:rsid w:val="00384526"/>
    <w:rsid w:val="003857B9"/>
    <w:rsid w:val="00385DB9"/>
    <w:rsid w:val="0038689B"/>
    <w:rsid w:val="0039017F"/>
    <w:rsid w:val="003909BC"/>
    <w:rsid w:val="00391720"/>
    <w:rsid w:val="00391CD4"/>
    <w:rsid w:val="003925D9"/>
    <w:rsid w:val="00392734"/>
    <w:rsid w:val="00394AEE"/>
    <w:rsid w:val="00394EBF"/>
    <w:rsid w:val="00395262"/>
    <w:rsid w:val="003972EB"/>
    <w:rsid w:val="003A0632"/>
    <w:rsid w:val="003A079A"/>
    <w:rsid w:val="003A0B70"/>
    <w:rsid w:val="003A208D"/>
    <w:rsid w:val="003A2799"/>
    <w:rsid w:val="003A3335"/>
    <w:rsid w:val="003A4154"/>
    <w:rsid w:val="003A5015"/>
    <w:rsid w:val="003A667B"/>
    <w:rsid w:val="003A7437"/>
    <w:rsid w:val="003A7987"/>
    <w:rsid w:val="003B0604"/>
    <w:rsid w:val="003B07CA"/>
    <w:rsid w:val="003B2E95"/>
    <w:rsid w:val="003B3834"/>
    <w:rsid w:val="003B3A2D"/>
    <w:rsid w:val="003B479B"/>
    <w:rsid w:val="003B529E"/>
    <w:rsid w:val="003B5933"/>
    <w:rsid w:val="003B6187"/>
    <w:rsid w:val="003B655F"/>
    <w:rsid w:val="003B7018"/>
    <w:rsid w:val="003C1AB5"/>
    <w:rsid w:val="003C1CB5"/>
    <w:rsid w:val="003C205E"/>
    <w:rsid w:val="003C2D98"/>
    <w:rsid w:val="003C303C"/>
    <w:rsid w:val="003C34EE"/>
    <w:rsid w:val="003C427A"/>
    <w:rsid w:val="003C45A1"/>
    <w:rsid w:val="003C5139"/>
    <w:rsid w:val="003C51DC"/>
    <w:rsid w:val="003C5CA7"/>
    <w:rsid w:val="003C7D2D"/>
    <w:rsid w:val="003D3940"/>
    <w:rsid w:val="003D3A96"/>
    <w:rsid w:val="003D4C9F"/>
    <w:rsid w:val="003D5243"/>
    <w:rsid w:val="003D5B31"/>
    <w:rsid w:val="003D5C00"/>
    <w:rsid w:val="003D6274"/>
    <w:rsid w:val="003D688D"/>
    <w:rsid w:val="003D7318"/>
    <w:rsid w:val="003D7B60"/>
    <w:rsid w:val="003D7FEB"/>
    <w:rsid w:val="003E0D86"/>
    <w:rsid w:val="003E36C5"/>
    <w:rsid w:val="003E3BA8"/>
    <w:rsid w:val="003E3CE8"/>
    <w:rsid w:val="003E3F73"/>
    <w:rsid w:val="003E4C93"/>
    <w:rsid w:val="003E6E5F"/>
    <w:rsid w:val="003F136F"/>
    <w:rsid w:val="003F2357"/>
    <w:rsid w:val="003F38F4"/>
    <w:rsid w:val="003F6440"/>
    <w:rsid w:val="003F703D"/>
    <w:rsid w:val="003F77C8"/>
    <w:rsid w:val="003F78F6"/>
    <w:rsid w:val="00401696"/>
    <w:rsid w:val="00401746"/>
    <w:rsid w:val="00402D1A"/>
    <w:rsid w:val="00402D4D"/>
    <w:rsid w:val="00403C1B"/>
    <w:rsid w:val="00404F03"/>
    <w:rsid w:val="0040604D"/>
    <w:rsid w:val="00406C53"/>
    <w:rsid w:val="00407054"/>
    <w:rsid w:val="00410B0B"/>
    <w:rsid w:val="00412051"/>
    <w:rsid w:val="00412C66"/>
    <w:rsid w:val="0041333C"/>
    <w:rsid w:val="0041627B"/>
    <w:rsid w:val="00416291"/>
    <w:rsid w:val="00416738"/>
    <w:rsid w:val="00420139"/>
    <w:rsid w:val="00420279"/>
    <w:rsid w:val="004202AC"/>
    <w:rsid w:val="004209AF"/>
    <w:rsid w:val="00421B34"/>
    <w:rsid w:val="00423876"/>
    <w:rsid w:val="00423977"/>
    <w:rsid w:val="00423B94"/>
    <w:rsid w:val="00424593"/>
    <w:rsid w:val="0042486B"/>
    <w:rsid w:val="004262A6"/>
    <w:rsid w:val="00426502"/>
    <w:rsid w:val="00426BFD"/>
    <w:rsid w:val="00427F4B"/>
    <w:rsid w:val="00430216"/>
    <w:rsid w:val="0043197B"/>
    <w:rsid w:val="004320DA"/>
    <w:rsid w:val="004325CB"/>
    <w:rsid w:val="004327CF"/>
    <w:rsid w:val="00434A9D"/>
    <w:rsid w:val="00435167"/>
    <w:rsid w:val="00436F59"/>
    <w:rsid w:val="00440471"/>
    <w:rsid w:val="00440C91"/>
    <w:rsid w:val="0044194F"/>
    <w:rsid w:val="00442C04"/>
    <w:rsid w:val="00442E97"/>
    <w:rsid w:val="004434D4"/>
    <w:rsid w:val="00444C2F"/>
    <w:rsid w:val="00445763"/>
    <w:rsid w:val="004507E6"/>
    <w:rsid w:val="00450C87"/>
    <w:rsid w:val="0045752A"/>
    <w:rsid w:val="00461B43"/>
    <w:rsid w:val="00462209"/>
    <w:rsid w:val="00463731"/>
    <w:rsid w:val="0046400A"/>
    <w:rsid w:val="004648E3"/>
    <w:rsid w:val="00464949"/>
    <w:rsid w:val="00464C29"/>
    <w:rsid w:val="004651EE"/>
    <w:rsid w:val="00465B54"/>
    <w:rsid w:val="00466588"/>
    <w:rsid w:val="00467B25"/>
    <w:rsid w:val="004726F7"/>
    <w:rsid w:val="00472774"/>
    <w:rsid w:val="004729A4"/>
    <w:rsid w:val="00474A31"/>
    <w:rsid w:val="00475A75"/>
    <w:rsid w:val="00475F9F"/>
    <w:rsid w:val="00480B96"/>
    <w:rsid w:val="00480B97"/>
    <w:rsid w:val="00481108"/>
    <w:rsid w:val="004814A4"/>
    <w:rsid w:val="0048189F"/>
    <w:rsid w:val="00482392"/>
    <w:rsid w:val="00483E42"/>
    <w:rsid w:val="00484E5D"/>
    <w:rsid w:val="00486366"/>
    <w:rsid w:val="0048704D"/>
    <w:rsid w:val="0049042B"/>
    <w:rsid w:val="00490BDB"/>
    <w:rsid w:val="00491020"/>
    <w:rsid w:val="004912FE"/>
    <w:rsid w:val="004927FB"/>
    <w:rsid w:val="004929FE"/>
    <w:rsid w:val="00492B49"/>
    <w:rsid w:val="004949BD"/>
    <w:rsid w:val="00494D68"/>
    <w:rsid w:val="00495473"/>
    <w:rsid w:val="004957D3"/>
    <w:rsid w:val="00497001"/>
    <w:rsid w:val="00497584"/>
    <w:rsid w:val="004A302A"/>
    <w:rsid w:val="004A3A6F"/>
    <w:rsid w:val="004A458E"/>
    <w:rsid w:val="004A4F6D"/>
    <w:rsid w:val="004A6602"/>
    <w:rsid w:val="004A67F9"/>
    <w:rsid w:val="004A6A1E"/>
    <w:rsid w:val="004A6E5F"/>
    <w:rsid w:val="004A7444"/>
    <w:rsid w:val="004B0AAE"/>
    <w:rsid w:val="004B23CD"/>
    <w:rsid w:val="004B23D6"/>
    <w:rsid w:val="004B23E7"/>
    <w:rsid w:val="004B2F73"/>
    <w:rsid w:val="004B306F"/>
    <w:rsid w:val="004B5381"/>
    <w:rsid w:val="004B5FE5"/>
    <w:rsid w:val="004B6A65"/>
    <w:rsid w:val="004B6B14"/>
    <w:rsid w:val="004C0D54"/>
    <w:rsid w:val="004C14D2"/>
    <w:rsid w:val="004C2408"/>
    <w:rsid w:val="004C28A9"/>
    <w:rsid w:val="004C2FB2"/>
    <w:rsid w:val="004C3186"/>
    <w:rsid w:val="004C3975"/>
    <w:rsid w:val="004C4183"/>
    <w:rsid w:val="004C4448"/>
    <w:rsid w:val="004C4A67"/>
    <w:rsid w:val="004C5042"/>
    <w:rsid w:val="004C5655"/>
    <w:rsid w:val="004C61C4"/>
    <w:rsid w:val="004C672E"/>
    <w:rsid w:val="004C73C9"/>
    <w:rsid w:val="004C73E2"/>
    <w:rsid w:val="004C75F7"/>
    <w:rsid w:val="004C770B"/>
    <w:rsid w:val="004D0D4C"/>
    <w:rsid w:val="004D3B76"/>
    <w:rsid w:val="004D4F46"/>
    <w:rsid w:val="004E0214"/>
    <w:rsid w:val="004E1162"/>
    <w:rsid w:val="004E140D"/>
    <w:rsid w:val="004E1FCF"/>
    <w:rsid w:val="004E24DC"/>
    <w:rsid w:val="004E4422"/>
    <w:rsid w:val="004E5155"/>
    <w:rsid w:val="004E5AB4"/>
    <w:rsid w:val="004E701A"/>
    <w:rsid w:val="004F2A0D"/>
    <w:rsid w:val="004F3E66"/>
    <w:rsid w:val="004F4231"/>
    <w:rsid w:val="004F46A9"/>
    <w:rsid w:val="004F5687"/>
    <w:rsid w:val="004F7394"/>
    <w:rsid w:val="004F73F4"/>
    <w:rsid w:val="004F7A62"/>
    <w:rsid w:val="004F7E78"/>
    <w:rsid w:val="00500D9C"/>
    <w:rsid w:val="0050196B"/>
    <w:rsid w:val="00501B70"/>
    <w:rsid w:val="00502E77"/>
    <w:rsid w:val="00503710"/>
    <w:rsid w:val="00503998"/>
    <w:rsid w:val="00504668"/>
    <w:rsid w:val="00505A02"/>
    <w:rsid w:val="00505D3F"/>
    <w:rsid w:val="0050623B"/>
    <w:rsid w:val="0050682C"/>
    <w:rsid w:val="0050730B"/>
    <w:rsid w:val="00511C41"/>
    <w:rsid w:val="00511D21"/>
    <w:rsid w:val="00511FD1"/>
    <w:rsid w:val="00512AC5"/>
    <w:rsid w:val="00512FA3"/>
    <w:rsid w:val="0051388D"/>
    <w:rsid w:val="00513953"/>
    <w:rsid w:val="005149F1"/>
    <w:rsid w:val="00516B24"/>
    <w:rsid w:val="00517671"/>
    <w:rsid w:val="00520C59"/>
    <w:rsid w:val="005212F7"/>
    <w:rsid w:val="0052283A"/>
    <w:rsid w:val="00523181"/>
    <w:rsid w:val="005235EB"/>
    <w:rsid w:val="00524CF3"/>
    <w:rsid w:val="00524D13"/>
    <w:rsid w:val="005254CB"/>
    <w:rsid w:val="005264BC"/>
    <w:rsid w:val="005267A1"/>
    <w:rsid w:val="00526AB5"/>
    <w:rsid w:val="00527AC8"/>
    <w:rsid w:val="00530262"/>
    <w:rsid w:val="005309EF"/>
    <w:rsid w:val="005339F6"/>
    <w:rsid w:val="00534E23"/>
    <w:rsid w:val="00534E54"/>
    <w:rsid w:val="00535735"/>
    <w:rsid w:val="00536DE8"/>
    <w:rsid w:val="005450A0"/>
    <w:rsid w:val="005454EF"/>
    <w:rsid w:val="0054673C"/>
    <w:rsid w:val="00546BDE"/>
    <w:rsid w:val="00546CE4"/>
    <w:rsid w:val="005471F9"/>
    <w:rsid w:val="0054785F"/>
    <w:rsid w:val="005517A8"/>
    <w:rsid w:val="00553ED8"/>
    <w:rsid w:val="005542C4"/>
    <w:rsid w:val="00554AAD"/>
    <w:rsid w:val="00556154"/>
    <w:rsid w:val="00556437"/>
    <w:rsid w:val="00561436"/>
    <w:rsid w:val="005628FD"/>
    <w:rsid w:val="00563856"/>
    <w:rsid w:val="00563E80"/>
    <w:rsid w:val="00564BA6"/>
    <w:rsid w:val="00566279"/>
    <w:rsid w:val="00567786"/>
    <w:rsid w:val="00570B83"/>
    <w:rsid w:val="005714C2"/>
    <w:rsid w:val="005717A8"/>
    <w:rsid w:val="00572EA2"/>
    <w:rsid w:val="0057697B"/>
    <w:rsid w:val="00576B18"/>
    <w:rsid w:val="00576E67"/>
    <w:rsid w:val="0057780A"/>
    <w:rsid w:val="00577CDE"/>
    <w:rsid w:val="00580A30"/>
    <w:rsid w:val="0058171B"/>
    <w:rsid w:val="0058238F"/>
    <w:rsid w:val="00584005"/>
    <w:rsid w:val="00587724"/>
    <w:rsid w:val="00587D71"/>
    <w:rsid w:val="005906E1"/>
    <w:rsid w:val="005912F6"/>
    <w:rsid w:val="00591512"/>
    <w:rsid w:val="00591BDE"/>
    <w:rsid w:val="00591E96"/>
    <w:rsid w:val="005923F3"/>
    <w:rsid w:val="005924E9"/>
    <w:rsid w:val="00593243"/>
    <w:rsid w:val="00593FDE"/>
    <w:rsid w:val="005944F7"/>
    <w:rsid w:val="0059485C"/>
    <w:rsid w:val="005960B4"/>
    <w:rsid w:val="005A2068"/>
    <w:rsid w:val="005A3172"/>
    <w:rsid w:val="005A31B7"/>
    <w:rsid w:val="005A3710"/>
    <w:rsid w:val="005A49C9"/>
    <w:rsid w:val="005A78B4"/>
    <w:rsid w:val="005B176A"/>
    <w:rsid w:val="005B1D54"/>
    <w:rsid w:val="005B2F3C"/>
    <w:rsid w:val="005B48B4"/>
    <w:rsid w:val="005B48BC"/>
    <w:rsid w:val="005B7C56"/>
    <w:rsid w:val="005C0D88"/>
    <w:rsid w:val="005C2E93"/>
    <w:rsid w:val="005C433B"/>
    <w:rsid w:val="005C5844"/>
    <w:rsid w:val="005C5C53"/>
    <w:rsid w:val="005C63C4"/>
    <w:rsid w:val="005C6661"/>
    <w:rsid w:val="005C6E1F"/>
    <w:rsid w:val="005C6E3B"/>
    <w:rsid w:val="005D2B77"/>
    <w:rsid w:val="005D389C"/>
    <w:rsid w:val="005D397D"/>
    <w:rsid w:val="005D441C"/>
    <w:rsid w:val="005D474B"/>
    <w:rsid w:val="005D597F"/>
    <w:rsid w:val="005D59B9"/>
    <w:rsid w:val="005D6557"/>
    <w:rsid w:val="005D66E4"/>
    <w:rsid w:val="005D755F"/>
    <w:rsid w:val="005D7C7F"/>
    <w:rsid w:val="005E085C"/>
    <w:rsid w:val="005E1017"/>
    <w:rsid w:val="005E147D"/>
    <w:rsid w:val="005E19A0"/>
    <w:rsid w:val="005E1BD1"/>
    <w:rsid w:val="005E22C2"/>
    <w:rsid w:val="005E3AC6"/>
    <w:rsid w:val="005E3DBF"/>
    <w:rsid w:val="005E4399"/>
    <w:rsid w:val="005E4C9B"/>
    <w:rsid w:val="005E4FDA"/>
    <w:rsid w:val="005E564E"/>
    <w:rsid w:val="005E57BB"/>
    <w:rsid w:val="005E6260"/>
    <w:rsid w:val="005E6A45"/>
    <w:rsid w:val="005E7E97"/>
    <w:rsid w:val="005F0017"/>
    <w:rsid w:val="005F051B"/>
    <w:rsid w:val="005F0745"/>
    <w:rsid w:val="005F40DF"/>
    <w:rsid w:val="005F46C0"/>
    <w:rsid w:val="005F5224"/>
    <w:rsid w:val="005F5FD4"/>
    <w:rsid w:val="005F6C2E"/>
    <w:rsid w:val="00600332"/>
    <w:rsid w:val="00600655"/>
    <w:rsid w:val="006014F1"/>
    <w:rsid w:val="00602CE5"/>
    <w:rsid w:val="00602E80"/>
    <w:rsid w:val="00602F29"/>
    <w:rsid w:val="0060560C"/>
    <w:rsid w:val="006100D5"/>
    <w:rsid w:val="006101F1"/>
    <w:rsid w:val="0061101D"/>
    <w:rsid w:val="00611E51"/>
    <w:rsid w:val="0061291C"/>
    <w:rsid w:val="00612E3C"/>
    <w:rsid w:val="0061357B"/>
    <w:rsid w:val="00614A7D"/>
    <w:rsid w:val="00614D84"/>
    <w:rsid w:val="00615873"/>
    <w:rsid w:val="00615932"/>
    <w:rsid w:val="0061680C"/>
    <w:rsid w:val="00616BD6"/>
    <w:rsid w:val="006171F5"/>
    <w:rsid w:val="006216F0"/>
    <w:rsid w:val="00621881"/>
    <w:rsid w:val="00621948"/>
    <w:rsid w:val="006255E8"/>
    <w:rsid w:val="00625C28"/>
    <w:rsid w:val="006266CB"/>
    <w:rsid w:val="00627155"/>
    <w:rsid w:val="00630871"/>
    <w:rsid w:val="00631290"/>
    <w:rsid w:val="006321B1"/>
    <w:rsid w:val="00632A38"/>
    <w:rsid w:val="00632CBF"/>
    <w:rsid w:val="00632EE9"/>
    <w:rsid w:val="006342D7"/>
    <w:rsid w:val="006348D8"/>
    <w:rsid w:val="0063631C"/>
    <w:rsid w:val="00636423"/>
    <w:rsid w:val="0063757B"/>
    <w:rsid w:val="006377CE"/>
    <w:rsid w:val="0064052D"/>
    <w:rsid w:val="00641B6D"/>
    <w:rsid w:val="006443BC"/>
    <w:rsid w:val="006452B1"/>
    <w:rsid w:val="00645B22"/>
    <w:rsid w:val="00645D2D"/>
    <w:rsid w:val="00646361"/>
    <w:rsid w:val="006464F8"/>
    <w:rsid w:val="00650131"/>
    <w:rsid w:val="006506B8"/>
    <w:rsid w:val="00650B54"/>
    <w:rsid w:val="006517FD"/>
    <w:rsid w:val="00651B9C"/>
    <w:rsid w:val="00651D47"/>
    <w:rsid w:val="0065253E"/>
    <w:rsid w:val="006537D9"/>
    <w:rsid w:val="006540EC"/>
    <w:rsid w:val="00654C9B"/>
    <w:rsid w:val="00654E15"/>
    <w:rsid w:val="006552B8"/>
    <w:rsid w:val="006557BB"/>
    <w:rsid w:val="006608B4"/>
    <w:rsid w:val="00662911"/>
    <w:rsid w:val="00663495"/>
    <w:rsid w:val="00664A48"/>
    <w:rsid w:val="0066549E"/>
    <w:rsid w:val="00665DEF"/>
    <w:rsid w:val="00665E6B"/>
    <w:rsid w:val="0066624A"/>
    <w:rsid w:val="00667719"/>
    <w:rsid w:val="00670D44"/>
    <w:rsid w:val="006715C7"/>
    <w:rsid w:val="0067398D"/>
    <w:rsid w:val="00673C1B"/>
    <w:rsid w:val="0067405E"/>
    <w:rsid w:val="006755BF"/>
    <w:rsid w:val="00675BB1"/>
    <w:rsid w:val="00676724"/>
    <w:rsid w:val="006772BC"/>
    <w:rsid w:val="006775F1"/>
    <w:rsid w:val="00684A4B"/>
    <w:rsid w:val="00684C7B"/>
    <w:rsid w:val="006870D5"/>
    <w:rsid w:val="006872DA"/>
    <w:rsid w:val="00690FC9"/>
    <w:rsid w:val="0069117C"/>
    <w:rsid w:val="0069212A"/>
    <w:rsid w:val="00692AA7"/>
    <w:rsid w:val="00693D2D"/>
    <w:rsid w:val="006954E6"/>
    <w:rsid w:val="006958C5"/>
    <w:rsid w:val="0069623D"/>
    <w:rsid w:val="00696E9E"/>
    <w:rsid w:val="00697089"/>
    <w:rsid w:val="00697544"/>
    <w:rsid w:val="00697C41"/>
    <w:rsid w:val="00697FA0"/>
    <w:rsid w:val="00697FEC"/>
    <w:rsid w:val="006A041B"/>
    <w:rsid w:val="006A1568"/>
    <w:rsid w:val="006A175F"/>
    <w:rsid w:val="006A321D"/>
    <w:rsid w:val="006A44F5"/>
    <w:rsid w:val="006B03F5"/>
    <w:rsid w:val="006B1B08"/>
    <w:rsid w:val="006B41C2"/>
    <w:rsid w:val="006B4537"/>
    <w:rsid w:val="006B49B7"/>
    <w:rsid w:val="006B5646"/>
    <w:rsid w:val="006B582B"/>
    <w:rsid w:val="006B5F85"/>
    <w:rsid w:val="006B6929"/>
    <w:rsid w:val="006B709B"/>
    <w:rsid w:val="006B7DAB"/>
    <w:rsid w:val="006C0F27"/>
    <w:rsid w:val="006C1C0C"/>
    <w:rsid w:val="006C21CC"/>
    <w:rsid w:val="006C469C"/>
    <w:rsid w:val="006C4CD6"/>
    <w:rsid w:val="006C54AF"/>
    <w:rsid w:val="006C5AAA"/>
    <w:rsid w:val="006C6621"/>
    <w:rsid w:val="006C68E9"/>
    <w:rsid w:val="006C72FB"/>
    <w:rsid w:val="006C7A68"/>
    <w:rsid w:val="006C7C92"/>
    <w:rsid w:val="006D1592"/>
    <w:rsid w:val="006D2779"/>
    <w:rsid w:val="006D3DC2"/>
    <w:rsid w:val="006D3DE0"/>
    <w:rsid w:val="006D6057"/>
    <w:rsid w:val="006D6614"/>
    <w:rsid w:val="006D6C79"/>
    <w:rsid w:val="006D7349"/>
    <w:rsid w:val="006D7B36"/>
    <w:rsid w:val="006D7BD8"/>
    <w:rsid w:val="006E0181"/>
    <w:rsid w:val="006E6353"/>
    <w:rsid w:val="006E666A"/>
    <w:rsid w:val="006E67F7"/>
    <w:rsid w:val="006F2088"/>
    <w:rsid w:val="006F2DDE"/>
    <w:rsid w:val="006F334B"/>
    <w:rsid w:val="006F3D23"/>
    <w:rsid w:val="006F56DE"/>
    <w:rsid w:val="006F588F"/>
    <w:rsid w:val="006F6FB8"/>
    <w:rsid w:val="006F7E21"/>
    <w:rsid w:val="0070014B"/>
    <w:rsid w:val="00700BA7"/>
    <w:rsid w:val="00700C0E"/>
    <w:rsid w:val="00700D78"/>
    <w:rsid w:val="00700D8F"/>
    <w:rsid w:val="007011D4"/>
    <w:rsid w:val="00701846"/>
    <w:rsid w:val="00702B86"/>
    <w:rsid w:val="00703384"/>
    <w:rsid w:val="007042EE"/>
    <w:rsid w:val="007049C2"/>
    <w:rsid w:val="00705DAD"/>
    <w:rsid w:val="00706C97"/>
    <w:rsid w:val="007070C7"/>
    <w:rsid w:val="00707BC9"/>
    <w:rsid w:val="007114E6"/>
    <w:rsid w:val="007163F6"/>
    <w:rsid w:val="007164A3"/>
    <w:rsid w:val="0071668A"/>
    <w:rsid w:val="00716CF7"/>
    <w:rsid w:val="00716D29"/>
    <w:rsid w:val="00717E99"/>
    <w:rsid w:val="007247B9"/>
    <w:rsid w:val="00724A9C"/>
    <w:rsid w:val="00724E18"/>
    <w:rsid w:val="0072553E"/>
    <w:rsid w:val="00725973"/>
    <w:rsid w:val="00725DF2"/>
    <w:rsid w:val="00725FFB"/>
    <w:rsid w:val="00727377"/>
    <w:rsid w:val="007279F3"/>
    <w:rsid w:val="00727D85"/>
    <w:rsid w:val="00730BAF"/>
    <w:rsid w:val="00731076"/>
    <w:rsid w:val="00733E30"/>
    <w:rsid w:val="00733F43"/>
    <w:rsid w:val="007346C7"/>
    <w:rsid w:val="00735F8D"/>
    <w:rsid w:val="00736041"/>
    <w:rsid w:val="00737BBF"/>
    <w:rsid w:val="00737D6F"/>
    <w:rsid w:val="007408C7"/>
    <w:rsid w:val="00741F95"/>
    <w:rsid w:val="007431A7"/>
    <w:rsid w:val="00743258"/>
    <w:rsid w:val="00743259"/>
    <w:rsid w:val="00743A15"/>
    <w:rsid w:val="00744924"/>
    <w:rsid w:val="00744A5F"/>
    <w:rsid w:val="00744C5E"/>
    <w:rsid w:val="007465DA"/>
    <w:rsid w:val="00747095"/>
    <w:rsid w:val="00747A8A"/>
    <w:rsid w:val="007505FC"/>
    <w:rsid w:val="00750AEE"/>
    <w:rsid w:val="00752635"/>
    <w:rsid w:val="00752C7F"/>
    <w:rsid w:val="00753DB2"/>
    <w:rsid w:val="007542F2"/>
    <w:rsid w:val="0075518C"/>
    <w:rsid w:val="00755C6D"/>
    <w:rsid w:val="00756A2A"/>
    <w:rsid w:val="00757068"/>
    <w:rsid w:val="00757DCF"/>
    <w:rsid w:val="00757E8C"/>
    <w:rsid w:val="007606D6"/>
    <w:rsid w:val="00761F1A"/>
    <w:rsid w:val="00762139"/>
    <w:rsid w:val="007622AC"/>
    <w:rsid w:val="00762974"/>
    <w:rsid w:val="00763074"/>
    <w:rsid w:val="007638EC"/>
    <w:rsid w:val="00763AE8"/>
    <w:rsid w:val="00764695"/>
    <w:rsid w:val="00764825"/>
    <w:rsid w:val="00764D87"/>
    <w:rsid w:val="00766BA1"/>
    <w:rsid w:val="007670C6"/>
    <w:rsid w:val="00771196"/>
    <w:rsid w:val="00771899"/>
    <w:rsid w:val="00771E42"/>
    <w:rsid w:val="007739A9"/>
    <w:rsid w:val="00774723"/>
    <w:rsid w:val="0077542F"/>
    <w:rsid w:val="007759B4"/>
    <w:rsid w:val="00776598"/>
    <w:rsid w:val="007772F6"/>
    <w:rsid w:val="00777B33"/>
    <w:rsid w:val="00781AC3"/>
    <w:rsid w:val="00781EB0"/>
    <w:rsid w:val="00783B1C"/>
    <w:rsid w:val="00783D73"/>
    <w:rsid w:val="007847BF"/>
    <w:rsid w:val="00784801"/>
    <w:rsid w:val="00784DE2"/>
    <w:rsid w:val="00784F93"/>
    <w:rsid w:val="00785ED4"/>
    <w:rsid w:val="0078640A"/>
    <w:rsid w:val="00790BEA"/>
    <w:rsid w:val="00791B88"/>
    <w:rsid w:val="00791C58"/>
    <w:rsid w:val="0079292B"/>
    <w:rsid w:val="00792948"/>
    <w:rsid w:val="00794984"/>
    <w:rsid w:val="007953B2"/>
    <w:rsid w:val="00795543"/>
    <w:rsid w:val="00796359"/>
    <w:rsid w:val="007965C4"/>
    <w:rsid w:val="00796E73"/>
    <w:rsid w:val="00796E84"/>
    <w:rsid w:val="007971F6"/>
    <w:rsid w:val="00797402"/>
    <w:rsid w:val="00797C64"/>
    <w:rsid w:val="007A0921"/>
    <w:rsid w:val="007A117B"/>
    <w:rsid w:val="007A3ADE"/>
    <w:rsid w:val="007A405C"/>
    <w:rsid w:val="007A5733"/>
    <w:rsid w:val="007A5774"/>
    <w:rsid w:val="007A7D43"/>
    <w:rsid w:val="007B093C"/>
    <w:rsid w:val="007B1515"/>
    <w:rsid w:val="007B1739"/>
    <w:rsid w:val="007B2646"/>
    <w:rsid w:val="007B2ABA"/>
    <w:rsid w:val="007B34FF"/>
    <w:rsid w:val="007B4B93"/>
    <w:rsid w:val="007B6421"/>
    <w:rsid w:val="007B7A00"/>
    <w:rsid w:val="007B7F17"/>
    <w:rsid w:val="007C062D"/>
    <w:rsid w:val="007C06AB"/>
    <w:rsid w:val="007C072E"/>
    <w:rsid w:val="007C085F"/>
    <w:rsid w:val="007C0E48"/>
    <w:rsid w:val="007C13F3"/>
    <w:rsid w:val="007C3775"/>
    <w:rsid w:val="007C3A56"/>
    <w:rsid w:val="007C4013"/>
    <w:rsid w:val="007C4F8F"/>
    <w:rsid w:val="007C50A9"/>
    <w:rsid w:val="007C618E"/>
    <w:rsid w:val="007C6298"/>
    <w:rsid w:val="007D01B9"/>
    <w:rsid w:val="007D2111"/>
    <w:rsid w:val="007D24CF"/>
    <w:rsid w:val="007D25F6"/>
    <w:rsid w:val="007D26D3"/>
    <w:rsid w:val="007D29AB"/>
    <w:rsid w:val="007D2A2D"/>
    <w:rsid w:val="007D2A45"/>
    <w:rsid w:val="007D36AB"/>
    <w:rsid w:val="007D3BC5"/>
    <w:rsid w:val="007D51B6"/>
    <w:rsid w:val="007D5331"/>
    <w:rsid w:val="007D5B15"/>
    <w:rsid w:val="007D6FBA"/>
    <w:rsid w:val="007E01CC"/>
    <w:rsid w:val="007E2C28"/>
    <w:rsid w:val="007E39AA"/>
    <w:rsid w:val="007E3B40"/>
    <w:rsid w:val="007E490C"/>
    <w:rsid w:val="007E5143"/>
    <w:rsid w:val="007E6B00"/>
    <w:rsid w:val="007F1DF9"/>
    <w:rsid w:val="007F227D"/>
    <w:rsid w:val="007F29BA"/>
    <w:rsid w:val="007F4415"/>
    <w:rsid w:val="007F4C8F"/>
    <w:rsid w:val="007F65AD"/>
    <w:rsid w:val="007F733B"/>
    <w:rsid w:val="007F75F0"/>
    <w:rsid w:val="0080052D"/>
    <w:rsid w:val="00800D24"/>
    <w:rsid w:val="00801B6B"/>
    <w:rsid w:val="00801E74"/>
    <w:rsid w:val="00801EB1"/>
    <w:rsid w:val="00802D26"/>
    <w:rsid w:val="008033F9"/>
    <w:rsid w:val="00804015"/>
    <w:rsid w:val="008040D7"/>
    <w:rsid w:val="0080437F"/>
    <w:rsid w:val="0080485E"/>
    <w:rsid w:val="00805D37"/>
    <w:rsid w:val="00806970"/>
    <w:rsid w:val="00811B10"/>
    <w:rsid w:val="00812524"/>
    <w:rsid w:val="00812C3A"/>
    <w:rsid w:val="00812D5D"/>
    <w:rsid w:val="00813AF4"/>
    <w:rsid w:val="008142B4"/>
    <w:rsid w:val="00814359"/>
    <w:rsid w:val="00814738"/>
    <w:rsid w:val="0081488B"/>
    <w:rsid w:val="00815B76"/>
    <w:rsid w:val="0081643F"/>
    <w:rsid w:val="00816856"/>
    <w:rsid w:val="0081730D"/>
    <w:rsid w:val="008179B5"/>
    <w:rsid w:val="00817ABF"/>
    <w:rsid w:val="00820DCF"/>
    <w:rsid w:val="00821EC4"/>
    <w:rsid w:val="00822B0F"/>
    <w:rsid w:val="00825919"/>
    <w:rsid w:val="00827AEC"/>
    <w:rsid w:val="00831BDA"/>
    <w:rsid w:val="00832324"/>
    <w:rsid w:val="00832CB7"/>
    <w:rsid w:val="00833909"/>
    <w:rsid w:val="00833A7F"/>
    <w:rsid w:val="00835337"/>
    <w:rsid w:val="008358FA"/>
    <w:rsid w:val="00835ABB"/>
    <w:rsid w:val="008403D6"/>
    <w:rsid w:val="00840A58"/>
    <w:rsid w:val="00842710"/>
    <w:rsid w:val="008429CA"/>
    <w:rsid w:val="00842CA9"/>
    <w:rsid w:val="00842D59"/>
    <w:rsid w:val="0084514A"/>
    <w:rsid w:val="00845A55"/>
    <w:rsid w:val="00846DCD"/>
    <w:rsid w:val="00850265"/>
    <w:rsid w:val="00850623"/>
    <w:rsid w:val="008506A0"/>
    <w:rsid w:val="00850FBD"/>
    <w:rsid w:val="00851B78"/>
    <w:rsid w:val="00851D85"/>
    <w:rsid w:val="00852465"/>
    <w:rsid w:val="0085295E"/>
    <w:rsid w:val="00853C20"/>
    <w:rsid w:val="008540E9"/>
    <w:rsid w:val="008563DD"/>
    <w:rsid w:val="0085688D"/>
    <w:rsid w:val="0085787F"/>
    <w:rsid w:val="0086030D"/>
    <w:rsid w:val="00860CCB"/>
    <w:rsid w:val="00860E23"/>
    <w:rsid w:val="00860E2C"/>
    <w:rsid w:val="0086130E"/>
    <w:rsid w:val="00861AB2"/>
    <w:rsid w:val="00862F7B"/>
    <w:rsid w:val="00863196"/>
    <w:rsid w:val="00865947"/>
    <w:rsid w:val="008711EA"/>
    <w:rsid w:val="00871370"/>
    <w:rsid w:val="00872FFC"/>
    <w:rsid w:val="008740A3"/>
    <w:rsid w:val="008746DB"/>
    <w:rsid w:val="0087482E"/>
    <w:rsid w:val="00880513"/>
    <w:rsid w:val="00881981"/>
    <w:rsid w:val="008828E9"/>
    <w:rsid w:val="008854A2"/>
    <w:rsid w:val="008874CB"/>
    <w:rsid w:val="0088799A"/>
    <w:rsid w:val="00887ACF"/>
    <w:rsid w:val="00890C3E"/>
    <w:rsid w:val="00891D29"/>
    <w:rsid w:val="0089222C"/>
    <w:rsid w:val="00892388"/>
    <w:rsid w:val="0089297B"/>
    <w:rsid w:val="00892B69"/>
    <w:rsid w:val="00893B83"/>
    <w:rsid w:val="00894D64"/>
    <w:rsid w:val="00895D93"/>
    <w:rsid w:val="00895F5B"/>
    <w:rsid w:val="008973B6"/>
    <w:rsid w:val="008A078C"/>
    <w:rsid w:val="008A0F0E"/>
    <w:rsid w:val="008A0FA8"/>
    <w:rsid w:val="008A101B"/>
    <w:rsid w:val="008A1562"/>
    <w:rsid w:val="008A320E"/>
    <w:rsid w:val="008A41C2"/>
    <w:rsid w:val="008A45F6"/>
    <w:rsid w:val="008A5292"/>
    <w:rsid w:val="008A592B"/>
    <w:rsid w:val="008A738C"/>
    <w:rsid w:val="008A7BBD"/>
    <w:rsid w:val="008A7DE5"/>
    <w:rsid w:val="008B1015"/>
    <w:rsid w:val="008B124A"/>
    <w:rsid w:val="008B157C"/>
    <w:rsid w:val="008B1A2A"/>
    <w:rsid w:val="008B1B29"/>
    <w:rsid w:val="008B2082"/>
    <w:rsid w:val="008B2111"/>
    <w:rsid w:val="008B24FF"/>
    <w:rsid w:val="008B2BA3"/>
    <w:rsid w:val="008B3ADB"/>
    <w:rsid w:val="008B63D9"/>
    <w:rsid w:val="008C36CA"/>
    <w:rsid w:val="008C423F"/>
    <w:rsid w:val="008C5468"/>
    <w:rsid w:val="008C576A"/>
    <w:rsid w:val="008C6C0C"/>
    <w:rsid w:val="008C6F53"/>
    <w:rsid w:val="008C72BF"/>
    <w:rsid w:val="008C779E"/>
    <w:rsid w:val="008C7F71"/>
    <w:rsid w:val="008D0F25"/>
    <w:rsid w:val="008D10C7"/>
    <w:rsid w:val="008D1FBA"/>
    <w:rsid w:val="008D2647"/>
    <w:rsid w:val="008D31E4"/>
    <w:rsid w:val="008D50DC"/>
    <w:rsid w:val="008D749A"/>
    <w:rsid w:val="008D7ABB"/>
    <w:rsid w:val="008E1901"/>
    <w:rsid w:val="008E286C"/>
    <w:rsid w:val="008E297B"/>
    <w:rsid w:val="008E3F8C"/>
    <w:rsid w:val="008E422D"/>
    <w:rsid w:val="008E741D"/>
    <w:rsid w:val="008F09C5"/>
    <w:rsid w:val="008F0A62"/>
    <w:rsid w:val="008F0C14"/>
    <w:rsid w:val="008F15CD"/>
    <w:rsid w:val="008F21CE"/>
    <w:rsid w:val="008F25E6"/>
    <w:rsid w:val="008F27AD"/>
    <w:rsid w:val="008F35E5"/>
    <w:rsid w:val="008F3879"/>
    <w:rsid w:val="008F3FCE"/>
    <w:rsid w:val="008F50DF"/>
    <w:rsid w:val="008F5B14"/>
    <w:rsid w:val="008F5E47"/>
    <w:rsid w:val="008F65AB"/>
    <w:rsid w:val="008F736D"/>
    <w:rsid w:val="008F7506"/>
    <w:rsid w:val="008F7B6E"/>
    <w:rsid w:val="00902FD0"/>
    <w:rsid w:val="0090458B"/>
    <w:rsid w:val="00904CBA"/>
    <w:rsid w:val="009053D3"/>
    <w:rsid w:val="0090586C"/>
    <w:rsid w:val="00905ED0"/>
    <w:rsid w:val="00905F96"/>
    <w:rsid w:val="0090691F"/>
    <w:rsid w:val="00906A0A"/>
    <w:rsid w:val="00907196"/>
    <w:rsid w:val="00907D2E"/>
    <w:rsid w:val="00907DB3"/>
    <w:rsid w:val="009125F5"/>
    <w:rsid w:val="00912869"/>
    <w:rsid w:val="009130B3"/>
    <w:rsid w:val="00913BA6"/>
    <w:rsid w:val="0091429D"/>
    <w:rsid w:val="00914342"/>
    <w:rsid w:val="00915DE3"/>
    <w:rsid w:val="0091667E"/>
    <w:rsid w:val="0092067A"/>
    <w:rsid w:val="00920B0E"/>
    <w:rsid w:val="00920DE4"/>
    <w:rsid w:val="00922B69"/>
    <w:rsid w:val="00924003"/>
    <w:rsid w:val="00925D5C"/>
    <w:rsid w:val="0092635C"/>
    <w:rsid w:val="00930D64"/>
    <w:rsid w:val="0093103E"/>
    <w:rsid w:val="0093111F"/>
    <w:rsid w:val="0093220F"/>
    <w:rsid w:val="00932B55"/>
    <w:rsid w:val="00932BED"/>
    <w:rsid w:val="00932DD3"/>
    <w:rsid w:val="009330B2"/>
    <w:rsid w:val="00933D77"/>
    <w:rsid w:val="009343FA"/>
    <w:rsid w:val="00935689"/>
    <w:rsid w:val="00936174"/>
    <w:rsid w:val="0093692A"/>
    <w:rsid w:val="00937161"/>
    <w:rsid w:val="00937C57"/>
    <w:rsid w:val="00941463"/>
    <w:rsid w:val="00941D7C"/>
    <w:rsid w:val="00941E49"/>
    <w:rsid w:val="009435F8"/>
    <w:rsid w:val="009437FA"/>
    <w:rsid w:val="00943A65"/>
    <w:rsid w:val="00943C65"/>
    <w:rsid w:val="00945C5D"/>
    <w:rsid w:val="00946DC4"/>
    <w:rsid w:val="00947096"/>
    <w:rsid w:val="009506C6"/>
    <w:rsid w:val="0095303B"/>
    <w:rsid w:val="00954242"/>
    <w:rsid w:val="009548AE"/>
    <w:rsid w:val="00954E03"/>
    <w:rsid w:val="0095586D"/>
    <w:rsid w:val="00955ADC"/>
    <w:rsid w:val="009568AF"/>
    <w:rsid w:val="009568E5"/>
    <w:rsid w:val="009569AD"/>
    <w:rsid w:val="00956DE6"/>
    <w:rsid w:val="009572F2"/>
    <w:rsid w:val="00957CDD"/>
    <w:rsid w:val="00960678"/>
    <w:rsid w:val="00960884"/>
    <w:rsid w:val="00960B6B"/>
    <w:rsid w:val="00960CCD"/>
    <w:rsid w:val="00963759"/>
    <w:rsid w:val="009644CD"/>
    <w:rsid w:val="00965170"/>
    <w:rsid w:val="00965E2E"/>
    <w:rsid w:val="009663B6"/>
    <w:rsid w:val="00967B3A"/>
    <w:rsid w:val="0097052E"/>
    <w:rsid w:val="009715BF"/>
    <w:rsid w:val="00971B02"/>
    <w:rsid w:val="00971B91"/>
    <w:rsid w:val="0097295D"/>
    <w:rsid w:val="00973790"/>
    <w:rsid w:val="00973DDD"/>
    <w:rsid w:val="00974A47"/>
    <w:rsid w:val="00975933"/>
    <w:rsid w:val="00980286"/>
    <w:rsid w:val="009813E2"/>
    <w:rsid w:val="0098275B"/>
    <w:rsid w:val="00982CAA"/>
    <w:rsid w:val="00986704"/>
    <w:rsid w:val="00990DCF"/>
    <w:rsid w:val="00991117"/>
    <w:rsid w:val="00992A0B"/>
    <w:rsid w:val="009937FD"/>
    <w:rsid w:val="00996342"/>
    <w:rsid w:val="009A3BD6"/>
    <w:rsid w:val="009A404B"/>
    <w:rsid w:val="009A4630"/>
    <w:rsid w:val="009A4CD6"/>
    <w:rsid w:val="009A4F22"/>
    <w:rsid w:val="009A537C"/>
    <w:rsid w:val="009A5734"/>
    <w:rsid w:val="009A6176"/>
    <w:rsid w:val="009A6537"/>
    <w:rsid w:val="009B0468"/>
    <w:rsid w:val="009B1E92"/>
    <w:rsid w:val="009B2507"/>
    <w:rsid w:val="009B348D"/>
    <w:rsid w:val="009B40EF"/>
    <w:rsid w:val="009B424B"/>
    <w:rsid w:val="009B58DA"/>
    <w:rsid w:val="009B6024"/>
    <w:rsid w:val="009B6117"/>
    <w:rsid w:val="009C0886"/>
    <w:rsid w:val="009C08A5"/>
    <w:rsid w:val="009C0C87"/>
    <w:rsid w:val="009C19EE"/>
    <w:rsid w:val="009C28D0"/>
    <w:rsid w:val="009C35F2"/>
    <w:rsid w:val="009C6766"/>
    <w:rsid w:val="009C6C4C"/>
    <w:rsid w:val="009C7782"/>
    <w:rsid w:val="009C7E6A"/>
    <w:rsid w:val="009D0551"/>
    <w:rsid w:val="009D1ED5"/>
    <w:rsid w:val="009D4B7E"/>
    <w:rsid w:val="009D4C13"/>
    <w:rsid w:val="009D59FE"/>
    <w:rsid w:val="009D5B26"/>
    <w:rsid w:val="009D6087"/>
    <w:rsid w:val="009D64A9"/>
    <w:rsid w:val="009D7941"/>
    <w:rsid w:val="009D7A15"/>
    <w:rsid w:val="009D7B8A"/>
    <w:rsid w:val="009E1179"/>
    <w:rsid w:val="009E132B"/>
    <w:rsid w:val="009E19C1"/>
    <w:rsid w:val="009E1A5B"/>
    <w:rsid w:val="009E21A7"/>
    <w:rsid w:val="009E2858"/>
    <w:rsid w:val="009E3676"/>
    <w:rsid w:val="009E4649"/>
    <w:rsid w:val="009E49BA"/>
    <w:rsid w:val="009E6C8C"/>
    <w:rsid w:val="009E6D1E"/>
    <w:rsid w:val="009F0DC8"/>
    <w:rsid w:val="009F16C2"/>
    <w:rsid w:val="009F1DE1"/>
    <w:rsid w:val="009F2B8C"/>
    <w:rsid w:val="009F373D"/>
    <w:rsid w:val="009F43CB"/>
    <w:rsid w:val="009F48DD"/>
    <w:rsid w:val="009F4B6E"/>
    <w:rsid w:val="009F4F98"/>
    <w:rsid w:val="009F5411"/>
    <w:rsid w:val="009F5C11"/>
    <w:rsid w:val="009F6B2E"/>
    <w:rsid w:val="009F6FE8"/>
    <w:rsid w:val="009F77A0"/>
    <w:rsid w:val="00A005B2"/>
    <w:rsid w:val="00A01028"/>
    <w:rsid w:val="00A01748"/>
    <w:rsid w:val="00A01F00"/>
    <w:rsid w:val="00A04949"/>
    <w:rsid w:val="00A04A3E"/>
    <w:rsid w:val="00A05315"/>
    <w:rsid w:val="00A06424"/>
    <w:rsid w:val="00A07866"/>
    <w:rsid w:val="00A07884"/>
    <w:rsid w:val="00A103ED"/>
    <w:rsid w:val="00A12BEF"/>
    <w:rsid w:val="00A13C60"/>
    <w:rsid w:val="00A14024"/>
    <w:rsid w:val="00A146D9"/>
    <w:rsid w:val="00A15372"/>
    <w:rsid w:val="00A1567B"/>
    <w:rsid w:val="00A1572D"/>
    <w:rsid w:val="00A158DD"/>
    <w:rsid w:val="00A17321"/>
    <w:rsid w:val="00A23B1C"/>
    <w:rsid w:val="00A23E93"/>
    <w:rsid w:val="00A2619B"/>
    <w:rsid w:val="00A26820"/>
    <w:rsid w:val="00A26F18"/>
    <w:rsid w:val="00A2752E"/>
    <w:rsid w:val="00A279A4"/>
    <w:rsid w:val="00A311FA"/>
    <w:rsid w:val="00A32EE2"/>
    <w:rsid w:val="00A3319B"/>
    <w:rsid w:val="00A341A3"/>
    <w:rsid w:val="00A347E7"/>
    <w:rsid w:val="00A35800"/>
    <w:rsid w:val="00A364A5"/>
    <w:rsid w:val="00A36A2C"/>
    <w:rsid w:val="00A370E1"/>
    <w:rsid w:val="00A37415"/>
    <w:rsid w:val="00A37F15"/>
    <w:rsid w:val="00A37F99"/>
    <w:rsid w:val="00A43A1E"/>
    <w:rsid w:val="00A443BE"/>
    <w:rsid w:val="00A453A8"/>
    <w:rsid w:val="00A476BA"/>
    <w:rsid w:val="00A50A43"/>
    <w:rsid w:val="00A52918"/>
    <w:rsid w:val="00A542B5"/>
    <w:rsid w:val="00A5434F"/>
    <w:rsid w:val="00A547B3"/>
    <w:rsid w:val="00A55838"/>
    <w:rsid w:val="00A5625C"/>
    <w:rsid w:val="00A56AFE"/>
    <w:rsid w:val="00A57300"/>
    <w:rsid w:val="00A57A87"/>
    <w:rsid w:val="00A613AE"/>
    <w:rsid w:val="00A6195B"/>
    <w:rsid w:val="00A63C7D"/>
    <w:rsid w:val="00A676B1"/>
    <w:rsid w:val="00A67977"/>
    <w:rsid w:val="00A70E82"/>
    <w:rsid w:val="00A738C5"/>
    <w:rsid w:val="00A751D4"/>
    <w:rsid w:val="00A80BA2"/>
    <w:rsid w:val="00A81AA9"/>
    <w:rsid w:val="00A8203D"/>
    <w:rsid w:val="00A82A61"/>
    <w:rsid w:val="00A834D5"/>
    <w:rsid w:val="00A8393A"/>
    <w:rsid w:val="00A84CAD"/>
    <w:rsid w:val="00A85178"/>
    <w:rsid w:val="00A871E4"/>
    <w:rsid w:val="00A90E50"/>
    <w:rsid w:val="00A91834"/>
    <w:rsid w:val="00A91A3B"/>
    <w:rsid w:val="00A92159"/>
    <w:rsid w:val="00A9222E"/>
    <w:rsid w:val="00A92B07"/>
    <w:rsid w:val="00A92B50"/>
    <w:rsid w:val="00A92C51"/>
    <w:rsid w:val="00A92F5A"/>
    <w:rsid w:val="00A9310E"/>
    <w:rsid w:val="00A93A1F"/>
    <w:rsid w:val="00A94785"/>
    <w:rsid w:val="00A95FA5"/>
    <w:rsid w:val="00A96D92"/>
    <w:rsid w:val="00A96E5A"/>
    <w:rsid w:val="00A9727D"/>
    <w:rsid w:val="00AA246D"/>
    <w:rsid w:val="00AA4056"/>
    <w:rsid w:val="00AA7A63"/>
    <w:rsid w:val="00AB04CE"/>
    <w:rsid w:val="00AB082E"/>
    <w:rsid w:val="00AB0D22"/>
    <w:rsid w:val="00AB18C3"/>
    <w:rsid w:val="00AB260F"/>
    <w:rsid w:val="00AB33B8"/>
    <w:rsid w:val="00AB3733"/>
    <w:rsid w:val="00AB66B1"/>
    <w:rsid w:val="00AB6983"/>
    <w:rsid w:val="00AB6991"/>
    <w:rsid w:val="00AB7897"/>
    <w:rsid w:val="00AC0305"/>
    <w:rsid w:val="00AC4D43"/>
    <w:rsid w:val="00AC5054"/>
    <w:rsid w:val="00AC62EE"/>
    <w:rsid w:val="00AC645F"/>
    <w:rsid w:val="00AC6D4A"/>
    <w:rsid w:val="00AC7783"/>
    <w:rsid w:val="00AD033D"/>
    <w:rsid w:val="00AD046B"/>
    <w:rsid w:val="00AD1ED1"/>
    <w:rsid w:val="00AD3787"/>
    <w:rsid w:val="00AD3CB5"/>
    <w:rsid w:val="00AD799C"/>
    <w:rsid w:val="00AE37A8"/>
    <w:rsid w:val="00AE4634"/>
    <w:rsid w:val="00AE4BAC"/>
    <w:rsid w:val="00AE58E6"/>
    <w:rsid w:val="00AE5D57"/>
    <w:rsid w:val="00AE61CA"/>
    <w:rsid w:val="00AF07E6"/>
    <w:rsid w:val="00AF0AB3"/>
    <w:rsid w:val="00AF1016"/>
    <w:rsid w:val="00AF1AFA"/>
    <w:rsid w:val="00AF2F30"/>
    <w:rsid w:val="00AF2FCF"/>
    <w:rsid w:val="00AF3F36"/>
    <w:rsid w:val="00AF3FA2"/>
    <w:rsid w:val="00AF42B3"/>
    <w:rsid w:val="00AF54F5"/>
    <w:rsid w:val="00AF5B23"/>
    <w:rsid w:val="00AF5C42"/>
    <w:rsid w:val="00AF7C97"/>
    <w:rsid w:val="00B00433"/>
    <w:rsid w:val="00B01880"/>
    <w:rsid w:val="00B01943"/>
    <w:rsid w:val="00B02AA9"/>
    <w:rsid w:val="00B02DF7"/>
    <w:rsid w:val="00B03290"/>
    <w:rsid w:val="00B034FC"/>
    <w:rsid w:val="00B03591"/>
    <w:rsid w:val="00B043EC"/>
    <w:rsid w:val="00B05310"/>
    <w:rsid w:val="00B05BAB"/>
    <w:rsid w:val="00B1060B"/>
    <w:rsid w:val="00B10A0B"/>
    <w:rsid w:val="00B10F70"/>
    <w:rsid w:val="00B1153A"/>
    <w:rsid w:val="00B11987"/>
    <w:rsid w:val="00B14558"/>
    <w:rsid w:val="00B16B50"/>
    <w:rsid w:val="00B17B0A"/>
    <w:rsid w:val="00B23462"/>
    <w:rsid w:val="00B24CD9"/>
    <w:rsid w:val="00B258FF"/>
    <w:rsid w:val="00B27641"/>
    <w:rsid w:val="00B27CFE"/>
    <w:rsid w:val="00B27E72"/>
    <w:rsid w:val="00B30D85"/>
    <w:rsid w:val="00B30F3D"/>
    <w:rsid w:val="00B3290C"/>
    <w:rsid w:val="00B33766"/>
    <w:rsid w:val="00B35A4A"/>
    <w:rsid w:val="00B36604"/>
    <w:rsid w:val="00B37B8B"/>
    <w:rsid w:val="00B37BEC"/>
    <w:rsid w:val="00B40416"/>
    <w:rsid w:val="00B41E25"/>
    <w:rsid w:val="00B446E5"/>
    <w:rsid w:val="00B45FB5"/>
    <w:rsid w:val="00B4730B"/>
    <w:rsid w:val="00B501E7"/>
    <w:rsid w:val="00B5155D"/>
    <w:rsid w:val="00B51AB3"/>
    <w:rsid w:val="00B529F9"/>
    <w:rsid w:val="00B52E27"/>
    <w:rsid w:val="00B538B8"/>
    <w:rsid w:val="00B56B71"/>
    <w:rsid w:val="00B57ABF"/>
    <w:rsid w:val="00B57AEE"/>
    <w:rsid w:val="00B60332"/>
    <w:rsid w:val="00B60EC1"/>
    <w:rsid w:val="00B6177B"/>
    <w:rsid w:val="00B62B1A"/>
    <w:rsid w:val="00B62D95"/>
    <w:rsid w:val="00B62DB3"/>
    <w:rsid w:val="00B630A0"/>
    <w:rsid w:val="00B639D2"/>
    <w:rsid w:val="00B63FD7"/>
    <w:rsid w:val="00B64780"/>
    <w:rsid w:val="00B64ADE"/>
    <w:rsid w:val="00B64DB3"/>
    <w:rsid w:val="00B651D5"/>
    <w:rsid w:val="00B6624A"/>
    <w:rsid w:val="00B663D0"/>
    <w:rsid w:val="00B67AFD"/>
    <w:rsid w:val="00B67F6E"/>
    <w:rsid w:val="00B702CF"/>
    <w:rsid w:val="00B70618"/>
    <w:rsid w:val="00B70933"/>
    <w:rsid w:val="00B71C0E"/>
    <w:rsid w:val="00B71D0A"/>
    <w:rsid w:val="00B72A29"/>
    <w:rsid w:val="00B73071"/>
    <w:rsid w:val="00B7322B"/>
    <w:rsid w:val="00B74182"/>
    <w:rsid w:val="00B74C0D"/>
    <w:rsid w:val="00B762F3"/>
    <w:rsid w:val="00B77A66"/>
    <w:rsid w:val="00B80EA9"/>
    <w:rsid w:val="00B816D9"/>
    <w:rsid w:val="00B8181E"/>
    <w:rsid w:val="00B819C3"/>
    <w:rsid w:val="00B81C54"/>
    <w:rsid w:val="00B83AA3"/>
    <w:rsid w:val="00B84AFF"/>
    <w:rsid w:val="00B872D1"/>
    <w:rsid w:val="00B90264"/>
    <w:rsid w:val="00B90E97"/>
    <w:rsid w:val="00B910BA"/>
    <w:rsid w:val="00B9120F"/>
    <w:rsid w:val="00B9216C"/>
    <w:rsid w:val="00B924A4"/>
    <w:rsid w:val="00B9355D"/>
    <w:rsid w:val="00B93637"/>
    <w:rsid w:val="00B95A8D"/>
    <w:rsid w:val="00B97914"/>
    <w:rsid w:val="00BA3357"/>
    <w:rsid w:val="00BA4362"/>
    <w:rsid w:val="00BA44FC"/>
    <w:rsid w:val="00BA45D1"/>
    <w:rsid w:val="00BA4A3D"/>
    <w:rsid w:val="00BA56F0"/>
    <w:rsid w:val="00BA7160"/>
    <w:rsid w:val="00BA7264"/>
    <w:rsid w:val="00BB0D1A"/>
    <w:rsid w:val="00BB0D34"/>
    <w:rsid w:val="00BB1174"/>
    <w:rsid w:val="00BB1D3B"/>
    <w:rsid w:val="00BB2C07"/>
    <w:rsid w:val="00BB37B5"/>
    <w:rsid w:val="00BB385E"/>
    <w:rsid w:val="00BB3C32"/>
    <w:rsid w:val="00BB4AA8"/>
    <w:rsid w:val="00BB4C9A"/>
    <w:rsid w:val="00BB6004"/>
    <w:rsid w:val="00BB68F6"/>
    <w:rsid w:val="00BB6978"/>
    <w:rsid w:val="00BB6DBD"/>
    <w:rsid w:val="00BC133A"/>
    <w:rsid w:val="00BC1840"/>
    <w:rsid w:val="00BC1FC2"/>
    <w:rsid w:val="00BC252F"/>
    <w:rsid w:val="00BC29DF"/>
    <w:rsid w:val="00BC30F8"/>
    <w:rsid w:val="00BC35ED"/>
    <w:rsid w:val="00BC363E"/>
    <w:rsid w:val="00BC45BB"/>
    <w:rsid w:val="00BC5D17"/>
    <w:rsid w:val="00BC60FC"/>
    <w:rsid w:val="00BC6997"/>
    <w:rsid w:val="00BC7CC0"/>
    <w:rsid w:val="00BD01E4"/>
    <w:rsid w:val="00BD09FA"/>
    <w:rsid w:val="00BD1A56"/>
    <w:rsid w:val="00BD260A"/>
    <w:rsid w:val="00BD29DC"/>
    <w:rsid w:val="00BD2A68"/>
    <w:rsid w:val="00BD2C1A"/>
    <w:rsid w:val="00BD2C3A"/>
    <w:rsid w:val="00BD4CF3"/>
    <w:rsid w:val="00BD52CF"/>
    <w:rsid w:val="00BD65FD"/>
    <w:rsid w:val="00BD6A53"/>
    <w:rsid w:val="00BD6B7F"/>
    <w:rsid w:val="00BD6B95"/>
    <w:rsid w:val="00BD7943"/>
    <w:rsid w:val="00BD7C32"/>
    <w:rsid w:val="00BE027E"/>
    <w:rsid w:val="00BE0B35"/>
    <w:rsid w:val="00BE205A"/>
    <w:rsid w:val="00BE2AA1"/>
    <w:rsid w:val="00BE2FDC"/>
    <w:rsid w:val="00BE3802"/>
    <w:rsid w:val="00BE3BBD"/>
    <w:rsid w:val="00BE3DB0"/>
    <w:rsid w:val="00BE3E26"/>
    <w:rsid w:val="00BE5588"/>
    <w:rsid w:val="00BE7047"/>
    <w:rsid w:val="00BE79B1"/>
    <w:rsid w:val="00BE7A83"/>
    <w:rsid w:val="00BF0960"/>
    <w:rsid w:val="00BF171C"/>
    <w:rsid w:val="00BF223C"/>
    <w:rsid w:val="00BF238E"/>
    <w:rsid w:val="00BF2D50"/>
    <w:rsid w:val="00BF2E43"/>
    <w:rsid w:val="00BF2E95"/>
    <w:rsid w:val="00BF2F4A"/>
    <w:rsid w:val="00BF46D3"/>
    <w:rsid w:val="00BF4DF0"/>
    <w:rsid w:val="00BF4DF4"/>
    <w:rsid w:val="00BF544D"/>
    <w:rsid w:val="00BF5B7C"/>
    <w:rsid w:val="00BF62EC"/>
    <w:rsid w:val="00BF6E92"/>
    <w:rsid w:val="00C000E4"/>
    <w:rsid w:val="00C0076F"/>
    <w:rsid w:val="00C00C37"/>
    <w:rsid w:val="00C0301C"/>
    <w:rsid w:val="00C037D4"/>
    <w:rsid w:val="00C03DDF"/>
    <w:rsid w:val="00C041F6"/>
    <w:rsid w:val="00C04CAF"/>
    <w:rsid w:val="00C050B6"/>
    <w:rsid w:val="00C057CC"/>
    <w:rsid w:val="00C05ED1"/>
    <w:rsid w:val="00C07DFD"/>
    <w:rsid w:val="00C10A26"/>
    <w:rsid w:val="00C10DE0"/>
    <w:rsid w:val="00C10F12"/>
    <w:rsid w:val="00C116F4"/>
    <w:rsid w:val="00C11C06"/>
    <w:rsid w:val="00C12144"/>
    <w:rsid w:val="00C12379"/>
    <w:rsid w:val="00C12468"/>
    <w:rsid w:val="00C12F84"/>
    <w:rsid w:val="00C13226"/>
    <w:rsid w:val="00C14F2D"/>
    <w:rsid w:val="00C15ED6"/>
    <w:rsid w:val="00C16B5A"/>
    <w:rsid w:val="00C20FEA"/>
    <w:rsid w:val="00C2295C"/>
    <w:rsid w:val="00C231DC"/>
    <w:rsid w:val="00C245EA"/>
    <w:rsid w:val="00C24A2E"/>
    <w:rsid w:val="00C24C23"/>
    <w:rsid w:val="00C24DB4"/>
    <w:rsid w:val="00C256F6"/>
    <w:rsid w:val="00C26911"/>
    <w:rsid w:val="00C26D97"/>
    <w:rsid w:val="00C270F4"/>
    <w:rsid w:val="00C3097E"/>
    <w:rsid w:val="00C33EAC"/>
    <w:rsid w:val="00C341FE"/>
    <w:rsid w:val="00C342DF"/>
    <w:rsid w:val="00C3438F"/>
    <w:rsid w:val="00C3511C"/>
    <w:rsid w:val="00C352F5"/>
    <w:rsid w:val="00C35ECC"/>
    <w:rsid w:val="00C361A8"/>
    <w:rsid w:val="00C361F5"/>
    <w:rsid w:val="00C362F6"/>
    <w:rsid w:val="00C364B3"/>
    <w:rsid w:val="00C40B62"/>
    <w:rsid w:val="00C4108C"/>
    <w:rsid w:val="00C41246"/>
    <w:rsid w:val="00C41DF9"/>
    <w:rsid w:val="00C4241A"/>
    <w:rsid w:val="00C4306D"/>
    <w:rsid w:val="00C441D0"/>
    <w:rsid w:val="00C446B7"/>
    <w:rsid w:val="00C45103"/>
    <w:rsid w:val="00C45DD6"/>
    <w:rsid w:val="00C45E5F"/>
    <w:rsid w:val="00C46291"/>
    <w:rsid w:val="00C46F4E"/>
    <w:rsid w:val="00C514E1"/>
    <w:rsid w:val="00C523B7"/>
    <w:rsid w:val="00C5386E"/>
    <w:rsid w:val="00C5397F"/>
    <w:rsid w:val="00C53AD7"/>
    <w:rsid w:val="00C53DCE"/>
    <w:rsid w:val="00C5456D"/>
    <w:rsid w:val="00C5465A"/>
    <w:rsid w:val="00C55BFB"/>
    <w:rsid w:val="00C5686B"/>
    <w:rsid w:val="00C57335"/>
    <w:rsid w:val="00C61316"/>
    <w:rsid w:val="00C62A15"/>
    <w:rsid w:val="00C63412"/>
    <w:rsid w:val="00C634D6"/>
    <w:rsid w:val="00C652E1"/>
    <w:rsid w:val="00C66459"/>
    <w:rsid w:val="00C664FD"/>
    <w:rsid w:val="00C6692D"/>
    <w:rsid w:val="00C6763B"/>
    <w:rsid w:val="00C70351"/>
    <w:rsid w:val="00C704AB"/>
    <w:rsid w:val="00C714D0"/>
    <w:rsid w:val="00C726E5"/>
    <w:rsid w:val="00C72FEB"/>
    <w:rsid w:val="00C73971"/>
    <w:rsid w:val="00C745CA"/>
    <w:rsid w:val="00C7646C"/>
    <w:rsid w:val="00C809FA"/>
    <w:rsid w:val="00C80DDB"/>
    <w:rsid w:val="00C823A0"/>
    <w:rsid w:val="00C83602"/>
    <w:rsid w:val="00C83AAD"/>
    <w:rsid w:val="00C84C9A"/>
    <w:rsid w:val="00C84FF4"/>
    <w:rsid w:val="00C85358"/>
    <w:rsid w:val="00C90BE1"/>
    <w:rsid w:val="00C90EF4"/>
    <w:rsid w:val="00C91B6B"/>
    <w:rsid w:val="00C92D15"/>
    <w:rsid w:val="00C938A4"/>
    <w:rsid w:val="00C938BB"/>
    <w:rsid w:val="00C93E5F"/>
    <w:rsid w:val="00C949F9"/>
    <w:rsid w:val="00C94FCF"/>
    <w:rsid w:val="00C96C32"/>
    <w:rsid w:val="00CA015A"/>
    <w:rsid w:val="00CA047F"/>
    <w:rsid w:val="00CA1166"/>
    <w:rsid w:val="00CA1798"/>
    <w:rsid w:val="00CA2757"/>
    <w:rsid w:val="00CA2DD6"/>
    <w:rsid w:val="00CA30BA"/>
    <w:rsid w:val="00CA330F"/>
    <w:rsid w:val="00CA3DC9"/>
    <w:rsid w:val="00CA45F8"/>
    <w:rsid w:val="00CA5E83"/>
    <w:rsid w:val="00CA65EB"/>
    <w:rsid w:val="00CA7105"/>
    <w:rsid w:val="00CB0194"/>
    <w:rsid w:val="00CB0B6F"/>
    <w:rsid w:val="00CB12F6"/>
    <w:rsid w:val="00CB20CA"/>
    <w:rsid w:val="00CB2661"/>
    <w:rsid w:val="00CB3C76"/>
    <w:rsid w:val="00CB5D1A"/>
    <w:rsid w:val="00CB626E"/>
    <w:rsid w:val="00CB702E"/>
    <w:rsid w:val="00CB70CF"/>
    <w:rsid w:val="00CB74F7"/>
    <w:rsid w:val="00CB792A"/>
    <w:rsid w:val="00CB7F97"/>
    <w:rsid w:val="00CC0412"/>
    <w:rsid w:val="00CC0595"/>
    <w:rsid w:val="00CC1453"/>
    <w:rsid w:val="00CC1AA3"/>
    <w:rsid w:val="00CC2242"/>
    <w:rsid w:val="00CC275B"/>
    <w:rsid w:val="00CC5536"/>
    <w:rsid w:val="00CC7632"/>
    <w:rsid w:val="00CD03DE"/>
    <w:rsid w:val="00CD0453"/>
    <w:rsid w:val="00CD21B8"/>
    <w:rsid w:val="00CD2381"/>
    <w:rsid w:val="00CD25A1"/>
    <w:rsid w:val="00CD4486"/>
    <w:rsid w:val="00CD6FD6"/>
    <w:rsid w:val="00CE0772"/>
    <w:rsid w:val="00CE0BCC"/>
    <w:rsid w:val="00CE0C74"/>
    <w:rsid w:val="00CE382A"/>
    <w:rsid w:val="00CE61D7"/>
    <w:rsid w:val="00CE62CB"/>
    <w:rsid w:val="00CE6558"/>
    <w:rsid w:val="00CF1987"/>
    <w:rsid w:val="00CF44CE"/>
    <w:rsid w:val="00CF46F9"/>
    <w:rsid w:val="00CF6187"/>
    <w:rsid w:val="00CF6AA3"/>
    <w:rsid w:val="00D0085E"/>
    <w:rsid w:val="00D00C93"/>
    <w:rsid w:val="00D00F94"/>
    <w:rsid w:val="00D01A57"/>
    <w:rsid w:val="00D022D8"/>
    <w:rsid w:val="00D04821"/>
    <w:rsid w:val="00D04858"/>
    <w:rsid w:val="00D052A8"/>
    <w:rsid w:val="00D054EA"/>
    <w:rsid w:val="00D05AF0"/>
    <w:rsid w:val="00D05EA0"/>
    <w:rsid w:val="00D06A44"/>
    <w:rsid w:val="00D07A25"/>
    <w:rsid w:val="00D07E9D"/>
    <w:rsid w:val="00D07EEE"/>
    <w:rsid w:val="00D102BB"/>
    <w:rsid w:val="00D106D2"/>
    <w:rsid w:val="00D12BDA"/>
    <w:rsid w:val="00D151EB"/>
    <w:rsid w:val="00D15259"/>
    <w:rsid w:val="00D15F61"/>
    <w:rsid w:val="00D17E00"/>
    <w:rsid w:val="00D22BAC"/>
    <w:rsid w:val="00D2303F"/>
    <w:rsid w:val="00D232C2"/>
    <w:rsid w:val="00D27638"/>
    <w:rsid w:val="00D300E0"/>
    <w:rsid w:val="00D30C6A"/>
    <w:rsid w:val="00D30C96"/>
    <w:rsid w:val="00D32909"/>
    <w:rsid w:val="00D35247"/>
    <w:rsid w:val="00D3646B"/>
    <w:rsid w:val="00D364A2"/>
    <w:rsid w:val="00D36A15"/>
    <w:rsid w:val="00D374CD"/>
    <w:rsid w:val="00D37560"/>
    <w:rsid w:val="00D379B3"/>
    <w:rsid w:val="00D37B98"/>
    <w:rsid w:val="00D40702"/>
    <w:rsid w:val="00D41102"/>
    <w:rsid w:val="00D44F8F"/>
    <w:rsid w:val="00D45CA9"/>
    <w:rsid w:val="00D4611C"/>
    <w:rsid w:val="00D51503"/>
    <w:rsid w:val="00D54580"/>
    <w:rsid w:val="00D546B9"/>
    <w:rsid w:val="00D55038"/>
    <w:rsid w:val="00D55569"/>
    <w:rsid w:val="00D57322"/>
    <w:rsid w:val="00D576AE"/>
    <w:rsid w:val="00D616CB"/>
    <w:rsid w:val="00D62D73"/>
    <w:rsid w:val="00D63E45"/>
    <w:rsid w:val="00D6453B"/>
    <w:rsid w:val="00D650CE"/>
    <w:rsid w:val="00D66F95"/>
    <w:rsid w:val="00D700B4"/>
    <w:rsid w:val="00D7150C"/>
    <w:rsid w:val="00D71719"/>
    <w:rsid w:val="00D72330"/>
    <w:rsid w:val="00D72F6A"/>
    <w:rsid w:val="00D7330C"/>
    <w:rsid w:val="00D746D0"/>
    <w:rsid w:val="00D767B9"/>
    <w:rsid w:val="00D776DA"/>
    <w:rsid w:val="00D80945"/>
    <w:rsid w:val="00D8104D"/>
    <w:rsid w:val="00D82B30"/>
    <w:rsid w:val="00D8307E"/>
    <w:rsid w:val="00D831BA"/>
    <w:rsid w:val="00D8356F"/>
    <w:rsid w:val="00D84802"/>
    <w:rsid w:val="00D84C72"/>
    <w:rsid w:val="00D8659C"/>
    <w:rsid w:val="00D86D95"/>
    <w:rsid w:val="00D8705E"/>
    <w:rsid w:val="00D87253"/>
    <w:rsid w:val="00D8758B"/>
    <w:rsid w:val="00D90B46"/>
    <w:rsid w:val="00D9159E"/>
    <w:rsid w:val="00D91CD8"/>
    <w:rsid w:val="00D91DFF"/>
    <w:rsid w:val="00D92722"/>
    <w:rsid w:val="00D942B3"/>
    <w:rsid w:val="00D94833"/>
    <w:rsid w:val="00D94863"/>
    <w:rsid w:val="00D94BD3"/>
    <w:rsid w:val="00D94F07"/>
    <w:rsid w:val="00D94F73"/>
    <w:rsid w:val="00D95085"/>
    <w:rsid w:val="00D95CA9"/>
    <w:rsid w:val="00D97138"/>
    <w:rsid w:val="00DA018B"/>
    <w:rsid w:val="00DA0299"/>
    <w:rsid w:val="00DA0965"/>
    <w:rsid w:val="00DA14E5"/>
    <w:rsid w:val="00DA23C2"/>
    <w:rsid w:val="00DA2F1E"/>
    <w:rsid w:val="00DA36F2"/>
    <w:rsid w:val="00DA3744"/>
    <w:rsid w:val="00DA4194"/>
    <w:rsid w:val="00DA431E"/>
    <w:rsid w:val="00DA45CF"/>
    <w:rsid w:val="00DA4A06"/>
    <w:rsid w:val="00DA6075"/>
    <w:rsid w:val="00DA75B9"/>
    <w:rsid w:val="00DA7D09"/>
    <w:rsid w:val="00DB1879"/>
    <w:rsid w:val="00DB26AD"/>
    <w:rsid w:val="00DB388D"/>
    <w:rsid w:val="00DB3FC4"/>
    <w:rsid w:val="00DB4780"/>
    <w:rsid w:val="00DB6DAB"/>
    <w:rsid w:val="00DB750E"/>
    <w:rsid w:val="00DC0045"/>
    <w:rsid w:val="00DC09A4"/>
    <w:rsid w:val="00DC0B01"/>
    <w:rsid w:val="00DC1E97"/>
    <w:rsid w:val="00DC2630"/>
    <w:rsid w:val="00DC3A51"/>
    <w:rsid w:val="00DC403A"/>
    <w:rsid w:val="00DC49E9"/>
    <w:rsid w:val="00DC5552"/>
    <w:rsid w:val="00DC55E4"/>
    <w:rsid w:val="00DC5ACE"/>
    <w:rsid w:val="00DC7847"/>
    <w:rsid w:val="00DC7D71"/>
    <w:rsid w:val="00DD0425"/>
    <w:rsid w:val="00DD05A6"/>
    <w:rsid w:val="00DD188C"/>
    <w:rsid w:val="00DD29A3"/>
    <w:rsid w:val="00DD3029"/>
    <w:rsid w:val="00DD43C3"/>
    <w:rsid w:val="00DD4409"/>
    <w:rsid w:val="00DD44F4"/>
    <w:rsid w:val="00DD48EE"/>
    <w:rsid w:val="00DD4F74"/>
    <w:rsid w:val="00DD5574"/>
    <w:rsid w:val="00DD7149"/>
    <w:rsid w:val="00DE00A6"/>
    <w:rsid w:val="00DE0B96"/>
    <w:rsid w:val="00DE10B9"/>
    <w:rsid w:val="00DE1277"/>
    <w:rsid w:val="00DE2854"/>
    <w:rsid w:val="00DE29FB"/>
    <w:rsid w:val="00DE3E5A"/>
    <w:rsid w:val="00DE54C7"/>
    <w:rsid w:val="00DE54D0"/>
    <w:rsid w:val="00DE7CCB"/>
    <w:rsid w:val="00DF0A89"/>
    <w:rsid w:val="00DF0B13"/>
    <w:rsid w:val="00DF1B5A"/>
    <w:rsid w:val="00DF240B"/>
    <w:rsid w:val="00DF2BBA"/>
    <w:rsid w:val="00DF2EB8"/>
    <w:rsid w:val="00DF34E4"/>
    <w:rsid w:val="00DF3E39"/>
    <w:rsid w:val="00DF4A94"/>
    <w:rsid w:val="00DF51D6"/>
    <w:rsid w:val="00DF5AD7"/>
    <w:rsid w:val="00DF5B1E"/>
    <w:rsid w:val="00DF6003"/>
    <w:rsid w:val="00E00095"/>
    <w:rsid w:val="00E00BF4"/>
    <w:rsid w:val="00E01A1D"/>
    <w:rsid w:val="00E02AF8"/>
    <w:rsid w:val="00E0301B"/>
    <w:rsid w:val="00E037AF"/>
    <w:rsid w:val="00E042B8"/>
    <w:rsid w:val="00E046A7"/>
    <w:rsid w:val="00E066C3"/>
    <w:rsid w:val="00E10BE6"/>
    <w:rsid w:val="00E10D8C"/>
    <w:rsid w:val="00E10E71"/>
    <w:rsid w:val="00E127E8"/>
    <w:rsid w:val="00E1353A"/>
    <w:rsid w:val="00E14F84"/>
    <w:rsid w:val="00E1564B"/>
    <w:rsid w:val="00E15B6E"/>
    <w:rsid w:val="00E15D45"/>
    <w:rsid w:val="00E208A0"/>
    <w:rsid w:val="00E215C4"/>
    <w:rsid w:val="00E21648"/>
    <w:rsid w:val="00E2222B"/>
    <w:rsid w:val="00E22859"/>
    <w:rsid w:val="00E22B8F"/>
    <w:rsid w:val="00E22F06"/>
    <w:rsid w:val="00E22F27"/>
    <w:rsid w:val="00E23094"/>
    <w:rsid w:val="00E24598"/>
    <w:rsid w:val="00E245A0"/>
    <w:rsid w:val="00E249A3"/>
    <w:rsid w:val="00E24F19"/>
    <w:rsid w:val="00E25B49"/>
    <w:rsid w:val="00E2644D"/>
    <w:rsid w:val="00E265E5"/>
    <w:rsid w:val="00E30D83"/>
    <w:rsid w:val="00E32080"/>
    <w:rsid w:val="00E32F59"/>
    <w:rsid w:val="00E34609"/>
    <w:rsid w:val="00E35CE8"/>
    <w:rsid w:val="00E37045"/>
    <w:rsid w:val="00E371EA"/>
    <w:rsid w:val="00E37469"/>
    <w:rsid w:val="00E410D3"/>
    <w:rsid w:val="00E4128C"/>
    <w:rsid w:val="00E43577"/>
    <w:rsid w:val="00E437CD"/>
    <w:rsid w:val="00E439BF"/>
    <w:rsid w:val="00E45371"/>
    <w:rsid w:val="00E45415"/>
    <w:rsid w:val="00E4545C"/>
    <w:rsid w:val="00E459E1"/>
    <w:rsid w:val="00E4628D"/>
    <w:rsid w:val="00E46AD4"/>
    <w:rsid w:val="00E46DA8"/>
    <w:rsid w:val="00E50850"/>
    <w:rsid w:val="00E52921"/>
    <w:rsid w:val="00E5328E"/>
    <w:rsid w:val="00E53E0D"/>
    <w:rsid w:val="00E54060"/>
    <w:rsid w:val="00E553CE"/>
    <w:rsid w:val="00E556D1"/>
    <w:rsid w:val="00E61777"/>
    <w:rsid w:val="00E617CC"/>
    <w:rsid w:val="00E61A71"/>
    <w:rsid w:val="00E62140"/>
    <w:rsid w:val="00E63CE7"/>
    <w:rsid w:val="00E64429"/>
    <w:rsid w:val="00E6447B"/>
    <w:rsid w:val="00E65391"/>
    <w:rsid w:val="00E66486"/>
    <w:rsid w:val="00E670E5"/>
    <w:rsid w:val="00E677DD"/>
    <w:rsid w:val="00E67FC0"/>
    <w:rsid w:val="00E70051"/>
    <w:rsid w:val="00E700C9"/>
    <w:rsid w:val="00E70A7E"/>
    <w:rsid w:val="00E71936"/>
    <w:rsid w:val="00E72650"/>
    <w:rsid w:val="00E72EB0"/>
    <w:rsid w:val="00E73457"/>
    <w:rsid w:val="00E73C87"/>
    <w:rsid w:val="00E7594B"/>
    <w:rsid w:val="00E75C0B"/>
    <w:rsid w:val="00E76709"/>
    <w:rsid w:val="00E76FA1"/>
    <w:rsid w:val="00E80A8B"/>
    <w:rsid w:val="00E827CE"/>
    <w:rsid w:val="00E82ACB"/>
    <w:rsid w:val="00E83372"/>
    <w:rsid w:val="00E84203"/>
    <w:rsid w:val="00E84426"/>
    <w:rsid w:val="00E848D5"/>
    <w:rsid w:val="00E8550D"/>
    <w:rsid w:val="00E855FB"/>
    <w:rsid w:val="00E85AC7"/>
    <w:rsid w:val="00E87BE4"/>
    <w:rsid w:val="00E9152F"/>
    <w:rsid w:val="00E915E3"/>
    <w:rsid w:val="00E91FB5"/>
    <w:rsid w:val="00E92AF5"/>
    <w:rsid w:val="00E93162"/>
    <w:rsid w:val="00E94B82"/>
    <w:rsid w:val="00E97273"/>
    <w:rsid w:val="00EA1940"/>
    <w:rsid w:val="00EA36CB"/>
    <w:rsid w:val="00EA3EB0"/>
    <w:rsid w:val="00EA4312"/>
    <w:rsid w:val="00EA5084"/>
    <w:rsid w:val="00EA551B"/>
    <w:rsid w:val="00EA62F9"/>
    <w:rsid w:val="00EA6E46"/>
    <w:rsid w:val="00EB22EF"/>
    <w:rsid w:val="00EB2329"/>
    <w:rsid w:val="00EB2B6F"/>
    <w:rsid w:val="00EB2D41"/>
    <w:rsid w:val="00EB4688"/>
    <w:rsid w:val="00EB4D30"/>
    <w:rsid w:val="00EB5A7C"/>
    <w:rsid w:val="00EB637F"/>
    <w:rsid w:val="00EB6654"/>
    <w:rsid w:val="00EB6C07"/>
    <w:rsid w:val="00EB6D2E"/>
    <w:rsid w:val="00EB6EFC"/>
    <w:rsid w:val="00EC028D"/>
    <w:rsid w:val="00EC0F44"/>
    <w:rsid w:val="00EC338B"/>
    <w:rsid w:val="00EC425B"/>
    <w:rsid w:val="00EC47C7"/>
    <w:rsid w:val="00EC5D26"/>
    <w:rsid w:val="00EC6085"/>
    <w:rsid w:val="00EC6479"/>
    <w:rsid w:val="00EC647F"/>
    <w:rsid w:val="00EC6504"/>
    <w:rsid w:val="00EC6629"/>
    <w:rsid w:val="00ED1F52"/>
    <w:rsid w:val="00ED20ED"/>
    <w:rsid w:val="00ED3290"/>
    <w:rsid w:val="00ED3691"/>
    <w:rsid w:val="00ED478A"/>
    <w:rsid w:val="00ED4EBC"/>
    <w:rsid w:val="00ED561E"/>
    <w:rsid w:val="00ED595E"/>
    <w:rsid w:val="00ED5C2C"/>
    <w:rsid w:val="00ED61B9"/>
    <w:rsid w:val="00ED6286"/>
    <w:rsid w:val="00ED633B"/>
    <w:rsid w:val="00ED6852"/>
    <w:rsid w:val="00ED6D1B"/>
    <w:rsid w:val="00EE038B"/>
    <w:rsid w:val="00EE0651"/>
    <w:rsid w:val="00EE3CEF"/>
    <w:rsid w:val="00EE478C"/>
    <w:rsid w:val="00EE55A0"/>
    <w:rsid w:val="00EF0207"/>
    <w:rsid w:val="00EF058A"/>
    <w:rsid w:val="00EF14CE"/>
    <w:rsid w:val="00EF1876"/>
    <w:rsid w:val="00EF301E"/>
    <w:rsid w:val="00EF37CC"/>
    <w:rsid w:val="00EF54F9"/>
    <w:rsid w:val="00EF60A9"/>
    <w:rsid w:val="00EF6175"/>
    <w:rsid w:val="00EF647B"/>
    <w:rsid w:val="00EF6703"/>
    <w:rsid w:val="00F003FC"/>
    <w:rsid w:val="00F00440"/>
    <w:rsid w:val="00F01383"/>
    <w:rsid w:val="00F026A3"/>
    <w:rsid w:val="00F027B4"/>
    <w:rsid w:val="00F03EB1"/>
    <w:rsid w:val="00F04542"/>
    <w:rsid w:val="00F04EA3"/>
    <w:rsid w:val="00F05A0B"/>
    <w:rsid w:val="00F060EC"/>
    <w:rsid w:val="00F06969"/>
    <w:rsid w:val="00F072F7"/>
    <w:rsid w:val="00F07E5A"/>
    <w:rsid w:val="00F10EDE"/>
    <w:rsid w:val="00F1132C"/>
    <w:rsid w:val="00F11747"/>
    <w:rsid w:val="00F12406"/>
    <w:rsid w:val="00F12545"/>
    <w:rsid w:val="00F14D81"/>
    <w:rsid w:val="00F15DD5"/>
    <w:rsid w:val="00F16A9E"/>
    <w:rsid w:val="00F17C3C"/>
    <w:rsid w:val="00F17D4B"/>
    <w:rsid w:val="00F22765"/>
    <w:rsid w:val="00F2307A"/>
    <w:rsid w:val="00F23126"/>
    <w:rsid w:val="00F23139"/>
    <w:rsid w:val="00F231B2"/>
    <w:rsid w:val="00F23650"/>
    <w:rsid w:val="00F267B3"/>
    <w:rsid w:val="00F2721E"/>
    <w:rsid w:val="00F27D0B"/>
    <w:rsid w:val="00F31E79"/>
    <w:rsid w:val="00F33369"/>
    <w:rsid w:val="00F34D06"/>
    <w:rsid w:val="00F36493"/>
    <w:rsid w:val="00F40BF4"/>
    <w:rsid w:val="00F40D68"/>
    <w:rsid w:val="00F434EB"/>
    <w:rsid w:val="00F439C8"/>
    <w:rsid w:val="00F43BCB"/>
    <w:rsid w:val="00F446FE"/>
    <w:rsid w:val="00F46139"/>
    <w:rsid w:val="00F46461"/>
    <w:rsid w:val="00F46ABB"/>
    <w:rsid w:val="00F50DE8"/>
    <w:rsid w:val="00F50E83"/>
    <w:rsid w:val="00F52420"/>
    <w:rsid w:val="00F52CE8"/>
    <w:rsid w:val="00F5367F"/>
    <w:rsid w:val="00F53DF2"/>
    <w:rsid w:val="00F548CD"/>
    <w:rsid w:val="00F568BD"/>
    <w:rsid w:val="00F6173D"/>
    <w:rsid w:val="00F61D8D"/>
    <w:rsid w:val="00F61F3E"/>
    <w:rsid w:val="00F61FEA"/>
    <w:rsid w:val="00F62E52"/>
    <w:rsid w:val="00F6342E"/>
    <w:rsid w:val="00F638C2"/>
    <w:rsid w:val="00F64189"/>
    <w:rsid w:val="00F64D39"/>
    <w:rsid w:val="00F657E5"/>
    <w:rsid w:val="00F66CD5"/>
    <w:rsid w:val="00F67A9A"/>
    <w:rsid w:val="00F67E8C"/>
    <w:rsid w:val="00F70F4E"/>
    <w:rsid w:val="00F725E0"/>
    <w:rsid w:val="00F72C02"/>
    <w:rsid w:val="00F740A9"/>
    <w:rsid w:val="00F7491A"/>
    <w:rsid w:val="00F757A8"/>
    <w:rsid w:val="00F75FC4"/>
    <w:rsid w:val="00F764F9"/>
    <w:rsid w:val="00F768A3"/>
    <w:rsid w:val="00F8258F"/>
    <w:rsid w:val="00F834F9"/>
    <w:rsid w:val="00F85981"/>
    <w:rsid w:val="00F861AB"/>
    <w:rsid w:val="00F87093"/>
    <w:rsid w:val="00F87263"/>
    <w:rsid w:val="00F87704"/>
    <w:rsid w:val="00F9036B"/>
    <w:rsid w:val="00F91384"/>
    <w:rsid w:val="00F923CD"/>
    <w:rsid w:val="00F92847"/>
    <w:rsid w:val="00F92FFC"/>
    <w:rsid w:val="00F93140"/>
    <w:rsid w:val="00F93725"/>
    <w:rsid w:val="00F93916"/>
    <w:rsid w:val="00F95615"/>
    <w:rsid w:val="00F95759"/>
    <w:rsid w:val="00F97054"/>
    <w:rsid w:val="00FA1A04"/>
    <w:rsid w:val="00FA334E"/>
    <w:rsid w:val="00FA3E2C"/>
    <w:rsid w:val="00FA439D"/>
    <w:rsid w:val="00FA470E"/>
    <w:rsid w:val="00FA4890"/>
    <w:rsid w:val="00FA643F"/>
    <w:rsid w:val="00FA6A67"/>
    <w:rsid w:val="00FB2083"/>
    <w:rsid w:val="00FB2504"/>
    <w:rsid w:val="00FB2C4C"/>
    <w:rsid w:val="00FB433E"/>
    <w:rsid w:val="00FB4736"/>
    <w:rsid w:val="00FB4C98"/>
    <w:rsid w:val="00FB50A7"/>
    <w:rsid w:val="00FB6483"/>
    <w:rsid w:val="00FB6CF3"/>
    <w:rsid w:val="00FB6FC8"/>
    <w:rsid w:val="00FB77FA"/>
    <w:rsid w:val="00FC1AB2"/>
    <w:rsid w:val="00FC3BFD"/>
    <w:rsid w:val="00FC3C70"/>
    <w:rsid w:val="00FC4A73"/>
    <w:rsid w:val="00FC4C2A"/>
    <w:rsid w:val="00FC52CC"/>
    <w:rsid w:val="00FC559C"/>
    <w:rsid w:val="00FC5EC3"/>
    <w:rsid w:val="00FC62FE"/>
    <w:rsid w:val="00FC6AEE"/>
    <w:rsid w:val="00FC7F0D"/>
    <w:rsid w:val="00FD0C70"/>
    <w:rsid w:val="00FD30B3"/>
    <w:rsid w:val="00FD3B28"/>
    <w:rsid w:val="00FD3D35"/>
    <w:rsid w:val="00FD3D4A"/>
    <w:rsid w:val="00FD47FC"/>
    <w:rsid w:val="00FD50DC"/>
    <w:rsid w:val="00FD596E"/>
    <w:rsid w:val="00FD6DDC"/>
    <w:rsid w:val="00FD7C82"/>
    <w:rsid w:val="00FE0080"/>
    <w:rsid w:val="00FE05B1"/>
    <w:rsid w:val="00FE2696"/>
    <w:rsid w:val="00FE3107"/>
    <w:rsid w:val="00FE3A18"/>
    <w:rsid w:val="00FE489C"/>
    <w:rsid w:val="00FE4C58"/>
    <w:rsid w:val="00FE645A"/>
    <w:rsid w:val="00FE752F"/>
    <w:rsid w:val="00FF0555"/>
    <w:rsid w:val="00FF27F3"/>
    <w:rsid w:val="00FF5A07"/>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aliases w:val="Footnote Char,BulletPoints Char"/>
    <w:link w:val="ListParagraph"/>
    <w:uiPriority w:val="34"/>
    <w:rsid w:val="00914342"/>
    <w:rPr>
      <w:sz w:val="24"/>
      <w:szCs w:val="24"/>
    </w:rPr>
  </w:style>
  <w:style w:type="character" w:styleId="FollowedHyperlink">
    <w:name w:val="FollowedHyperlink"/>
    <w:basedOn w:val="DefaultParagraphFont"/>
    <w:uiPriority w:val="99"/>
    <w:semiHidden/>
    <w:unhideWhenUsed/>
    <w:rsid w:val="0093692A"/>
    <w:rPr>
      <w:color w:val="800080" w:themeColor="followedHyperlink"/>
      <w:u w:val="single"/>
    </w:rPr>
  </w:style>
  <w:style w:type="paragraph" w:customStyle="1" w:styleId="Char">
    <w:name w:val="Char"/>
    <w:basedOn w:val="Normal"/>
    <w:rsid w:val="00D15F61"/>
    <w:pPr>
      <w:spacing w:after="160" w:line="240" w:lineRule="exact"/>
    </w:pPr>
    <w:rPr>
      <w:rFonts w:ascii="Verdana" w:eastAsia="MS Mincho" w:hAnsi="Verdana" w:cs="Verdana"/>
      <w:sz w:val="20"/>
      <w:szCs w:val="20"/>
      <w:lang w:val="en-US" w:eastAsia="en-US"/>
    </w:rPr>
  </w:style>
  <w:style w:type="character" w:customStyle="1" w:styleId="apple-converted-space">
    <w:name w:val="apple-converted-space"/>
    <w:basedOn w:val="DefaultParagraphFont"/>
    <w:rsid w:val="004E701A"/>
  </w:style>
  <w:style w:type="paragraph" w:customStyle="1" w:styleId="PBACHeading1">
    <w:name w:val="PBAC Heading 1"/>
    <w:qFormat/>
    <w:rsid w:val="00AB66B1"/>
    <w:pPr>
      <w:numPr>
        <w:numId w:val="6"/>
      </w:numPr>
      <w:spacing w:after="0" w:line="240" w:lineRule="auto"/>
    </w:pPr>
    <w:rPr>
      <w:rFonts w:ascii="Arial" w:eastAsia="Times New Roman" w:hAnsi="Arial" w:cs="Arial"/>
      <w:b/>
      <w:snapToGrid w:val="0"/>
      <w:lang w:eastAsia="en-US"/>
    </w:rPr>
  </w:style>
  <w:style w:type="paragraph" w:styleId="NormalWeb">
    <w:name w:val="Normal (Web)"/>
    <w:basedOn w:val="Normal"/>
    <w:uiPriority w:val="99"/>
    <w:semiHidden/>
    <w:unhideWhenUsed/>
    <w:rsid w:val="00795543"/>
    <w:pPr>
      <w:spacing w:before="100" w:beforeAutospacing="1" w:after="100" w:afterAutospacing="1"/>
    </w:pPr>
    <w:rPr>
      <w:rFonts w:ascii="Times New Roman" w:eastAsia="Times New Roman" w:hAnsi="Times New Roman" w:cs="Times New Roman"/>
    </w:rPr>
  </w:style>
  <w:style w:type="character" w:styleId="IntenseReference">
    <w:name w:val="Intense Reference"/>
    <w:uiPriority w:val="32"/>
    <w:qFormat/>
    <w:rsid w:val="00147064"/>
    <w:rPr>
      <w:b/>
      <w:bCs/>
      <w:i/>
      <w:smallCaps/>
      <w:color w:val="C0504D"/>
      <w:spacing w:val="5"/>
      <w:u w:val="none"/>
    </w:rPr>
  </w:style>
  <w:style w:type="paragraph" w:customStyle="1" w:styleId="Default">
    <w:name w:val="Default"/>
    <w:rsid w:val="005F6C2E"/>
    <w:pPr>
      <w:autoSpaceDE w:val="0"/>
      <w:autoSpaceDN w:val="0"/>
      <w:adjustRightInd w:val="0"/>
      <w:spacing w:after="0" w:line="240" w:lineRule="auto"/>
    </w:pPr>
    <w:rPr>
      <w:rFonts w:ascii="DIN-Bold" w:hAnsi="DIN-Bold" w:cs="DIN-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aliases w:val="Footnote Char,BulletPoints Char"/>
    <w:link w:val="ListParagraph"/>
    <w:uiPriority w:val="34"/>
    <w:rsid w:val="00914342"/>
    <w:rPr>
      <w:sz w:val="24"/>
      <w:szCs w:val="24"/>
    </w:rPr>
  </w:style>
  <w:style w:type="character" w:styleId="FollowedHyperlink">
    <w:name w:val="FollowedHyperlink"/>
    <w:basedOn w:val="DefaultParagraphFont"/>
    <w:uiPriority w:val="99"/>
    <w:semiHidden/>
    <w:unhideWhenUsed/>
    <w:rsid w:val="0093692A"/>
    <w:rPr>
      <w:color w:val="800080" w:themeColor="followedHyperlink"/>
      <w:u w:val="single"/>
    </w:rPr>
  </w:style>
  <w:style w:type="paragraph" w:customStyle="1" w:styleId="Char">
    <w:name w:val="Char"/>
    <w:basedOn w:val="Normal"/>
    <w:rsid w:val="00D15F61"/>
    <w:pPr>
      <w:spacing w:after="160" w:line="240" w:lineRule="exact"/>
    </w:pPr>
    <w:rPr>
      <w:rFonts w:ascii="Verdana" w:eastAsia="MS Mincho" w:hAnsi="Verdana" w:cs="Verdana"/>
      <w:sz w:val="20"/>
      <w:szCs w:val="20"/>
      <w:lang w:val="en-US" w:eastAsia="en-US"/>
    </w:rPr>
  </w:style>
  <w:style w:type="character" w:customStyle="1" w:styleId="apple-converted-space">
    <w:name w:val="apple-converted-space"/>
    <w:basedOn w:val="DefaultParagraphFont"/>
    <w:rsid w:val="004E701A"/>
  </w:style>
  <w:style w:type="paragraph" w:customStyle="1" w:styleId="PBACHeading1">
    <w:name w:val="PBAC Heading 1"/>
    <w:qFormat/>
    <w:rsid w:val="00AB66B1"/>
    <w:pPr>
      <w:numPr>
        <w:numId w:val="6"/>
      </w:numPr>
      <w:spacing w:after="0" w:line="240" w:lineRule="auto"/>
    </w:pPr>
    <w:rPr>
      <w:rFonts w:ascii="Arial" w:eastAsia="Times New Roman" w:hAnsi="Arial" w:cs="Arial"/>
      <w:b/>
      <w:snapToGrid w:val="0"/>
      <w:lang w:eastAsia="en-US"/>
    </w:rPr>
  </w:style>
  <w:style w:type="paragraph" w:styleId="NormalWeb">
    <w:name w:val="Normal (Web)"/>
    <w:basedOn w:val="Normal"/>
    <w:uiPriority w:val="99"/>
    <w:semiHidden/>
    <w:unhideWhenUsed/>
    <w:rsid w:val="00795543"/>
    <w:pPr>
      <w:spacing w:before="100" w:beforeAutospacing="1" w:after="100" w:afterAutospacing="1"/>
    </w:pPr>
    <w:rPr>
      <w:rFonts w:ascii="Times New Roman" w:eastAsia="Times New Roman" w:hAnsi="Times New Roman" w:cs="Times New Roman"/>
    </w:rPr>
  </w:style>
  <w:style w:type="character" w:styleId="IntenseReference">
    <w:name w:val="Intense Reference"/>
    <w:uiPriority w:val="32"/>
    <w:qFormat/>
    <w:rsid w:val="00147064"/>
    <w:rPr>
      <w:b/>
      <w:bCs/>
      <w:i/>
      <w:smallCaps/>
      <w:color w:val="C0504D"/>
      <w:spacing w:val="5"/>
      <w:u w:val="none"/>
    </w:rPr>
  </w:style>
  <w:style w:type="paragraph" w:customStyle="1" w:styleId="Default">
    <w:name w:val="Default"/>
    <w:rsid w:val="005F6C2E"/>
    <w:pPr>
      <w:autoSpaceDE w:val="0"/>
      <w:autoSpaceDN w:val="0"/>
      <w:adjustRightInd w:val="0"/>
      <w:spacing w:after="0" w:line="240" w:lineRule="auto"/>
    </w:pPr>
    <w:rPr>
      <w:rFonts w:ascii="DIN-Bold" w:hAnsi="DIN-Bold" w:cs="DIN-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922">
      <w:bodyDiv w:val="1"/>
      <w:marLeft w:val="0"/>
      <w:marRight w:val="0"/>
      <w:marTop w:val="0"/>
      <w:marBottom w:val="0"/>
      <w:divBdr>
        <w:top w:val="none" w:sz="0" w:space="0" w:color="auto"/>
        <w:left w:val="none" w:sz="0" w:space="0" w:color="auto"/>
        <w:bottom w:val="none" w:sz="0" w:space="0" w:color="auto"/>
        <w:right w:val="none" w:sz="0" w:space="0" w:color="auto"/>
      </w:divBdr>
    </w:div>
    <w:div w:id="122969976">
      <w:bodyDiv w:val="1"/>
      <w:marLeft w:val="0"/>
      <w:marRight w:val="0"/>
      <w:marTop w:val="0"/>
      <w:marBottom w:val="0"/>
      <w:divBdr>
        <w:top w:val="none" w:sz="0" w:space="0" w:color="auto"/>
        <w:left w:val="none" w:sz="0" w:space="0" w:color="auto"/>
        <w:bottom w:val="none" w:sz="0" w:space="0" w:color="auto"/>
        <w:right w:val="none" w:sz="0" w:space="0" w:color="auto"/>
      </w:divBdr>
    </w:div>
    <w:div w:id="226378130">
      <w:bodyDiv w:val="1"/>
      <w:marLeft w:val="0"/>
      <w:marRight w:val="0"/>
      <w:marTop w:val="0"/>
      <w:marBottom w:val="0"/>
      <w:divBdr>
        <w:top w:val="none" w:sz="0" w:space="0" w:color="auto"/>
        <w:left w:val="none" w:sz="0" w:space="0" w:color="auto"/>
        <w:bottom w:val="none" w:sz="0" w:space="0" w:color="auto"/>
        <w:right w:val="none" w:sz="0" w:space="0" w:color="auto"/>
      </w:divBdr>
    </w:div>
    <w:div w:id="232590039">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31049079">
      <w:bodyDiv w:val="1"/>
      <w:marLeft w:val="0"/>
      <w:marRight w:val="0"/>
      <w:marTop w:val="0"/>
      <w:marBottom w:val="0"/>
      <w:divBdr>
        <w:top w:val="none" w:sz="0" w:space="0" w:color="auto"/>
        <w:left w:val="none" w:sz="0" w:space="0" w:color="auto"/>
        <w:bottom w:val="none" w:sz="0" w:space="0" w:color="auto"/>
        <w:right w:val="none" w:sz="0" w:space="0" w:color="auto"/>
      </w:divBdr>
    </w:div>
    <w:div w:id="465317709">
      <w:bodyDiv w:val="1"/>
      <w:marLeft w:val="0"/>
      <w:marRight w:val="0"/>
      <w:marTop w:val="0"/>
      <w:marBottom w:val="0"/>
      <w:divBdr>
        <w:top w:val="none" w:sz="0" w:space="0" w:color="auto"/>
        <w:left w:val="none" w:sz="0" w:space="0" w:color="auto"/>
        <w:bottom w:val="none" w:sz="0" w:space="0" w:color="auto"/>
        <w:right w:val="none" w:sz="0" w:space="0" w:color="auto"/>
      </w:divBdr>
    </w:div>
    <w:div w:id="568030909">
      <w:bodyDiv w:val="1"/>
      <w:marLeft w:val="0"/>
      <w:marRight w:val="0"/>
      <w:marTop w:val="0"/>
      <w:marBottom w:val="0"/>
      <w:divBdr>
        <w:top w:val="none" w:sz="0" w:space="0" w:color="auto"/>
        <w:left w:val="none" w:sz="0" w:space="0" w:color="auto"/>
        <w:bottom w:val="none" w:sz="0" w:space="0" w:color="auto"/>
        <w:right w:val="none" w:sz="0" w:space="0" w:color="auto"/>
      </w:divBdr>
    </w:div>
    <w:div w:id="613756958">
      <w:bodyDiv w:val="1"/>
      <w:marLeft w:val="0"/>
      <w:marRight w:val="0"/>
      <w:marTop w:val="0"/>
      <w:marBottom w:val="0"/>
      <w:divBdr>
        <w:top w:val="none" w:sz="0" w:space="0" w:color="auto"/>
        <w:left w:val="none" w:sz="0" w:space="0" w:color="auto"/>
        <w:bottom w:val="none" w:sz="0" w:space="0" w:color="auto"/>
        <w:right w:val="none" w:sz="0" w:space="0" w:color="auto"/>
      </w:divBdr>
    </w:div>
    <w:div w:id="706373182">
      <w:bodyDiv w:val="1"/>
      <w:marLeft w:val="0"/>
      <w:marRight w:val="0"/>
      <w:marTop w:val="0"/>
      <w:marBottom w:val="0"/>
      <w:divBdr>
        <w:top w:val="none" w:sz="0" w:space="0" w:color="auto"/>
        <w:left w:val="none" w:sz="0" w:space="0" w:color="auto"/>
        <w:bottom w:val="none" w:sz="0" w:space="0" w:color="auto"/>
        <w:right w:val="none" w:sz="0" w:space="0" w:color="auto"/>
      </w:divBdr>
    </w:div>
    <w:div w:id="826897175">
      <w:bodyDiv w:val="1"/>
      <w:marLeft w:val="0"/>
      <w:marRight w:val="0"/>
      <w:marTop w:val="0"/>
      <w:marBottom w:val="0"/>
      <w:divBdr>
        <w:top w:val="none" w:sz="0" w:space="0" w:color="auto"/>
        <w:left w:val="none" w:sz="0" w:space="0" w:color="auto"/>
        <w:bottom w:val="none" w:sz="0" w:space="0" w:color="auto"/>
        <w:right w:val="none" w:sz="0" w:space="0" w:color="auto"/>
      </w:divBdr>
    </w:div>
    <w:div w:id="854613537">
      <w:bodyDiv w:val="1"/>
      <w:marLeft w:val="0"/>
      <w:marRight w:val="0"/>
      <w:marTop w:val="0"/>
      <w:marBottom w:val="0"/>
      <w:divBdr>
        <w:top w:val="none" w:sz="0" w:space="0" w:color="auto"/>
        <w:left w:val="none" w:sz="0" w:space="0" w:color="auto"/>
        <w:bottom w:val="none" w:sz="0" w:space="0" w:color="auto"/>
        <w:right w:val="none" w:sz="0" w:space="0" w:color="auto"/>
      </w:divBdr>
    </w:div>
    <w:div w:id="977345673">
      <w:bodyDiv w:val="1"/>
      <w:marLeft w:val="0"/>
      <w:marRight w:val="0"/>
      <w:marTop w:val="0"/>
      <w:marBottom w:val="0"/>
      <w:divBdr>
        <w:top w:val="none" w:sz="0" w:space="0" w:color="auto"/>
        <w:left w:val="none" w:sz="0" w:space="0" w:color="auto"/>
        <w:bottom w:val="none" w:sz="0" w:space="0" w:color="auto"/>
        <w:right w:val="none" w:sz="0" w:space="0" w:color="auto"/>
      </w:divBdr>
    </w:div>
    <w:div w:id="1065757498">
      <w:bodyDiv w:val="1"/>
      <w:marLeft w:val="0"/>
      <w:marRight w:val="0"/>
      <w:marTop w:val="0"/>
      <w:marBottom w:val="0"/>
      <w:divBdr>
        <w:top w:val="none" w:sz="0" w:space="0" w:color="auto"/>
        <w:left w:val="none" w:sz="0" w:space="0" w:color="auto"/>
        <w:bottom w:val="none" w:sz="0" w:space="0" w:color="auto"/>
        <w:right w:val="none" w:sz="0" w:space="0" w:color="auto"/>
      </w:divBdr>
    </w:div>
    <w:div w:id="1092506472">
      <w:bodyDiv w:val="1"/>
      <w:marLeft w:val="0"/>
      <w:marRight w:val="0"/>
      <w:marTop w:val="0"/>
      <w:marBottom w:val="0"/>
      <w:divBdr>
        <w:top w:val="none" w:sz="0" w:space="0" w:color="auto"/>
        <w:left w:val="none" w:sz="0" w:space="0" w:color="auto"/>
        <w:bottom w:val="none" w:sz="0" w:space="0" w:color="auto"/>
        <w:right w:val="none" w:sz="0" w:space="0" w:color="auto"/>
      </w:divBdr>
    </w:div>
    <w:div w:id="1225023528">
      <w:bodyDiv w:val="1"/>
      <w:marLeft w:val="0"/>
      <w:marRight w:val="0"/>
      <w:marTop w:val="0"/>
      <w:marBottom w:val="0"/>
      <w:divBdr>
        <w:top w:val="none" w:sz="0" w:space="0" w:color="auto"/>
        <w:left w:val="none" w:sz="0" w:space="0" w:color="auto"/>
        <w:bottom w:val="none" w:sz="0" w:space="0" w:color="auto"/>
        <w:right w:val="none" w:sz="0" w:space="0" w:color="auto"/>
      </w:divBdr>
    </w:div>
    <w:div w:id="1506869526">
      <w:bodyDiv w:val="1"/>
      <w:marLeft w:val="0"/>
      <w:marRight w:val="0"/>
      <w:marTop w:val="0"/>
      <w:marBottom w:val="0"/>
      <w:divBdr>
        <w:top w:val="none" w:sz="0" w:space="0" w:color="auto"/>
        <w:left w:val="none" w:sz="0" w:space="0" w:color="auto"/>
        <w:bottom w:val="none" w:sz="0" w:space="0" w:color="auto"/>
        <w:right w:val="none" w:sz="0" w:space="0" w:color="auto"/>
      </w:divBdr>
    </w:div>
    <w:div w:id="1718578218">
      <w:bodyDiv w:val="1"/>
      <w:marLeft w:val="0"/>
      <w:marRight w:val="0"/>
      <w:marTop w:val="0"/>
      <w:marBottom w:val="0"/>
      <w:divBdr>
        <w:top w:val="none" w:sz="0" w:space="0" w:color="auto"/>
        <w:left w:val="none" w:sz="0" w:space="0" w:color="auto"/>
        <w:bottom w:val="none" w:sz="0" w:space="0" w:color="auto"/>
        <w:right w:val="none" w:sz="0" w:space="0" w:color="auto"/>
      </w:divBdr>
    </w:div>
    <w:div w:id="1725057600">
      <w:bodyDiv w:val="1"/>
      <w:marLeft w:val="0"/>
      <w:marRight w:val="0"/>
      <w:marTop w:val="0"/>
      <w:marBottom w:val="0"/>
      <w:divBdr>
        <w:top w:val="none" w:sz="0" w:space="0" w:color="auto"/>
        <w:left w:val="none" w:sz="0" w:space="0" w:color="auto"/>
        <w:bottom w:val="none" w:sz="0" w:space="0" w:color="auto"/>
        <w:right w:val="none" w:sz="0" w:space="0" w:color="auto"/>
      </w:divBdr>
    </w:div>
    <w:div w:id="1743678394">
      <w:bodyDiv w:val="1"/>
      <w:marLeft w:val="0"/>
      <w:marRight w:val="0"/>
      <w:marTop w:val="0"/>
      <w:marBottom w:val="0"/>
      <w:divBdr>
        <w:top w:val="none" w:sz="0" w:space="0" w:color="auto"/>
        <w:left w:val="none" w:sz="0" w:space="0" w:color="auto"/>
        <w:bottom w:val="none" w:sz="0" w:space="0" w:color="auto"/>
        <w:right w:val="none" w:sz="0" w:space="0" w:color="auto"/>
      </w:divBdr>
    </w:div>
    <w:div w:id="1753357990">
      <w:bodyDiv w:val="1"/>
      <w:marLeft w:val="0"/>
      <w:marRight w:val="0"/>
      <w:marTop w:val="0"/>
      <w:marBottom w:val="0"/>
      <w:divBdr>
        <w:top w:val="none" w:sz="0" w:space="0" w:color="auto"/>
        <w:left w:val="none" w:sz="0" w:space="0" w:color="auto"/>
        <w:bottom w:val="none" w:sz="0" w:space="0" w:color="auto"/>
        <w:right w:val="none" w:sz="0" w:space="0" w:color="auto"/>
      </w:divBdr>
    </w:div>
    <w:div w:id="1882980634">
      <w:bodyDiv w:val="1"/>
      <w:marLeft w:val="0"/>
      <w:marRight w:val="0"/>
      <w:marTop w:val="0"/>
      <w:marBottom w:val="0"/>
      <w:divBdr>
        <w:top w:val="none" w:sz="0" w:space="0" w:color="auto"/>
        <w:left w:val="none" w:sz="0" w:space="0" w:color="auto"/>
        <w:bottom w:val="none" w:sz="0" w:space="0" w:color="auto"/>
        <w:right w:val="none" w:sz="0" w:space="0" w:color="auto"/>
      </w:divBdr>
    </w:div>
    <w:div w:id="1894805132">
      <w:bodyDiv w:val="1"/>
      <w:marLeft w:val="0"/>
      <w:marRight w:val="0"/>
      <w:marTop w:val="0"/>
      <w:marBottom w:val="0"/>
      <w:divBdr>
        <w:top w:val="none" w:sz="0" w:space="0" w:color="auto"/>
        <w:left w:val="none" w:sz="0" w:space="0" w:color="auto"/>
        <w:bottom w:val="none" w:sz="0" w:space="0" w:color="auto"/>
        <w:right w:val="none" w:sz="0" w:space="0" w:color="auto"/>
      </w:divBdr>
    </w:div>
    <w:div w:id="1929344146">
      <w:bodyDiv w:val="1"/>
      <w:marLeft w:val="0"/>
      <w:marRight w:val="0"/>
      <w:marTop w:val="0"/>
      <w:marBottom w:val="0"/>
      <w:divBdr>
        <w:top w:val="none" w:sz="0" w:space="0" w:color="auto"/>
        <w:left w:val="none" w:sz="0" w:space="0" w:color="auto"/>
        <w:bottom w:val="none" w:sz="0" w:space="0" w:color="auto"/>
        <w:right w:val="none" w:sz="0" w:space="0" w:color="auto"/>
      </w:divBdr>
    </w:div>
    <w:div w:id="1941403078">
      <w:bodyDiv w:val="1"/>
      <w:marLeft w:val="0"/>
      <w:marRight w:val="0"/>
      <w:marTop w:val="0"/>
      <w:marBottom w:val="0"/>
      <w:divBdr>
        <w:top w:val="none" w:sz="0" w:space="0" w:color="auto"/>
        <w:left w:val="none" w:sz="0" w:space="0" w:color="auto"/>
        <w:bottom w:val="none" w:sz="0" w:space="0" w:color="auto"/>
        <w:right w:val="none" w:sz="0" w:space="0" w:color="auto"/>
      </w:divBdr>
    </w:div>
    <w:div w:id="1950744809">
      <w:bodyDiv w:val="1"/>
      <w:marLeft w:val="0"/>
      <w:marRight w:val="0"/>
      <w:marTop w:val="0"/>
      <w:marBottom w:val="0"/>
      <w:divBdr>
        <w:top w:val="none" w:sz="0" w:space="0" w:color="auto"/>
        <w:left w:val="none" w:sz="0" w:space="0" w:color="auto"/>
        <w:bottom w:val="none" w:sz="0" w:space="0" w:color="auto"/>
        <w:right w:val="none" w:sz="0" w:space="0" w:color="auto"/>
      </w:divBdr>
    </w:div>
    <w:div w:id="2016420119">
      <w:bodyDiv w:val="1"/>
      <w:marLeft w:val="0"/>
      <w:marRight w:val="0"/>
      <w:marTop w:val="0"/>
      <w:marBottom w:val="0"/>
      <w:divBdr>
        <w:top w:val="none" w:sz="0" w:space="0" w:color="auto"/>
        <w:left w:val="none" w:sz="0" w:space="0" w:color="auto"/>
        <w:bottom w:val="none" w:sz="0" w:space="0" w:color="auto"/>
        <w:right w:val="none" w:sz="0" w:space="0" w:color="auto"/>
      </w:divBdr>
    </w:div>
    <w:div w:id="2102486450">
      <w:bodyDiv w:val="1"/>
      <w:marLeft w:val="0"/>
      <w:marRight w:val="0"/>
      <w:marTop w:val="0"/>
      <w:marBottom w:val="0"/>
      <w:divBdr>
        <w:top w:val="none" w:sz="0" w:space="0" w:color="auto"/>
        <w:left w:val="none" w:sz="0" w:space="0" w:color="auto"/>
        <w:bottom w:val="none" w:sz="0" w:space="0" w:color="auto"/>
        <w:right w:val="none" w:sz="0" w:space="0" w:color="auto"/>
      </w:divBdr>
    </w:div>
    <w:div w:id="2127888767">
      <w:bodyDiv w:val="1"/>
      <w:marLeft w:val="0"/>
      <w:marRight w:val="0"/>
      <w:marTop w:val="0"/>
      <w:marBottom w:val="0"/>
      <w:divBdr>
        <w:top w:val="none" w:sz="0" w:space="0" w:color="auto"/>
        <w:left w:val="none" w:sz="0" w:space="0" w:color="auto"/>
        <w:bottom w:val="none" w:sz="0" w:space="0" w:color="auto"/>
        <w:right w:val="none" w:sz="0" w:space="0" w:color="auto"/>
      </w:divBdr>
    </w:div>
    <w:div w:id="21455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info/industry/listing/elements/pbac-meetings/psd/2007-03/pbac-psd-infliximab-mar07" TargetMode="External"/><Relationship Id="rId18" Type="http://schemas.openxmlformats.org/officeDocument/2006/relationships/hyperlink" Target="http://www.pbs.gov.au/info/industry/listing/elements/pbac-meetings/psd/2015-03/vedolizumab-entyvio-2-psd-03-2015" TargetMode="External"/><Relationship Id="rId26" Type="http://schemas.openxmlformats.org/officeDocument/2006/relationships/image" Target="media/image1.png"/><Relationship Id="rId39" Type="http://schemas.openxmlformats.org/officeDocument/2006/relationships/hyperlink" Target="https://www.ncbi.nlm.nih.gov/pubmed/?term=Cominelli%20F%5BAuthor%5D&amp;cauthor=true&amp;cauthor_uid=25619458" TargetMode="External"/><Relationship Id="rId3" Type="http://schemas.openxmlformats.org/officeDocument/2006/relationships/styles" Target="styles.xml"/><Relationship Id="rId21" Type="http://schemas.openxmlformats.org/officeDocument/2006/relationships/hyperlink" Target="http://www.pbs.gov.au/info/industry/listing/elements/dusc-meetings/dos" TargetMode="External"/><Relationship Id="rId34" Type="http://schemas.openxmlformats.org/officeDocument/2006/relationships/hyperlink" Target="http://www.pbs.gov.au/info/industry/listing/participants/public-release-docs/Crohns-disease-adalimumab-and-infliximab" TargetMode="External"/><Relationship Id="rId42" Type="http://schemas.openxmlformats.org/officeDocument/2006/relationships/hyperlink" Target="http://www.pbs.gov.au/pbs/home" TargetMode="Externa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central.health\DFSGroupData\Sites\CO1\CO\PBD\PEB\EVAL\DUSC\DUSC%20Documents\Predicted%20vs%20actual%20usage\PvA%20-%202017%20Jun\Crohn\pbs.gov.au" TargetMode="External"/><Relationship Id="rId17" Type="http://schemas.openxmlformats.org/officeDocument/2006/relationships/hyperlink" Target="http://www.pbs.gov.au/industry/listing/elements/pbac-meetings/psd/2014-11/files/adalimumab-psd-11-2014.pdf" TargetMode="External"/><Relationship Id="rId25" Type="http://schemas.openxmlformats.org/officeDocument/2006/relationships/hyperlink" Target="http://www.pbs.gov.au/info/industry/listing/elements/pbac-meetings/psd/2015-03/vedolizumab-entyvio-2-psd-03-2015" TargetMode="External"/><Relationship Id="rId33" Type="http://schemas.openxmlformats.org/officeDocument/2006/relationships/image" Target="media/image7.png"/><Relationship Id="rId38" Type="http://schemas.openxmlformats.org/officeDocument/2006/relationships/hyperlink" Target="https://www.ncbi.nlm.nih.gov/pubmed/?term=Ho%20EY%5BAuthor%5D&amp;cauthor=true&amp;cauthor_uid=25619458"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bs.gov.au/info/industry/listing/elements/pbac-meetings/psd/2010-03/pbac-psd-Infliximab-mar10" TargetMode="External"/><Relationship Id="rId20" Type="http://schemas.openxmlformats.org/officeDocument/2006/relationships/hyperlink" Target="http://www.pbs.gov.au/info/industry/listing/elements/pbac-meetings/pbac-outcomes/pbac-outcomes-2015-07" TargetMode="External"/><Relationship Id="rId29" Type="http://schemas.openxmlformats.org/officeDocument/2006/relationships/hyperlink" Target="http://www.pbs.gov.au/info/industry/listing/participants/public-release-docs/Crohns-disease-adalimumab-and-infliximab" TargetMode="External"/><Relationship Id="rId41" Type="http://schemas.openxmlformats.org/officeDocument/2006/relationships/hyperlink" Target="https://www.ncbi.nlm.nih.gov/pubmed/256194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australian-register-therapeutic-goods" TargetMode="External"/><Relationship Id="rId24" Type="http://schemas.openxmlformats.org/officeDocument/2006/relationships/hyperlink" Target="http://www.pbs.gov.au/info/industry/listing/participants/public-release-docs/Crohns-disease-adalimumab-and-infliximab" TargetMode="External"/><Relationship Id="rId32" Type="http://schemas.openxmlformats.org/officeDocument/2006/relationships/image" Target="media/image6.png"/><Relationship Id="rId37" Type="http://schemas.openxmlformats.org/officeDocument/2006/relationships/hyperlink" Target="http://www.pbs.gov.au/info/industry/listing/participants/public-release-docs/Crohns-disease-adalimumab-and-infliximab" TargetMode="External"/><Relationship Id="rId40" Type="http://schemas.openxmlformats.org/officeDocument/2006/relationships/hyperlink" Target="https://www.ncbi.nlm.nih.gov/pubmed/?term=Katz%20J%5BAuthor%5D&amp;cauthor=true&amp;cauthor_uid=25619458"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bs.gov.au/info/industry/listing/elements/pbac-meetings/psd/2007-11/pbac-psd-adalimumab-nov07" TargetMode="External"/><Relationship Id="rId23" Type="http://schemas.openxmlformats.org/officeDocument/2006/relationships/hyperlink" Target="http://www.pbs.gov.au/info/industry/listing/participants/public-release-docs/Crohns-disease-adalimumab-and-infliximab" TargetMode="External"/><Relationship Id="rId28" Type="http://schemas.openxmlformats.org/officeDocument/2006/relationships/image" Target="media/image3.png"/><Relationship Id="rId36" Type="http://schemas.openxmlformats.org/officeDocument/2006/relationships/image" Target="media/image8.png"/><Relationship Id="rId49" Type="http://schemas.openxmlformats.org/officeDocument/2006/relationships/theme" Target="theme/theme1.xml"/><Relationship Id="rId10" Type="http://schemas.openxmlformats.org/officeDocument/2006/relationships/hyperlink" Target="file:///\\central.health\DFSGroupData\Sites\CO1\CO\PBD\PEB\EVAL\DUSC\DUSC%20Documents\Predicted%20vs%20actual%20usage\pbs.gov.au" TargetMode="External"/><Relationship Id="rId19" Type="http://schemas.openxmlformats.org/officeDocument/2006/relationships/hyperlink" Target="http://www.pbs.gov.au/info/industry/listing/elements/pbac-meetings/pbac-outcomes/2015-03" TargetMode="External"/><Relationship Id="rId31" Type="http://schemas.openxmlformats.org/officeDocument/2006/relationships/image" Target="media/image5.png"/><Relationship Id="rId44" Type="http://schemas.openxmlformats.org/officeDocument/2006/relationships/hyperlink" Target="http://www.pbs.gov.au/pbs/home" TargetMode="Externa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07-07/pbac-psd-infliximab-july07" TargetMode="External"/><Relationship Id="rId22" Type="http://schemas.openxmlformats.org/officeDocument/2006/relationships/hyperlink" Target="http://www.pbs.gov.au/info/industry/listing/participants/public-release-docs/Crohns-disease-adalimumab-and-infliximab" TargetMode="External"/><Relationship Id="rId27" Type="http://schemas.openxmlformats.org/officeDocument/2006/relationships/image" Target="media/image2.png"/><Relationship Id="rId30" Type="http://schemas.openxmlformats.org/officeDocument/2006/relationships/image" Target="media/image4.png"/><Relationship Id="rId35" Type="http://schemas.openxmlformats.org/officeDocument/2006/relationships/hyperlink" Target="http://www.pbs.gov.au/info/industry/pricing/pbs-items/price-reductions" TargetMode="External"/><Relationship Id="rId43" Type="http://schemas.openxmlformats.org/officeDocument/2006/relationships/hyperlink" Target="http://www.pbs.gov.au/pbs/home"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tga.gov.au/australian-register-therapeutic-goods" TargetMode="External"/><Relationship Id="rId1" Type="http://schemas.openxmlformats.org/officeDocument/2006/relationships/hyperlink" Target="https://www.tga.gov.au/australian-register-therapeutic-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CEA2-EDBB-4459-8F1B-D27FD31A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12594</Words>
  <Characters>71788</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2017-10-20T02:19:00Z</dcterms:created>
  <dcterms:modified xsi:type="dcterms:W3CDTF">2017-10-20T02:19:00Z</dcterms:modified>
</cp:coreProperties>
</file>