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Pr="00F04FC5" w:rsidRDefault="003D6F8C" w:rsidP="00F73113">
      <w:pPr>
        <w:pStyle w:val="Title"/>
        <w:rPr>
          <w:color w:val="000000" w:themeColor="text1"/>
        </w:rPr>
      </w:pPr>
      <w:r w:rsidRPr="00F04FC5">
        <w:rPr>
          <w:color w:val="000000" w:themeColor="text1"/>
        </w:rPr>
        <w:t>Imatinib</w:t>
      </w:r>
      <w:r w:rsidR="001C4016" w:rsidRPr="00F04FC5">
        <w:rPr>
          <w:color w:val="000000" w:themeColor="text1"/>
        </w:rPr>
        <w:t xml:space="preserve">: </w:t>
      </w:r>
      <w:r w:rsidRPr="00F04FC5">
        <w:rPr>
          <w:color w:val="000000" w:themeColor="text1"/>
        </w:rPr>
        <w:t xml:space="preserve">24 month review </w:t>
      </w:r>
      <w:r w:rsidR="0018634E" w:rsidRPr="00F04FC5">
        <w:rPr>
          <w:color w:val="000000" w:themeColor="text1"/>
        </w:rPr>
        <w:t>of adjuvan</w:t>
      </w:r>
      <w:bookmarkStart w:id="0" w:name="_GoBack"/>
      <w:bookmarkEnd w:id="0"/>
      <w:r w:rsidR="0018634E" w:rsidRPr="00F04FC5">
        <w:rPr>
          <w:color w:val="000000" w:themeColor="text1"/>
        </w:rPr>
        <w:t xml:space="preserve">t treatment for </w:t>
      </w:r>
      <w:r w:rsidR="008050B3" w:rsidRPr="00A25C67">
        <w:t xml:space="preserve">gastrointestinal stromal tumours </w:t>
      </w:r>
      <w:r w:rsidR="008050B3">
        <w:t>(</w:t>
      </w:r>
      <w:r w:rsidR="0018634E" w:rsidRPr="00F04FC5">
        <w:rPr>
          <w:color w:val="000000" w:themeColor="text1"/>
        </w:rPr>
        <w:t>GIST</w:t>
      </w:r>
      <w:r w:rsidR="008050B3">
        <w:rPr>
          <w:color w:val="000000" w:themeColor="text1"/>
        </w:rPr>
        <w:t>)</w:t>
      </w:r>
    </w:p>
    <w:p w:rsidR="00736041" w:rsidRDefault="009053D3" w:rsidP="00F73113">
      <w:pPr>
        <w:pStyle w:val="Title2"/>
      </w:pPr>
      <w:r>
        <w:t>D</w:t>
      </w:r>
      <w:r w:rsidR="00832324" w:rsidRPr="0063631C">
        <w:t xml:space="preserve">rug utilisation sub-committee </w:t>
      </w:r>
      <w:r w:rsidR="00832324">
        <w:t>(DUSC)</w:t>
      </w:r>
    </w:p>
    <w:p w:rsidR="009053D3" w:rsidRPr="00F73113" w:rsidRDefault="003D6F8C" w:rsidP="00F73113">
      <w:pPr>
        <w:pStyle w:val="Meetingdate"/>
      </w:pPr>
      <w:r>
        <w:t>February 2017</w:t>
      </w:r>
    </w:p>
    <w:p w:rsidR="00043BBE" w:rsidRDefault="00043BBE" w:rsidP="009B74C2">
      <w:pPr>
        <w:pStyle w:val="Heading2"/>
      </w:pPr>
      <w:r>
        <w:t>Abstract</w:t>
      </w:r>
    </w:p>
    <w:p w:rsidR="00043BBE" w:rsidRDefault="00043BBE" w:rsidP="009B74C2">
      <w:pPr>
        <w:pStyle w:val="Heading3"/>
      </w:pPr>
      <w:r>
        <w:t>Purpose</w:t>
      </w:r>
    </w:p>
    <w:p w:rsidR="00043BBE" w:rsidRPr="00910549" w:rsidRDefault="00130CE0" w:rsidP="009B74C2">
      <w:pPr>
        <w:pStyle w:val="NoSpacing"/>
      </w:pPr>
      <w:r w:rsidRPr="00910549">
        <w:t xml:space="preserve">DUSC considered a review of adjuvant therapy with imatinib for </w:t>
      </w:r>
      <w:r w:rsidR="008050B3" w:rsidRPr="00A25C67">
        <w:t xml:space="preserve">gastrointestinal stromal tumours </w:t>
      </w:r>
      <w:r w:rsidR="008050B3">
        <w:t>(</w:t>
      </w:r>
      <w:r w:rsidRPr="00910549">
        <w:t>GIST</w:t>
      </w:r>
      <w:r w:rsidR="008050B3">
        <w:t>)</w:t>
      </w:r>
      <w:r w:rsidRPr="00910549">
        <w:t xml:space="preserve"> at its October 2013 meeting. </w:t>
      </w:r>
      <w:r w:rsidR="00AF1066" w:rsidRPr="00910549">
        <w:t xml:space="preserve">The adjuvant listing for imatinib was extended to allow an increase in its total treatment duration from 12 months to 36 months from </w:t>
      </w:r>
      <w:r w:rsidR="00D65E12">
        <w:br/>
      </w:r>
      <w:r w:rsidR="00AF1066" w:rsidRPr="00910549">
        <w:t xml:space="preserve">1 December 2013. </w:t>
      </w:r>
      <w:r w:rsidRPr="00910549">
        <w:t xml:space="preserve">DUSC requested a further </w:t>
      </w:r>
      <w:r w:rsidR="00AF1066" w:rsidRPr="00910549">
        <w:t xml:space="preserve">utilisation </w:t>
      </w:r>
      <w:r w:rsidRPr="00910549">
        <w:t xml:space="preserve">analysis of imatinib 24 months </w:t>
      </w:r>
      <w:r w:rsidR="00AF1066" w:rsidRPr="00910549">
        <w:t>after its listing extension</w:t>
      </w:r>
      <w:r w:rsidRPr="00910549">
        <w:t xml:space="preserve">. </w:t>
      </w:r>
    </w:p>
    <w:p w:rsidR="00043BBE" w:rsidRDefault="00043BBE" w:rsidP="009B74C2">
      <w:pPr>
        <w:pStyle w:val="Heading3"/>
      </w:pPr>
      <w:r>
        <w:t>Data Source / methodology</w:t>
      </w:r>
    </w:p>
    <w:p w:rsidR="00DC728A" w:rsidRPr="009B74C2" w:rsidRDefault="00DC728A" w:rsidP="009B74C2">
      <w:pPr>
        <w:pStyle w:val="NoSpacing"/>
      </w:pPr>
      <w:r w:rsidRPr="009B74C2">
        <w:t xml:space="preserve">Prescriptions for patient level and </w:t>
      </w:r>
      <w:r w:rsidR="008050B3" w:rsidRPr="009B74C2">
        <w:t>predicted versus actual</w:t>
      </w:r>
      <w:r w:rsidRPr="009B74C2">
        <w:t xml:space="preserve"> analyses were extracted from the Department of Human Services (DHS) prescription database for prescriptions supplied from the February 2004 to September 2016. </w:t>
      </w:r>
    </w:p>
    <w:p w:rsidR="00043BBE" w:rsidRDefault="00043BBE" w:rsidP="009B74C2">
      <w:pPr>
        <w:pStyle w:val="Heading3"/>
      </w:pPr>
      <w:r w:rsidRPr="00C44D5D">
        <w:t>Key Findings</w:t>
      </w:r>
    </w:p>
    <w:p w:rsidR="004302A5" w:rsidRDefault="004302A5" w:rsidP="009B74C2">
      <w:pPr>
        <w:pStyle w:val="NoSpacing"/>
        <w:numPr>
          <w:ilvl w:val="0"/>
          <w:numId w:val="11"/>
        </w:numPr>
      </w:pPr>
      <w:r>
        <w:t xml:space="preserve">In the first two years from the extension to the listing on the PBS on 1 December 2013, 449 patients were supplied imatinib for the adjuvant treatment of GIST. </w:t>
      </w:r>
    </w:p>
    <w:p w:rsidR="00C44D5D" w:rsidRDefault="00C44D5D" w:rsidP="009B74C2">
      <w:pPr>
        <w:pStyle w:val="NoSpacing"/>
        <w:numPr>
          <w:ilvl w:val="0"/>
          <w:numId w:val="11"/>
        </w:numPr>
      </w:pPr>
      <w:r>
        <w:t>The number of prescriptions was lower than predicted</w:t>
      </w:r>
      <w:r w:rsidR="008050B3">
        <w:t>.</w:t>
      </w:r>
    </w:p>
    <w:p w:rsidR="004302A5" w:rsidRDefault="004302A5" w:rsidP="009B74C2">
      <w:pPr>
        <w:pStyle w:val="NoSpacing"/>
        <w:numPr>
          <w:ilvl w:val="0"/>
          <w:numId w:val="11"/>
        </w:numPr>
      </w:pPr>
      <w:r>
        <w:t xml:space="preserve">Persistence on imatinib at Year 2 was lower than estimated. </w:t>
      </w:r>
    </w:p>
    <w:p w:rsidR="00C44D5D" w:rsidRPr="00043494" w:rsidRDefault="00C44D5D" w:rsidP="009B74C2">
      <w:pPr>
        <w:pStyle w:val="NoSpacing"/>
        <w:numPr>
          <w:ilvl w:val="0"/>
          <w:numId w:val="11"/>
        </w:numPr>
      </w:pPr>
      <w:r>
        <w:t xml:space="preserve">The total net expenditure was higher than expected, likely due to the higher than predicted average daily dose. </w:t>
      </w:r>
    </w:p>
    <w:p w:rsidR="00BB0D1A" w:rsidRDefault="00BB0D1A">
      <w:pPr>
        <w:spacing w:line="276" w:lineRule="auto"/>
        <w:rPr>
          <w:rFonts w:eastAsiaTheme="majorEastAsia" w:cstheme="majorBidi"/>
          <w:b/>
          <w:bCs/>
          <w:sz w:val="32"/>
          <w:szCs w:val="26"/>
        </w:rPr>
      </w:pPr>
      <w:r>
        <w:br w:type="page"/>
      </w:r>
    </w:p>
    <w:p w:rsidR="00043BBE" w:rsidRPr="00775DD7" w:rsidRDefault="00043BBE" w:rsidP="00775DD7">
      <w:pPr>
        <w:pStyle w:val="Heading2"/>
        <w:spacing w:before="480" w:after="240"/>
        <w:rPr>
          <w:rFonts w:eastAsiaTheme="majorEastAsia" w:cstheme="majorBidi"/>
          <w:bCs/>
          <w:sz w:val="32"/>
          <w:szCs w:val="32"/>
        </w:rPr>
      </w:pPr>
      <w:r w:rsidRPr="00775DD7">
        <w:rPr>
          <w:rFonts w:eastAsiaTheme="majorEastAsia" w:cstheme="majorBidi"/>
          <w:bCs/>
          <w:sz w:val="32"/>
          <w:szCs w:val="32"/>
        </w:rPr>
        <w:lastRenderedPageBreak/>
        <w:t>Purpose of analysis</w:t>
      </w:r>
    </w:p>
    <w:p w:rsidR="00AF1066" w:rsidRPr="00910549" w:rsidRDefault="00AF1066" w:rsidP="00775DD7">
      <w:pPr>
        <w:spacing w:after="0"/>
      </w:pPr>
      <w:r w:rsidRPr="00910549">
        <w:t xml:space="preserve">DUSC considered a review of adjuvant therapy with imatinib for </w:t>
      </w:r>
      <w:r w:rsidR="008050B3" w:rsidRPr="00A25C67">
        <w:t xml:space="preserve">gastrointestinal stromal tumours </w:t>
      </w:r>
      <w:r w:rsidR="008050B3">
        <w:t>(</w:t>
      </w:r>
      <w:r w:rsidRPr="00910549">
        <w:t>GIST</w:t>
      </w:r>
      <w:r w:rsidR="008050B3">
        <w:t>)</w:t>
      </w:r>
      <w:r w:rsidRPr="00910549">
        <w:t xml:space="preserve"> at its October 2013 meeting. The adjuvant listing for imatinib was extended to allow an increase in its total treatment duration from 12 months to 36 months from </w:t>
      </w:r>
      <w:r w:rsidR="00D65E12">
        <w:br/>
      </w:r>
      <w:r w:rsidRPr="00910549">
        <w:t xml:space="preserve">1 December 2013. DUSC requested a further utilisation analysis of imatinib 24 months after its listing extension. </w:t>
      </w:r>
    </w:p>
    <w:p w:rsidR="006537D9" w:rsidRPr="005E22C2" w:rsidRDefault="00736041" w:rsidP="00775DD7">
      <w:pPr>
        <w:pStyle w:val="Heading1"/>
      </w:pPr>
      <w:r w:rsidRPr="005E22C2">
        <w:t>Background</w:t>
      </w:r>
    </w:p>
    <w:p w:rsidR="007247B9" w:rsidRDefault="007247B9" w:rsidP="00CF5E22">
      <w:pPr>
        <w:pStyle w:val="Heading2"/>
      </w:pPr>
      <w:r>
        <w:t>Pharmacology</w:t>
      </w:r>
    </w:p>
    <w:p w:rsidR="00873B85" w:rsidRDefault="00910549" w:rsidP="00910549">
      <w:r w:rsidRPr="001C1335">
        <w:t xml:space="preserve">Imatinib is a small molecule protein-tyrosine kinase inhibitor that potently inhibits the activity of the </w:t>
      </w:r>
      <w:proofErr w:type="spellStart"/>
      <w:r w:rsidRPr="001C1335">
        <w:t>Bcr-Abl</w:t>
      </w:r>
      <w:proofErr w:type="spellEnd"/>
      <w:r w:rsidRPr="001C1335">
        <w:t xml:space="preserve"> tyrosine kinase (TK), as well as several receptor TKs:  K</w:t>
      </w:r>
      <w:r w:rsidR="00C44D5D">
        <w:t>IT</w:t>
      </w:r>
      <w:r w:rsidRPr="001C1335">
        <w:t xml:space="preserve">, the receptor for stem cell factor (SCF) coded </w:t>
      </w:r>
      <w:r w:rsidR="00792CA9">
        <w:t>for by the c-Kit proto-oncogene;</w:t>
      </w:r>
      <w:r w:rsidRPr="001C1335">
        <w:t xml:space="preserve"> the </w:t>
      </w:r>
      <w:proofErr w:type="spellStart"/>
      <w:r w:rsidRPr="001C1335">
        <w:t>discoidin</w:t>
      </w:r>
      <w:proofErr w:type="spellEnd"/>
      <w:r w:rsidRPr="001C1335">
        <w:t xml:space="preserve"> d</w:t>
      </w:r>
      <w:r w:rsidR="00792CA9">
        <w:t>omain receptors (DDR1 and DDR2);</w:t>
      </w:r>
      <w:r w:rsidRPr="001C1335">
        <w:t xml:space="preserve"> the colony stimulating factor receptor (CSF-1R)</w:t>
      </w:r>
      <w:r w:rsidR="00792CA9">
        <w:t>;</w:t>
      </w:r>
      <w:r w:rsidRPr="001C1335">
        <w:t xml:space="preserve"> and the platelet-derived growth factor receptors alpha and beta (PDGFR-alpha and PDGFR-beta). Imatinib can also inhibit cellular events mediated by activation of these receptor kinases</w:t>
      </w:r>
      <w:r>
        <w:t>.</w:t>
      </w:r>
    </w:p>
    <w:p w:rsidR="00873B85" w:rsidRDefault="00873B85" w:rsidP="00910549">
      <w:r>
        <w:t xml:space="preserve">For further details see the current </w:t>
      </w:r>
      <w:hyperlink r:id="rId9" w:history="1">
        <w:r w:rsidRPr="00262664">
          <w:rPr>
            <w:rStyle w:val="Hyperlink"/>
          </w:rPr>
          <w:t>Product Information</w:t>
        </w:r>
      </w:hyperlink>
      <w:r>
        <w:t xml:space="preserve"> (PI).</w:t>
      </w:r>
    </w:p>
    <w:p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910549" w:rsidRDefault="00910549" w:rsidP="00910549">
      <w:r>
        <w:t>Imatinib is indicated for adjuvant treatment of adult patients at high risk of recurrence following complete gross resection of KIT (CD117)-positive primary GIST.</w:t>
      </w:r>
    </w:p>
    <w:p w:rsidR="00910549" w:rsidRDefault="00910549" w:rsidP="00910549">
      <w:r>
        <w:t xml:space="preserve">Imatinib is also indicated for </w:t>
      </w:r>
      <w:r w:rsidRPr="00A25C67">
        <w:t>treatmen</w:t>
      </w:r>
      <w:r w:rsidR="003F5B00">
        <w:t>t of patients with KIT</w:t>
      </w:r>
      <w:r w:rsidRPr="00A25C67">
        <w:t xml:space="preserve"> (CD117)</w:t>
      </w:r>
      <w:r>
        <w:t>-</w:t>
      </w:r>
      <w:r w:rsidRPr="00A25C67">
        <w:t xml:space="preserve">positive </w:t>
      </w:r>
      <w:proofErr w:type="spellStart"/>
      <w:r w:rsidRPr="00A25C67">
        <w:t>unresectable</w:t>
      </w:r>
      <w:proofErr w:type="spellEnd"/>
      <w:r w:rsidRPr="00A25C67">
        <w:t xml:space="preserve"> and/or metastatic malignant GIST</w:t>
      </w:r>
      <w:r>
        <w:t>.</w:t>
      </w:r>
    </w:p>
    <w:p w:rsidR="00910549" w:rsidRDefault="00910549" w:rsidP="00910549">
      <w:r>
        <w:t>In addition</w:t>
      </w:r>
      <w:r w:rsidR="00792CA9">
        <w:t>,</w:t>
      </w:r>
      <w:r>
        <w:t xml:space="preserve"> imatinib is indicated for chronic myeloid leukaemia, </w:t>
      </w:r>
      <w:proofErr w:type="spellStart"/>
      <w:r w:rsidRPr="007A6287">
        <w:t>myelodysplastic</w:t>
      </w:r>
      <w:proofErr w:type="spellEnd"/>
      <w:r w:rsidRPr="007A6287">
        <w:t>/</w:t>
      </w:r>
      <w:proofErr w:type="spellStart"/>
      <w:r w:rsidRPr="007A6287">
        <w:t>myeloproliferative</w:t>
      </w:r>
      <w:proofErr w:type="spellEnd"/>
      <w:r w:rsidRPr="007A6287">
        <w:t xml:space="preserve"> diseases</w:t>
      </w:r>
      <w:r>
        <w:t>, and a range of other rare diseases.</w:t>
      </w:r>
    </w:p>
    <w:p w:rsidR="00910549" w:rsidRPr="002F61CA" w:rsidRDefault="00910549" w:rsidP="00910549">
      <w:r>
        <w:t>For full details see t</w:t>
      </w:r>
      <w:r w:rsidRPr="007A6287">
        <w:t xml:space="preserve">he current </w:t>
      </w:r>
      <w:hyperlink r:id="rId10" w:history="1">
        <w:r w:rsidRPr="00262664">
          <w:rPr>
            <w:rStyle w:val="Hyperlink"/>
          </w:rPr>
          <w:t>Product Information</w:t>
        </w:r>
      </w:hyperlink>
      <w:r w:rsidRPr="007A6287">
        <w:t xml:space="preserve"> (PI) and </w:t>
      </w:r>
      <w:hyperlink r:id="rId11" w:history="1">
        <w:r w:rsidRPr="00262664">
          <w:rPr>
            <w:rStyle w:val="Hyperlink"/>
          </w:rPr>
          <w:t>Consumer Medicine Information</w:t>
        </w:r>
      </w:hyperlink>
      <w:r w:rsidRPr="007A6287">
        <w:t xml:space="preserve"> (CMI</w:t>
      </w:r>
      <w:r>
        <w:t xml:space="preserve">). </w:t>
      </w:r>
    </w:p>
    <w:p w:rsidR="006B709B" w:rsidRDefault="006B709B" w:rsidP="00CF5E22">
      <w:pPr>
        <w:pStyle w:val="Heading2"/>
      </w:pPr>
      <w:r>
        <w:t>Dosage and administration</w:t>
      </w:r>
    </w:p>
    <w:p w:rsidR="00910549" w:rsidRDefault="00910549" w:rsidP="00A35800">
      <w:r>
        <w:t>The recommended dose of imatinib for the adjuvant treatment of adult patients following resection of GIST is 400 mg/day. In clinical trials, both 1-year and 3-year durations of treatment were studied. The optimal duration</w:t>
      </w:r>
      <w:r w:rsidR="005A1C49">
        <w:t xml:space="preserve"> of treatment</w:t>
      </w:r>
      <w:r>
        <w:t xml:space="preserve"> with imatinib is not known.</w:t>
      </w:r>
    </w:p>
    <w:p w:rsidR="00BB72D7" w:rsidRDefault="00BB72D7">
      <w:pPr>
        <w:spacing w:line="276" w:lineRule="auto"/>
        <w:rPr>
          <w:b/>
          <w:sz w:val="28"/>
        </w:rPr>
      </w:pPr>
      <w:r>
        <w:br w:type="page"/>
      </w:r>
    </w:p>
    <w:p w:rsidR="001420B3" w:rsidRPr="007247B9" w:rsidRDefault="001420B3" w:rsidP="00CF5E22">
      <w:pPr>
        <w:pStyle w:val="Heading2"/>
      </w:pPr>
      <w:r w:rsidRPr="007247B9">
        <w:lastRenderedPageBreak/>
        <w:t>Clinical situation</w:t>
      </w:r>
    </w:p>
    <w:p w:rsidR="0012197F" w:rsidRDefault="006C2C43" w:rsidP="00A35800">
      <w:r>
        <w:t>Gastrointestinal stromal tumours (GIST</w:t>
      </w:r>
      <w:r w:rsidR="00592F60">
        <w:t xml:space="preserve">), which occur in the muscular layer of the digestive tract, comprise </w:t>
      </w:r>
      <w:r w:rsidR="00373733">
        <w:t xml:space="preserve">approximately 1% of all gastrointestinal </w:t>
      </w:r>
      <w:r w:rsidR="00EE3AB0">
        <w:t>tumour</w:t>
      </w:r>
      <w:r w:rsidR="00592F60">
        <w:t>s. Due to the rare nature of the condition</w:t>
      </w:r>
      <w:r w:rsidR="00EE3AB0">
        <w:t xml:space="preserve">, </w:t>
      </w:r>
      <w:r w:rsidR="00373733">
        <w:t>GIST</w:t>
      </w:r>
      <w:r w:rsidR="00592F60">
        <w:t xml:space="preserve"> is</w:t>
      </w:r>
      <w:r w:rsidR="00373733">
        <w:t xml:space="preserve"> not routinely reported in publications of cancer incide</w:t>
      </w:r>
      <w:r w:rsidR="00EE3AB0">
        <w:t xml:space="preserve">nce and prevalence by the </w:t>
      </w:r>
      <w:r w:rsidR="006C593C">
        <w:t>Australian Institute of Health and Welfare (</w:t>
      </w:r>
      <w:r w:rsidR="00EE3AB0">
        <w:t>AIHW</w:t>
      </w:r>
      <w:r w:rsidR="006C593C">
        <w:t>)</w:t>
      </w:r>
      <w:r w:rsidR="00D405CB">
        <w:t>;</w:t>
      </w:r>
      <w:r w:rsidR="00EE3AB0">
        <w:t xml:space="preserve"> however</w:t>
      </w:r>
      <w:r w:rsidR="00D405CB">
        <w:t>,</w:t>
      </w:r>
      <w:r w:rsidR="00EE3AB0">
        <w:t xml:space="preserve"> the estimated prevalence reported in the literature is around 15 per million</w:t>
      </w:r>
      <w:r w:rsidR="00DC0A47">
        <w:t xml:space="preserve"> (</w:t>
      </w:r>
      <w:proofErr w:type="spellStart"/>
      <w:r w:rsidR="00DC0A47">
        <w:t>Vilain</w:t>
      </w:r>
      <w:proofErr w:type="spellEnd"/>
      <w:r w:rsidR="00DC0A47">
        <w:t xml:space="preserve">  and </w:t>
      </w:r>
      <w:proofErr w:type="spellStart"/>
      <w:r w:rsidR="00DC0A47" w:rsidRPr="005874D3">
        <w:t>Ackland</w:t>
      </w:r>
      <w:proofErr w:type="spellEnd"/>
      <w:r w:rsidR="00DC0A47">
        <w:t>, 2008)</w:t>
      </w:r>
      <w:r w:rsidR="00EE3AB0">
        <w:t xml:space="preserve">. </w:t>
      </w:r>
      <w:r w:rsidR="00592F60">
        <w:t xml:space="preserve">Most </w:t>
      </w:r>
      <w:proofErr w:type="gramStart"/>
      <w:r w:rsidR="00592F60">
        <w:t>GIST</w:t>
      </w:r>
      <w:proofErr w:type="gramEnd"/>
      <w:r w:rsidR="00592F60">
        <w:t xml:space="preserve"> are caused by activation of the KIT proto-oncogene, which encodes a tyrosine-kinase receptor</w:t>
      </w:r>
      <w:r w:rsidR="00DC0A47">
        <w:t xml:space="preserve"> (</w:t>
      </w:r>
      <w:proofErr w:type="spellStart"/>
      <w:r w:rsidR="00DC0A47" w:rsidRPr="00B3204B">
        <w:t>Demetri</w:t>
      </w:r>
      <w:proofErr w:type="spellEnd"/>
      <w:r w:rsidR="00DC0A47" w:rsidRPr="00DC0A47">
        <w:t xml:space="preserve"> et al., 2012)</w:t>
      </w:r>
      <w:r w:rsidR="00592F60">
        <w:t xml:space="preserve">. </w:t>
      </w:r>
      <w:r w:rsidR="0012197F">
        <w:t>GIST can be readily identified by</w:t>
      </w:r>
      <w:r w:rsidR="00A57545">
        <w:t xml:space="preserve"> testing for a specific marker,</w:t>
      </w:r>
      <w:r w:rsidR="00CF34A3">
        <w:t xml:space="preserve"> the expression of KIT </w:t>
      </w:r>
      <w:r w:rsidR="00D405CB">
        <w:t>(</w:t>
      </w:r>
      <w:r w:rsidR="00CF34A3">
        <w:t>also called</w:t>
      </w:r>
      <w:r w:rsidR="0012197F">
        <w:t xml:space="preserve"> CD117</w:t>
      </w:r>
      <w:r w:rsidR="00D405CB">
        <w:t>)</w:t>
      </w:r>
      <w:r w:rsidR="00F20D9A">
        <w:t>,</w:t>
      </w:r>
      <w:r w:rsidR="0012197F">
        <w:t xml:space="preserve"> </w:t>
      </w:r>
      <w:r w:rsidR="00A57545">
        <w:t xml:space="preserve">with </w:t>
      </w:r>
      <w:proofErr w:type="spellStart"/>
      <w:r w:rsidR="00F20D9A">
        <w:t>immunohistochemical</w:t>
      </w:r>
      <w:proofErr w:type="spellEnd"/>
      <w:r w:rsidR="00F20D9A">
        <w:t xml:space="preserve"> </w:t>
      </w:r>
      <w:r w:rsidR="0012197F">
        <w:t>staining.</w:t>
      </w:r>
      <w:r w:rsidR="00F20D9A">
        <w:t xml:space="preserve"> </w:t>
      </w:r>
    </w:p>
    <w:p w:rsidR="006C2C43" w:rsidRDefault="006C2C43" w:rsidP="00A35800">
      <w:pPr>
        <w:rPr>
          <w:color w:val="FF0000"/>
        </w:rPr>
      </w:pPr>
      <w:r>
        <w:t xml:space="preserve">Surgery </w:t>
      </w:r>
      <w:r w:rsidR="0012197F">
        <w:t>is</w:t>
      </w:r>
      <w:r>
        <w:t xml:space="preserve"> the sole treatment for primary localised GIST and </w:t>
      </w:r>
      <w:r w:rsidR="00D405CB">
        <w:t xml:space="preserve">after surgery </w:t>
      </w:r>
      <w:r>
        <w:t xml:space="preserve">most patients </w:t>
      </w:r>
      <w:r w:rsidR="00D405CB">
        <w:t xml:space="preserve">are observed </w:t>
      </w:r>
      <w:r>
        <w:t xml:space="preserve">(‘watchful waiting’). However, surgery alone is not curative for the majority of patients and over 50% of patients will have disease recurrence within two years. Patients at high risk of recurrence and who have </w:t>
      </w:r>
      <w:proofErr w:type="spellStart"/>
      <w:r>
        <w:t>resectable</w:t>
      </w:r>
      <w:proofErr w:type="spellEnd"/>
      <w:r>
        <w:t xml:space="preserve"> GIST may be offered 3-year imatinib adjuvant therapy. Patients remain on imatinib therapy unless they experience a recurrence, at which time the cancer is considered metastatic and the patient has </w:t>
      </w:r>
      <w:r w:rsidR="00C44D5D">
        <w:t>the option to receive imatinib at</w:t>
      </w:r>
      <w:r>
        <w:t xml:space="preserve"> a higher dose (600 mg)</w:t>
      </w:r>
      <w:r w:rsidR="005469B7">
        <w:t>,</w:t>
      </w:r>
      <w:r>
        <w:t xml:space="preserve"> and failing this, </w:t>
      </w:r>
      <w:proofErr w:type="spellStart"/>
      <w:r>
        <w:t>sunitinib</w:t>
      </w:r>
      <w:proofErr w:type="spellEnd"/>
      <w:r>
        <w:t xml:space="preserve"> as metastatic therapy.</w:t>
      </w:r>
    </w:p>
    <w:p w:rsidR="00DF0B13" w:rsidRPr="007247B9" w:rsidRDefault="00DF0B13" w:rsidP="00CF5E22">
      <w:pPr>
        <w:pStyle w:val="Heading2"/>
      </w:pPr>
      <w:r w:rsidRPr="007247B9">
        <w:t>PBS listing details</w:t>
      </w:r>
      <w:r w:rsidR="00D151EB">
        <w:t xml:space="preserve"> (as at </w:t>
      </w:r>
      <w:r w:rsidR="00A91457">
        <w:t>December 2016</w:t>
      </w:r>
      <w:r w:rsidR="00D151EB">
        <w:t>)</w:t>
      </w:r>
    </w:p>
    <w:p w:rsidR="00DF0B13" w:rsidRDefault="00DF0B13" w:rsidP="00A35800">
      <w:r w:rsidRPr="00A91457">
        <w:t>Details of the PBS listing</w:t>
      </w:r>
      <w:r w:rsidR="00CF78EB">
        <w:t>s</w:t>
      </w:r>
      <w:r w:rsidRPr="00A91457">
        <w:t xml:space="preserve"> </w:t>
      </w:r>
      <w:r w:rsidR="00A91457" w:rsidRPr="00A91457">
        <w:t>are presented in Table 1.</w:t>
      </w:r>
      <w:r w:rsidR="00A91457">
        <w:t xml:space="preserve"> </w:t>
      </w:r>
    </w:p>
    <w:p w:rsidR="001420B3" w:rsidRPr="00F63992" w:rsidRDefault="001420B3" w:rsidP="00CF5E22">
      <w:pPr>
        <w:pStyle w:val="Tabletitle"/>
      </w:pPr>
      <w:r w:rsidRPr="00F63992">
        <w:t xml:space="preserve">Table </w:t>
      </w:r>
      <w:r w:rsidR="00716634" w:rsidRPr="00F63992">
        <w:t>1</w:t>
      </w:r>
      <w:r w:rsidRPr="00F63992">
        <w:t xml:space="preserve">: </w:t>
      </w:r>
      <w:r w:rsidR="009663B6" w:rsidRPr="00F63992">
        <w:t>PB</w:t>
      </w:r>
      <w:r w:rsidR="00D151EB" w:rsidRPr="00F63992">
        <w:t xml:space="preserve">S listing of </w:t>
      </w:r>
      <w:r w:rsidR="00C44D5D" w:rsidRPr="00F63992">
        <w:t>imatinib for adjuvant</w:t>
      </w:r>
      <w:r w:rsidR="00716634" w:rsidRPr="00F63992">
        <w:t xml:space="preserve"> GIST</w:t>
      </w:r>
    </w:p>
    <w:tbl>
      <w:tblPr>
        <w:tblStyle w:val="TableGrid"/>
        <w:tblW w:w="9064" w:type="dxa"/>
        <w:tblLayout w:type="fixed"/>
        <w:tblLook w:val="04A0" w:firstRow="1" w:lastRow="0" w:firstColumn="1" w:lastColumn="0" w:noHBand="0" w:noVBand="1"/>
        <w:tblCaption w:val="PBS listing of imatinib for adjuvant GIST"/>
        <w:tblDescription w:val="There are two PBS item codes for imatinib for adjuvant GIST. One is for 60 100 milligram tablets. The other is for 30 400 milligram tablets. "/>
      </w:tblPr>
      <w:tblGrid>
        <w:gridCol w:w="969"/>
        <w:gridCol w:w="2400"/>
        <w:gridCol w:w="1701"/>
        <w:gridCol w:w="850"/>
        <w:gridCol w:w="1040"/>
        <w:gridCol w:w="2104"/>
      </w:tblGrid>
      <w:tr w:rsidR="0093111F" w:rsidRPr="00A35800" w:rsidTr="0093111F">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C44D5D" w:rsidRDefault="0093111F" w:rsidP="00C44D5D">
            <w:pPr>
              <w:pStyle w:val="Tableheading"/>
              <w:rPr>
                <w:sz w:val="20"/>
                <w:szCs w:val="20"/>
              </w:rPr>
            </w:pPr>
            <w:r w:rsidRPr="00A35800">
              <w:rPr>
                <w:sz w:val="20"/>
                <w:szCs w:val="20"/>
              </w:rPr>
              <w:t>Max</w:t>
            </w:r>
            <w:r w:rsidR="00C44D5D">
              <w:rPr>
                <w:sz w:val="20"/>
                <w:szCs w:val="20"/>
              </w:rPr>
              <w:t>imum</w:t>
            </w:r>
          </w:p>
          <w:p w:rsidR="0093111F" w:rsidRPr="00A35800" w:rsidRDefault="00C44D5D" w:rsidP="00C44D5D">
            <w:pPr>
              <w:pStyle w:val="Tableheading"/>
              <w:rPr>
                <w:sz w:val="20"/>
                <w:szCs w:val="20"/>
              </w:rPr>
            </w:pPr>
            <w:r>
              <w:rPr>
                <w:sz w:val="20"/>
                <w:szCs w:val="20"/>
              </w:rPr>
              <w:t>quantity</w:t>
            </w:r>
          </w:p>
        </w:tc>
        <w:tc>
          <w:tcPr>
            <w:tcW w:w="850" w:type="dxa"/>
            <w:shd w:val="clear" w:color="auto" w:fill="BFBFBF" w:themeFill="background1" w:themeFillShade="BF"/>
          </w:tcPr>
          <w:p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04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93111F">
        <w:trPr>
          <w:trHeight w:val="552"/>
          <w:tblHeader/>
        </w:trPr>
        <w:tc>
          <w:tcPr>
            <w:tcW w:w="969" w:type="dxa"/>
            <w:shd w:val="clear" w:color="auto" w:fill="auto"/>
          </w:tcPr>
          <w:p w:rsidR="0093111F" w:rsidRPr="00A35800" w:rsidRDefault="00575E59" w:rsidP="00A35800">
            <w:pPr>
              <w:pStyle w:val="Tablewriting"/>
            </w:pPr>
            <w:r>
              <w:t>5443L</w:t>
            </w:r>
          </w:p>
        </w:tc>
        <w:tc>
          <w:tcPr>
            <w:tcW w:w="2400" w:type="dxa"/>
            <w:shd w:val="clear" w:color="auto" w:fill="auto"/>
          </w:tcPr>
          <w:p w:rsidR="0093111F" w:rsidRPr="00A35800" w:rsidRDefault="00716634" w:rsidP="00575E59">
            <w:pPr>
              <w:pStyle w:val="Tablewriting"/>
            </w:pPr>
            <w:r>
              <w:t xml:space="preserve">Imatinib </w:t>
            </w:r>
            <w:r w:rsidR="00575E59">
              <w:t>1</w:t>
            </w:r>
            <w:r>
              <w:t>00 mg tablet, 30</w:t>
            </w:r>
          </w:p>
        </w:tc>
        <w:tc>
          <w:tcPr>
            <w:tcW w:w="1701" w:type="dxa"/>
            <w:shd w:val="clear" w:color="auto" w:fill="auto"/>
          </w:tcPr>
          <w:p w:rsidR="0093111F" w:rsidRPr="00A35800" w:rsidRDefault="00575E59" w:rsidP="00A35800">
            <w:pPr>
              <w:pStyle w:val="Tablewriting"/>
            </w:pPr>
            <w:r>
              <w:t>60</w:t>
            </w:r>
            <w:r w:rsidR="00716634">
              <w:t xml:space="preserve"> tablets</w:t>
            </w:r>
          </w:p>
        </w:tc>
        <w:tc>
          <w:tcPr>
            <w:tcW w:w="850" w:type="dxa"/>
            <w:shd w:val="clear" w:color="auto" w:fill="auto"/>
          </w:tcPr>
          <w:p w:rsidR="0093111F" w:rsidRPr="00A35800" w:rsidRDefault="00716634" w:rsidP="00A35800">
            <w:pPr>
              <w:pStyle w:val="Tablewriting"/>
            </w:pPr>
            <w:r>
              <w:t>5</w:t>
            </w:r>
          </w:p>
        </w:tc>
        <w:tc>
          <w:tcPr>
            <w:tcW w:w="1040" w:type="dxa"/>
            <w:shd w:val="clear" w:color="auto" w:fill="auto"/>
          </w:tcPr>
          <w:p w:rsidR="0093111F" w:rsidRPr="00A35800" w:rsidRDefault="00716634" w:rsidP="00575E59">
            <w:pPr>
              <w:pStyle w:val="Tablewriting"/>
            </w:pPr>
            <w:r>
              <w:t>$</w:t>
            </w:r>
            <w:r w:rsidR="00575E59">
              <w:t>1576.95</w:t>
            </w:r>
          </w:p>
        </w:tc>
        <w:tc>
          <w:tcPr>
            <w:tcW w:w="2104" w:type="dxa"/>
            <w:shd w:val="clear" w:color="auto" w:fill="auto"/>
          </w:tcPr>
          <w:p w:rsidR="0093111F" w:rsidRPr="00A35800" w:rsidRDefault="00716634" w:rsidP="00A35800">
            <w:pPr>
              <w:pStyle w:val="Tablewriting"/>
            </w:pPr>
            <w:proofErr w:type="spellStart"/>
            <w:r>
              <w:t>Glivec</w:t>
            </w:r>
            <w:proofErr w:type="spellEnd"/>
            <w:r>
              <w:t xml:space="preserve">, </w:t>
            </w:r>
            <w:proofErr w:type="spellStart"/>
            <w:r>
              <w:t>Alphapharm</w:t>
            </w:r>
            <w:r w:rsidR="00373733" w:rsidRPr="00373733">
              <w:rPr>
                <w:vertAlign w:val="superscript"/>
              </w:rPr>
              <w:t>a</w:t>
            </w:r>
            <w:proofErr w:type="spellEnd"/>
          </w:p>
        </w:tc>
      </w:tr>
      <w:tr w:rsidR="00575E59" w:rsidRPr="00A35800" w:rsidTr="0093111F">
        <w:trPr>
          <w:trHeight w:val="546"/>
          <w:tblHeader/>
        </w:trPr>
        <w:tc>
          <w:tcPr>
            <w:tcW w:w="969" w:type="dxa"/>
            <w:shd w:val="clear" w:color="auto" w:fill="auto"/>
          </w:tcPr>
          <w:p w:rsidR="00575E59" w:rsidRPr="00A35800" w:rsidRDefault="00575E59" w:rsidP="00A35800">
            <w:pPr>
              <w:pStyle w:val="Tablewriting"/>
            </w:pPr>
            <w:r>
              <w:t>5444M</w:t>
            </w:r>
          </w:p>
        </w:tc>
        <w:tc>
          <w:tcPr>
            <w:tcW w:w="2400" w:type="dxa"/>
            <w:shd w:val="clear" w:color="auto" w:fill="auto"/>
          </w:tcPr>
          <w:p w:rsidR="00575E59" w:rsidRPr="00A35800" w:rsidRDefault="00575E59" w:rsidP="00A35800">
            <w:pPr>
              <w:pStyle w:val="Tablewriting"/>
            </w:pPr>
            <w:r>
              <w:t>Imatinib 400 mg tablet, 30</w:t>
            </w:r>
          </w:p>
        </w:tc>
        <w:tc>
          <w:tcPr>
            <w:tcW w:w="1701" w:type="dxa"/>
            <w:shd w:val="clear" w:color="auto" w:fill="auto"/>
          </w:tcPr>
          <w:p w:rsidR="00575E59" w:rsidRPr="00A35800" w:rsidRDefault="00575E59" w:rsidP="00A35800">
            <w:pPr>
              <w:pStyle w:val="Tablewriting"/>
            </w:pPr>
            <w:r>
              <w:t>30 tablets</w:t>
            </w:r>
          </w:p>
        </w:tc>
        <w:tc>
          <w:tcPr>
            <w:tcW w:w="850" w:type="dxa"/>
            <w:shd w:val="clear" w:color="auto" w:fill="auto"/>
          </w:tcPr>
          <w:p w:rsidR="00575E59" w:rsidRPr="00A35800" w:rsidRDefault="00575E59" w:rsidP="00A35800">
            <w:pPr>
              <w:pStyle w:val="Tablewriting"/>
            </w:pPr>
            <w:r>
              <w:t>5</w:t>
            </w:r>
          </w:p>
        </w:tc>
        <w:tc>
          <w:tcPr>
            <w:tcW w:w="1040" w:type="dxa"/>
            <w:shd w:val="clear" w:color="auto" w:fill="auto"/>
          </w:tcPr>
          <w:p w:rsidR="00575E59" w:rsidRPr="00A35800" w:rsidRDefault="00575E59" w:rsidP="00A35800">
            <w:pPr>
              <w:pStyle w:val="Tablewriting"/>
            </w:pPr>
            <w:r>
              <w:t>$3047.02</w:t>
            </w:r>
          </w:p>
        </w:tc>
        <w:tc>
          <w:tcPr>
            <w:tcW w:w="2104" w:type="dxa"/>
            <w:shd w:val="clear" w:color="auto" w:fill="auto"/>
          </w:tcPr>
          <w:p w:rsidR="00575E59" w:rsidRPr="00A35800" w:rsidRDefault="00575E59" w:rsidP="00A35800">
            <w:pPr>
              <w:pStyle w:val="Tablewriting"/>
            </w:pPr>
            <w:proofErr w:type="spellStart"/>
            <w:r>
              <w:t>Glivec</w:t>
            </w:r>
            <w:proofErr w:type="spellEnd"/>
            <w:r>
              <w:t xml:space="preserve">, </w:t>
            </w:r>
            <w:proofErr w:type="spellStart"/>
            <w:r>
              <w:t>Alphapharm</w:t>
            </w:r>
            <w:r w:rsidR="00DB4B8A" w:rsidRPr="00373733">
              <w:rPr>
                <w:vertAlign w:val="superscript"/>
              </w:rPr>
              <w:t>a</w:t>
            </w:r>
            <w:proofErr w:type="spellEnd"/>
          </w:p>
        </w:tc>
      </w:tr>
    </w:tbl>
    <w:p w:rsidR="007247B9" w:rsidRDefault="007408C7" w:rsidP="00373733">
      <w:pPr>
        <w:pStyle w:val="Notes"/>
        <w:spacing w:after="0"/>
      </w:pPr>
      <w:r w:rsidRPr="00A35800">
        <w:t xml:space="preserve">Source: </w:t>
      </w:r>
      <w:hyperlink r:id="rId12" w:history="1">
        <w:r w:rsidR="001624D7" w:rsidRPr="00262664">
          <w:rPr>
            <w:rStyle w:val="Hyperlink"/>
          </w:rPr>
          <w:t>PBS website</w:t>
        </w:r>
      </w:hyperlink>
      <w:r w:rsidR="00575E59">
        <w:t xml:space="preserve"> (Accessed 1 December 2016).</w:t>
      </w:r>
      <w:r w:rsidR="0080485E">
        <w:t xml:space="preserve"> </w:t>
      </w:r>
      <w:r w:rsidR="00575E59">
        <w:t xml:space="preserve">Thirty additional PBS codes are used for other restrictions of imatinib, including metastatic or </w:t>
      </w:r>
      <w:proofErr w:type="spellStart"/>
      <w:r w:rsidR="00575E59">
        <w:t>unresectable</w:t>
      </w:r>
      <w:proofErr w:type="spellEnd"/>
      <w:r w:rsidR="00575E59">
        <w:t xml:space="preserve"> malignant GIST. </w:t>
      </w:r>
    </w:p>
    <w:p w:rsidR="00C44D5D" w:rsidRDefault="00C44D5D" w:rsidP="00373733">
      <w:pPr>
        <w:pStyle w:val="Notes"/>
        <w:spacing w:after="0"/>
      </w:pPr>
      <w:r>
        <w:t>DPMQ: Dispensed price for maximum quantity</w:t>
      </w:r>
    </w:p>
    <w:p w:rsidR="00373733" w:rsidRPr="00A35800" w:rsidRDefault="00373733" w:rsidP="00373733">
      <w:pPr>
        <w:pStyle w:val="Notes"/>
        <w:spacing w:after="0"/>
      </w:pPr>
      <w:proofErr w:type="spellStart"/>
      <w:proofErr w:type="gramStart"/>
      <w:r w:rsidRPr="00373733">
        <w:rPr>
          <w:vertAlign w:val="superscript"/>
        </w:rPr>
        <w:t>a</w:t>
      </w:r>
      <w:proofErr w:type="spellEnd"/>
      <w:proofErr w:type="gramEnd"/>
      <w:r>
        <w:t xml:space="preserve"> The manufacturer changed from Novartis to </w:t>
      </w:r>
      <w:proofErr w:type="spellStart"/>
      <w:r>
        <w:t>Alphapharm</w:t>
      </w:r>
      <w:proofErr w:type="spellEnd"/>
      <w:r>
        <w:t xml:space="preserve"> on 1 October 2016</w:t>
      </w:r>
    </w:p>
    <w:p w:rsidR="004C3186" w:rsidRDefault="004C3186" w:rsidP="00CF5E22">
      <w:pPr>
        <w:pStyle w:val="Heading3"/>
      </w:pPr>
      <w:r>
        <w:t>Restriction</w:t>
      </w:r>
      <w:r w:rsidR="003F5B00">
        <w:t xml:space="preserve"> – Authority Required (Written)</w:t>
      </w:r>
    </w:p>
    <w:p w:rsidR="00716634" w:rsidRDefault="00716634" w:rsidP="00A35800">
      <w:r>
        <w:t xml:space="preserve">The PBS restriction for adjuvant treatment with imatinib includes the following criteria: </w:t>
      </w:r>
    </w:p>
    <w:p w:rsidR="00716634" w:rsidRDefault="00716634" w:rsidP="00716634">
      <w:pPr>
        <w:pStyle w:val="ListParagraph"/>
        <w:numPr>
          <w:ilvl w:val="0"/>
          <w:numId w:val="5"/>
        </w:numPr>
      </w:pPr>
      <w:r>
        <w:t>The treatment must be adjuvant to complete surgical resection of primary gastrointestinal stromal tumour (GIST); AND</w:t>
      </w:r>
    </w:p>
    <w:p w:rsidR="00716634" w:rsidRDefault="00716634" w:rsidP="00716634">
      <w:pPr>
        <w:pStyle w:val="ListParagraph"/>
        <w:numPr>
          <w:ilvl w:val="0"/>
          <w:numId w:val="5"/>
        </w:numPr>
      </w:pPr>
      <w:r>
        <w:t>Patient must be at high risk of recurrence following complete surgical resection of primary GIST; AND</w:t>
      </w:r>
    </w:p>
    <w:p w:rsidR="00716634" w:rsidRDefault="00716634" w:rsidP="00716634">
      <w:pPr>
        <w:pStyle w:val="ListParagraph"/>
        <w:numPr>
          <w:ilvl w:val="0"/>
          <w:numId w:val="5"/>
        </w:numPr>
      </w:pPr>
      <w:r>
        <w:t xml:space="preserve">The condition must be histologically confirmed by the detection of CD117 on </w:t>
      </w:r>
      <w:proofErr w:type="spellStart"/>
      <w:r>
        <w:t>immunohistochemical</w:t>
      </w:r>
      <w:proofErr w:type="spellEnd"/>
      <w:r>
        <w:t xml:space="preserve"> staining; AND</w:t>
      </w:r>
    </w:p>
    <w:p w:rsidR="00716634" w:rsidRDefault="00716634" w:rsidP="00716634">
      <w:pPr>
        <w:pStyle w:val="ListParagraph"/>
        <w:numPr>
          <w:ilvl w:val="0"/>
          <w:numId w:val="5"/>
        </w:numPr>
      </w:pPr>
      <w:r>
        <w:t xml:space="preserve">The treatment must not exceed a dose of 400 mg per day for a period of 36 months in total (initial plus continuing therapy). </w:t>
      </w:r>
    </w:p>
    <w:p w:rsidR="00716634" w:rsidRDefault="00716634" w:rsidP="00716634">
      <w:r>
        <w:lastRenderedPageBreak/>
        <w:t xml:space="preserve">High risk of recurrence is defined as: </w:t>
      </w:r>
    </w:p>
    <w:p w:rsidR="00716634" w:rsidRDefault="00716634" w:rsidP="00716634">
      <w:pPr>
        <w:pStyle w:val="ListParagraph"/>
        <w:numPr>
          <w:ilvl w:val="0"/>
          <w:numId w:val="6"/>
        </w:numPr>
      </w:pPr>
      <w:r>
        <w:t xml:space="preserve">Primary GIST greater than 5 cm with a mitotic count of greater than 5/50 high power fields (HPF); or </w:t>
      </w:r>
    </w:p>
    <w:p w:rsidR="00716634" w:rsidRDefault="00716634" w:rsidP="00716634">
      <w:pPr>
        <w:pStyle w:val="ListParagraph"/>
        <w:numPr>
          <w:ilvl w:val="0"/>
          <w:numId w:val="6"/>
        </w:numPr>
      </w:pPr>
      <w:r>
        <w:t xml:space="preserve">Primary GIST greater than 10 cm with any mitotic rate; or </w:t>
      </w:r>
    </w:p>
    <w:p w:rsidR="00716634" w:rsidRDefault="00716634" w:rsidP="00716634">
      <w:pPr>
        <w:pStyle w:val="ListParagraph"/>
        <w:numPr>
          <w:ilvl w:val="0"/>
          <w:numId w:val="6"/>
        </w:numPr>
      </w:pPr>
      <w:r>
        <w:t xml:space="preserve">Primary GIST with a mitotic count of greater than 10/50 HPF. </w:t>
      </w:r>
    </w:p>
    <w:p w:rsidR="006775F1" w:rsidRPr="006775F1" w:rsidRDefault="006775F1" w:rsidP="00A35800">
      <w:r w:rsidRPr="006775F1">
        <w:t xml:space="preserve">For </w:t>
      </w:r>
      <w:r w:rsidR="00835337">
        <w:t xml:space="preserve">details of the current PBS listing refer to the </w:t>
      </w:r>
      <w:hyperlink r:id="rId13" w:history="1">
        <w:r w:rsidR="00835337" w:rsidRPr="00262664">
          <w:rPr>
            <w:rStyle w:val="Hyperlink"/>
          </w:rPr>
          <w:t>PBS website</w:t>
        </w:r>
      </w:hyperlink>
      <w:r w:rsidR="00262664">
        <w:t>.</w:t>
      </w:r>
    </w:p>
    <w:p w:rsidR="009C35F2" w:rsidRDefault="009C35F2" w:rsidP="00CF5E22">
      <w:pPr>
        <w:pStyle w:val="Heading3"/>
      </w:pPr>
      <w:r w:rsidRPr="00675BB1">
        <w:t>Date of listing on PBS</w:t>
      </w:r>
    </w:p>
    <w:p w:rsidR="00575E59" w:rsidRDefault="00575E59" w:rsidP="00575E59">
      <w:r w:rsidRPr="00C707F9">
        <w:t xml:space="preserve">Imatinib </w:t>
      </w:r>
      <w:r>
        <w:t xml:space="preserve">was </w:t>
      </w:r>
      <w:r w:rsidRPr="00C707F9">
        <w:t>first listed</w:t>
      </w:r>
      <w:r>
        <w:t xml:space="preserve"> on the PBS on 1 February 2004, for treatment of </w:t>
      </w:r>
      <w:r w:rsidRPr="00624DA5">
        <w:t xml:space="preserve">metastatic or </w:t>
      </w:r>
      <w:proofErr w:type="spellStart"/>
      <w:r w:rsidRPr="00624DA5">
        <w:t>unresectable</w:t>
      </w:r>
      <w:proofErr w:type="spellEnd"/>
      <w:r w:rsidRPr="00624DA5">
        <w:t xml:space="preserve"> malignant </w:t>
      </w:r>
      <w:r>
        <w:t>GIST. The maximum dose per day for this listing was changed from 400 mg to 600 mg on 1 </w:t>
      </w:r>
      <w:r w:rsidR="00F36461">
        <w:t>August</w:t>
      </w:r>
      <w:r>
        <w:t xml:space="preserve"> 2004. </w:t>
      </w:r>
    </w:p>
    <w:p w:rsidR="00575E59" w:rsidRPr="00F36461" w:rsidRDefault="00F36461" w:rsidP="00575E59">
      <w:r w:rsidRPr="00F36461">
        <w:t>On 1 September 2011, i</w:t>
      </w:r>
      <w:r w:rsidR="00575E59" w:rsidRPr="00F36461">
        <w:t xml:space="preserve">matinib was listed on the PBS for adjuvant treatment </w:t>
      </w:r>
      <w:r w:rsidRPr="00F36461">
        <w:t>of a patient at high risk of recurrence following complete resection of primary GIST. Treatment duration was limited to 12 months</w:t>
      </w:r>
      <w:r w:rsidR="00575E59" w:rsidRPr="00F36461">
        <w:t>.</w:t>
      </w:r>
      <w:r w:rsidRPr="00F36461">
        <w:t xml:space="preserve"> </w:t>
      </w:r>
    </w:p>
    <w:p w:rsidR="00675BB1" w:rsidRPr="00675BB1" w:rsidRDefault="00675BB1" w:rsidP="00CF5E22">
      <w:pPr>
        <w:pStyle w:val="Heading3"/>
      </w:pPr>
      <w:r w:rsidRPr="00675BB1">
        <w:t>Changes to listing</w:t>
      </w:r>
    </w:p>
    <w:p w:rsidR="00575E59" w:rsidRPr="00F36461" w:rsidRDefault="00575E59" w:rsidP="00575E59">
      <w:r w:rsidRPr="00F36461">
        <w:t xml:space="preserve">The listing for adjuvant treatment of a patient at high risk of recurrence following complete resection of primary GIST was extended </w:t>
      </w:r>
      <w:r w:rsidR="00F36461" w:rsidRPr="00F36461">
        <w:t>on</w:t>
      </w:r>
      <w:r w:rsidRPr="00F36461">
        <w:t xml:space="preserve"> 1 December 2013 to allow a total of 36 months of treatment (initial plus continuing therapy).</w:t>
      </w:r>
    </w:p>
    <w:p w:rsidR="00BF544D" w:rsidRPr="002F61CA" w:rsidRDefault="00BF544D" w:rsidP="00BF544D">
      <w:r w:rsidRPr="002F61CA">
        <w:t xml:space="preserve">Current PBS listing details are available from </w:t>
      </w:r>
      <w:r>
        <w:t xml:space="preserve">the </w:t>
      </w:r>
      <w:hyperlink r:id="rId14" w:history="1">
        <w:r w:rsidRPr="00262664">
          <w:rPr>
            <w:rStyle w:val="Hyperlink"/>
          </w:rPr>
          <w:t>PBS website</w:t>
        </w:r>
      </w:hyperlink>
      <w:r>
        <w:t>.</w:t>
      </w:r>
    </w:p>
    <w:p w:rsidR="0016156D" w:rsidRDefault="00394AEE" w:rsidP="0016156D">
      <w:pPr>
        <w:pStyle w:val="Heading2"/>
      </w:pPr>
      <w:r>
        <w:t>Relevant aspects of</w:t>
      </w:r>
      <w:r w:rsidR="00736041" w:rsidRPr="005E22C2">
        <w:t xml:space="preserve"> consideration</w:t>
      </w:r>
      <w:r>
        <w:t xml:space="preserve"> by the Pharmaceutical Benefits Advisory Committee (PBAC)</w:t>
      </w:r>
    </w:p>
    <w:p w:rsidR="0016156D" w:rsidRPr="0016156D" w:rsidRDefault="0016156D" w:rsidP="0016156D">
      <w:r>
        <w:t xml:space="preserve">In March 2011, the PBAC recommended the listing of imatinib as an Authority </w:t>
      </w:r>
      <w:proofErr w:type="gramStart"/>
      <w:r>
        <w:t>Required</w:t>
      </w:r>
      <w:proofErr w:type="gramEnd"/>
      <w:r>
        <w:t xml:space="preserve"> benefit for the adjuvant treatment of GIST following complete resection of the primary tumour on the basis of an acceptable cost-effectiveness ratio compared with placebo. The PBAC agreed that there was a high clinical need for the use of imatinib in the adjuvant treatment of GIST. </w:t>
      </w:r>
    </w:p>
    <w:p w:rsidR="0016156D" w:rsidRPr="0016156D" w:rsidRDefault="0016156D" w:rsidP="0016156D">
      <w:r w:rsidRPr="0016156D">
        <w:t>At the March 2012 meeting, the PBAC rejected a submission to increase the maximum duration of treatment from 1 year to 3 years on the basis of uncertainty regarding the magnitude of the survival benefit and unacceptably high cost-effectiveness ratio.</w:t>
      </w:r>
    </w:p>
    <w:p w:rsidR="0016156D" w:rsidRDefault="00C44D5D" w:rsidP="0016156D">
      <w:r>
        <w:t>T</w:t>
      </w:r>
      <w:r w:rsidR="0016156D" w:rsidRPr="0016156D">
        <w:t>he PBAC</w:t>
      </w:r>
      <w:r>
        <w:t xml:space="preserve"> subsequently</w:t>
      </w:r>
      <w:r w:rsidR="0016156D" w:rsidRPr="0016156D">
        <w:t xml:space="preserve"> recommended the extension to </w:t>
      </w:r>
      <w:r>
        <w:t>treatment duration up to 3 years at the November 2012 meeting,</w:t>
      </w:r>
      <w:r w:rsidR="0016156D" w:rsidRPr="0016156D">
        <w:t xml:space="preserve"> contingent on price negotiations to achieve an incremental cost-effectiveness ratio consistent with the previous recommendation for 1-year adjuvant treatment.</w:t>
      </w:r>
      <w:r w:rsidR="0016156D">
        <w:t xml:space="preserve"> </w:t>
      </w:r>
    </w:p>
    <w:p w:rsidR="00D94863" w:rsidRPr="00F65F0D" w:rsidRDefault="00D94863" w:rsidP="00D94863">
      <w:r>
        <w:t xml:space="preserve">For further details refer to </w:t>
      </w:r>
      <w:r w:rsidRPr="00F65F0D">
        <w:t xml:space="preserve">the </w:t>
      </w:r>
      <w:hyperlink r:id="rId15" w:history="1">
        <w:r w:rsidRPr="00262664">
          <w:rPr>
            <w:rStyle w:val="Hyperlink"/>
          </w:rPr>
          <w:t>Public Summary Document</w:t>
        </w:r>
      </w:hyperlink>
      <w:r w:rsidRPr="00F65F0D">
        <w:t xml:space="preserve"> from the </w:t>
      </w:r>
      <w:r w:rsidR="0016156D">
        <w:t>November 2012</w:t>
      </w:r>
      <w:r>
        <w:t xml:space="preserve"> PBAC meeting.</w:t>
      </w:r>
    </w:p>
    <w:p w:rsidR="00BB72D7" w:rsidRDefault="00BB72D7">
      <w:pPr>
        <w:spacing w:line="276" w:lineRule="auto"/>
        <w:rPr>
          <w:b/>
          <w:sz w:val="28"/>
        </w:rPr>
      </w:pPr>
      <w:r>
        <w:br w:type="page"/>
      </w:r>
    </w:p>
    <w:p w:rsidR="002725F6" w:rsidRPr="002725F6" w:rsidRDefault="00ED633B" w:rsidP="002725F6">
      <w:pPr>
        <w:pStyle w:val="Heading2"/>
      </w:pPr>
      <w:r>
        <w:lastRenderedPageBreak/>
        <w:t>A</w:t>
      </w:r>
      <w:r w:rsidR="000F2F51">
        <w:t xml:space="preserve">pproach </w:t>
      </w:r>
      <w:r>
        <w:t xml:space="preserve">taken to </w:t>
      </w:r>
      <w:r w:rsidR="000F2F51">
        <w:t>estimat</w:t>
      </w:r>
      <w:r>
        <w:t>e</w:t>
      </w:r>
      <w:r w:rsidR="000F2F51">
        <w:t xml:space="preserve"> utilisation</w:t>
      </w:r>
    </w:p>
    <w:p w:rsidR="00513683" w:rsidRPr="00513683" w:rsidRDefault="00513683" w:rsidP="002725F6">
      <w:r w:rsidRPr="00F25B81">
        <w:t xml:space="preserve">The submission used an epidemiological approach to estimate </w:t>
      </w:r>
      <w:r>
        <w:t xml:space="preserve">the number of patients with </w:t>
      </w:r>
      <w:proofErr w:type="spellStart"/>
      <w:r>
        <w:t>resectable</w:t>
      </w:r>
      <w:proofErr w:type="spellEnd"/>
      <w:r>
        <w:t xml:space="preserve"> GIST, who undergo surgery, and who are at high risk of recurrence. Th</w:t>
      </w:r>
      <w:r w:rsidR="001F0E66">
        <w:t xml:space="preserve">e approach </w:t>
      </w:r>
      <w:r>
        <w:t xml:space="preserve">was similar to </w:t>
      </w:r>
      <w:r w:rsidR="00E626C1">
        <w:t xml:space="preserve">that used for </w:t>
      </w:r>
      <w:r>
        <w:t xml:space="preserve">the March 2011 submission for 12 months of adjuvant treatment. </w:t>
      </w:r>
    </w:p>
    <w:p w:rsidR="003F5B00" w:rsidRDefault="003F5B00" w:rsidP="002725F6">
      <w:r w:rsidRPr="00513683">
        <w:t xml:space="preserve">The steps used to derive the utilisation and cost of imatinib to the PBS </w:t>
      </w:r>
      <w:r w:rsidR="00E52547">
        <w:t>is</w:t>
      </w:r>
      <w:r w:rsidR="00E52547" w:rsidRPr="00513683">
        <w:t xml:space="preserve"> </w:t>
      </w:r>
      <w:r w:rsidRPr="00513683">
        <w:t xml:space="preserve">presented in </w:t>
      </w:r>
      <w:r w:rsidR="000213E2">
        <w:br/>
      </w:r>
      <w:r w:rsidRPr="00513683">
        <w:t xml:space="preserve">Table 2. </w:t>
      </w:r>
    </w:p>
    <w:p w:rsidR="00BA0A92" w:rsidRDefault="00BA0A92" w:rsidP="00307A77">
      <w:pPr>
        <w:pStyle w:val="Tabletitle"/>
      </w:pPr>
      <w:r>
        <w:br w:type="page"/>
      </w:r>
    </w:p>
    <w:p w:rsidR="00C8403E" w:rsidRPr="00BB47C6" w:rsidRDefault="00C8403E" w:rsidP="00307A77">
      <w:pPr>
        <w:pStyle w:val="Tabletitle"/>
      </w:pPr>
      <w:r w:rsidRPr="00BB47C6">
        <w:lastRenderedPageBreak/>
        <w:t xml:space="preserve">Table 2: Derivation of forecast utilisation and cost of imatinib for 36 month adjuvant treatment of </w:t>
      </w:r>
      <w:proofErr w:type="spellStart"/>
      <w:r w:rsidRPr="00BB47C6">
        <w:t>resectable</w:t>
      </w:r>
      <w:proofErr w:type="spellEnd"/>
      <w:r w:rsidRPr="00BB47C6">
        <w:t xml:space="preserve"> GIST</w:t>
      </w:r>
    </w:p>
    <w:tbl>
      <w:tblPr>
        <w:tblStyle w:val="TableGrid"/>
        <w:tblW w:w="9464" w:type="dxa"/>
        <w:tblLayout w:type="fixed"/>
        <w:tblLook w:val="04A0" w:firstRow="1" w:lastRow="0" w:firstColumn="1" w:lastColumn="0" w:noHBand="0" w:noVBand="1"/>
        <w:tblCaption w:val="Derivation of forecast use and cost of imatinib for 36 month adjuvant treatment of resectable GIST"/>
        <w:tblDescription w:val="The table shows the steps used to estimate the eligible population, treated population and expenditure."/>
      </w:tblPr>
      <w:tblGrid>
        <w:gridCol w:w="2802"/>
        <w:gridCol w:w="992"/>
        <w:gridCol w:w="1134"/>
        <w:gridCol w:w="1134"/>
        <w:gridCol w:w="1134"/>
        <w:gridCol w:w="1134"/>
        <w:gridCol w:w="1134"/>
      </w:tblGrid>
      <w:tr w:rsidR="00513683" w:rsidRPr="001E01D7" w:rsidTr="009378EA">
        <w:trPr>
          <w:tblHeader/>
        </w:trPr>
        <w:tc>
          <w:tcPr>
            <w:tcW w:w="2802" w:type="dxa"/>
            <w:tcBorders>
              <w:top w:val="nil"/>
              <w:left w:val="nil"/>
            </w:tcBorders>
          </w:tcPr>
          <w:p w:rsidR="003F5B00" w:rsidRPr="000213E2" w:rsidRDefault="003F5B00" w:rsidP="00C44D5D">
            <w:pPr>
              <w:rPr>
                <w:rFonts w:ascii="Arial Narrow" w:hAnsi="Arial Narrow" w:cs="Vani"/>
                <w:sz w:val="20"/>
                <w:szCs w:val="20"/>
              </w:rPr>
            </w:pPr>
          </w:p>
        </w:tc>
        <w:tc>
          <w:tcPr>
            <w:tcW w:w="992"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Baseline</w:t>
            </w:r>
          </w:p>
        </w:tc>
        <w:tc>
          <w:tcPr>
            <w:tcW w:w="1134"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Year 1</w:t>
            </w:r>
          </w:p>
        </w:tc>
        <w:tc>
          <w:tcPr>
            <w:tcW w:w="1134"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Year 2</w:t>
            </w:r>
          </w:p>
        </w:tc>
        <w:tc>
          <w:tcPr>
            <w:tcW w:w="1134"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Year 3</w:t>
            </w:r>
          </w:p>
        </w:tc>
        <w:tc>
          <w:tcPr>
            <w:tcW w:w="1134"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Year 4</w:t>
            </w:r>
          </w:p>
        </w:tc>
        <w:tc>
          <w:tcPr>
            <w:tcW w:w="1134" w:type="dxa"/>
            <w:shd w:val="clear" w:color="auto" w:fill="BFBFBF" w:themeFill="background1" w:themeFillShade="BF"/>
          </w:tcPr>
          <w:p w:rsidR="003F5B00" w:rsidRPr="00307A77" w:rsidRDefault="003F5B00" w:rsidP="00307A77">
            <w:pPr>
              <w:jc w:val="center"/>
              <w:rPr>
                <w:rFonts w:cs="Calibri"/>
                <w:b/>
                <w:sz w:val="20"/>
                <w:szCs w:val="20"/>
              </w:rPr>
            </w:pPr>
            <w:r w:rsidRPr="00307A77">
              <w:rPr>
                <w:rFonts w:cs="Calibri"/>
                <w:b/>
                <w:sz w:val="20"/>
                <w:szCs w:val="20"/>
              </w:rPr>
              <w:t>Year 5</w:t>
            </w:r>
          </w:p>
        </w:tc>
      </w:tr>
      <w:tr w:rsidR="00513683" w:rsidRPr="001E01D7" w:rsidTr="009378EA">
        <w:tc>
          <w:tcPr>
            <w:tcW w:w="9464" w:type="dxa"/>
            <w:gridSpan w:val="7"/>
            <w:shd w:val="clear" w:color="auto" w:fill="BFBFBF" w:themeFill="background1" w:themeFillShade="BF"/>
          </w:tcPr>
          <w:p w:rsidR="00513683" w:rsidRPr="000213E2" w:rsidRDefault="00513683" w:rsidP="00307A77">
            <w:pPr>
              <w:pStyle w:val="Tablewriting"/>
              <w:rPr>
                <w:rFonts w:ascii="Arial Narrow" w:hAnsi="Arial Narrow" w:cs="Vani"/>
                <w:b/>
              </w:rPr>
            </w:pPr>
            <w:r w:rsidRPr="00307A77">
              <w:rPr>
                <w:b/>
              </w:rPr>
              <w:t>Derivation of eligible population</w:t>
            </w:r>
          </w:p>
        </w:tc>
      </w:tr>
      <w:tr w:rsidR="00513683" w:rsidRPr="001E01D7" w:rsidTr="009378EA">
        <w:tc>
          <w:tcPr>
            <w:tcW w:w="2802" w:type="dxa"/>
          </w:tcPr>
          <w:p w:rsidR="00097654" w:rsidRPr="000213E2" w:rsidRDefault="00097654" w:rsidP="00307A77">
            <w:pPr>
              <w:pStyle w:val="Tablewriting"/>
            </w:pPr>
            <w:r w:rsidRPr="000213E2">
              <w:t>Number of people diagnosed with GIST</w:t>
            </w:r>
            <w:r w:rsidR="000C1B66" w:rsidRPr="000213E2">
              <w:rPr>
                <w:vertAlign w:val="superscript"/>
              </w:rPr>
              <w:t>1</w:t>
            </w:r>
          </w:p>
        </w:tc>
        <w:tc>
          <w:tcPr>
            <w:tcW w:w="992" w:type="dxa"/>
            <w:shd w:val="clear" w:color="auto" w:fill="BFBFBF" w:themeFill="background1" w:themeFillShade="BF"/>
          </w:tcPr>
          <w:p w:rsidR="00097654" w:rsidRPr="000213E2" w:rsidRDefault="00097654" w:rsidP="00307A77">
            <w:pPr>
              <w:pStyle w:val="Tablewriting"/>
            </w:pPr>
          </w:p>
        </w:tc>
        <w:tc>
          <w:tcPr>
            <w:tcW w:w="1134" w:type="dxa"/>
          </w:tcPr>
          <w:p w:rsidR="00097654" w:rsidRPr="000213E2" w:rsidRDefault="00097654" w:rsidP="00307A77">
            <w:pPr>
              <w:pStyle w:val="Tablewriting"/>
              <w:jc w:val="right"/>
            </w:pPr>
            <w:r w:rsidRPr="000213E2">
              <w:t>272</w:t>
            </w:r>
          </w:p>
        </w:tc>
        <w:tc>
          <w:tcPr>
            <w:tcW w:w="1134" w:type="dxa"/>
          </w:tcPr>
          <w:p w:rsidR="00097654" w:rsidRPr="000213E2" w:rsidRDefault="00097654" w:rsidP="00307A77">
            <w:pPr>
              <w:pStyle w:val="Tablewriting"/>
              <w:jc w:val="right"/>
            </w:pPr>
            <w:r w:rsidRPr="000213E2">
              <w:t>276</w:t>
            </w:r>
          </w:p>
        </w:tc>
        <w:tc>
          <w:tcPr>
            <w:tcW w:w="1134" w:type="dxa"/>
          </w:tcPr>
          <w:p w:rsidR="00097654" w:rsidRPr="000213E2" w:rsidRDefault="00097654" w:rsidP="00307A77">
            <w:pPr>
              <w:pStyle w:val="Tablewriting"/>
              <w:jc w:val="right"/>
            </w:pPr>
            <w:r w:rsidRPr="000213E2">
              <w:t>280</w:t>
            </w:r>
          </w:p>
        </w:tc>
        <w:tc>
          <w:tcPr>
            <w:tcW w:w="1134" w:type="dxa"/>
          </w:tcPr>
          <w:p w:rsidR="00097654" w:rsidRPr="000213E2" w:rsidRDefault="00097654" w:rsidP="00307A77">
            <w:pPr>
              <w:pStyle w:val="Tablewriting"/>
              <w:jc w:val="right"/>
            </w:pPr>
            <w:r w:rsidRPr="000213E2">
              <w:t>284</w:t>
            </w:r>
          </w:p>
        </w:tc>
        <w:tc>
          <w:tcPr>
            <w:tcW w:w="1134" w:type="dxa"/>
          </w:tcPr>
          <w:p w:rsidR="00097654" w:rsidRPr="000213E2" w:rsidRDefault="00097654" w:rsidP="00307A77">
            <w:pPr>
              <w:pStyle w:val="Tablewriting"/>
              <w:jc w:val="right"/>
            </w:pPr>
            <w:r w:rsidRPr="000213E2">
              <w:t>288</w:t>
            </w:r>
          </w:p>
        </w:tc>
      </w:tr>
      <w:tr w:rsidR="00513683" w:rsidRPr="001E01D7" w:rsidTr="009378EA">
        <w:trPr>
          <w:trHeight w:val="373"/>
        </w:trPr>
        <w:tc>
          <w:tcPr>
            <w:tcW w:w="2802" w:type="dxa"/>
          </w:tcPr>
          <w:p w:rsidR="00097654" w:rsidRPr="000213E2" w:rsidRDefault="00097654" w:rsidP="00307A77">
            <w:pPr>
              <w:pStyle w:val="Tablewriting"/>
            </w:pPr>
            <w:r w:rsidRPr="000213E2">
              <w:t xml:space="preserve">Proportion and number of patients with </w:t>
            </w:r>
            <w:proofErr w:type="spellStart"/>
            <w:r w:rsidRPr="000213E2">
              <w:t>resectable</w:t>
            </w:r>
            <w:proofErr w:type="spellEnd"/>
            <w:r w:rsidRPr="000213E2">
              <w:t xml:space="preserve"> GIST</w:t>
            </w:r>
            <w:r w:rsidR="000C1B66" w:rsidRPr="000213E2">
              <w:rPr>
                <w:vertAlign w:val="superscript"/>
              </w:rPr>
              <w:t>2</w:t>
            </w:r>
          </w:p>
        </w:tc>
        <w:tc>
          <w:tcPr>
            <w:tcW w:w="992" w:type="dxa"/>
          </w:tcPr>
          <w:p w:rsidR="00097654" w:rsidRPr="000213E2" w:rsidRDefault="00097654" w:rsidP="00307A77">
            <w:pPr>
              <w:pStyle w:val="Tablewriting"/>
              <w:jc w:val="right"/>
            </w:pPr>
            <w:r w:rsidRPr="000213E2">
              <w:t>80%</w:t>
            </w:r>
          </w:p>
        </w:tc>
        <w:tc>
          <w:tcPr>
            <w:tcW w:w="1134" w:type="dxa"/>
          </w:tcPr>
          <w:p w:rsidR="00097654" w:rsidRPr="000213E2" w:rsidRDefault="00097654" w:rsidP="00307A77">
            <w:pPr>
              <w:pStyle w:val="Tablewriting"/>
              <w:jc w:val="right"/>
            </w:pPr>
            <w:r w:rsidRPr="000213E2">
              <w:t>218</w:t>
            </w:r>
          </w:p>
        </w:tc>
        <w:tc>
          <w:tcPr>
            <w:tcW w:w="1134" w:type="dxa"/>
          </w:tcPr>
          <w:p w:rsidR="00097654" w:rsidRPr="000213E2" w:rsidRDefault="00097654" w:rsidP="00307A77">
            <w:pPr>
              <w:pStyle w:val="Tablewriting"/>
              <w:jc w:val="right"/>
            </w:pPr>
            <w:r w:rsidRPr="000213E2">
              <w:t>221</w:t>
            </w:r>
          </w:p>
        </w:tc>
        <w:tc>
          <w:tcPr>
            <w:tcW w:w="1134" w:type="dxa"/>
          </w:tcPr>
          <w:p w:rsidR="00097654" w:rsidRPr="000213E2" w:rsidRDefault="00097654" w:rsidP="00307A77">
            <w:pPr>
              <w:pStyle w:val="Tablewriting"/>
              <w:jc w:val="right"/>
            </w:pPr>
            <w:r w:rsidRPr="000213E2">
              <w:t>224</w:t>
            </w:r>
          </w:p>
        </w:tc>
        <w:tc>
          <w:tcPr>
            <w:tcW w:w="1134" w:type="dxa"/>
          </w:tcPr>
          <w:p w:rsidR="00097654" w:rsidRPr="000213E2" w:rsidRDefault="00097654" w:rsidP="00307A77">
            <w:pPr>
              <w:pStyle w:val="Tablewriting"/>
              <w:jc w:val="right"/>
            </w:pPr>
            <w:r w:rsidRPr="000213E2">
              <w:t>227</w:t>
            </w:r>
          </w:p>
        </w:tc>
        <w:tc>
          <w:tcPr>
            <w:tcW w:w="1134" w:type="dxa"/>
          </w:tcPr>
          <w:p w:rsidR="00097654" w:rsidRPr="000213E2" w:rsidRDefault="00097654" w:rsidP="00307A77">
            <w:pPr>
              <w:pStyle w:val="Tablewriting"/>
              <w:jc w:val="right"/>
            </w:pPr>
            <w:r w:rsidRPr="000213E2">
              <w:t>231</w:t>
            </w:r>
          </w:p>
        </w:tc>
      </w:tr>
      <w:tr w:rsidR="00513683" w:rsidRPr="001E01D7" w:rsidTr="009378EA">
        <w:tc>
          <w:tcPr>
            <w:tcW w:w="2802" w:type="dxa"/>
          </w:tcPr>
          <w:p w:rsidR="00097654" w:rsidRPr="000213E2" w:rsidRDefault="00097654" w:rsidP="00307A77">
            <w:pPr>
              <w:pStyle w:val="Tablewriting"/>
            </w:pPr>
            <w:r w:rsidRPr="000213E2">
              <w:t>Proportion and number of patients with successful surgery</w:t>
            </w:r>
            <w:r w:rsidR="000C1B66" w:rsidRPr="000213E2">
              <w:rPr>
                <w:vertAlign w:val="superscript"/>
              </w:rPr>
              <w:t>3</w:t>
            </w:r>
          </w:p>
        </w:tc>
        <w:tc>
          <w:tcPr>
            <w:tcW w:w="992" w:type="dxa"/>
          </w:tcPr>
          <w:p w:rsidR="00097654" w:rsidRPr="000213E2" w:rsidRDefault="00097654" w:rsidP="00307A77">
            <w:pPr>
              <w:pStyle w:val="Tablewriting"/>
              <w:jc w:val="right"/>
            </w:pPr>
            <w:r w:rsidRPr="000213E2">
              <w:t>85%</w:t>
            </w:r>
          </w:p>
        </w:tc>
        <w:tc>
          <w:tcPr>
            <w:tcW w:w="1134" w:type="dxa"/>
          </w:tcPr>
          <w:p w:rsidR="00097654" w:rsidRPr="000213E2" w:rsidRDefault="00097654" w:rsidP="00307A77">
            <w:pPr>
              <w:pStyle w:val="Tablewriting"/>
              <w:jc w:val="right"/>
            </w:pPr>
            <w:r w:rsidRPr="000213E2">
              <w:t>185</w:t>
            </w:r>
          </w:p>
        </w:tc>
        <w:tc>
          <w:tcPr>
            <w:tcW w:w="1134" w:type="dxa"/>
          </w:tcPr>
          <w:p w:rsidR="00097654" w:rsidRPr="000213E2" w:rsidRDefault="00097654" w:rsidP="00307A77">
            <w:pPr>
              <w:pStyle w:val="Tablewriting"/>
              <w:jc w:val="right"/>
            </w:pPr>
            <w:r w:rsidRPr="000213E2">
              <w:t>188</w:t>
            </w:r>
          </w:p>
        </w:tc>
        <w:tc>
          <w:tcPr>
            <w:tcW w:w="1134" w:type="dxa"/>
          </w:tcPr>
          <w:p w:rsidR="00097654" w:rsidRPr="000213E2" w:rsidRDefault="00097654" w:rsidP="00307A77">
            <w:pPr>
              <w:pStyle w:val="Tablewriting"/>
              <w:jc w:val="right"/>
            </w:pPr>
            <w:r w:rsidRPr="000213E2">
              <w:t>190</w:t>
            </w:r>
          </w:p>
        </w:tc>
        <w:tc>
          <w:tcPr>
            <w:tcW w:w="1134" w:type="dxa"/>
          </w:tcPr>
          <w:p w:rsidR="00097654" w:rsidRPr="000213E2" w:rsidRDefault="00097654" w:rsidP="00307A77">
            <w:pPr>
              <w:pStyle w:val="Tablewriting"/>
              <w:jc w:val="right"/>
            </w:pPr>
            <w:r w:rsidRPr="000213E2">
              <w:t>193</w:t>
            </w:r>
          </w:p>
        </w:tc>
        <w:tc>
          <w:tcPr>
            <w:tcW w:w="1134" w:type="dxa"/>
          </w:tcPr>
          <w:p w:rsidR="00097654" w:rsidRPr="000213E2" w:rsidRDefault="00097654" w:rsidP="00307A77">
            <w:pPr>
              <w:pStyle w:val="Tablewriting"/>
              <w:jc w:val="right"/>
            </w:pPr>
            <w:r w:rsidRPr="000213E2">
              <w:t>196</w:t>
            </w:r>
          </w:p>
        </w:tc>
      </w:tr>
      <w:tr w:rsidR="00513683" w:rsidRPr="001E01D7" w:rsidTr="009378EA">
        <w:tc>
          <w:tcPr>
            <w:tcW w:w="2802" w:type="dxa"/>
          </w:tcPr>
          <w:p w:rsidR="00097654" w:rsidRPr="000213E2" w:rsidRDefault="00097654" w:rsidP="00307A77">
            <w:pPr>
              <w:pStyle w:val="Tablewriting"/>
            </w:pPr>
            <w:r w:rsidRPr="000213E2">
              <w:t>Proportion and number of high risk patients eligible for imatinib</w:t>
            </w:r>
            <w:r w:rsidR="00EE48CB" w:rsidRPr="000213E2">
              <w:rPr>
                <w:vertAlign w:val="superscript"/>
              </w:rPr>
              <w:t>4</w:t>
            </w:r>
          </w:p>
        </w:tc>
        <w:tc>
          <w:tcPr>
            <w:tcW w:w="992" w:type="dxa"/>
          </w:tcPr>
          <w:p w:rsidR="00097654" w:rsidRPr="000213E2" w:rsidRDefault="00097654" w:rsidP="00307A77">
            <w:pPr>
              <w:pStyle w:val="Tablewriting"/>
              <w:jc w:val="right"/>
            </w:pPr>
            <w:r w:rsidRPr="000213E2">
              <w:t>52%</w:t>
            </w:r>
          </w:p>
        </w:tc>
        <w:tc>
          <w:tcPr>
            <w:tcW w:w="1134" w:type="dxa"/>
          </w:tcPr>
          <w:p w:rsidR="00097654" w:rsidRPr="000213E2" w:rsidRDefault="00097654" w:rsidP="00307A77">
            <w:pPr>
              <w:pStyle w:val="Tablewriting"/>
              <w:jc w:val="right"/>
            </w:pPr>
            <w:r w:rsidRPr="000213E2">
              <w:t>98</w:t>
            </w:r>
          </w:p>
        </w:tc>
        <w:tc>
          <w:tcPr>
            <w:tcW w:w="1134" w:type="dxa"/>
          </w:tcPr>
          <w:p w:rsidR="00097654" w:rsidRPr="000213E2" w:rsidRDefault="00097654" w:rsidP="00307A77">
            <w:pPr>
              <w:pStyle w:val="Tablewriting"/>
              <w:jc w:val="right"/>
            </w:pPr>
            <w:r w:rsidRPr="000213E2">
              <w:t>99</w:t>
            </w:r>
          </w:p>
        </w:tc>
        <w:tc>
          <w:tcPr>
            <w:tcW w:w="1134" w:type="dxa"/>
          </w:tcPr>
          <w:p w:rsidR="00097654" w:rsidRPr="000213E2" w:rsidRDefault="00097654" w:rsidP="00307A77">
            <w:pPr>
              <w:pStyle w:val="Tablewriting"/>
              <w:jc w:val="right"/>
            </w:pPr>
            <w:r w:rsidRPr="000213E2">
              <w:t>100</w:t>
            </w:r>
          </w:p>
        </w:tc>
        <w:tc>
          <w:tcPr>
            <w:tcW w:w="1134" w:type="dxa"/>
          </w:tcPr>
          <w:p w:rsidR="00097654" w:rsidRPr="000213E2" w:rsidRDefault="00097654" w:rsidP="00307A77">
            <w:pPr>
              <w:pStyle w:val="Tablewriting"/>
              <w:jc w:val="right"/>
            </w:pPr>
            <w:r w:rsidRPr="000213E2">
              <w:t>102</w:t>
            </w:r>
          </w:p>
        </w:tc>
        <w:tc>
          <w:tcPr>
            <w:tcW w:w="1134" w:type="dxa"/>
          </w:tcPr>
          <w:p w:rsidR="00097654" w:rsidRPr="000213E2" w:rsidRDefault="00097654" w:rsidP="00307A77">
            <w:pPr>
              <w:pStyle w:val="Tablewriting"/>
              <w:jc w:val="right"/>
            </w:pPr>
            <w:r w:rsidRPr="000213E2">
              <w:t>103</w:t>
            </w:r>
          </w:p>
        </w:tc>
      </w:tr>
      <w:tr w:rsidR="00513683" w:rsidRPr="001E01D7" w:rsidTr="009378EA">
        <w:tc>
          <w:tcPr>
            <w:tcW w:w="9464" w:type="dxa"/>
            <w:gridSpan w:val="7"/>
            <w:shd w:val="clear" w:color="auto" w:fill="BFBFBF" w:themeFill="background1" w:themeFillShade="BF"/>
          </w:tcPr>
          <w:p w:rsidR="00513683" w:rsidRPr="000213E2" w:rsidRDefault="00513683" w:rsidP="00307A77">
            <w:pPr>
              <w:pStyle w:val="Tablewriting"/>
              <w:rPr>
                <w:b/>
              </w:rPr>
            </w:pPr>
            <w:r w:rsidRPr="000213E2">
              <w:rPr>
                <w:b/>
              </w:rPr>
              <w:t>Treated population</w:t>
            </w:r>
          </w:p>
        </w:tc>
      </w:tr>
      <w:tr w:rsidR="00513683" w:rsidRPr="000B59ED" w:rsidTr="009378EA">
        <w:tc>
          <w:tcPr>
            <w:tcW w:w="2802" w:type="dxa"/>
          </w:tcPr>
          <w:p w:rsidR="00097654" w:rsidRPr="005B02E0" w:rsidRDefault="00097654" w:rsidP="00307A77">
            <w:pPr>
              <w:pStyle w:val="Tablewriting"/>
            </w:pPr>
            <w:r w:rsidRPr="000B59ED">
              <w:t>Uptake rate</w:t>
            </w:r>
          </w:p>
        </w:tc>
        <w:tc>
          <w:tcPr>
            <w:tcW w:w="992" w:type="dxa"/>
            <w:shd w:val="clear" w:color="auto" w:fill="BFBFBF" w:themeFill="background1" w:themeFillShade="BF"/>
          </w:tcPr>
          <w:p w:rsidR="00097654" w:rsidRPr="000B59ED" w:rsidRDefault="00097654" w:rsidP="00307A77">
            <w:pPr>
              <w:pStyle w:val="Tablewriting"/>
            </w:pP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r>
      <w:tr w:rsidR="005C372E" w:rsidRPr="000B59ED" w:rsidTr="009378EA">
        <w:tc>
          <w:tcPr>
            <w:tcW w:w="2802" w:type="dxa"/>
          </w:tcPr>
          <w:p w:rsidR="005C372E" w:rsidRPr="005B02E0" w:rsidRDefault="005C372E" w:rsidP="00307A77">
            <w:pPr>
              <w:pStyle w:val="Tablewriting"/>
            </w:pPr>
            <w:r w:rsidRPr="000B59ED">
              <w:t>Incident patients</w:t>
            </w:r>
          </w:p>
        </w:tc>
        <w:tc>
          <w:tcPr>
            <w:tcW w:w="992" w:type="dxa"/>
            <w:shd w:val="clear" w:color="auto" w:fill="BFBFBF" w:themeFill="background1" w:themeFillShade="BF"/>
          </w:tcPr>
          <w:p w:rsidR="005C372E" w:rsidRPr="000B59ED" w:rsidRDefault="005C372E" w:rsidP="00307A77">
            <w:pPr>
              <w:pStyle w:val="Tablewriting"/>
            </w:pP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r>
      <w:tr w:rsidR="00513683" w:rsidRPr="000B59ED" w:rsidTr="009378EA">
        <w:tc>
          <w:tcPr>
            <w:tcW w:w="2802" w:type="dxa"/>
          </w:tcPr>
          <w:p w:rsidR="00097654" w:rsidRPr="005B02E0" w:rsidRDefault="00097654" w:rsidP="00307A77">
            <w:pPr>
              <w:pStyle w:val="Tablewriting"/>
            </w:pPr>
            <w:r w:rsidRPr="000B59ED">
              <w:t>Proportion and number of prescriptions - 400 mg</w:t>
            </w:r>
          </w:p>
        </w:tc>
        <w:tc>
          <w:tcPr>
            <w:tcW w:w="992"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r>
      <w:tr w:rsidR="00513683" w:rsidRPr="000B59ED" w:rsidTr="009378EA">
        <w:tc>
          <w:tcPr>
            <w:tcW w:w="2802" w:type="dxa"/>
          </w:tcPr>
          <w:p w:rsidR="00097654" w:rsidRPr="005B02E0" w:rsidRDefault="00097654" w:rsidP="00307A77">
            <w:pPr>
              <w:pStyle w:val="Tablewriting"/>
            </w:pPr>
            <w:r w:rsidRPr="000B59ED">
              <w:t>Proportion and number of prescriptions - 100 mg</w:t>
            </w:r>
          </w:p>
        </w:tc>
        <w:tc>
          <w:tcPr>
            <w:tcW w:w="992"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r>
      <w:tr w:rsidR="00513683" w:rsidRPr="000B59ED" w:rsidTr="009378EA">
        <w:tc>
          <w:tcPr>
            <w:tcW w:w="2802" w:type="dxa"/>
          </w:tcPr>
          <w:p w:rsidR="00097654" w:rsidRPr="005B02E0" w:rsidRDefault="00097654" w:rsidP="00307A77">
            <w:pPr>
              <w:pStyle w:val="Tablewriting"/>
            </w:pPr>
            <w:r w:rsidRPr="000B59ED">
              <w:t>Patients continuing in Year 1</w:t>
            </w:r>
          </w:p>
        </w:tc>
        <w:tc>
          <w:tcPr>
            <w:tcW w:w="992"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bCs/>
                <w:noProof/>
                <w:highlight w:val="black"/>
              </w:rPr>
              <w:t>'''''</w:t>
            </w:r>
          </w:p>
        </w:tc>
        <w:tc>
          <w:tcPr>
            <w:tcW w:w="1134" w:type="dxa"/>
          </w:tcPr>
          <w:p w:rsidR="00097654" w:rsidRPr="005B02E0" w:rsidRDefault="005B02E0" w:rsidP="00307A77">
            <w:pPr>
              <w:pStyle w:val="Tablewriting"/>
              <w:jc w:val="right"/>
              <w:rPr>
                <w:highlight w:val="black"/>
              </w:rPr>
            </w:pPr>
            <w:r>
              <w:rPr>
                <w:bCs/>
                <w:noProof/>
                <w:highlight w:val="black"/>
              </w:rPr>
              <w:t>'''''</w:t>
            </w:r>
          </w:p>
        </w:tc>
        <w:tc>
          <w:tcPr>
            <w:tcW w:w="1134" w:type="dxa"/>
          </w:tcPr>
          <w:p w:rsidR="00097654" w:rsidRPr="005B02E0" w:rsidRDefault="005B02E0" w:rsidP="00307A77">
            <w:pPr>
              <w:pStyle w:val="Tablewriting"/>
              <w:jc w:val="right"/>
              <w:rPr>
                <w:highlight w:val="black"/>
              </w:rPr>
            </w:pPr>
            <w:r>
              <w:rPr>
                <w:bCs/>
                <w:noProof/>
                <w:highlight w:val="black"/>
              </w:rPr>
              <w:t>''''''</w:t>
            </w:r>
          </w:p>
        </w:tc>
        <w:tc>
          <w:tcPr>
            <w:tcW w:w="1134" w:type="dxa"/>
          </w:tcPr>
          <w:p w:rsidR="00097654" w:rsidRPr="005B02E0" w:rsidRDefault="005B02E0" w:rsidP="00307A77">
            <w:pPr>
              <w:pStyle w:val="Tablewriting"/>
              <w:jc w:val="right"/>
              <w:rPr>
                <w:highlight w:val="black"/>
              </w:rPr>
            </w:pPr>
            <w:r>
              <w:rPr>
                <w:bCs/>
                <w:noProof/>
                <w:highlight w:val="black"/>
              </w:rPr>
              <w:t>'''''</w:t>
            </w:r>
          </w:p>
        </w:tc>
        <w:tc>
          <w:tcPr>
            <w:tcW w:w="1134" w:type="dxa"/>
          </w:tcPr>
          <w:p w:rsidR="00097654" w:rsidRPr="005B02E0" w:rsidRDefault="005B02E0" w:rsidP="00307A77">
            <w:pPr>
              <w:pStyle w:val="Tablewriting"/>
              <w:jc w:val="right"/>
              <w:rPr>
                <w:highlight w:val="black"/>
              </w:rPr>
            </w:pPr>
            <w:r>
              <w:rPr>
                <w:bCs/>
                <w:noProof/>
                <w:highlight w:val="black"/>
              </w:rPr>
              <w:t>''''''''</w:t>
            </w:r>
          </w:p>
        </w:tc>
      </w:tr>
      <w:tr w:rsidR="00513683" w:rsidRPr="000B59ED" w:rsidTr="009378EA">
        <w:tc>
          <w:tcPr>
            <w:tcW w:w="2802" w:type="dxa"/>
          </w:tcPr>
          <w:p w:rsidR="00097654" w:rsidRPr="005B02E0" w:rsidRDefault="00097654" w:rsidP="00307A77">
            <w:pPr>
              <w:pStyle w:val="Tablewriting"/>
            </w:pPr>
            <w:r w:rsidRPr="000B59ED">
              <w:t>Patients continuing in Year 2</w:t>
            </w:r>
          </w:p>
        </w:tc>
        <w:tc>
          <w:tcPr>
            <w:tcW w:w="992"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r>
      <w:tr w:rsidR="00513683" w:rsidRPr="000B59ED" w:rsidTr="009378EA">
        <w:tc>
          <w:tcPr>
            <w:tcW w:w="2802" w:type="dxa"/>
          </w:tcPr>
          <w:p w:rsidR="00097654" w:rsidRPr="005B02E0" w:rsidRDefault="00097654" w:rsidP="00307A77">
            <w:pPr>
              <w:pStyle w:val="Tablewriting"/>
            </w:pPr>
            <w:r w:rsidRPr="000B59ED">
              <w:t>Patients continuing in Year 3</w:t>
            </w:r>
          </w:p>
        </w:tc>
        <w:tc>
          <w:tcPr>
            <w:tcW w:w="992"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c>
          <w:tcPr>
            <w:tcW w:w="1134" w:type="dxa"/>
          </w:tcPr>
          <w:p w:rsidR="00097654" w:rsidRPr="005B02E0" w:rsidRDefault="005B02E0" w:rsidP="00307A77">
            <w:pPr>
              <w:pStyle w:val="Tablewriting"/>
              <w:jc w:val="right"/>
              <w:rPr>
                <w:highlight w:val="black"/>
              </w:rPr>
            </w:pPr>
            <w:r>
              <w:rPr>
                <w:noProof/>
                <w:highlight w:val="black"/>
              </w:rPr>
              <w:t>''''''</w:t>
            </w:r>
          </w:p>
        </w:tc>
      </w:tr>
      <w:tr w:rsidR="005C372E" w:rsidRPr="000B59ED" w:rsidTr="009378EA">
        <w:trPr>
          <w:trHeight w:val="472"/>
        </w:trPr>
        <w:tc>
          <w:tcPr>
            <w:tcW w:w="2802" w:type="dxa"/>
          </w:tcPr>
          <w:p w:rsidR="005C372E" w:rsidRPr="005B02E0" w:rsidRDefault="005C372E" w:rsidP="00307A77">
            <w:pPr>
              <w:pStyle w:val="Tablewriting"/>
            </w:pPr>
            <w:r w:rsidRPr="000B59ED">
              <w:t>Total patients continuing years 1, 2 and 3 years</w:t>
            </w:r>
          </w:p>
        </w:tc>
        <w:tc>
          <w:tcPr>
            <w:tcW w:w="992" w:type="dxa"/>
            <w:shd w:val="clear" w:color="auto" w:fill="BFBFBF" w:themeFill="background1" w:themeFillShade="BF"/>
          </w:tcPr>
          <w:p w:rsidR="005C372E" w:rsidRPr="000B59ED" w:rsidRDefault="005C372E" w:rsidP="00307A77">
            <w:pPr>
              <w:pStyle w:val="Tablewriting"/>
            </w:pP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c>
          <w:tcPr>
            <w:tcW w:w="1134" w:type="dxa"/>
          </w:tcPr>
          <w:p w:rsidR="005C372E" w:rsidRPr="005B02E0" w:rsidRDefault="005B02E0" w:rsidP="00307A77">
            <w:pPr>
              <w:pStyle w:val="Tablewriting"/>
              <w:jc w:val="right"/>
              <w:rPr>
                <w:highlight w:val="black"/>
              </w:rPr>
            </w:pPr>
            <w:r>
              <w:rPr>
                <w:noProof/>
                <w:highlight w:val="black"/>
              </w:rPr>
              <w:t>''''''''</w:t>
            </w:r>
          </w:p>
        </w:tc>
      </w:tr>
      <w:tr w:rsidR="005C372E" w:rsidRPr="000B59ED" w:rsidTr="009378EA">
        <w:tc>
          <w:tcPr>
            <w:tcW w:w="9464" w:type="dxa"/>
            <w:gridSpan w:val="7"/>
            <w:shd w:val="clear" w:color="auto" w:fill="BFBFBF" w:themeFill="background1" w:themeFillShade="BF"/>
          </w:tcPr>
          <w:p w:rsidR="005C372E" w:rsidRPr="000B59ED" w:rsidRDefault="005C372E" w:rsidP="00307A77">
            <w:pPr>
              <w:pStyle w:val="Tablewriting"/>
              <w:rPr>
                <w:b/>
              </w:rPr>
            </w:pPr>
            <w:r w:rsidRPr="000B59ED">
              <w:rPr>
                <w:b/>
              </w:rPr>
              <w:t>R/PBS expenditure</w:t>
            </w:r>
          </w:p>
        </w:tc>
      </w:tr>
      <w:tr w:rsidR="005C372E" w:rsidRPr="000B59ED" w:rsidTr="009378EA">
        <w:tc>
          <w:tcPr>
            <w:tcW w:w="2802" w:type="dxa"/>
          </w:tcPr>
          <w:p w:rsidR="005C372E" w:rsidRPr="005B02E0" w:rsidRDefault="005C372E" w:rsidP="00307A77">
            <w:pPr>
              <w:pStyle w:val="Tablewriting"/>
            </w:pPr>
            <w:r w:rsidRPr="000B59ED">
              <w:t>Imatinib 400mg</w:t>
            </w:r>
          </w:p>
        </w:tc>
        <w:tc>
          <w:tcPr>
            <w:tcW w:w="992" w:type="dxa"/>
            <w:shd w:val="clear" w:color="auto" w:fill="BFBFBF" w:themeFill="background1" w:themeFillShade="BF"/>
          </w:tcPr>
          <w:p w:rsidR="005C372E" w:rsidRPr="000B59ED" w:rsidRDefault="005C372E" w:rsidP="00307A77">
            <w:pPr>
              <w:pStyle w:val="Tablewriting"/>
            </w:pP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r>
      <w:tr w:rsidR="005C372E" w:rsidRPr="000B59ED" w:rsidTr="009378EA">
        <w:tc>
          <w:tcPr>
            <w:tcW w:w="2802" w:type="dxa"/>
          </w:tcPr>
          <w:p w:rsidR="005C372E" w:rsidRPr="005B02E0" w:rsidRDefault="005C372E" w:rsidP="00307A77">
            <w:pPr>
              <w:pStyle w:val="Tablewriting"/>
            </w:pPr>
            <w:r w:rsidRPr="000B59ED">
              <w:t>Imatinib 100 mg</w:t>
            </w:r>
          </w:p>
        </w:tc>
        <w:tc>
          <w:tcPr>
            <w:tcW w:w="992" w:type="dxa"/>
            <w:shd w:val="clear" w:color="auto" w:fill="BFBFBF" w:themeFill="background1" w:themeFillShade="BF"/>
          </w:tcPr>
          <w:p w:rsidR="005C372E" w:rsidRPr="000B59ED" w:rsidRDefault="005C372E" w:rsidP="00307A77">
            <w:pPr>
              <w:pStyle w:val="Tablewriting"/>
            </w:pP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r>
      <w:tr w:rsidR="005C372E" w:rsidRPr="000B59ED" w:rsidTr="009378EA">
        <w:tc>
          <w:tcPr>
            <w:tcW w:w="2802" w:type="dxa"/>
          </w:tcPr>
          <w:p w:rsidR="005C372E" w:rsidRPr="005B02E0" w:rsidRDefault="005C372E" w:rsidP="00307A77">
            <w:pPr>
              <w:pStyle w:val="Tablewriting"/>
            </w:pPr>
            <w:r w:rsidRPr="000B59ED">
              <w:t>Net cost</w:t>
            </w:r>
          </w:p>
        </w:tc>
        <w:tc>
          <w:tcPr>
            <w:tcW w:w="992" w:type="dxa"/>
            <w:shd w:val="clear" w:color="auto" w:fill="BFBFBF" w:themeFill="background1" w:themeFillShade="BF"/>
          </w:tcPr>
          <w:p w:rsidR="005C372E" w:rsidRPr="000B59ED" w:rsidRDefault="005C372E" w:rsidP="00307A77">
            <w:pPr>
              <w:pStyle w:val="Tablewriting"/>
            </w:pP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c>
          <w:tcPr>
            <w:tcW w:w="1134" w:type="dxa"/>
            <w:vAlign w:val="bottom"/>
          </w:tcPr>
          <w:p w:rsidR="005C372E" w:rsidRPr="005B02E0" w:rsidRDefault="005B02E0" w:rsidP="00307A77">
            <w:pPr>
              <w:pStyle w:val="Tablewriting"/>
              <w:jc w:val="right"/>
              <w:rPr>
                <w:highlight w:val="black"/>
              </w:rPr>
            </w:pPr>
            <w:r>
              <w:rPr>
                <w:noProof/>
                <w:highlight w:val="black"/>
              </w:rPr>
              <w:t>'''''''''''''''''''''''</w:t>
            </w:r>
          </w:p>
        </w:tc>
      </w:tr>
    </w:tbl>
    <w:p w:rsidR="00C44D5D" w:rsidRPr="00472BFE" w:rsidRDefault="00472BFE" w:rsidP="00AF277A">
      <w:pPr>
        <w:spacing w:after="0"/>
        <w:rPr>
          <w:sz w:val="20"/>
          <w:szCs w:val="20"/>
        </w:rPr>
      </w:pPr>
      <w:r w:rsidRPr="00472BFE">
        <w:rPr>
          <w:sz w:val="20"/>
          <w:szCs w:val="20"/>
        </w:rPr>
        <w:t>Note:</w:t>
      </w:r>
    </w:p>
    <w:p w:rsidR="00472BFE" w:rsidRPr="001421CE" w:rsidRDefault="000C1B66" w:rsidP="00AF277A">
      <w:pPr>
        <w:spacing w:after="0"/>
        <w:rPr>
          <w:sz w:val="20"/>
          <w:szCs w:val="20"/>
        </w:rPr>
      </w:pPr>
      <w:r w:rsidRPr="001421CE">
        <w:rPr>
          <w:sz w:val="20"/>
          <w:szCs w:val="20"/>
          <w:vertAlign w:val="superscript"/>
        </w:rPr>
        <w:t>1</w:t>
      </w:r>
      <w:r w:rsidRPr="001421CE">
        <w:rPr>
          <w:sz w:val="20"/>
          <w:szCs w:val="20"/>
        </w:rPr>
        <w:t xml:space="preserve"> </w:t>
      </w:r>
      <w:r w:rsidR="00472BFE" w:rsidRPr="001421CE">
        <w:rPr>
          <w:sz w:val="20"/>
          <w:szCs w:val="20"/>
        </w:rPr>
        <w:t>Based on data supplied by the Health Registers and Cancer Monitoring Unit, AIHW there were 251 patients estimated with malignant GIST within Australia in 2005. Annual growth in the Australian population (based on ABS Series B) was applied to project the number of patients diagnosed with GIST</w:t>
      </w:r>
      <w:r w:rsidR="00CE543D" w:rsidRPr="001421CE">
        <w:rPr>
          <w:sz w:val="20"/>
          <w:szCs w:val="20"/>
        </w:rPr>
        <w:t xml:space="preserve"> from the 2005 estimate</w:t>
      </w:r>
      <w:r w:rsidR="00472BFE" w:rsidRPr="001421CE">
        <w:rPr>
          <w:sz w:val="20"/>
          <w:szCs w:val="20"/>
        </w:rPr>
        <w:t>.</w:t>
      </w:r>
    </w:p>
    <w:p w:rsidR="000C1B66" w:rsidRPr="001421CE" w:rsidRDefault="000C1B66" w:rsidP="00AF277A">
      <w:pPr>
        <w:spacing w:after="0"/>
        <w:rPr>
          <w:sz w:val="20"/>
          <w:szCs w:val="20"/>
        </w:rPr>
      </w:pPr>
      <w:proofErr w:type="gramStart"/>
      <w:r w:rsidRPr="001421CE">
        <w:rPr>
          <w:sz w:val="20"/>
          <w:szCs w:val="20"/>
          <w:vertAlign w:val="superscript"/>
        </w:rPr>
        <w:t>2</w:t>
      </w:r>
      <w:r w:rsidR="00BA0A92">
        <w:rPr>
          <w:sz w:val="20"/>
          <w:szCs w:val="20"/>
          <w:vertAlign w:val="superscript"/>
        </w:rPr>
        <w:t xml:space="preserve"> </w:t>
      </w:r>
      <w:proofErr w:type="spellStart"/>
      <w:r w:rsidRPr="001421CE">
        <w:rPr>
          <w:sz w:val="20"/>
          <w:szCs w:val="20"/>
        </w:rPr>
        <w:t>Schnadig</w:t>
      </w:r>
      <w:proofErr w:type="spellEnd"/>
      <w:r w:rsidRPr="001421CE">
        <w:rPr>
          <w:sz w:val="20"/>
          <w:szCs w:val="20"/>
        </w:rPr>
        <w:t xml:space="preserve"> ID, </w:t>
      </w:r>
      <w:proofErr w:type="spellStart"/>
      <w:r w:rsidRPr="001421CE">
        <w:rPr>
          <w:sz w:val="20"/>
          <w:szCs w:val="20"/>
        </w:rPr>
        <w:t>Blanke</w:t>
      </w:r>
      <w:proofErr w:type="spellEnd"/>
      <w:r w:rsidRPr="001421CE">
        <w:rPr>
          <w:sz w:val="20"/>
          <w:szCs w:val="20"/>
        </w:rPr>
        <w:t xml:space="preserve"> CD.</w:t>
      </w:r>
      <w:proofErr w:type="gramEnd"/>
      <w:r w:rsidRPr="001421CE">
        <w:rPr>
          <w:sz w:val="20"/>
          <w:szCs w:val="20"/>
        </w:rPr>
        <w:t xml:space="preserve"> Gastrointestinal Stromal </w:t>
      </w:r>
      <w:proofErr w:type="spellStart"/>
      <w:r w:rsidRPr="001421CE">
        <w:rPr>
          <w:sz w:val="20"/>
          <w:szCs w:val="20"/>
        </w:rPr>
        <w:t>Tumors</w:t>
      </w:r>
      <w:proofErr w:type="spellEnd"/>
      <w:r w:rsidRPr="001421CE">
        <w:rPr>
          <w:sz w:val="20"/>
          <w:szCs w:val="20"/>
        </w:rPr>
        <w:t>: Imatinib and Beyond. Current Treatment Options in Oncology 2006; 7:427-37.</w:t>
      </w:r>
    </w:p>
    <w:p w:rsidR="000C1B66" w:rsidRPr="001421CE" w:rsidRDefault="000C1B66" w:rsidP="00AF277A">
      <w:pPr>
        <w:spacing w:after="0"/>
        <w:rPr>
          <w:sz w:val="20"/>
          <w:szCs w:val="20"/>
        </w:rPr>
      </w:pPr>
      <w:proofErr w:type="gramStart"/>
      <w:r w:rsidRPr="001421CE">
        <w:rPr>
          <w:sz w:val="20"/>
          <w:szCs w:val="20"/>
          <w:vertAlign w:val="superscript"/>
        </w:rPr>
        <w:t xml:space="preserve">3 </w:t>
      </w:r>
      <w:proofErr w:type="spellStart"/>
      <w:r w:rsidRPr="001421CE">
        <w:rPr>
          <w:sz w:val="20"/>
          <w:szCs w:val="20"/>
        </w:rPr>
        <w:t>DeMatteo</w:t>
      </w:r>
      <w:proofErr w:type="spellEnd"/>
      <w:r w:rsidRPr="001421CE">
        <w:rPr>
          <w:sz w:val="20"/>
          <w:szCs w:val="20"/>
        </w:rPr>
        <w:t xml:space="preserve"> RP et al.</w:t>
      </w:r>
      <w:proofErr w:type="gramEnd"/>
      <w:r w:rsidRPr="001421CE">
        <w:rPr>
          <w:sz w:val="20"/>
          <w:szCs w:val="20"/>
        </w:rPr>
        <w:t xml:space="preserve"> </w:t>
      </w:r>
      <w:proofErr w:type="gramStart"/>
      <w:r w:rsidRPr="001421CE">
        <w:rPr>
          <w:sz w:val="20"/>
          <w:szCs w:val="20"/>
        </w:rPr>
        <w:t xml:space="preserve">Two Hundred Gastrointestinal Stromal </w:t>
      </w:r>
      <w:proofErr w:type="spellStart"/>
      <w:r w:rsidRPr="001421CE">
        <w:rPr>
          <w:sz w:val="20"/>
          <w:szCs w:val="20"/>
        </w:rPr>
        <w:t>Tumors</w:t>
      </w:r>
      <w:proofErr w:type="spellEnd"/>
      <w:r w:rsidRPr="001421CE">
        <w:rPr>
          <w:sz w:val="20"/>
          <w:szCs w:val="20"/>
        </w:rPr>
        <w:t xml:space="preserve"> </w:t>
      </w:r>
      <w:proofErr w:type="spellStart"/>
      <w:r w:rsidRPr="001421CE">
        <w:rPr>
          <w:sz w:val="20"/>
          <w:szCs w:val="20"/>
        </w:rPr>
        <w:t>Recurrance</w:t>
      </w:r>
      <w:proofErr w:type="spellEnd"/>
      <w:r w:rsidRPr="001421CE">
        <w:rPr>
          <w:sz w:val="20"/>
          <w:szCs w:val="20"/>
        </w:rPr>
        <w:t xml:space="preserve"> Patterns and Prognostic Factors for survival.</w:t>
      </w:r>
      <w:proofErr w:type="gramEnd"/>
      <w:r w:rsidRPr="001421CE">
        <w:rPr>
          <w:sz w:val="20"/>
          <w:szCs w:val="20"/>
        </w:rPr>
        <w:t xml:space="preserve"> Annals of Surgery 2000; 231(1): 51-8.</w:t>
      </w:r>
    </w:p>
    <w:p w:rsidR="00EE48CB" w:rsidRPr="001421CE" w:rsidRDefault="00EE48CB" w:rsidP="00AF277A">
      <w:pPr>
        <w:spacing w:after="0"/>
        <w:rPr>
          <w:sz w:val="20"/>
          <w:szCs w:val="20"/>
        </w:rPr>
      </w:pPr>
      <w:r w:rsidRPr="001421CE">
        <w:rPr>
          <w:sz w:val="20"/>
          <w:szCs w:val="20"/>
          <w:vertAlign w:val="superscript"/>
        </w:rPr>
        <w:t>4</w:t>
      </w:r>
      <w:r w:rsidR="00BA0A92">
        <w:rPr>
          <w:sz w:val="20"/>
          <w:szCs w:val="20"/>
          <w:vertAlign w:val="superscript"/>
        </w:rPr>
        <w:t xml:space="preserve"> </w:t>
      </w:r>
      <w:proofErr w:type="spellStart"/>
      <w:r w:rsidRPr="001421CE">
        <w:rPr>
          <w:sz w:val="20"/>
          <w:szCs w:val="20"/>
        </w:rPr>
        <w:t>Goh</w:t>
      </w:r>
      <w:proofErr w:type="spellEnd"/>
      <w:r w:rsidRPr="001421CE">
        <w:rPr>
          <w:sz w:val="20"/>
          <w:szCs w:val="20"/>
        </w:rPr>
        <w:t xml:space="preserve"> BKP, Chow PKH, Yap WM, </w:t>
      </w:r>
      <w:proofErr w:type="spellStart"/>
      <w:r w:rsidRPr="001421CE">
        <w:rPr>
          <w:sz w:val="20"/>
          <w:szCs w:val="20"/>
        </w:rPr>
        <w:t>Kesavan</w:t>
      </w:r>
      <w:proofErr w:type="spellEnd"/>
      <w:r w:rsidRPr="001421CE">
        <w:rPr>
          <w:sz w:val="20"/>
          <w:szCs w:val="20"/>
        </w:rPr>
        <w:t xml:space="preserve"> SM, Song IC, Paul PG, et al. Which is the optimal risk stratification system for surgically treated localized primary GIST? Comparison of three contemporary prognostic criteria in 171 </w:t>
      </w:r>
      <w:proofErr w:type="spellStart"/>
      <w:r w:rsidRPr="001421CE">
        <w:rPr>
          <w:sz w:val="20"/>
          <w:szCs w:val="20"/>
        </w:rPr>
        <w:t>tumors</w:t>
      </w:r>
      <w:proofErr w:type="spellEnd"/>
      <w:r w:rsidRPr="001421CE">
        <w:rPr>
          <w:sz w:val="20"/>
          <w:szCs w:val="20"/>
        </w:rPr>
        <w:t xml:space="preserve"> and a proposal for a modified armed forces institute of pathology risk criteria. Annals of Surgical Oncology 2008; 15(8): 2153-63.</w:t>
      </w:r>
    </w:p>
    <w:p w:rsidR="00BA0A92" w:rsidRDefault="00BA0A92" w:rsidP="000D593C"/>
    <w:p w:rsidR="000D593C" w:rsidRDefault="00513683" w:rsidP="000D593C">
      <w:r w:rsidRPr="000B59ED">
        <w:lastRenderedPageBreak/>
        <w:t xml:space="preserve">The submission assumed that </w:t>
      </w:r>
      <w:r w:rsidR="005B02E0">
        <w:rPr>
          <w:noProof/>
          <w:color w:val="000000"/>
          <w:highlight w:val="black"/>
        </w:rPr>
        <w:t>'''''''''</w:t>
      </w:r>
      <w:r w:rsidRPr="000B59ED">
        <w:t xml:space="preserve"> of patients will receive 400mg per day, and </w:t>
      </w:r>
      <w:r w:rsidR="005B02E0">
        <w:rPr>
          <w:noProof/>
          <w:color w:val="000000"/>
          <w:highlight w:val="black"/>
        </w:rPr>
        <w:t>''''''</w:t>
      </w:r>
      <w:r w:rsidRPr="000B59ED">
        <w:t xml:space="preserve"> will receive 100mg per day. The submission assumed continuation rates of </w:t>
      </w:r>
      <w:r w:rsidR="005B02E0">
        <w:rPr>
          <w:noProof/>
          <w:color w:val="000000"/>
          <w:highlight w:val="black"/>
        </w:rPr>
        <w:t>'''''''''''' ''''''''''''</w:t>
      </w:r>
      <w:r w:rsidRPr="000B59ED">
        <w:t xml:space="preserve"> and </w:t>
      </w:r>
      <w:r w:rsidR="005B02E0">
        <w:rPr>
          <w:noProof/>
          <w:color w:val="000000"/>
          <w:highlight w:val="black"/>
        </w:rPr>
        <w:t>'''''''''''</w:t>
      </w:r>
      <w:r w:rsidRPr="000B59ED">
        <w:t xml:space="preserve"> in Year</w:t>
      </w:r>
      <w:r w:rsidR="00E52547" w:rsidRPr="000B59ED">
        <w:t>s</w:t>
      </w:r>
      <w:r w:rsidRPr="000B59ED">
        <w:t xml:space="preserve"> 1, 2 and 3 respectively.  The average daily dose of 360.89</w:t>
      </w:r>
      <w:r w:rsidR="001114C2" w:rsidRPr="000B59ED">
        <w:t xml:space="preserve"> mg</w:t>
      </w:r>
      <w:r w:rsidRPr="000B59ED">
        <w:t xml:space="preserve"> was determined b</w:t>
      </w:r>
      <w:r w:rsidR="001114C2" w:rsidRPr="000B59ED">
        <w:t>ased on clinical trial SSGXVIII. It was assumed that the average number of</w:t>
      </w:r>
      <w:r w:rsidR="001114C2">
        <w:t xml:space="preserve"> prescriptions per patient per year for 100 mg and 400 mg imatinib would be 21.65 and 10.83 respectively. </w:t>
      </w:r>
    </w:p>
    <w:p w:rsidR="00094DCF" w:rsidRDefault="00ED633B" w:rsidP="00CF5E22">
      <w:pPr>
        <w:pStyle w:val="Heading2"/>
      </w:pPr>
      <w:r>
        <w:t xml:space="preserve">Previous reviews by </w:t>
      </w:r>
      <w:r w:rsidR="00177B86">
        <w:t xml:space="preserve">the </w:t>
      </w:r>
      <w:r>
        <w:t>DUSC</w:t>
      </w:r>
    </w:p>
    <w:p w:rsidR="00780607" w:rsidRPr="00DC728A" w:rsidRDefault="0016156D" w:rsidP="00A35800">
      <w:r w:rsidRPr="00DC728A">
        <w:t>A p</w:t>
      </w:r>
      <w:r w:rsidR="00780607" w:rsidRPr="00DC728A">
        <w:t>redicted versus actual analysis of imatinib as adjuvant treatment of GIST was considered by DUSC in October 2013.</w:t>
      </w:r>
      <w:r w:rsidR="0097214C" w:rsidRPr="00DC728A">
        <w:t xml:space="preserve"> </w:t>
      </w:r>
      <w:r w:rsidRPr="00DC728A">
        <w:t xml:space="preserve">The data suggested that more patients had accessed imatinib for adjuvant treatment of GIST than was estimated by the submission, possibly due to </w:t>
      </w:r>
      <w:r w:rsidR="0031224B">
        <w:t xml:space="preserve">the </w:t>
      </w:r>
      <w:r w:rsidRPr="00DC728A">
        <w:t xml:space="preserve">population being underestimated, or a higher uptake in the eligible group. Despite there being more patients, there were fewer prescriptions than expected. </w:t>
      </w:r>
    </w:p>
    <w:p w:rsidR="0016156D" w:rsidRPr="00DC728A" w:rsidRDefault="0016156D" w:rsidP="00A35800">
      <w:r w:rsidRPr="00DC728A">
        <w:t xml:space="preserve">The submission proposed that the use of imatinib as adjuvant therapy was expected to delay </w:t>
      </w:r>
      <w:r w:rsidR="00DC728A" w:rsidRPr="00DC728A">
        <w:t xml:space="preserve">the time to metastatic disease recurrence and therefore there was expected to be less use of downstream treatment with imatinib and </w:t>
      </w:r>
      <w:proofErr w:type="spellStart"/>
      <w:r w:rsidR="00DC728A" w:rsidRPr="00DC728A">
        <w:t>sunitinib</w:t>
      </w:r>
      <w:proofErr w:type="spellEnd"/>
      <w:r w:rsidR="00DC728A" w:rsidRPr="00DC728A">
        <w:t xml:space="preserve"> in the metastatic treatment setting. At the time of the previous review, it was too soon to assess whether there will be any delay in the use of imatinib and </w:t>
      </w:r>
      <w:proofErr w:type="spellStart"/>
      <w:r w:rsidR="00DC728A" w:rsidRPr="00DC728A">
        <w:t>sunitinib</w:t>
      </w:r>
      <w:proofErr w:type="spellEnd"/>
      <w:r w:rsidR="00DC728A" w:rsidRPr="00DC728A">
        <w:t xml:space="preserve"> for metastatic/</w:t>
      </w:r>
      <w:proofErr w:type="spellStart"/>
      <w:r w:rsidR="00DC728A" w:rsidRPr="00DC728A">
        <w:t>unresectable</w:t>
      </w:r>
      <w:proofErr w:type="spellEnd"/>
      <w:r w:rsidR="00DC728A" w:rsidRPr="00DC728A">
        <w:t xml:space="preserve"> disease as a result of adjuvant treatment.  </w:t>
      </w:r>
    </w:p>
    <w:p w:rsidR="00C7111E" w:rsidRDefault="00C7111E" w:rsidP="00C7111E">
      <w:pPr>
        <w:pStyle w:val="Heading1"/>
      </w:pPr>
      <w:r w:rsidRPr="005E22C2">
        <w:t>Methods</w:t>
      </w:r>
    </w:p>
    <w:p w:rsidR="00DC728A" w:rsidRDefault="00DC728A" w:rsidP="00DC728A">
      <w:pPr>
        <w:spacing w:line="280" w:lineRule="atLeast"/>
        <w:jc w:val="both"/>
      </w:pPr>
      <w:r>
        <w:t>Prescriptions data was extracted from the Department of Human Services (DHS) PBS prescription claim database for prescriptions supplied from February 2004 (data of first listing of imatinib for GIST) to September 2016, inclusive. The analyses in this report were based on date of supply prescription data. As such, there may be small differences compared with publicly available DHS date of processing data</w:t>
      </w:r>
      <w:r w:rsidR="00BF36A5">
        <w:t>.</w:t>
      </w:r>
      <w:r w:rsidR="00BD23CE">
        <w:rPr>
          <w:rStyle w:val="FootnoteReference"/>
        </w:rPr>
        <w:footnoteReference w:id="1"/>
      </w:r>
    </w:p>
    <w:p w:rsidR="00DC728A" w:rsidRDefault="00DC728A" w:rsidP="00DC728A">
      <w:r>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 The adjuvant and non-adjuvant to surgical resection listings were examined in these analyses.</w:t>
      </w:r>
    </w:p>
    <w:p w:rsidR="00DC728A" w:rsidRDefault="00DC728A" w:rsidP="00DC728A">
      <w:pPr>
        <w:autoSpaceDE w:val="0"/>
        <w:autoSpaceDN w:val="0"/>
      </w:pPr>
      <w:r>
        <w:rPr>
          <w:color w:val="000000"/>
        </w:rPr>
        <w:t xml:space="preserve">Continuation on imatinib was examined in a six month cohort of patients’ adjuvant to surgical resection who first initiated on imatinib </w:t>
      </w:r>
      <w:proofErr w:type="gramStart"/>
      <w:r>
        <w:rPr>
          <w:color w:val="000000"/>
        </w:rPr>
        <w:t>between 1 December 2013 (the date of the extension of the listing</w:t>
      </w:r>
      <w:r w:rsidR="003C3D06">
        <w:rPr>
          <w:color w:val="000000"/>
        </w:rPr>
        <w:t>)</w:t>
      </w:r>
      <w:r>
        <w:rPr>
          <w:color w:val="000000"/>
        </w:rPr>
        <w:t xml:space="preserve"> to 31 May 2014</w:t>
      </w:r>
      <w:proofErr w:type="gramEnd"/>
      <w:r>
        <w:rPr>
          <w:color w:val="000000"/>
        </w:rPr>
        <w:t xml:space="preserve">. There were 41 initiators in this period. The time on imatinib therapy was analysed from the date of patient initiation to the end date for the analysis (30 September 2016). The median time </w:t>
      </w:r>
      <w:r w:rsidR="007D1BAF">
        <w:rPr>
          <w:color w:val="000000"/>
        </w:rPr>
        <w:t xml:space="preserve">of re-supply </w:t>
      </w:r>
      <w:r>
        <w:rPr>
          <w:color w:val="000000"/>
        </w:rPr>
        <w:t xml:space="preserve">of imatinib was 31 days. Patients were assumed to have had a break in therapy if the time between successive supplies was more than three times the median days between </w:t>
      </w:r>
      <w:proofErr w:type="gramStart"/>
      <w:r>
        <w:rPr>
          <w:color w:val="000000"/>
        </w:rPr>
        <w:t>supply</w:t>
      </w:r>
      <w:proofErr w:type="gramEnd"/>
      <w:r>
        <w:rPr>
          <w:color w:val="000000"/>
        </w:rPr>
        <w:t xml:space="preserve"> (i.e. 93 days). </w:t>
      </w:r>
      <w:r>
        <w:lastRenderedPageBreak/>
        <w:t xml:space="preserve">Persistence to imatinib treatment was examined through constructing a Kaplan-Meier plot of the duration of therapy. Patients were censored from the Kaplan-Meier analysis if they were identified as potential continuers. Patients were assumed to be continuing on therapy if their last supply was within two times the median days to re-supply (i.e. 62 days) of the end analysis date (30 September 2016). </w:t>
      </w:r>
    </w:p>
    <w:p w:rsidR="00DC728A" w:rsidRDefault="00DC728A" w:rsidP="00DC728A">
      <w:pPr>
        <w:autoSpaceDE w:val="0"/>
        <w:autoSpaceDN w:val="0"/>
      </w:pPr>
      <w:r>
        <w:t>The average daily dose of imatinib for adjuvant therapy was calculated as the total amount of drug dispensed (in milligrams) for a given script divided by the number of days to re-supply. This analysis accounted for any co-administration of the 100 mg and 400 mg strengths.</w:t>
      </w:r>
    </w:p>
    <w:p w:rsidR="00DC728A" w:rsidRDefault="00DC728A" w:rsidP="00DC728A">
      <w:pPr>
        <w:rPr>
          <w:rFonts w:ascii="Calibri" w:hAnsi="Calibri" w:cs="Times New Roman"/>
        </w:rPr>
      </w:pPr>
      <w:r>
        <w:t>All analyses were undertaken using SAS Enterprise Guide version 7.1.</w:t>
      </w:r>
    </w:p>
    <w:p w:rsidR="00C7111E" w:rsidRDefault="00C7111E" w:rsidP="00855F5E">
      <w:pPr>
        <w:pStyle w:val="Heading1"/>
        <w:spacing w:before="240"/>
      </w:pPr>
      <w:r w:rsidRPr="005E22C2">
        <w:t>Results</w:t>
      </w:r>
    </w:p>
    <w:p w:rsidR="00612B2C" w:rsidRDefault="00C7111E" w:rsidP="00612B2C">
      <w:pPr>
        <w:pStyle w:val="Heading2"/>
        <w:tabs>
          <w:tab w:val="left" w:pos="3751"/>
        </w:tabs>
      </w:pPr>
      <w:r w:rsidRPr="005E22C2">
        <w:t xml:space="preserve">Analysis of </w:t>
      </w:r>
      <w:r w:rsidR="005823B0">
        <w:t>drug</w:t>
      </w:r>
      <w:r w:rsidRPr="005E22C2">
        <w:t xml:space="preserve"> </w:t>
      </w:r>
      <w:r>
        <w:t>u</w:t>
      </w:r>
      <w:r w:rsidRPr="005E22C2">
        <w:t>tilisation</w:t>
      </w:r>
    </w:p>
    <w:p w:rsidR="00D01E15" w:rsidRDefault="001F70B6" w:rsidP="009A22BC">
      <w:r>
        <w:t>The number of patients treated with imatinib as adjuvant therapy incr</w:t>
      </w:r>
      <w:r w:rsidR="00804214">
        <w:t>eased after the extension to its</w:t>
      </w:r>
      <w:r>
        <w:t xml:space="preserve"> listing from December 2013 to allow up to 36 months of treatment (Figure</w:t>
      </w:r>
      <w:r w:rsidR="00DC4BB5">
        <w:t> </w:t>
      </w:r>
      <w:r>
        <w:t xml:space="preserve">1). </w:t>
      </w:r>
      <w:r w:rsidR="00346B4D">
        <w:t xml:space="preserve">Since 2015 Quarter 2 the number of treated adjuvant patients </w:t>
      </w:r>
      <w:r>
        <w:t>had plateaued to around 200 pa</w:t>
      </w:r>
      <w:r w:rsidR="00DC4BB5">
        <w:t xml:space="preserve">tients per quarter (Figure 1). </w:t>
      </w:r>
      <w:r w:rsidR="007F5525">
        <w:t xml:space="preserve">The number of patients initiating on adjuvant therapy remained at similar levels before and after the extension to </w:t>
      </w:r>
      <w:proofErr w:type="spellStart"/>
      <w:r w:rsidR="007F5525">
        <w:t>imatinib’s</w:t>
      </w:r>
      <w:proofErr w:type="spellEnd"/>
      <w:r w:rsidR="007F5525">
        <w:t xml:space="preserve"> listing (Figure 1).</w:t>
      </w:r>
    </w:p>
    <w:p w:rsidR="008744DA" w:rsidRDefault="008744DA" w:rsidP="008744DA">
      <w:r>
        <w:rPr>
          <w:noProof/>
        </w:rPr>
        <w:drawing>
          <wp:inline distT="0" distB="0" distL="0" distR="0" wp14:anchorId="3295D7BB" wp14:editId="7B338BD3">
            <wp:extent cx="4886325" cy="3502701"/>
            <wp:effectExtent l="0" t="0" r="0" b="2540"/>
            <wp:docPr id="1" name="Picture 1" descr="The x axis is the quarter of supply ranging from quarter 1 2006 to quarter 3 2016. The y axis is the number of patients. Trends are presented for prevalent adjuvant and non-adjuvant patients and incident adjuvant and non-adjuvant patients.  " title="Incident and Prevalent Patients supplied imatinib as adjuvant and non-adjuvant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355" cy="3504873"/>
                    </a:xfrm>
                    <a:prstGeom prst="rect">
                      <a:avLst/>
                    </a:prstGeom>
                    <a:noFill/>
                  </pic:spPr>
                </pic:pic>
              </a:graphicData>
            </a:graphic>
          </wp:inline>
        </w:drawing>
      </w:r>
    </w:p>
    <w:p w:rsidR="008744DA" w:rsidRPr="00F24908" w:rsidRDefault="00C00389" w:rsidP="00307A77">
      <w:pPr>
        <w:pStyle w:val="Figuretitle"/>
      </w:pPr>
      <w:proofErr w:type="gramStart"/>
      <w:r w:rsidRPr="00F24908">
        <w:t>Figure 1.</w:t>
      </w:r>
      <w:proofErr w:type="gramEnd"/>
      <w:r w:rsidRPr="00F24908">
        <w:t xml:space="preserve"> Number of incident and prevalent patients supplied imatinib as adjuvant and non-adjuvant treatment by quarter.</w:t>
      </w:r>
    </w:p>
    <w:p w:rsidR="00DC4BB5" w:rsidRPr="009A22BC" w:rsidRDefault="00DC4BB5" w:rsidP="00DC4BB5">
      <w:r>
        <w:lastRenderedPageBreak/>
        <w:t>A plateau in the number of patients treated with imatinib as non-adjuvant therapy was also seen from 2015 Quarter 3 (Figure 1).</w:t>
      </w:r>
    </w:p>
    <w:p w:rsidR="00934892" w:rsidRPr="00E552D1" w:rsidRDefault="00E552D1" w:rsidP="00AD5946">
      <w:pPr>
        <w:rPr>
          <w:color w:val="000000" w:themeColor="text1"/>
        </w:rPr>
      </w:pPr>
      <w:r>
        <w:rPr>
          <w:color w:val="000000" w:themeColor="text1"/>
        </w:rPr>
        <w:t>Time on imatinib was examined in 41 patients initiating on imatinib between</w:t>
      </w:r>
      <w:r w:rsidR="00307A77">
        <w:rPr>
          <w:color w:val="000000" w:themeColor="text1"/>
        </w:rPr>
        <w:t xml:space="preserve"> </w:t>
      </w:r>
      <w:r>
        <w:rPr>
          <w:color w:val="000000" w:themeColor="text1"/>
        </w:rPr>
        <w:t>1</w:t>
      </w:r>
      <w:r w:rsidR="00307A77">
        <w:rPr>
          <w:color w:val="000000" w:themeColor="text1"/>
        </w:rPr>
        <w:t> </w:t>
      </w:r>
      <w:r>
        <w:rPr>
          <w:color w:val="000000" w:themeColor="text1"/>
        </w:rPr>
        <w:t>December</w:t>
      </w:r>
      <w:r w:rsidR="00307A77">
        <w:rPr>
          <w:color w:val="000000" w:themeColor="text1"/>
        </w:rPr>
        <w:t> </w:t>
      </w:r>
      <w:r>
        <w:rPr>
          <w:color w:val="000000" w:themeColor="text1"/>
        </w:rPr>
        <w:t xml:space="preserve">2013 </w:t>
      </w:r>
      <w:r w:rsidR="00307A77">
        <w:rPr>
          <w:color w:val="000000" w:themeColor="text1"/>
        </w:rPr>
        <w:t>and</w:t>
      </w:r>
      <w:r>
        <w:rPr>
          <w:color w:val="000000" w:themeColor="text1"/>
        </w:rPr>
        <w:t xml:space="preserve"> 31 May 2014 who were adjuvant to surgical resection. The data was too premature to identify patients who exceeded the treatment limit of 36 months. Figure</w:t>
      </w:r>
      <w:r w:rsidR="00307A77">
        <w:rPr>
          <w:color w:val="000000" w:themeColor="text1"/>
        </w:rPr>
        <w:t> </w:t>
      </w:r>
      <w:r w:rsidR="00C44D5D">
        <w:rPr>
          <w:color w:val="000000" w:themeColor="text1"/>
        </w:rPr>
        <w:t>2</w:t>
      </w:r>
      <w:r>
        <w:rPr>
          <w:color w:val="000000" w:themeColor="text1"/>
        </w:rPr>
        <w:t xml:space="preserve"> shows th</w:t>
      </w:r>
      <w:r w:rsidR="0024529E">
        <w:rPr>
          <w:color w:val="000000" w:themeColor="text1"/>
        </w:rPr>
        <w:t>at for both patients on their first episode of imatinib treatment and those who were identified as having a break in imatinib therapy,</w:t>
      </w:r>
      <w:r>
        <w:rPr>
          <w:color w:val="000000" w:themeColor="text1"/>
        </w:rPr>
        <w:t xml:space="preserve"> </w:t>
      </w:r>
      <w:r w:rsidR="0024529E">
        <w:rPr>
          <w:color w:val="000000" w:themeColor="text1"/>
        </w:rPr>
        <w:t xml:space="preserve">a </w:t>
      </w:r>
      <w:r w:rsidR="00907F0D">
        <w:rPr>
          <w:color w:val="000000" w:themeColor="text1"/>
        </w:rPr>
        <w:t xml:space="preserve">relatively </w:t>
      </w:r>
      <w:r>
        <w:rPr>
          <w:color w:val="000000" w:themeColor="text1"/>
        </w:rPr>
        <w:t xml:space="preserve">high proportion had remained on </w:t>
      </w:r>
      <w:r w:rsidR="0024529E">
        <w:rPr>
          <w:color w:val="000000" w:themeColor="text1"/>
        </w:rPr>
        <w:t>imatinib</w:t>
      </w:r>
      <w:r>
        <w:rPr>
          <w:color w:val="000000" w:themeColor="text1"/>
        </w:rPr>
        <w:t xml:space="preserve"> by the end of the analysis period (to 30 September 2016).</w:t>
      </w:r>
    </w:p>
    <w:p w:rsidR="00934892" w:rsidRDefault="00134335" w:rsidP="00AD5946">
      <w:pPr>
        <w:rPr>
          <w:color w:val="FF0000"/>
        </w:rPr>
      </w:pPr>
      <w:r>
        <w:rPr>
          <w:noProof/>
        </w:rPr>
        <w:drawing>
          <wp:inline distT="0" distB="0" distL="0" distR="0" wp14:anchorId="2E95ADF0" wp14:editId="7C6A171D">
            <wp:extent cx="5687695" cy="4265771"/>
            <wp:effectExtent l="0" t="0" r="8255" b="1905"/>
            <wp:docPr id="5" name="Picture 5" descr="Time on treatment for patients who initiated imatinib between 1 december 2013 and 31 May 2014. The follow up period was to 30 September 2016. The plot shows the time on first episode of treatment and the time on treatment including breaks. " title="Kaplan-Meier plot of time on imatinib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rsidR="00775DD7" w:rsidRDefault="001547F7" w:rsidP="00307A77">
      <w:pPr>
        <w:pStyle w:val="Figuretitle"/>
      </w:pPr>
      <w:proofErr w:type="gramStart"/>
      <w:r w:rsidRPr="00F24908">
        <w:t>Figure 2</w:t>
      </w:r>
      <w:r w:rsidR="00585512" w:rsidRPr="00F24908">
        <w:t>.</w:t>
      </w:r>
      <w:proofErr w:type="gramEnd"/>
      <w:r w:rsidR="00585512" w:rsidRPr="00F24908">
        <w:t xml:space="preserve"> </w:t>
      </w:r>
      <w:proofErr w:type="gramStart"/>
      <w:r w:rsidR="00585512" w:rsidRPr="00F24908">
        <w:t>Kaplan-Meier plot of time on imatinib treatment for patients initiating on imatinib between</w:t>
      </w:r>
      <w:r w:rsidR="00775DD7">
        <w:t xml:space="preserve"> </w:t>
      </w:r>
      <w:r w:rsidR="00585512" w:rsidRPr="00F24908">
        <w:t>1 December 2013 and 31 May 2014.</w:t>
      </w:r>
      <w:proofErr w:type="gramEnd"/>
      <w:r w:rsidR="00585512" w:rsidRPr="00F24908">
        <w:t xml:space="preserve"> </w:t>
      </w:r>
    </w:p>
    <w:p w:rsidR="00585512" w:rsidRPr="00775DD7" w:rsidRDefault="00585512" w:rsidP="00775DD7">
      <w:pPr>
        <w:pStyle w:val="Notes"/>
      </w:pPr>
      <w:r w:rsidRPr="00775DD7">
        <w:t>The follow up period was to 30 September 2016. Survival time for patients on their first episode of treatment and those identified as having a treatment break are shown.</w:t>
      </w:r>
    </w:p>
    <w:p w:rsidR="00DB30C2" w:rsidRDefault="00AD5946" w:rsidP="00CF57DE">
      <w:pPr>
        <w:pStyle w:val="Heading3"/>
        <w:rPr>
          <w:i w:val="0"/>
          <w:sz w:val="28"/>
          <w:szCs w:val="24"/>
        </w:rPr>
      </w:pPr>
      <w:r w:rsidRPr="00AD5946">
        <w:rPr>
          <w:i w:val="0"/>
          <w:sz w:val="28"/>
          <w:szCs w:val="24"/>
        </w:rPr>
        <w:t>Analysis of actual versus predicted utilisation</w:t>
      </w:r>
    </w:p>
    <w:p w:rsidR="00A878D1" w:rsidRPr="008228DC" w:rsidRDefault="008228DC" w:rsidP="008228DC">
      <w:r>
        <w:t>A comparison of the estimated versus actual use of imatinib for the adjuvant treatment of GIST</w:t>
      </w:r>
      <w:r w:rsidR="000864F8">
        <w:t>,</w:t>
      </w:r>
      <w:r>
        <w:t xml:space="preserve"> for the first two years since its listing was extended from December 2013</w:t>
      </w:r>
      <w:r w:rsidR="000864F8">
        <w:t>,</w:t>
      </w:r>
      <w:r>
        <w:t xml:space="preserve"> is shown in Table 3.</w:t>
      </w:r>
    </w:p>
    <w:p w:rsidR="00AF277A" w:rsidRDefault="00AF277A">
      <w:pPr>
        <w:spacing w:line="276" w:lineRule="auto"/>
        <w:rPr>
          <w:b/>
          <w:sz w:val="20"/>
        </w:rPr>
      </w:pPr>
      <w:r>
        <w:rPr>
          <w:b/>
          <w:sz w:val="20"/>
        </w:rPr>
        <w:br w:type="page"/>
      </w:r>
    </w:p>
    <w:p w:rsidR="00A44531" w:rsidRPr="00F24908" w:rsidRDefault="00A44531" w:rsidP="00307A77">
      <w:pPr>
        <w:pStyle w:val="Tabletitle"/>
      </w:pPr>
      <w:r w:rsidRPr="00F24908">
        <w:lastRenderedPageBreak/>
        <w:t>Table 3: Analysis of actual versus predicted utilisation</w:t>
      </w:r>
    </w:p>
    <w:tbl>
      <w:tblPr>
        <w:tblW w:w="7953" w:type="dxa"/>
        <w:tblInd w:w="93" w:type="dxa"/>
        <w:tblLook w:val="04A0" w:firstRow="1" w:lastRow="0" w:firstColumn="1" w:lastColumn="0" w:noHBand="0" w:noVBand="1"/>
      </w:tblPr>
      <w:tblGrid>
        <w:gridCol w:w="2000"/>
        <w:gridCol w:w="3100"/>
        <w:gridCol w:w="1436"/>
        <w:gridCol w:w="1417"/>
      </w:tblGrid>
      <w:tr w:rsidR="00DB30C2" w:rsidRPr="00DB30C2" w:rsidTr="00307A77">
        <w:trPr>
          <w:trHeight w:val="300"/>
          <w:tblHeader/>
        </w:trPr>
        <w:tc>
          <w:tcPr>
            <w:tcW w:w="2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30C2" w:rsidRPr="00307A77" w:rsidRDefault="00DB30C2" w:rsidP="00307A77">
            <w:pPr>
              <w:spacing w:after="0"/>
              <w:jc w:val="center"/>
              <w:rPr>
                <w:rFonts w:cs="Calibri"/>
                <w:b/>
                <w:sz w:val="20"/>
                <w:szCs w:val="20"/>
              </w:rPr>
            </w:pPr>
            <w:r w:rsidRPr="00307A77">
              <w:rPr>
                <w:rFonts w:cs="Calibri"/>
                <w:b/>
                <w:sz w:val="20"/>
                <w:szCs w:val="20"/>
              </w:rPr>
              <w:t>Parameter</w:t>
            </w:r>
          </w:p>
        </w:tc>
        <w:tc>
          <w:tcPr>
            <w:tcW w:w="3100" w:type="dxa"/>
            <w:tcBorders>
              <w:top w:val="single" w:sz="4" w:space="0" w:color="auto"/>
              <w:left w:val="nil"/>
              <w:bottom w:val="single" w:sz="4" w:space="0" w:color="auto"/>
              <w:right w:val="single" w:sz="4" w:space="0" w:color="auto"/>
            </w:tcBorders>
            <w:shd w:val="clear" w:color="auto" w:fill="BFBFBF" w:themeFill="background1" w:themeFillShade="BF"/>
          </w:tcPr>
          <w:p w:rsidR="00DB30C2" w:rsidRPr="00307A77" w:rsidRDefault="00DB30C2" w:rsidP="00307A77">
            <w:pPr>
              <w:spacing w:after="0"/>
              <w:jc w:val="center"/>
              <w:rPr>
                <w:rFonts w:cs="Calibri"/>
                <w:b/>
                <w:sz w:val="20"/>
                <w:szCs w:val="20"/>
              </w:rPr>
            </w:pPr>
            <w:r w:rsidRPr="00307A77">
              <w:rPr>
                <w:rFonts w:cs="Calibri"/>
                <w:b/>
                <w:sz w:val="20"/>
                <w:szCs w:val="20"/>
              </w:rPr>
              <w:t>Comparison</w:t>
            </w:r>
          </w:p>
        </w:tc>
        <w:tc>
          <w:tcPr>
            <w:tcW w:w="1436" w:type="dxa"/>
            <w:tcBorders>
              <w:top w:val="single" w:sz="4" w:space="0" w:color="auto"/>
              <w:left w:val="nil"/>
              <w:bottom w:val="single" w:sz="4" w:space="0" w:color="auto"/>
              <w:right w:val="single" w:sz="4" w:space="0" w:color="auto"/>
            </w:tcBorders>
            <w:shd w:val="clear" w:color="auto" w:fill="BFBFBF" w:themeFill="background1" w:themeFillShade="BF"/>
          </w:tcPr>
          <w:p w:rsidR="00853440" w:rsidRPr="00307A77" w:rsidRDefault="00DB30C2" w:rsidP="00307A77">
            <w:pPr>
              <w:spacing w:after="0"/>
              <w:jc w:val="center"/>
              <w:rPr>
                <w:rFonts w:cs="Calibri"/>
                <w:b/>
                <w:sz w:val="20"/>
                <w:szCs w:val="20"/>
              </w:rPr>
            </w:pPr>
            <w:r w:rsidRPr="00307A77">
              <w:rPr>
                <w:rFonts w:cs="Calibri"/>
                <w:b/>
                <w:sz w:val="20"/>
                <w:szCs w:val="20"/>
              </w:rPr>
              <w:t>Year 1</w:t>
            </w:r>
          </w:p>
          <w:p w:rsidR="00DB30C2" w:rsidRPr="00307A77" w:rsidRDefault="00DB30C2" w:rsidP="00307A77">
            <w:pPr>
              <w:spacing w:after="0"/>
              <w:jc w:val="center"/>
              <w:rPr>
                <w:rFonts w:cs="Calibri"/>
                <w:b/>
                <w:sz w:val="20"/>
                <w:szCs w:val="20"/>
              </w:rPr>
            </w:pPr>
            <w:r w:rsidRPr="00307A77">
              <w:rPr>
                <w:rFonts w:cs="Calibri"/>
                <w:b/>
                <w:sz w:val="20"/>
                <w:szCs w:val="20"/>
              </w:rPr>
              <w:t>(Dec 2013 to Nov 2014)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rsidR="00DB30C2" w:rsidRPr="00307A77" w:rsidRDefault="00DB30C2" w:rsidP="00307A77">
            <w:pPr>
              <w:spacing w:after="0"/>
              <w:jc w:val="center"/>
              <w:rPr>
                <w:rFonts w:cs="Calibri"/>
                <w:b/>
                <w:sz w:val="20"/>
                <w:szCs w:val="20"/>
              </w:rPr>
            </w:pPr>
            <w:r w:rsidRPr="00307A77">
              <w:rPr>
                <w:rFonts w:cs="Calibri"/>
                <w:b/>
                <w:sz w:val="20"/>
                <w:szCs w:val="20"/>
              </w:rPr>
              <w:t>Year 2</w:t>
            </w:r>
          </w:p>
          <w:p w:rsidR="00DB30C2" w:rsidRPr="00307A77" w:rsidRDefault="00DB30C2" w:rsidP="00307A77">
            <w:pPr>
              <w:spacing w:after="0"/>
              <w:jc w:val="center"/>
              <w:rPr>
                <w:rFonts w:cs="Calibri"/>
                <w:b/>
                <w:sz w:val="20"/>
                <w:szCs w:val="20"/>
              </w:rPr>
            </w:pPr>
            <w:r w:rsidRPr="00307A77">
              <w:rPr>
                <w:rFonts w:cs="Calibri"/>
                <w:b/>
                <w:sz w:val="20"/>
                <w:szCs w:val="20"/>
              </w:rPr>
              <w:t>(Dec 2014 to Nov 2015)</w:t>
            </w:r>
          </w:p>
        </w:tc>
      </w:tr>
      <w:tr w:rsidR="00DB30C2" w:rsidRPr="00DB30C2" w:rsidTr="00307A77">
        <w:trPr>
          <w:trHeight w:val="300"/>
        </w:trPr>
        <w:tc>
          <w:tcPr>
            <w:tcW w:w="7953" w:type="dxa"/>
            <w:gridSpan w:val="4"/>
            <w:tcBorders>
              <w:top w:val="nil"/>
              <w:left w:val="single" w:sz="4" w:space="0" w:color="auto"/>
              <w:bottom w:val="single" w:sz="4" w:space="0" w:color="auto"/>
              <w:right w:val="single" w:sz="4" w:space="0" w:color="auto"/>
            </w:tcBorders>
            <w:shd w:val="clear" w:color="auto" w:fill="BFBFBF" w:themeFill="background1" w:themeFillShade="BF"/>
            <w:vAlign w:val="center"/>
          </w:tcPr>
          <w:p w:rsidR="00DB30C2" w:rsidRPr="004F243F" w:rsidRDefault="00DB30C2" w:rsidP="00DB30C2">
            <w:pPr>
              <w:spacing w:after="0"/>
              <w:rPr>
                <w:rFonts w:ascii="Arial Narrow" w:eastAsia="Times New Roman" w:hAnsi="Arial Narrow" w:cs="Arial"/>
                <w:color w:val="000000" w:themeColor="text1"/>
                <w:sz w:val="20"/>
                <w:szCs w:val="20"/>
              </w:rPr>
            </w:pPr>
            <w:r w:rsidRPr="00307A77">
              <w:rPr>
                <w:rFonts w:cs="Calibri"/>
                <w:b/>
                <w:sz w:val="20"/>
                <w:szCs w:val="20"/>
              </w:rPr>
              <w:t>Overall expenditure – all strengths</w:t>
            </w:r>
          </w:p>
        </w:tc>
      </w:tr>
      <w:tr w:rsidR="00DB30C2"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Incident patients</w:t>
            </w: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r>
      <w:tr w:rsidR="00081939"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081939" w:rsidRPr="000B59ED" w:rsidRDefault="0008193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081939" w:rsidRPr="000B59ED" w:rsidRDefault="00081939"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081939" w:rsidRPr="000B59ED" w:rsidRDefault="00081939" w:rsidP="00307A77">
            <w:pPr>
              <w:pStyle w:val="Tablewriting"/>
              <w:jc w:val="right"/>
            </w:pPr>
            <w:r w:rsidRPr="000B59ED">
              <w:t>87</w:t>
            </w:r>
          </w:p>
        </w:tc>
        <w:tc>
          <w:tcPr>
            <w:tcW w:w="1417" w:type="dxa"/>
            <w:tcBorders>
              <w:top w:val="nil"/>
              <w:left w:val="nil"/>
              <w:bottom w:val="single" w:sz="4" w:space="0" w:color="auto"/>
              <w:right w:val="single" w:sz="4" w:space="0" w:color="auto"/>
            </w:tcBorders>
            <w:shd w:val="clear" w:color="auto" w:fill="auto"/>
            <w:vAlign w:val="center"/>
            <w:hideMark/>
          </w:tcPr>
          <w:p w:rsidR="00081939" w:rsidRPr="000B59ED" w:rsidRDefault="00081939" w:rsidP="00307A77">
            <w:pPr>
              <w:pStyle w:val="Tablewriting"/>
              <w:jc w:val="right"/>
            </w:pPr>
            <w:r w:rsidRPr="000B59ED">
              <w:t>101</w:t>
            </w:r>
          </w:p>
        </w:tc>
      </w:tr>
      <w:tr w:rsidR="00081939"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081939" w:rsidRPr="000B59ED" w:rsidRDefault="0008193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081939" w:rsidRPr="000B59ED" w:rsidRDefault="00081939"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081939"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081939" w:rsidRPr="005B02E0" w:rsidRDefault="005B02E0" w:rsidP="00307A77">
            <w:pPr>
              <w:pStyle w:val="Tablewriting"/>
              <w:jc w:val="right"/>
              <w:rPr>
                <w:highlight w:val="black"/>
              </w:rPr>
            </w:pPr>
            <w:r>
              <w:rPr>
                <w:noProof/>
                <w:highlight w:val="black"/>
              </w:rPr>
              <w:t>'''</w:t>
            </w:r>
          </w:p>
        </w:tc>
      </w:tr>
      <w:tr w:rsidR="00081939"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081939" w:rsidRPr="000B59ED" w:rsidRDefault="0008193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081939" w:rsidRPr="000B59ED" w:rsidRDefault="00081939"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081939"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081939" w:rsidRPr="005B02E0" w:rsidRDefault="005B02E0" w:rsidP="00307A77">
            <w:pPr>
              <w:pStyle w:val="Tablewriting"/>
              <w:jc w:val="right"/>
              <w:rPr>
                <w:highlight w:val="black"/>
              </w:rPr>
            </w:pPr>
            <w:r>
              <w:rPr>
                <w:noProof/>
                <w:highlight w:val="black"/>
              </w:rPr>
              <w:t>'''''''</w:t>
            </w:r>
          </w:p>
        </w:tc>
      </w:tr>
      <w:tr w:rsidR="008D4FA5"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8D4FA5" w:rsidRPr="000B59ED" w:rsidRDefault="008D4FA5" w:rsidP="00307A77">
            <w:pPr>
              <w:pStyle w:val="Tablewriting"/>
            </w:pPr>
            <w:r w:rsidRPr="000B59ED">
              <w:t>Treated patients</w:t>
            </w:r>
          </w:p>
        </w:tc>
        <w:tc>
          <w:tcPr>
            <w:tcW w:w="3100"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r>
      <w:tr w:rsidR="008D4FA5"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8D4FA5" w:rsidRPr="000B59ED" w:rsidRDefault="008D4FA5"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jc w:val="right"/>
            </w:pPr>
            <w:r w:rsidRPr="000B59ED">
              <w:t>199</w:t>
            </w:r>
          </w:p>
        </w:tc>
        <w:tc>
          <w:tcPr>
            <w:tcW w:w="1417"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jc w:val="right"/>
            </w:pPr>
            <w:r w:rsidRPr="000B59ED">
              <w:t>250</w:t>
            </w:r>
          </w:p>
        </w:tc>
      </w:tr>
      <w:tr w:rsidR="008D4FA5"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8D4FA5" w:rsidRPr="000B59ED" w:rsidRDefault="008D4FA5"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r>
      <w:tr w:rsidR="008D4FA5"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8D4FA5" w:rsidRPr="000B59ED" w:rsidRDefault="008D4FA5"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8D4FA5" w:rsidRPr="000B59ED" w:rsidRDefault="008D4FA5"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8D4FA5" w:rsidRPr="005B02E0" w:rsidRDefault="005B02E0" w:rsidP="00307A77">
            <w:pPr>
              <w:pStyle w:val="Tablewriting"/>
              <w:jc w:val="right"/>
              <w:rPr>
                <w:highlight w:val="black"/>
              </w:rPr>
            </w:pPr>
            <w:r>
              <w:rPr>
                <w:noProof/>
                <w:highlight w:val="black"/>
              </w:rPr>
              <w:t>'''''''</w:t>
            </w:r>
          </w:p>
        </w:tc>
      </w:tr>
      <w:tr w:rsidR="0083648C"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83648C" w:rsidRPr="000B59ED" w:rsidRDefault="0083648C" w:rsidP="00307A77">
            <w:pPr>
              <w:pStyle w:val="Tablewriting"/>
            </w:pPr>
            <w:r w:rsidRPr="000B59ED">
              <w:t>Net expenditure</w:t>
            </w:r>
          </w:p>
        </w:tc>
        <w:tc>
          <w:tcPr>
            <w:tcW w:w="3100" w:type="dxa"/>
            <w:tcBorders>
              <w:top w:val="nil"/>
              <w:left w:val="nil"/>
              <w:bottom w:val="single" w:sz="4" w:space="0" w:color="auto"/>
              <w:right w:val="single" w:sz="4" w:space="0" w:color="auto"/>
            </w:tcBorders>
            <w:shd w:val="clear" w:color="auto" w:fill="auto"/>
            <w:vAlign w:val="center"/>
            <w:hideMark/>
          </w:tcPr>
          <w:p w:rsidR="0083648C" w:rsidRPr="000B59ED" w:rsidRDefault="0083648C"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83648C" w:rsidRPr="005B02E0" w:rsidRDefault="005B02E0" w:rsidP="00307A77">
            <w:pPr>
              <w:pStyle w:val="Tablewriting"/>
              <w:jc w:val="right"/>
              <w:rPr>
                <w:rFonts w:cs="Arial"/>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83648C" w:rsidRPr="005B02E0" w:rsidRDefault="005B02E0" w:rsidP="00307A77">
            <w:pPr>
              <w:pStyle w:val="Tablewriting"/>
              <w:jc w:val="right"/>
              <w:rPr>
                <w:rFonts w:cs="Arial"/>
                <w:highlight w:val="black"/>
              </w:rPr>
            </w:pPr>
            <w:r>
              <w:rPr>
                <w:noProof/>
                <w:highlight w:val="black"/>
              </w:rPr>
              <w:t>'''''''''''''''''''''</w:t>
            </w:r>
          </w:p>
        </w:tc>
      </w:tr>
      <w:tr w:rsidR="00DB30C2"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DB30C2" w:rsidRPr="000B59ED"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$5,568,770</w:t>
            </w:r>
          </w:p>
        </w:tc>
        <w:tc>
          <w:tcPr>
            <w:tcW w:w="1417"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$7,317,540</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0B59ED"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181DAC" w:rsidRPr="00DB30C2"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0B59ED"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DB30C2" w:rsidRPr="00DB30C2" w:rsidTr="00307A77">
        <w:trPr>
          <w:trHeight w:val="300"/>
        </w:trPr>
        <w:tc>
          <w:tcPr>
            <w:tcW w:w="795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B30C2" w:rsidRPr="004F243F" w:rsidRDefault="00DB30C2" w:rsidP="00307A77">
            <w:pPr>
              <w:pStyle w:val="Tablewriting"/>
              <w:rPr>
                <w:b/>
                <w:bCs/>
              </w:rPr>
            </w:pPr>
            <w:r w:rsidRPr="004F243F">
              <w:rPr>
                <w:b/>
                <w:bCs/>
              </w:rPr>
              <w:t>100 mg strength</w:t>
            </w:r>
          </w:p>
        </w:tc>
      </w:tr>
      <w:tr w:rsidR="00C667D9"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C667D9" w:rsidRPr="004F243F" w:rsidRDefault="00C667D9" w:rsidP="00307A77">
            <w:pPr>
              <w:pStyle w:val="Tablewriting"/>
            </w:pPr>
            <w:r w:rsidRPr="004F243F">
              <w:t>Incident patients</w:t>
            </w:r>
          </w:p>
        </w:tc>
        <w:tc>
          <w:tcPr>
            <w:tcW w:w="3100"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rFonts w:cs="Arial"/>
                <w:highlight w:val="black"/>
              </w:rPr>
            </w:pPr>
            <w:r>
              <w:rPr>
                <w:rFonts w:cs="Arial"/>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rFonts w:cs="Arial"/>
                <w:highlight w:val="black"/>
              </w:rPr>
            </w:pPr>
            <w:r>
              <w:rPr>
                <w:rFonts w:cs="Arial"/>
                <w:noProof/>
                <w:highlight w:val="black"/>
              </w:rPr>
              <w:t>'''</w:t>
            </w:r>
          </w:p>
        </w:tc>
      </w:tr>
      <w:tr w:rsidR="00C667D9"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C667D9" w:rsidRPr="004F243F" w:rsidRDefault="00C667D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jc w:val="right"/>
            </w:pPr>
            <w:r w:rsidRPr="000B59ED">
              <w:t>1</w:t>
            </w:r>
          </w:p>
        </w:tc>
        <w:tc>
          <w:tcPr>
            <w:tcW w:w="1417"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jc w:val="right"/>
            </w:pPr>
            <w:r w:rsidRPr="000B59ED">
              <w:t>6</w:t>
            </w:r>
          </w:p>
        </w:tc>
      </w:tr>
      <w:tr w:rsidR="00C667D9"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C667D9" w:rsidRPr="004F243F" w:rsidRDefault="00C667D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pPr>
            <w:r w:rsidRPr="000B59ED">
              <w:t>Difference n (Actual - Predicted)</w:t>
            </w:r>
          </w:p>
        </w:tc>
        <w:tc>
          <w:tcPr>
            <w:tcW w:w="1436"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highlight w:val="black"/>
              </w:rPr>
            </w:pPr>
            <w:r>
              <w:rPr>
                <w:noProof/>
                <w:highlight w:val="black"/>
              </w:rPr>
              <w:t>'''</w:t>
            </w:r>
          </w:p>
        </w:tc>
      </w:tr>
      <w:tr w:rsidR="00C667D9"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C667D9" w:rsidRPr="004F243F" w:rsidRDefault="00C667D9"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C667D9" w:rsidRPr="000B59ED" w:rsidRDefault="00C667D9" w:rsidP="00307A77">
            <w:pPr>
              <w:pStyle w:val="Tablewriting"/>
            </w:pPr>
            <w:r w:rsidRPr="000B59ED">
              <w:t>Difference % (Predicted vs. Actual)</w:t>
            </w:r>
          </w:p>
        </w:tc>
        <w:tc>
          <w:tcPr>
            <w:tcW w:w="1436"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C667D9" w:rsidRPr="005B02E0" w:rsidRDefault="005B02E0" w:rsidP="00307A77">
            <w:pPr>
              <w:pStyle w:val="Tablewriting"/>
              <w:jc w:val="right"/>
              <w:rPr>
                <w:highlight w:val="black"/>
              </w:rPr>
            </w:pPr>
            <w:r>
              <w:rPr>
                <w:noProof/>
                <w:highlight w:val="black"/>
              </w:rPr>
              <w:t>''''''''''''</w:t>
            </w:r>
          </w:p>
        </w:tc>
      </w:tr>
      <w:tr w:rsidR="00DB30C2"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DB30C2" w:rsidRPr="004F243F" w:rsidRDefault="00DB30C2" w:rsidP="00307A77">
            <w:pPr>
              <w:pStyle w:val="Tablewriting"/>
            </w:pPr>
            <w:r w:rsidRPr="004F243F">
              <w:t>Prevalent patients</w:t>
            </w: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r>
      <w:tr w:rsidR="00DB30C2"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19</w:t>
            </w:r>
          </w:p>
        </w:tc>
        <w:tc>
          <w:tcPr>
            <w:tcW w:w="1417"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34</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4F243F"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4F243F"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EB7DE0" w:rsidRPr="000B59ED" w:rsidTr="00513683">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EB7DE0" w:rsidRPr="004F243F" w:rsidRDefault="00EB7DE0" w:rsidP="00307A77">
            <w:pPr>
              <w:pStyle w:val="Tablewriting"/>
            </w:pPr>
            <w:r w:rsidRPr="000B59ED">
              <w:t>Prescriptions</w:t>
            </w:r>
          </w:p>
        </w:tc>
        <w:tc>
          <w:tcPr>
            <w:tcW w:w="3100"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r>
      <w:tr w:rsidR="00EB7DE0"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EB7DE0" w:rsidRPr="004F243F" w:rsidRDefault="00EB7DE0"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jc w:val="right"/>
            </w:pPr>
            <w:r w:rsidRPr="000B59ED">
              <w:t>88</w:t>
            </w:r>
          </w:p>
        </w:tc>
        <w:tc>
          <w:tcPr>
            <w:tcW w:w="1417"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jc w:val="right"/>
            </w:pPr>
            <w:r w:rsidRPr="000B59ED">
              <w:t>190</w:t>
            </w:r>
          </w:p>
        </w:tc>
      </w:tr>
      <w:tr w:rsidR="00EB7DE0"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EB7DE0" w:rsidRPr="004F243F" w:rsidRDefault="00EB7DE0"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r>
      <w:tr w:rsidR="00EB7DE0"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EB7DE0" w:rsidRPr="004F243F" w:rsidRDefault="00EB7DE0"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EB7DE0" w:rsidRPr="000B59ED" w:rsidRDefault="00EB7DE0"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EB7DE0" w:rsidRPr="005B02E0" w:rsidRDefault="005B02E0" w:rsidP="00307A77">
            <w:pPr>
              <w:pStyle w:val="Tablewriting"/>
              <w:jc w:val="right"/>
              <w:rPr>
                <w:highlight w:val="black"/>
              </w:rPr>
            </w:pPr>
            <w:r>
              <w:rPr>
                <w:noProof/>
                <w:highlight w:val="black"/>
              </w:rPr>
              <w:t>''''''''</w:t>
            </w:r>
          </w:p>
        </w:tc>
      </w:tr>
      <w:tr w:rsidR="0083648C"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83648C" w:rsidRPr="004F243F" w:rsidRDefault="0083648C" w:rsidP="00307A77">
            <w:pPr>
              <w:pStyle w:val="Tablewriting"/>
            </w:pPr>
            <w:r w:rsidRPr="004F243F">
              <w:t>Net expenditure</w:t>
            </w:r>
          </w:p>
        </w:tc>
        <w:tc>
          <w:tcPr>
            <w:tcW w:w="3100" w:type="dxa"/>
            <w:tcBorders>
              <w:top w:val="nil"/>
              <w:left w:val="nil"/>
              <w:bottom w:val="single" w:sz="4" w:space="0" w:color="auto"/>
              <w:right w:val="single" w:sz="4" w:space="0" w:color="auto"/>
            </w:tcBorders>
            <w:shd w:val="clear" w:color="auto" w:fill="auto"/>
            <w:vAlign w:val="center"/>
            <w:hideMark/>
          </w:tcPr>
          <w:p w:rsidR="0083648C" w:rsidRPr="000B59ED" w:rsidRDefault="0083648C"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83648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83648C" w:rsidRPr="005B02E0" w:rsidRDefault="005B02E0" w:rsidP="00307A77">
            <w:pPr>
              <w:pStyle w:val="Tablewriting"/>
              <w:jc w:val="right"/>
              <w:rPr>
                <w:highlight w:val="black"/>
              </w:rPr>
            </w:pPr>
            <w:r>
              <w:rPr>
                <w:noProof/>
                <w:highlight w:val="black"/>
              </w:rPr>
              <w:t>''''''''''''''''</w:t>
            </w:r>
          </w:p>
        </w:tc>
      </w:tr>
      <w:tr w:rsidR="00DB30C2"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$260,620</w:t>
            </w:r>
          </w:p>
        </w:tc>
        <w:tc>
          <w:tcPr>
            <w:tcW w:w="1417"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$546,710</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4F243F"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0B59ED"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DB30C2" w:rsidRPr="000B59ED" w:rsidTr="00307A77">
        <w:trPr>
          <w:trHeight w:val="300"/>
        </w:trPr>
        <w:tc>
          <w:tcPr>
            <w:tcW w:w="795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B30C2" w:rsidRPr="000B59ED" w:rsidRDefault="00DB30C2" w:rsidP="00DB30C2">
            <w:pPr>
              <w:spacing w:after="0"/>
              <w:rPr>
                <w:rFonts w:ascii="Arial Narrow" w:eastAsia="Times New Roman" w:hAnsi="Arial Narrow" w:cs="Times New Roman"/>
                <w:b/>
                <w:bCs/>
                <w:color w:val="000000" w:themeColor="text1"/>
                <w:sz w:val="20"/>
                <w:szCs w:val="20"/>
              </w:rPr>
            </w:pPr>
            <w:r w:rsidRPr="000B59ED">
              <w:rPr>
                <w:rFonts w:cs="Calibri"/>
                <w:b/>
                <w:bCs/>
                <w:color w:val="000000"/>
                <w:sz w:val="20"/>
                <w:szCs w:val="20"/>
              </w:rPr>
              <w:t>400 mg strength</w:t>
            </w:r>
          </w:p>
        </w:tc>
      </w:tr>
      <w:tr w:rsidR="00FC0EC8"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C0EC8" w:rsidRPr="000B59ED" w:rsidRDefault="00FC0EC8" w:rsidP="00307A77">
            <w:pPr>
              <w:pStyle w:val="Tablewriting"/>
            </w:pPr>
            <w:r w:rsidRPr="000B59ED">
              <w:t>Incident patients</w:t>
            </w:r>
          </w:p>
        </w:tc>
        <w:tc>
          <w:tcPr>
            <w:tcW w:w="3100"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rFonts w:cs="Arial"/>
                <w:highlight w:val="black"/>
              </w:rPr>
            </w:pPr>
            <w:r>
              <w:rPr>
                <w:rFonts w:cs="Arial"/>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rFonts w:cs="Arial"/>
                <w:highlight w:val="black"/>
              </w:rPr>
            </w:pPr>
            <w:r>
              <w:rPr>
                <w:rFonts w:cs="Arial"/>
                <w:noProof/>
                <w:highlight w:val="black"/>
              </w:rPr>
              <w:t>'''''</w:t>
            </w:r>
          </w:p>
        </w:tc>
      </w:tr>
      <w:tr w:rsidR="00FC0EC8"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FC0EC8" w:rsidRPr="000B59ED" w:rsidRDefault="00FC0EC8"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jc w:val="right"/>
            </w:pPr>
            <w:r w:rsidRPr="000B59ED">
              <w:t>86</w:t>
            </w:r>
          </w:p>
        </w:tc>
        <w:tc>
          <w:tcPr>
            <w:tcW w:w="1417"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jc w:val="right"/>
            </w:pPr>
            <w:r w:rsidRPr="000B59ED">
              <w:t>95</w:t>
            </w:r>
          </w:p>
        </w:tc>
      </w:tr>
      <w:tr w:rsidR="00FC0EC8"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FC0EC8" w:rsidRPr="000B59ED" w:rsidRDefault="00FC0EC8"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highlight w:val="black"/>
              </w:rPr>
            </w:pPr>
            <w:r>
              <w:rPr>
                <w:noProof/>
                <w:highlight w:val="black"/>
              </w:rPr>
              <w:t>'''</w:t>
            </w:r>
          </w:p>
        </w:tc>
      </w:tr>
      <w:tr w:rsidR="00FC0EC8"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FC0EC8" w:rsidRPr="000B59ED" w:rsidRDefault="00FC0EC8"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C0EC8" w:rsidRPr="000B59ED" w:rsidRDefault="00FC0EC8"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C0EC8" w:rsidRPr="005B02E0" w:rsidRDefault="005B02E0" w:rsidP="00307A77">
            <w:pPr>
              <w:pStyle w:val="Tablewriting"/>
              <w:jc w:val="right"/>
              <w:rPr>
                <w:highlight w:val="black"/>
              </w:rPr>
            </w:pPr>
            <w:r>
              <w:rPr>
                <w:noProof/>
                <w:highlight w:val="black"/>
              </w:rPr>
              <w:t>'''''''''</w:t>
            </w:r>
          </w:p>
        </w:tc>
      </w:tr>
      <w:tr w:rsidR="00DB30C2" w:rsidRPr="00DB30C2"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Prevalent patients</w:t>
            </w: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rFonts w:cs="Arial"/>
                <w:highlight w:val="black"/>
              </w:rPr>
            </w:pPr>
            <w:r>
              <w:rPr>
                <w:rFonts w:cs="Arial"/>
                <w:noProof/>
                <w:highlight w:val="black"/>
              </w:rPr>
              <w:t>'''''''</w:t>
            </w:r>
          </w:p>
        </w:tc>
      </w:tr>
      <w:tr w:rsidR="00DB30C2" w:rsidRPr="00DB30C2"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4F243F" w:rsidRDefault="00DB30C2" w:rsidP="00307A77">
            <w:pPr>
              <w:pStyle w:val="Tablewriting"/>
            </w:pPr>
            <w:r w:rsidRPr="004F243F">
              <w:t>Actual</w:t>
            </w:r>
          </w:p>
        </w:tc>
        <w:tc>
          <w:tcPr>
            <w:tcW w:w="1436" w:type="dxa"/>
            <w:tcBorders>
              <w:top w:val="nil"/>
              <w:left w:val="nil"/>
              <w:bottom w:val="single" w:sz="4" w:space="0" w:color="auto"/>
              <w:right w:val="single" w:sz="4" w:space="0" w:color="auto"/>
            </w:tcBorders>
            <w:shd w:val="clear" w:color="auto" w:fill="auto"/>
            <w:vAlign w:val="center"/>
            <w:hideMark/>
          </w:tcPr>
          <w:p w:rsidR="00DB30C2" w:rsidRPr="004F243F" w:rsidRDefault="00DB30C2" w:rsidP="00307A77">
            <w:pPr>
              <w:pStyle w:val="Tablewriting"/>
              <w:jc w:val="right"/>
            </w:pPr>
            <w:r w:rsidRPr="004F243F">
              <w:t>193</w:t>
            </w:r>
          </w:p>
        </w:tc>
        <w:tc>
          <w:tcPr>
            <w:tcW w:w="1417" w:type="dxa"/>
            <w:tcBorders>
              <w:top w:val="nil"/>
              <w:left w:val="nil"/>
              <w:bottom w:val="single" w:sz="4" w:space="0" w:color="auto"/>
              <w:right w:val="single" w:sz="4" w:space="0" w:color="auto"/>
            </w:tcBorders>
            <w:shd w:val="clear" w:color="auto" w:fill="auto"/>
            <w:vAlign w:val="center"/>
            <w:hideMark/>
          </w:tcPr>
          <w:p w:rsidR="00DB30C2" w:rsidRPr="004F243F" w:rsidRDefault="00DB30C2" w:rsidP="00307A77">
            <w:pPr>
              <w:pStyle w:val="Tablewriting"/>
              <w:jc w:val="right"/>
            </w:pPr>
            <w:r w:rsidRPr="004F243F">
              <w:t>233</w:t>
            </w:r>
          </w:p>
        </w:tc>
      </w:tr>
      <w:tr w:rsidR="00DB30C2"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181DAC" w:rsidP="00307A77">
            <w:pPr>
              <w:pStyle w:val="Tablewriting"/>
            </w:pPr>
            <w:r w:rsidRPr="000B59ED">
              <w:t xml:space="preserve">Difference </w:t>
            </w:r>
            <w:r w:rsidR="00DB30C2" w:rsidRPr="000B59ED">
              <w:t>(Actual - Predicted)</w:t>
            </w:r>
            <w:r w:rsidRPr="000B59ED">
              <w:t>, n</w:t>
            </w:r>
          </w:p>
        </w:tc>
        <w:tc>
          <w:tcPr>
            <w:tcW w:w="1436"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highlight w:val="black"/>
              </w:rPr>
            </w:pPr>
            <w:r>
              <w:rPr>
                <w:noProof/>
                <w:highlight w:val="black"/>
              </w:rPr>
              <w:t>''''''</w:t>
            </w:r>
          </w:p>
        </w:tc>
      </w:tr>
      <w:tr w:rsidR="00DB30C2"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181DAC" w:rsidP="00307A77">
            <w:pPr>
              <w:pStyle w:val="Tablewriting"/>
            </w:pPr>
            <w:r w:rsidRPr="000B59ED">
              <w:t>Difference</w:t>
            </w:r>
            <w:r w:rsidR="00DB30C2" w:rsidRPr="000B59ED">
              <w:t xml:space="preserve"> (Predicted vs. Actual)</w:t>
            </w:r>
            <w:r w:rsidRPr="000B59ED">
              <w:t>, %</w:t>
            </w:r>
          </w:p>
        </w:tc>
        <w:tc>
          <w:tcPr>
            <w:tcW w:w="1436"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DB30C2" w:rsidRPr="005B02E0" w:rsidRDefault="005B02E0" w:rsidP="00307A77">
            <w:pPr>
              <w:pStyle w:val="Tablewriting"/>
              <w:jc w:val="right"/>
              <w:rPr>
                <w:highlight w:val="black"/>
              </w:rPr>
            </w:pPr>
            <w:r>
              <w:rPr>
                <w:noProof/>
                <w:highlight w:val="black"/>
              </w:rPr>
              <w:t>'''''''</w:t>
            </w:r>
          </w:p>
        </w:tc>
      </w:tr>
      <w:tr w:rsidR="00F36376" w:rsidRPr="000B59ED" w:rsidTr="00394066">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6376" w:rsidRPr="004F243F" w:rsidRDefault="00F36376" w:rsidP="00307A77">
            <w:pPr>
              <w:pStyle w:val="Tablewriting"/>
            </w:pPr>
            <w:r w:rsidRPr="004F243F">
              <w:t>Prescriptions</w:t>
            </w:r>
          </w:p>
        </w:tc>
        <w:tc>
          <w:tcPr>
            <w:tcW w:w="3100"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r>
      <w:tr w:rsidR="00F36376"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F36376" w:rsidRPr="004F243F" w:rsidRDefault="00F36376"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jc w:val="right"/>
            </w:pPr>
            <w:r w:rsidRPr="000B59ED">
              <w:t>1395</w:t>
            </w:r>
          </w:p>
        </w:tc>
        <w:tc>
          <w:tcPr>
            <w:tcW w:w="1417"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jc w:val="right"/>
            </w:pPr>
            <w:r w:rsidRPr="000B59ED">
              <w:t>1781</w:t>
            </w:r>
          </w:p>
        </w:tc>
      </w:tr>
      <w:tr w:rsidR="00F36376"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F36376" w:rsidRPr="004F243F" w:rsidRDefault="00F36376"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pPr>
            <w:r w:rsidRPr="000B59ED">
              <w:t>Difference n (Actual - Predicted)</w:t>
            </w:r>
          </w:p>
        </w:tc>
        <w:tc>
          <w:tcPr>
            <w:tcW w:w="1436"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r>
      <w:tr w:rsidR="00F36376"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F36376" w:rsidRPr="004F243F" w:rsidRDefault="00F36376"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F36376" w:rsidRPr="000B59ED" w:rsidRDefault="00F36376" w:rsidP="00307A77">
            <w:pPr>
              <w:pStyle w:val="Tablewriting"/>
            </w:pPr>
            <w:r w:rsidRPr="000B59ED">
              <w:t>Difference % (Predicted vs. Actual)</w:t>
            </w:r>
          </w:p>
        </w:tc>
        <w:tc>
          <w:tcPr>
            <w:tcW w:w="1436"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F36376" w:rsidRPr="005B02E0" w:rsidRDefault="005B02E0" w:rsidP="00307A77">
            <w:pPr>
              <w:pStyle w:val="Tablewriting"/>
              <w:jc w:val="right"/>
              <w:rPr>
                <w:highlight w:val="black"/>
              </w:rPr>
            </w:pPr>
            <w:r>
              <w:rPr>
                <w:noProof/>
                <w:highlight w:val="black"/>
              </w:rPr>
              <w:t>''''''''</w:t>
            </w:r>
          </w:p>
        </w:tc>
      </w:tr>
      <w:tr w:rsidR="0083648C" w:rsidRPr="000B59ED" w:rsidTr="00513683">
        <w:trPr>
          <w:trHeight w:val="30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83648C" w:rsidRPr="004F243F" w:rsidRDefault="0083648C" w:rsidP="00307A77">
            <w:pPr>
              <w:pStyle w:val="Tablewriting"/>
            </w:pPr>
            <w:r w:rsidRPr="004F243F">
              <w:t>Net expenditure</w:t>
            </w:r>
          </w:p>
        </w:tc>
        <w:tc>
          <w:tcPr>
            <w:tcW w:w="3100" w:type="dxa"/>
            <w:tcBorders>
              <w:top w:val="nil"/>
              <w:left w:val="nil"/>
              <w:bottom w:val="single" w:sz="4" w:space="0" w:color="auto"/>
              <w:right w:val="single" w:sz="4" w:space="0" w:color="auto"/>
            </w:tcBorders>
            <w:shd w:val="clear" w:color="auto" w:fill="auto"/>
            <w:vAlign w:val="center"/>
            <w:hideMark/>
          </w:tcPr>
          <w:p w:rsidR="0083648C" w:rsidRPr="000B59ED" w:rsidRDefault="0083648C" w:rsidP="00307A77">
            <w:pPr>
              <w:pStyle w:val="Tablewriting"/>
            </w:pPr>
            <w:r w:rsidRPr="000B59ED">
              <w:t>Predicted</w:t>
            </w:r>
          </w:p>
        </w:tc>
        <w:tc>
          <w:tcPr>
            <w:tcW w:w="1436" w:type="dxa"/>
            <w:tcBorders>
              <w:top w:val="nil"/>
              <w:left w:val="nil"/>
              <w:bottom w:val="single" w:sz="4" w:space="0" w:color="auto"/>
              <w:right w:val="single" w:sz="4" w:space="0" w:color="auto"/>
            </w:tcBorders>
            <w:shd w:val="clear" w:color="auto" w:fill="auto"/>
            <w:vAlign w:val="bottom"/>
            <w:hideMark/>
          </w:tcPr>
          <w:p w:rsidR="0083648C" w:rsidRPr="005B02E0" w:rsidRDefault="005B02E0" w:rsidP="00307A77">
            <w:pPr>
              <w:pStyle w:val="Tablewriting"/>
              <w:jc w:val="right"/>
              <w:rPr>
                <w:highlight w:val="black"/>
              </w:rPr>
            </w:pPr>
            <w:r>
              <w:rPr>
                <w:noProof/>
                <w:highlight w:val="black"/>
              </w:rPr>
              <w:t xml:space="preserve"> '''''''''''''''''''''' </w:t>
            </w:r>
          </w:p>
        </w:tc>
        <w:tc>
          <w:tcPr>
            <w:tcW w:w="1417" w:type="dxa"/>
            <w:tcBorders>
              <w:top w:val="nil"/>
              <w:left w:val="nil"/>
              <w:bottom w:val="single" w:sz="4" w:space="0" w:color="auto"/>
              <w:right w:val="single" w:sz="4" w:space="0" w:color="auto"/>
            </w:tcBorders>
            <w:shd w:val="clear" w:color="auto" w:fill="auto"/>
            <w:vAlign w:val="bottom"/>
            <w:hideMark/>
          </w:tcPr>
          <w:p w:rsidR="0083648C" w:rsidRPr="005B02E0" w:rsidRDefault="005B02E0" w:rsidP="00307A77">
            <w:pPr>
              <w:pStyle w:val="Tablewriting"/>
              <w:jc w:val="right"/>
              <w:rPr>
                <w:highlight w:val="black"/>
              </w:rPr>
            </w:pPr>
            <w:r>
              <w:rPr>
                <w:noProof/>
                <w:highlight w:val="black"/>
              </w:rPr>
              <w:t xml:space="preserve"> ''''''''''''''''''''' </w:t>
            </w:r>
          </w:p>
        </w:tc>
      </w:tr>
      <w:tr w:rsidR="00DB30C2" w:rsidRPr="000B59ED" w:rsidTr="00394066">
        <w:trPr>
          <w:trHeight w:val="300"/>
        </w:trPr>
        <w:tc>
          <w:tcPr>
            <w:tcW w:w="2000" w:type="dxa"/>
            <w:vMerge/>
            <w:tcBorders>
              <w:top w:val="nil"/>
              <w:left w:val="single" w:sz="4" w:space="0" w:color="auto"/>
              <w:bottom w:val="single" w:sz="4" w:space="0" w:color="auto"/>
              <w:right w:val="single" w:sz="4" w:space="0" w:color="auto"/>
            </w:tcBorders>
            <w:vAlign w:val="center"/>
            <w:hideMark/>
          </w:tcPr>
          <w:p w:rsidR="00DB30C2" w:rsidRPr="004F243F" w:rsidRDefault="00DB30C2"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pPr>
            <w:r w:rsidRPr="000B59ED">
              <w:t>Actual</w:t>
            </w:r>
          </w:p>
        </w:tc>
        <w:tc>
          <w:tcPr>
            <w:tcW w:w="1436"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$5,308,149</w:t>
            </w:r>
          </w:p>
        </w:tc>
        <w:tc>
          <w:tcPr>
            <w:tcW w:w="1417" w:type="dxa"/>
            <w:tcBorders>
              <w:top w:val="nil"/>
              <w:left w:val="nil"/>
              <w:bottom w:val="single" w:sz="4" w:space="0" w:color="auto"/>
              <w:right w:val="single" w:sz="4" w:space="0" w:color="auto"/>
            </w:tcBorders>
            <w:shd w:val="clear" w:color="auto" w:fill="auto"/>
            <w:vAlign w:val="center"/>
            <w:hideMark/>
          </w:tcPr>
          <w:p w:rsidR="00DB30C2" w:rsidRPr="000B59ED" w:rsidRDefault="00DB30C2" w:rsidP="00307A77">
            <w:pPr>
              <w:pStyle w:val="Tablewriting"/>
              <w:jc w:val="right"/>
            </w:pPr>
            <w:r w:rsidRPr="000B59ED">
              <w:t>$6,770,830</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4F243F"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(Actual - Predicted), n</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r w:rsidR="00181DAC" w:rsidRPr="000B59ED" w:rsidTr="00394066">
        <w:trPr>
          <w:trHeight w:val="510"/>
        </w:trPr>
        <w:tc>
          <w:tcPr>
            <w:tcW w:w="2000" w:type="dxa"/>
            <w:vMerge/>
            <w:tcBorders>
              <w:top w:val="nil"/>
              <w:left w:val="single" w:sz="4" w:space="0" w:color="auto"/>
              <w:bottom w:val="single" w:sz="4" w:space="0" w:color="auto"/>
              <w:right w:val="single" w:sz="4" w:space="0" w:color="auto"/>
            </w:tcBorders>
            <w:vAlign w:val="center"/>
            <w:hideMark/>
          </w:tcPr>
          <w:p w:rsidR="00181DAC" w:rsidRPr="004F243F" w:rsidRDefault="00181DAC" w:rsidP="00307A77">
            <w:pPr>
              <w:pStyle w:val="Tablewriting"/>
            </w:pPr>
          </w:p>
        </w:tc>
        <w:tc>
          <w:tcPr>
            <w:tcW w:w="3100" w:type="dxa"/>
            <w:tcBorders>
              <w:top w:val="nil"/>
              <w:left w:val="nil"/>
              <w:bottom w:val="single" w:sz="4" w:space="0" w:color="auto"/>
              <w:right w:val="single" w:sz="4" w:space="0" w:color="auto"/>
            </w:tcBorders>
            <w:shd w:val="clear" w:color="auto" w:fill="auto"/>
            <w:vAlign w:val="center"/>
            <w:hideMark/>
          </w:tcPr>
          <w:p w:rsidR="00181DAC" w:rsidRPr="000B59ED" w:rsidRDefault="00181DAC" w:rsidP="00307A77">
            <w:pPr>
              <w:pStyle w:val="Tablewriting"/>
            </w:pPr>
            <w:r w:rsidRPr="000B59ED">
              <w:t>Difference (Predicted vs. Actual), %</w:t>
            </w:r>
          </w:p>
        </w:tc>
        <w:tc>
          <w:tcPr>
            <w:tcW w:w="1436"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c>
          <w:tcPr>
            <w:tcW w:w="1417" w:type="dxa"/>
            <w:tcBorders>
              <w:top w:val="nil"/>
              <w:left w:val="nil"/>
              <w:bottom w:val="single" w:sz="4" w:space="0" w:color="auto"/>
              <w:right w:val="single" w:sz="4" w:space="0" w:color="auto"/>
            </w:tcBorders>
            <w:shd w:val="clear" w:color="auto" w:fill="auto"/>
            <w:vAlign w:val="center"/>
            <w:hideMark/>
          </w:tcPr>
          <w:p w:rsidR="00181DAC" w:rsidRPr="005B02E0" w:rsidRDefault="005B02E0" w:rsidP="00307A77">
            <w:pPr>
              <w:pStyle w:val="Tablewriting"/>
              <w:jc w:val="right"/>
              <w:rPr>
                <w:highlight w:val="black"/>
              </w:rPr>
            </w:pPr>
            <w:r>
              <w:rPr>
                <w:noProof/>
                <w:highlight w:val="black"/>
              </w:rPr>
              <w:t>''''''''''</w:t>
            </w:r>
          </w:p>
        </w:tc>
      </w:tr>
    </w:tbl>
    <w:p w:rsidR="002F60B4" w:rsidRDefault="002F60B4" w:rsidP="002F60B4">
      <w:pPr>
        <w:rPr>
          <w:color w:val="000000" w:themeColor="text1"/>
          <w:sz w:val="20"/>
          <w:szCs w:val="20"/>
        </w:rPr>
      </w:pPr>
      <w:r w:rsidRPr="00B07686">
        <w:rPr>
          <w:color w:val="000000" w:themeColor="text1"/>
          <w:sz w:val="20"/>
          <w:szCs w:val="20"/>
        </w:rPr>
        <w:t xml:space="preserve">Note: </w:t>
      </w:r>
      <w:r w:rsidR="006E76C8">
        <w:rPr>
          <w:color w:val="000000" w:themeColor="text1"/>
          <w:sz w:val="20"/>
          <w:szCs w:val="20"/>
        </w:rPr>
        <w:t xml:space="preserve">Includes PBS and RPBS clients. </w:t>
      </w:r>
      <w:r w:rsidRPr="00B07686">
        <w:rPr>
          <w:color w:val="000000" w:themeColor="text1"/>
          <w:sz w:val="20"/>
          <w:szCs w:val="20"/>
        </w:rPr>
        <w:t>The predicted figures were sourced from the financial estimates model agreed with the sponsor.</w:t>
      </w:r>
      <w:r>
        <w:rPr>
          <w:color w:val="000000" w:themeColor="text1"/>
          <w:sz w:val="20"/>
          <w:szCs w:val="20"/>
        </w:rPr>
        <w:t xml:space="preserve"> Part-year corrections were applied to the predicted figures to align these estimates to the listing years. </w:t>
      </w:r>
      <w:proofErr w:type="gramStart"/>
      <w:r>
        <w:rPr>
          <w:color w:val="000000" w:themeColor="text1"/>
          <w:sz w:val="20"/>
          <w:szCs w:val="20"/>
        </w:rPr>
        <w:t>e.g</w:t>
      </w:r>
      <w:proofErr w:type="gramEnd"/>
      <w:r>
        <w:rPr>
          <w:color w:val="000000" w:themeColor="text1"/>
          <w:sz w:val="20"/>
          <w:szCs w:val="20"/>
        </w:rPr>
        <w:t>. In deriving the December 2013 to November 2014 estimates, the factors applied were 1/12 to 2013 and 11/12.</w:t>
      </w:r>
    </w:p>
    <w:p w:rsidR="00C44D5D" w:rsidRDefault="00C44D5D" w:rsidP="002F60B4">
      <w:pPr>
        <w:rPr>
          <w:color w:val="000000" w:themeColor="text1"/>
        </w:rPr>
      </w:pPr>
      <w:r>
        <w:rPr>
          <w:color w:val="000000" w:themeColor="text1"/>
        </w:rPr>
        <w:t xml:space="preserve">There were fewer prescriptions dispensed across both </w:t>
      </w:r>
      <w:r w:rsidR="00D86867">
        <w:rPr>
          <w:color w:val="000000" w:themeColor="text1"/>
        </w:rPr>
        <w:t xml:space="preserve">the </w:t>
      </w:r>
      <w:r>
        <w:rPr>
          <w:color w:val="000000" w:themeColor="text1"/>
        </w:rPr>
        <w:t xml:space="preserve">100 mg and 400 mg </w:t>
      </w:r>
      <w:r w:rsidR="00AF2764">
        <w:rPr>
          <w:color w:val="000000" w:themeColor="text1"/>
        </w:rPr>
        <w:t xml:space="preserve">strengths than predicted, but </w:t>
      </w:r>
      <w:r w:rsidR="00C2099A">
        <w:rPr>
          <w:color w:val="000000" w:themeColor="text1"/>
        </w:rPr>
        <w:t xml:space="preserve">there was </w:t>
      </w:r>
      <w:r w:rsidR="00AF2764">
        <w:rPr>
          <w:color w:val="000000" w:themeColor="text1"/>
        </w:rPr>
        <w:t xml:space="preserve">a higher than expected net expenditure. </w:t>
      </w:r>
    </w:p>
    <w:p w:rsidR="00C7111E" w:rsidRDefault="00C7111E" w:rsidP="00C7111E">
      <w:pPr>
        <w:pStyle w:val="Heading1"/>
      </w:pPr>
      <w:r>
        <w:t>D</w:t>
      </w:r>
      <w:r w:rsidRPr="005E22C2">
        <w:t>iscussion</w:t>
      </w:r>
    </w:p>
    <w:p w:rsidR="00CB4BA4" w:rsidRDefault="004E2EA8" w:rsidP="00AF2764">
      <w:r>
        <w:t xml:space="preserve">The </w:t>
      </w:r>
      <w:r w:rsidR="00FA0F0E">
        <w:t xml:space="preserve">overall </w:t>
      </w:r>
      <w:r w:rsidR="00B46139">
        <w:t xml:space="preserve">number of patients accessing imatinib </w:t>
      </w:r>
      <w:r w:rsidR="00131EF3">
        <w:t>for the</w:t>
      </w:r>
      <w:r w:rsidR="00B46139">
        <w:t xml:space="preserve"> adjuvant treatment of GIST </w:t>
      </w:r>
      <w:r>
        <w:t xml:space="preserve">after the extension to its listing </w:t>
      </w:r>
      <w:r w:rsidR="00B46139">
        <w:t xml:space="preserve">was similar to that estimated by the submission (Table 3). </w:t>
      </w:r>
      <w:r w:rsidR="00131EF3">
        <w:t>However there were fewer prescriptions than predicted</w:t>
      </w:r>
      <w:r w:rsidR="00BE0B25">
        <w:t xml:space="preserve"> (Table 3)</w:t>
      </w:r>
      <w:r w:rsidR="0087457E">
        <w:t xml:space="preserve"> which </w:t>
      </w:r>
      <w:r w:rsidR="009E102F">
        <w:t xml:space="preserve">may have </w:t>
      </w:r>
      <w:r w:rsidR="006D381F">
        <w:t xml:space="preserve">been due to discontinuation from </w:t>
      </w:r>
      <w:r w:rsidR="00675974">
        <w:t>side effects</w:t>
      </w:r>
      <w:r w:rsidR="006D381F">
        <w:t xml:space="preserve"> or treatment failures</w:t>
      </w:r>
      <w:r w:rsidR="00131EF3">
        <w:t xml:space="preserve">. </w:t>
      </w:r>
      <w:r w:rsidR="004440AC">
        <w:t xml:space="preserve">In the key clinical trial </w:t>
      </w:r>
      <w:r w:rsidR="0087457E">
        <w:lastRenderedPageBreak/>
        <w:t xml:space="preserve">presented in the submission </w:t>
      </w:r>
      <w:r w:rsidR="004440AC">
        <w:t>(</w:t>
      </w:r>
      <w:r w:rsidR="004440AC" w:rsidRPr="00AF2764">
        <w:t>SSGXVIII)</w:t>
      </w:r>
      <w:r w:rsidR="00675974">
        <w:t>,</w:t>
      </w:r>
      <w:r w:rsidR="004440AC">
        <w:t xml:space="preserve"> 13.6% of patients treated with 36 months of adjuvant imatinib discontinued due to adverse events. </w:t>
      </w:r>
      <w:r w:rsidR="0087457E">
        <w:t xml:space="preserve">Further, </w:t>
      </w:r>
      <w:r w:rsidR="001547F7">
        <w:t>Figure</w:t>
      </w:r>
      <w:r w:rsidR="00AF2764">
        <w:t xml:space="preserve"> 2 shows that the persistence to</w:t>
      </w:r>
      <w:r w:rsidR="001547F7">
        <w:t xml:space="preserve"> treatment </w:t>
      </w:r>
      <w:r w:rsidR="00010B52">
        <w:t xml:space="preserve">in </w:t>
      </w:r>
      <w:r w:rsidR="00AF2764">
        <w:t>Y</w:t>
      </w:r>
      <w:r w:rsidR="00010B52">
        <w:t xml:space="preserve">ear 2 was </w:t>
      </w:r>
      <w:r w:rsidR="00AF2764" w:rsidRPr="00AF2764">
        <w:t xml:space="preserve">marginally lower than predicted </w:t>
      </w:r>
      <w:r w:rsidR="0087457E">
        <w:t>(</w:t>
      </w:r>
      <w:r w:rsidR="005B02E0">
        <w:rPr>
          <w:noProof/>
          <w:color w:val="000000"/>
          <w:highlight w:val="black"/>
        </w:rPr>
        <w:t>'''''''''''</w:t>
      </w:r>
      <w:r w:rsidR="0087457E">
        <w:t xml:space="preserve">) </w:t>
      </w:r>
      <w:r w:rsidR="00AF2764" w:rsidRPr="00AF2764">
        <w:t>when treatment breaks were included</w:t>
      </w:r>
      <w:r w:rsidR="00B0616B">
        <w:t xml:space="preserve">. </w:t>
      </w:r>
      <w:r w:rsidR="00A44531" w:rsidRPr="00FD710A">
        <w:t>This</w:t>
      </w:r>
      <w:r w:rsidR="0087457E">
        <w:t xml:space="preserve"> </w:t>
      </w:r>
      <w:r w:rsidR="00772482">
        <w:t>suggests that</w:t>
      </w:r>
      <w:r w:rsidR="0087457E">
        <w:t xml:space="preserve"> </w:t>
      </w:r>
      <w:r w:rsidR="00FD710A" w:rsidRPr="00FD710A">
        <w:t>tolerability</w:t>
      </w:r>
      <w:r w:rsidR="00772482">
        <w:t xml:space="preserve"> to imatinib</w:t>
      </w:r>
      <w:r w:rsidR="00E33B77">
        <w:t xml:space="preserve"> may </w:t>
      </w:r>
      <w:r w:rsidR="00B76E97">
        <w:t>be</w:t>
      </w:r>
      <w:r w:rsidR="00E33B77">
        <w:t xml:space="preserve"> lower</w:t>
      </w:r>
      <w:r w:rsidR="00772482">
        <w:t xml:space="preserve"> in</w:t>
      </w:r>
      <w:r w:rsidR="0087457E">
        <w:t xml:space="preserve"> practice.</w:t>
      </w:r>
      <w:r w:rsidR="00FD710A">
        <w:t xml:space="preserve"> </w:t>
      </w:r>
    </w:p>
    <w:p w:rsidR="00B76E97" w:rsidRDefault="00B76E97" w:rsidP="00B76E97">
      <w:r>
        <w:t xml:space="preserve">The analysis of actual versus predicted utilisation of imatinib presented in Table 3 shows that while the number of prescriptions is lower than expected, the total net expenditure was higher than </w:t>
      </w:r>
      <w:r w:rsidR="00B25DC2">
        <w:t>forecast</w:t>
      </w:r>
      <w:r>
        <w:t xml:space="preserve">. </w:t>
      </w:r>
      <w:r w:rsidR="00554181">
        <w:t xml:space="preserve">This </w:t>
      </w:r>
      <w:r w:rsidR="00FB055C">
        <w:t xml:space="preserve">may relate to the use of </w:t>
      </w:r>
      <w:r w:rsidR="00B0616B">
        <w:t xml:space="preserve">a </w:t>
      </w:r>
      <w:r w:rsidR="00FB055C">
        <w:t xml:space="preserve">higher average dose of imatinib than anticipated. </w:t>
      </w:r>
      <w:r w:rsidR="004A140D">
        <w:t xml:space="preserve">The submission assumed that the average daily dose of imatinib for adjuvant therapy would be 360.9 mg based on the SSGXVIII trial. </w:t>
      </w:r>
      <w:r>
        <w:t xml:space="preserve">The median </w:t>
      </w:r>
      <w:r w:rsidR="004A140D">
        <w:t xml:space="preserve">(387.1 mg) </w:t>
      </w:r>
      <w:r>
        <w:t xml:space="preserve">and mean </w:t>
      </w:r>
      <w:r w:rsidR="004A140D">
        <w:t xml:space="preserve">(518.0 mg) </w:t>
      </w:r>
      <w:r>
        <w:t xml:space="preserve">average daily doses were higher than assumed in the submission. </w:t>
      </w:r>
    </w:p>
    <w:p w:rsidR="00770113" w:rsidRPr="005C372E" w:rsidRDefault="00770113" w:rsidP="00307A77">
      <w:r>
        <w:t xml:space="preserve">The submission considered that adjuvant therapy with imatinib would delay the time to metastatic disease recurrence resulting in less use of downstream treatment with imatinib and </w:t>
      </w:r>
      <w:proofErr w:type="spellStart"/>
      <w:r>
        <w:t>sunitinib</w:t>
      </w:r>
      <w:proofErr w:type="spellEnd"/>
      <w:r>
        <w:t xml:space="preserve">. At the time of reporting the data was too premature to examine if there </w:t>
      </w:r>
      <w:r w:rsidR="003D6102">
        <w:t>was</w:t>
      </w:r>
      <w:r>
        <w:t xml:space="preserve"> </w:t>
      </w:r>
      <w:r w:rsidR="00054EBA">
        <w:t>a reduction in</w:t>
      </w:r>
      <w:r>
        <w:t xml:space="preserve"> use of imatinib or </w:t>
      </w:r>
      <w:proofErr w:type="spellStart"/>
      <w:r>
        <w:t>sunitinib</w:t>
      </w:r>
      <w:proofErr w:type="spellEnd"/>
      <w:r>
        <w:t xml:space="preserve"> in the metastatic</w:t>
      </w:r>
      <w:r w:rsidR="00054EBA">
        <w:t xml:space="preserve"> treatment</w:t>
      </w:r>
      <w:r>
        <w:t xml:space="preserve"> setting due to the extension to the listing of imatinib. </w:t>
      </w:r>
    </w:p>
    <w:p w:rsidR="009B74C2" w:rsidRPr="00374398" w:rsidRDefault="009B74C2" w:rsidP="00F07901">
      <w:pPr>
        <w:pStyle w:val="Heading1"/>
      </w:pPr>
      <w:r w:rsidRPr="00374398">
        <w:t>DUSC consideration</w:t>
      </w:r>
    </w:p>
    <w:p w:rsidR="00467915" w:rsidRDefault="00467915" w:rsidP="009B74C2">
      <w:r w:rsidRPr="00467915">
        <w:t>DUSC noted that the total number of patients treated and the number of new patients treated in Year 1 and Year 2 of listing were similar to predicted.</w:t>
      </w:r>
      <w:r w:rsidR="00D86B6B">
        <w:t xml:space="preserve"> In relation to there being fewer prescriptions than predicted, DUSC noted that w</w:t>
      </w:r>
      <w:r w:rsidRPr="00467915">
        <w:t>hile tolerability might be slightly lower in practice than in the pivotal trial, a high proportion of patients remain on treatment.</w:t>
      </w:r>
    </w:p>
    <w:p w:rsidR="00467915" w:rsidRPr="00467915" w:rsidRDefault="00D86B6B" w:rsidP="009B74C2">
      <w:r w:rsidRPr="00D86B6B">
        <w:t>DUSC commented that the expenditure difference is large as a proportion of total expenditure in this setting (</w:t>
      </w:r>
      <w:r w:rsidR="005B02E0">
        <w:rPr>
          <w:noProof/>
          <w:color w:val="000000"/>
          <w:highlight w:val="black"/>
        </w:rPr>
        <w:t>'''''''''</w:t>
      </w:r>
      <w:r w:rsidRPr="00D86B6B">
        <w:t xml:space="preserve"> above the estimates in Year 2). DUSC noted that the dose per day for imatinib when used to treat metastatic or </w:t>
      </w:r>
      <w:proofErr w:type="spellStart"/>
      <w:r w:rsidRPr="00D86B6B">
        <w:t>unresectable</w:t>
      </w:r>
      <w:proofErr w:type="spellEnd"/>
      <w:r w:rsidRPr="00D86B6B">
        <w:t xml:space="preserve"> GIST is 600 mg per day, compared with 400 mg per day in the adjuvant setting. DUSC considered that the mean and median average daily doses for the adjuvant setting in practice imply that some patients may be receiving the 600 mg per day dose. DUSC considered that this might have cost-effectiveness implications. However, as patients can progress from the adjuvant to metastatic setting, it is possible that some of these prescriptions might inadvertently continue to be entered under the authority code for the adjuvant setting.  DUSC considered that further analysis of the average dose per day would not be able to confirm whether the use is clinically appropriate, as the available data cannot be used to determine whether the patient has progressed to metastatic disease. </w:t>
      </w:r>
    </w:p>
    <w:p w:rsidR="009B74C2" w:rsidRPr="00BD493A" w:rsidRDefault="009B74C2" w:rsidP="00F07901">
      <w:pPr>
        <w:pStyle w:val="Heading1"/>
      </w:pPr>
      <w:r w:rsidRPr="00BD493A">
        <w:t>DUSC actions</w:t>
      </w:r>
    </w:p>
    <w:p w:rsidR="00BD493A" w:rsidRPr="00BD493A" w:rsidRDefault="00BD493A" w:rsidP="00BD493A">
      <w:r w:rsidRPr="00BD493A">
        <w:t xml:space="preserve">DUSC requested that the report be provided to the PBAC. </w:t>
      </w:r>
    </w:p>
    <w:p w:rsidR="00374398" w:rsidRDefault="00374398">
      <w:pPr>
        <w:spacing w:line="276" w:lineRule="auto"/>
        <w:rPr>
          <w:b/>
          <w:sz w:val="32"/>
          <w:szCs w:val="32"/>
        </w:rPr>
      </w:pPr>
      <w:r>
        <w:rPr>
          <w:b/>
          <w:sz w:val="32"/>
          <w:szCs w:val="32"/>
        </w:rPr>
        <w:br w:type="page"/>
      </w:r>
    </w:p>
    <w:p w:rsidR="009B74C2" w:rsidRPr="00D405CB" w:rsidRDefault="009B74C2" w:rsidP="00F07901">
      <w:pPr>
        <w:pStyle w:val="Heading1"/>
      </w:pPr>
      <w:r w:rsidRPr="00D405CB">
        <w:lastRenderedPageBreak/>
        <w:t>Context for analysis</w:t>
      </w:r>
    </w:p>
    <w:p w:rsidR="009B74C2" w:rsidRPr="00D405CB" w:rsidRDefault="009B74C2" w:rsidP="009B74C2">
      <w:r w:rsidRPr="00D405CB">
        <w:t>The DUSC is a Sub Committee of the Pharmaceutical Benefits Advisory Committee (PBAC). The DUSC assesses estimates on projected usage and financial cost of medicines.</w:t>
      </w:r>
    </w:p>
    <w:p w:rsidR="009B74C2" w:rsidRPr="00D405CB" w:rsidRDefault="009B74C2" w:rsidP="009B74C2">
      <w:r w:rsidRPr="00D405CB">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9B74C2" w:rsidRPr="00D405CB" w:rsidRDefault="009B74C2" w:rsidP="009B74C2">
      <w:r w:rsidRPr="00D405CB">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9B74C2" w:rsidRPr="00D405CB" w:rsidRDefault="009B74C2" w:rsidP="009B74C2">
      <w:r w:rsidRPr="00D405CB">
        <w:t>The utilisation analysis report was provided to the pharmaceutical sponsors of each drug and comments on the report were provided to DUSC prior to its consideration of the analysis.</w:t>
      </w:r>
    </w:p>
    <w:p w:rsidR="009B74C2" w:rsidRPr="00BD493A" w:rsidRDefault="009B74C2" w:rsidP="00F07901">
      <w:pPr>
        <w:pStyle w:val="Heading1"/>
      </w:pPr>
      <w:r w:rsidRPr="00BD493A">
        <w:t>Sponsor comments</w:t>
      </w:r>
    </w:p>
    <w:p w:rsidR="00BD493A" w:rsidRPr="002747F1" w:rsidRDefault="00BD493A" w:rsidP="009B74C2">
      <w:proofErr w:type="spellStart"/>
      <w:r w:rsidRPr="002747F1">
        <w:t>Alphapharm</w:t>
      </w:r>
      <w:proofErr w:type="spellEnd"/>
      <w:r w:rsidRPr="002747F1">
        <w:t xml:space="preserve"> Pty Ltd:</w:t>
      </w:r>
      <w:r w:rsidR="002747F1" w:rsidRPr="002747F1">
        <w:t xml:space="preserve"> The sponsor has no comment</w:t>
      </w:r>
      <w:r w:rsidR="002747F1">
        <w:t>.</w:t>
      </w:r>
    </w:p>
    <w:p w:rsidR="009B74C2" w:rsidRPr="00B16E39" w:rsidRDefault="009B74C2" w:rsidP="00F07901">
      <w:pPr>
        <w:pStyle w:val="Heading1"/>
      </w:pPr>
      <w:r w:rsidRPr="00B16E39">
        <w:t>Disclaimer</w:t>
      </w:r>
    </w:p>
    <w:p w:rsidR="009B74C2" w:rsidRPr="00B16E39" w:rsidRDefault="009B74C2" w:rsidP="009B74C2">
      <w:r w:rsidRPr="00B16E39">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9B74C2" w:rsidRPr="00B16E39" w:rsidRDefault="009B74C2" w:rsidP="009B74C2">
      <w:r w:rsidRPr="00B16E39">
        <w:t>The Department of Health (</w:t>
      </w:r>
      <w:proofErr w:type="spellStart"/>
      <w:r w:rsidRPr="00B16E39">
        <w:t>DoH</w:t>
      </w:r>
      <w:proofErr w:type="spellEnd"/>
      <w:r w:rsidRPr="00B16E39">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9B74C2" w:rsidRPr="00B16E39" w:rsidRDefault="009B74C2" w:rsidP="009B74C2">
      <w:r w:rsidRPr="00B16E39">
        <w:t xml:space="preserve">To the extent provided by law, </w:t>
      </w:r>
      <w:proofErr w:type="spellStart"/>
      <w:r w:rsidRPr="00B16E39">
        <w:t>DoH</w:t>
      </w:r>
      <w:proofErr w:type="spellEnd"/>
      <w:r w:rsidRPr="00B16E39">
        <w:t xml:space="preserve"> makes no warranties or representations as to accuracy or completeness of information contained in this report. </w:t>
      </w:r>
    </w:p>
    <w:p w:rsidR="009B74C2" w:rsidRPr="00B16E39" w:rsidRDefault="009B74C2" w:rsidP="009B74C2">
      <w:r w:rsidRPr="00B16E39">
        <w:t xml:space="preserve">To the fullest extent permitted by law, neither the </w:t>
      </w:r>
      <w:proofErr w:type="spellStart"/>
      <w:r w:rsidRPr="00B16E39">
        <w:t>DoH</w:t>
      </w:r>
      <w:proofErr w:type="spellEnd"/>
      <w:r w:rsidRPr="00B16E39">
        <w:t xml:space="preserve"> nor any </w:t>
      </w:r>
      <w:proofErr w:type="spellStart"/>
      <w:r w:rsidRPr="00B16E39">
        <w:t>DoH</w:t>
      </w:r>
      <w:proofErr w:type="spellEnd"/>
      <w:r w:rsidRPr="00B16E39">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DC0A47" w:rsidRPr="00775DD7" w:rsidRDefault="004B306F" w:rsidP="00775DD7">
      <w:pPr>
        <w:pStyle w:val="Heading1"/>
      </w:pPr>
      <w:r w:rsidRPr="00AF277A">
        <w:lastRenderedPageBreak/>
        <w:t>References</w:t>
      </w:r>
    </w:p>
    <w:p w:rsidR="00DC0A47" w:rsidRDefault="00DC0A47" w:rsidP="00307A77">
      <w:proofErr w:type="spellStart"/>
      <w:r w:rsidRPr="00B3204B">
        <w:t>Demetri</w:t>
      </w:r>
      <w:proofErr w:type="spellEnd"/>
      <w:r w:rsidRPr="00B3204B">
        <w:t xml:space="preserve"> GD</w:t>
      </w:r>
      <w:r>
        <w:t xml:space="preserve"> et al. Efficacy and safety of </w:t>
      </w:r>
      <w:proofErr w:type="spellStart"/>
      <w:r>
        <w:t>regorafenib</w:t>
      </w:r>
      <w:proofErr w:type="spellEnd"/>
      <w:r>
        <w:t xml:space="preserve"> for advanced gastrointestinal stromal tumours after failure of imatinib and </w:t>
      </w:r>
      <w:proofErr w:type="spellStart"/>
      <w:r>
        <w:t>sunitinib</w:t>
      </w:r>
      <w:proofErr w:type="spellEnd"/>
      <w:r>
        <w:t xml:space="preserve"> (GRID): an international, multicentre, randomised, placebo-controlled, phase 3 trial. The Lancet 2012; 381: 295-302. </w:t>
      </w:r>
    </w:p>
    <w:p w:rsidR="00DC0A47" w:rsidRDefault="00DC0A47" w:rsidP="00307A77">
      <w:pPr>
        <w:rPr>
          <w:rFonts w:ascii="Arial" w:hAnsi="Arial" w:cs="Arial"/>
          <w:color w:val="333333"/>
          <w:sz w:val="23"/>
          <w:szCs w:val="23"/>
          <w:shd w:val="clear" w:color="auto" w:fill="FFFFFF"/>
        </w:rPr>
      </w:pPr>
      <w:proofErr w:type="spellStart"/>
      <w:r w:rsidRPr="005874D3">
        <w:t>Vilain</w:t>
      </w:r>
      <w:proofErr w:type="spellEnd"/>
      <w:r w:rsidRPr="005874D3">
        <w:t xml:space="preserve"> RE, </w:t>
      </w:r>
      <w:proofErr w:type="spellStart"/>
      <w:r w:rsidRPr="005874D3">
        <w:t>Ackland</w:t>
      </w:r>
      <w:proofErr w:type="spellEnd"/>
      <w:r w:rsidRPr="005874D3">
        <w:t xml:space="preserve"> SP. Gastrointestinal stromal </w:t>
      </w:r>
      <w:proofErr w:type="spellStart"/>
      <w:r w:rsidRPr="005874D3">
        <w:t>tumors</w:t>
      </w:r>
      <w:proofErr w:type="spellEnd"/>
      <w:r w:rsidRPr="005874D3">
        <w:t xml:space="preserve"> – A model for understanding solid </w:t>
      </w:r>
      <w:proofErr w:type="spellStart"/>
      <w:r w:rsidRPr="005874D3">
        <w:t>tumor</w:t>
      </w:r>
      <w:proofErr w:type="spellEnd"/>
      <w:r w:rsidRPr="005874D3">
        <w:t xml:space="preserve"> biology and development of targeted therapies, or just anothe</w:t>
      </w:r>
      <w:r w:rsidR="00472670">
        <w:t>r low-hanging fruit?</w:t>
      </w:r>
      <w:r w:rsidRPr="005874D3">
        <w:t xml:space="preserve"> Asia-Pacific Journal of Clinical Oncology, 2008; 4: 185–187.</w:t>
      </w:r>
      <w:r>
        <w:rPr>
          <w:rFonts w:ascii="Arial" w:hAnsi="Arial" w:cs="Arial"/>
          <w:color w:val="333333"/>
          <w:sz w:val="23"/>
          <w:szCs w:val="23"/>
          <w:shd w:val="clear" w:color="auto" w:fill="FFFFFF"/>
        </w:rPr>
        <w:t xml:space="preserve"> </w:t>
      </w:r>
    </w:p>
    <w:p w:rsidR="00F123D3" w:rsidRPr="00F123D3" w:rsidRDefault="00F123D3" w:rsidP="00F123D3"/>
    <w:sectPr w:rsidR="00F123D3" w:rsidRPr="00F123D3" w:rsidSect="00DD188C">
      <w:footerReference w:type="even" r:id="rId18"/>
      <w:footerReference w:type="default" r:id="rId19"/>
      <w:footerReference w:type="first" r:id="rId20"/>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E0" w:rsidRDefault="005B02E0" w:rsidP="00A35800">
      <w:r>
        <w:separator/>
      </w:r>
    </w:p>
  </w:endnote>
  <w:endnote w:type="continuationSeparator" w:id="0">
    <w:p w:rsidR="005B02E0" w:rsidRDefault="005B02E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Van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CB" w:rsidRDefault="00D405CB"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405CB" w:rsidRDefault="00D405CB"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D405CB" w:rsidRDefault="00D405CB" w:rsidP="000E72C6">
            <w:pPr>
              <w:pStyle w:val="Footer"/>
              <w:jc w:val="center"/>
              <w:rPr>
                <w:i/>
                <w:sz w:val="20"/>
              </w:rPr>
            </w:pPr>
            <w:r w:rsidRPr="009B74C2">
              <w:rPr>
                <w:i/>
                <w:sz w:val="20"/>
              </w:rPr>
              <w:t xml:space="preserve">Public Release Document, </w:t>
            </w:r>
            <w:r>
              <w:rPr>
                <w:i/>
                <w:sz w:val="20"/>
              </w:rPr>
              <w:t>February 2017</w:t>
            </w:r>
            <w:r w:rsidRPr="009B74C2">
              <w:rPr>
                <w:i/>
                <w:sz w:val="20"/>
              </w:rPr>
              <w:t xml:space="preserve"> DUSC Meeting </w:t>
            </w:r>
          </w:p>
          <w:p w:rsidR="00D405CB" w:rsidRDefault="00D405CB"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62664">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62664">
              <w:rPr>
                <w:bCs/>
                <w:i/>
                <w:noProof/>
                <w:sz w:val="20"/>
              </w:rPr>
              <w:t>14</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CB" w:rsidRDefault="00D405CB" w:rsidP="007A5733">
    <w:pPr>
      <w:pStyle w:val="Footer"/>
      <w:jc w:val="center"/>
      <w:rPr>
        <w:rStyle w:val="PageNumber"/>
      </w:rPr>
    </w:pPr>
    <w:r>
      <w:rPr>
        <w:rStyle w:val="PageNumber"/>
      </w:rPr>
      <w:t>Committee-in-Confidence</w:t>
    </w:r>
  </w:p>
  <w:p w:rsidR="00D405CB" w:rsidRDefault="00D405CB"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E0" w:rsidRDefault="005B02E0" w:rsidP="00A35800">
      <w:r>
        <w:separator/>
      </w:r>
    </w:p>
  </w:footnote>
  <w:footnote w:type="continuationSeparator" w:id="0">
    <w:p w:rsidR="005B02E0" w:rsidRDefault="005B02E0" w:rsidP="00A35800">
      <w:r>
        <w:continuationSeparator/>
      </w:r>
    </w:p>
  </w:footnote>
  <w:footnote w:id="1">
    <w:p w:rsidR="00D405CB" w:rsidRDefault="00D405CB">
      <w:pPr>
        <w:pStyle w:val="FootnoteText"/>
      </w:pPr>
      <w:r>
        <w:rPr>
          <w:rStyle w:val="FootnoteReference"/>
        </w:rPr>
        <w:footnoteRef/>
      </w:r>
      <w:r>
        <w:t xml:space="preserve"> </w:t>
      </w:r>
      <w:proofErr w:type="gramStart"/>
      <w:r w:rsidRPr="00BD23CE">
        <w:rPr>
          <w:sz w:val="20"/>
        </w:rPr>
        <w:t>PBS statistics.</w:t>
      </w:r>
      <w:proofErr w:type="gramEnd"/>
      <w:r w:rsidRPr="00BD23CE">
        <w:rPr>
          <w:sz w:val="20"/>
        </w:rPr>
        <w:t xml:space="preserve"> </w:t>
      </w:r>
      <w:proofErr w:type="gramStart"/>
      <w:r w:rsidRPr="00BD23CE">
        <w:rPr>
          <w:sz w:val="20"/>
        </w:rPr>
        <w:t>Australian Government Department of Human Services Medicare.</w:t>
      </w:r>
      <w:proofErr w:type="gramEnd"/>
      <w:r w:rsidRPr="00BD23CE">
        <w:rPr>
          <w:sz w:val="20"/>
        </w:rPr>
        <w:t xml:space="preserve"> Canberra. </w:t>
      </w:r>
      <w:proofErr w:type="gramStart"/>
      <w:r w:rsidRPr="00BD23CE">
        <w:rPr>
          <w:sz w:val="20"/>
        </w:rPr>
        <w:t>Available from &lt;</w:t>
      </w:r>
      <w:hyperlink r:id="rId1" w:history="1">
        <w:r w:rsidRPr="00BD23CE">
          <w:rPr>
            <w:sz w:val="20"/>
          </w:rPr>
          <w:t>http://www.medicareaustralia.gov.au/provider/pbs/stats.jsp</w:t>
        </w:r>
      </w:hyperlink>
      <w:r w:rsidRPr="00BD23CE">
        <w:rPr>
          <w:sz w:val="20"/>
        </w:rPr>
        <w:t>&gt;.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2D96"/>
    <w:multiLevelType w:val="multilevel"/>
    <w:tmpl w:val="FEA8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43DB0"/>
    <w:multiLevelType w:val="hybridMultilevel"/>
    <w:tmpl w:val="ABE87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990D63"/>
    <w:multiLevelType w:val="hybridMultilevel"/>
    <w:tmpl w:val="85F0D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E492DC4"/>
    <w:multiLevelType w:val="hybridMultilevel"/>
    <w:tmpl w:val="02503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7E507B"/>
    <w:multiLevelType w:val="hybridMultilevel"/>
    <w:tmpl w:val="8A882EFE"/>
    <w:lvl w:ilvl="0" w:tplc="24A4EDEE">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33D4023"/>
    <w:multiLevelType w:val="hybridMultilevel"/>
    <w:tmpl w:val="69D46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FF65EBA"/>
    <w:multiLevelType w:val="hybridMultilevel"/>
    <w:tmpl w:val="B732A414"/>
    <w:lvl w:ilvl="0" w:tplc="F524E94C">
      <w:start w:val="3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0F0284"/>
    <w:multiLevelType w:val="hybridMultilevel"/>
    <w:tmpl w:val="49B65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8D641D"/>
    <w:multiLevelType w:val="hybridMultilevel"/>
    <w:tmpl w:val="DE063D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2"/>
  </w:num>
  <w:num w:numId="4">
    <w:abstractNumId w:val="7"/>
  </w:num>
  <w:num w:numId="5">
    <w:abstractNumId w:val="8"/>
  </w:num>
  <w:num w:numId="6">
    <w:abstractNumId w:val="9"/>
  </w:num>
  <w:num w:numId="7">
    <w:abstractNumId w:val="5"/>
  </w:num>
  <w:num w:numId="8">
    <w:abstractNumId w:val="0"/>
  </w:num>
  <w:num w:numId="9">
    <w:abstractNumId w:val="1"/>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BCC"/>
    <w:rsid w:val="00007E85"/>
    <w:rsid w:val="00010B52"/>
    <w:rsid w:val="000122AB"/>
    <w:rsid w:val="00013465"/>
    <w:rsid w:val="000213E2"/>
    <w:rsid w:val="000226B3"/>
    <w:rsid w:val="00023910"/>
    <w:rsid w:val="00024549"/>
    <w:rsid w:val="0003262F"/>
    <w:rsid w:val="00043494"/>
    <w:rsid w:val="00043BBE"/>
    <w:rsid w:val="000507D3"/>
    <w:rsid w:val="00050898"/>
    <w:rsid w:val="000515CB"/>
    <w:rsid w:val="000544B6"/>
    <w:rsid w:val="00054EBA"/>
    <w:rsid w:val="00055CD9"/>
    <w:rsid w:val="000604AF"/>
    <w:rsid w:val="00070E75"/>
    <w:rsid w:val="00075260"/>
    <w:rsid w:val="00081939"/>
    <w:rsid w:val="0008371F"/>
    <w:rsid w:val="000842EE"/>
    <w:rsid w:val="000848F5"/>
    <w:rsid w:val="000864F8"/>
    <w:rsid w:val="00086856"/>
    <w:rsid w:val="00086C11"/>
    <w:rsid w:val="00094DCF"/>
    <w:rsid w:val="00097654"/>
    <w:rsid w:val="000A6CFD"/>
    <w:rsid w:val="000B0982"/>
    <w:rsid w:val="000B42D6"/>
    <w:rsid w:val="000B59ED"/>
    <w:rsid w:val="000B796C"/>
    <w:rsid w:val="000C1B66"/>
    <w:rsid w:val="000C46BB"/>
    <w:rsid w:val="000C4D9D"/>
    <w:rsid w:val="000C7C4B"/>
    <w:rsid w:val="000C7D8B"/>
    <w:rsid w:val="000D17D2"/>
    <w:rsid w:val="000D4424"/>
    <w:rsid w:val="000D593C"/>
    <w:rsid w:val="000E08FC"/>
    <w:rsid w:val="000E485D"/>
    <w:rsid w:val="000E72C6"/>
    <w:rsid w:val="000F0114"/>
    <w:rsid w:val="000F1893"/>
    <w:rsid w:val="000F2F51"/>
    <w:rsid w:val="00103338"/>
    <w:rsid w:val="00104AD7"/>
    <w:rsid w:val="00105A95"/>
    <w:rsid w:val="001114C2"/>
    <w:rsid w:val="00113918"/>
    <w:rsid w:val="00113C76"/>
    <w:rsid w:val="00113CF8"/>
    <w:rsid w:val="00113D74"/>
    <w:rsid w:val="00116724"/>
    <w:rsid w:val="001177C8"/>
    <w:rsid w:val="00117C5C"/>
    <w:rsid w:val="0012197F"/>
    <w:rsid w:val="00124109"/>
    <w:rsid w:val="00130CE0"/>
    <w:rsid w:val="001310AE"/>
    <w:rsid w:val="00131EF3"/>
    <w:rsid w:val="00134335"/>
    <w:rsid w:val="001420B3"/>
    <w:rsid w:val="001421CE"/>
    <w:rsid w:val="00143A28"/>
    <w:rsid w:val="001455A5"/>
    <w:rsid w:val="001460C4"/>
    <w:rsid w:val="001547F7"/>
    <w:rsid w:val="0015691C"/>
    <w:rsid w:val="00156C19"/>
    <w:rsid w:val="00157873"/>
    <w:rsid w:val="001607D3"/>
    <w:rsid w:val="0016156D"/>
    <w:rsid w:val="001621F7"/>
    <w:rsid w:val="001624D7"/>
    <w:rsid w:val="001628AE"/>
    <w:rsid w:val="00164CBE"/>
    <w:rsid w:val="00176ED8"/>
    <w:rsid w:val="00177A0F"/>
    <w:rsid w:val="00177B86"/>
    <w:rsid w:val="00181DAC"/>
    <w:rsid w:val="00182585"/>
    <w:rsid w:val="00182FA3"/>
    <w:rsid w:val="0018634E"/>
    <w:rsid w:val="00191182"/>
    <w:rsid w:val="00191CA6"/>
    <w:rsid w:val="00195C58"/>
    <w:rsid w:val="0019664D"/>
    <w:rsid w:val="00197B6D"/>
    <w:rsid w:val="001A1681"/>
    <w:rsid w:val="001A20E8"/>
    <w:rsid w:val="001A4528"/>
    <w:rsid w:val="001A6103"/>
    <w:rsid w:val="001A7499"/>
    <w:rsid w:val="001A7530"/>
    <w:rsid w:val="001B4428"/>
    <w:rsid w:val="001B5D37"/>
    <w:rsid w:val="001B7E82"/>
    <w:rsid w:val="001C1689"/>
    <w:rsid w:val="001C2940"/>
    <w:rsid w:val="001C4016"/>
    <w:rsid w:val="001C548D"/>
    <w:rsid w:val="001C6A5D"/>
    <w:rsid w:val="001C74A1"/>
    <w:rsid w:val="001D6ECF"/>
    <w:rsid w:val="001E01D7"/>
    <w:rsid w:val="001E31A6"/>
    <w:rsid w:val="001E42C7"/>
    <w:rsid w:val="001E4CAB"/>
    <w:rsid w:val="001F0E66"/>
    <w:rsid w:val="001F2F3E"/>
    <w:rsid w:val="001F3684"/>
    <w:rsid w:val="001F4906"/>
    <w:rsid w:val="001F70B6"/>
    <w:rsid w:val="001F7C4A"/>
    <w:rsid w:val="00200BE8"/>
    <w:rsid w:val="0020249B"/>
    <w:rsid w:val="0020578A"/>
    <w:rsid w:val="00207631"/>
    <w:rsid w:val="00214013"/>
    <w:rsid w:val="00214FDC"/>
    <w:rsid w:val="00220FC1"/>
    <w:rsid w:val="00222E9A"/>
    <w:rsid w:val="002230AD"/>
    <w:rsid w:val="00226315"/>
    <w:rsid w:val="00227A9D"/>
    <w:rsid w:val="00227EF5"/>
    <w:rsid w:val="0023179D"/>
    <w:rsid w:val="00233CD6"/>
    <w:rsid w:val="002346A1"/>
    <w:rsid w:val="00234D5A"/>
    <w:rsid w:val="0024529E"/>
    <w:rsid w:val="002459F9"/>
    <w:rsid w:val="00253067"/>
    <w:rsid w:val="0025389D"/>
    <w:rsid w:val="00254E02"/>
    <w:rsid w:val="00257701"/>
    <w:rsid w:val="0026096A"/>
    <w:rsid w:val="00261BCE"/>
    <w:rsid w:val="0026265F"/>
    <w:rsid w:val="00262664"/>
    <w:rsid w:val="002725F6"/>
    <w:rsid w:val="002747F1"/>
    <w:rsid w:val="002758AC"/>
    <w:rsid w:val="002812B5"/>
    <w:rsid w:val="002869CE"/>
    <w:rsid w:val="00286C3A"/>
    <w:rsid w:val="00291636"/>
    <w:rsid w:val="002930F5"/>
    <w:rsid w:val="002936D3"/>
    <w:rsid w:val="00294272"/>
    <w:rsid w:val="00295561"/>
    <w:rsid w:val="00295D02"/>
    <w:rsid w:val="002A0282"/>
    <w:rsid w:val="002A06B7"/>
    <w:rsid w:val="002A168A"/>
    <w:rsid w:val="002A4A4A"/>
    <w:rsid w:val="002B22FF"/>
    <w:rsid w:val="002C085E"/>
    <w:rsid w:val="002C10B4"/>
    <w:rsid w:val="002C23C9"/>
    <w:rsid w:val="002C6E0C"/>
    <w:rsid w:val="002D144A"/>
    <w:rsid w:val="002E19A3"/>
    <w:rsid w:val="002E212B"/>
    <w:rsid w:val="002E3337"/>
    <w:rsid w:val="002E6D03"/>
    <w:rsid w:val="002E787F"/>
    <w:rsid w:val="002E7CAC"/>
    <w:rsid w:val="002F49A8"/>
    <w:rsid w:val="002F5E66"/>
    <w:rsid w:val="002F60B4"/>
    <w:rsid w:val="002F61CA"/>
    <w:rsid w:val="002F654F"/>
    <w:rsid w:val="0030010D"/>
    <w:rsid w:val="00307A77"/>
    <w:rsid w:val="0031224B"/>
    <w:rsid w:val="003154D7"/>
    <w:rsid w:val="00315BF2"/>
    <w:rsid w:val="00315C2B"/>
    <w:rsid w:val="00316034"/>
    <w:rsid w:val="00316C3F"/>
    <w:rsid w:val="003241CF"/>
    <w:rsid w:val="003328D5"/>
    <w:rsid w:val="0033504C"/>
    <w:rsid w:val="00336816"/>
    <w:rsid w:val="003370D0"/>
    <w:rsid w:val="00337297"/>
    <w:rsid w:val="00337355"/>
    <w:rsid w:val="003379DA"/>
    <w:rsid w:val="003402E4"/>
    <w:rsid w:val="00340F95"/>
    <w:rsid w:val="003425D2"/>
    <w:rsid w:val="00345D22"/>
    <w:rsid w:val="00345FD5"/>
    <w:rsid w:val="00346B4D"/>
    <w:rsid w:val="003515DC"/>
    <w:rsid w:val="003531ED"/>
    <w:rsid w:val="00353840"/>
    <w:rsid w:val="003566C0"/>
    <w:rsid w:val="00356E14"/>
    <w:rsid w:val="00360B9A"/>
    <w:rsid w:val="00373733"/>
    <w:rsid w:val="00374398"/>
    <w:rsid w:val="00376F10"/>
    <w:rsid w:val="00377A18"/>
    <w:rsid w:val="0038041C"/>
    <w:rsid w:val="003861B5"/>
    <w:rsid w:val="0039017F"/>
    <w:rsid w:val="00394066"/>
    <w:rsid w:val="003941BE"/>
    <w:rsid w:val="00394AEE"/>
    <w:rsid w:val="003A2F84"/>
    <w:rsid w:val="003A685C"/>
    <w:rsid w:val="003B0085"/>
    <w:rsid w:val="003C2D98"/>
    <w:rsid w:val="003C3D06"/>
    <w:rsid w:val="003D0973"/>
    <w:rsid w:val="003D0CE4"/>
    <w:rsid w:val="003D2D1F"/>
    <w:rsid w:val="003D3A96"/>
    <w:rsid w:val="003D3B9C"/>
    <w:rsid w:val="003D485A"/>
    <w:rsid w:val="003D6102"/>
    <w:rsid w:val="003D6F8C"/>
    <w:rsid w:val="003E6674"/>
    <w:rsid w:val="003F5B00"/>
    <w:rsid w:val="003F7AE3"/>
    <w:rsid w:val="00404606"/>
    <w:rsid w:val="00404F03"/>
    <w:rsid w:val="004057D0"/>
    <w:rsid w:val="00405CE9"/>
    <w:rsid w:val="00412051"/>
    <w:rsid w:val="004132C6"/>
    <w:rsid w:val="00415887"/>
    <w:rsid w:val="00417DCA"/>
    <w:rsid w:val="00423B94"/>
    <w:rsid w:val="00423C1E"/>
    <w:rsid w:val="00425925"/>
    <w:rsid w:val="004302A5"/>
    <w:rsid w:val="004330B7"/>
    <w:rsid w:val="00434A34"/>
    <w:rsid w:val="004366CD"/>
    <w:rsid w:val="00436AAE"/>
    <w:rsid w:val="004440AC"/>
    <w:rsid w:val="004459D0"/>
    <w:rsid w:val="0045048C"/>
    <w:rsid w:val="004507E0"/>
    <w:rsid w:val="00452BDC"/>
    <w:rsid w:val="0045427D"/>
    <w:rsid w:val="00457065"/>
    <w:rsid w:val="00461790"/>
    <w:rsid w:val="00463299"/>
    <w:rsid w:val="00463731"/>
    <w:rsid w:val="0046400A"/>
    <w:rsid w:val="00467915"/>
    <w:rsid w:val="00467B25"/>
    <w:rsid w:val="00471769"/>
    <w:rsid w:val="00472670"/>
    <w:rsid w:val="00472BFE"/>
    <w:rsid w:val="00481108"/>
    <w:rsid w:val="00483AEA"/>
    <w:rsid w:val="0049042B"/>
    <w:rsid w:val="00493AAB"/>
    <w:rsid w:val="00495473"/>
    <w:rsid w:val="004A140D"/>
    <w:rsid w:val="004A458E"/>
    <w:rsid w:val="004A7FC2"/>
    <w:rsid w:val="004B00F0"/>
    <w:rsid w:val="004B23E7"/>
    <w:rsid w:val="004B306F"/>
    <w:rsid w:val="004B5D20"/>
    <w:rsid w:val="004C00EA"/>
    <w:rsid w:val="004C2BCD"/>
    <w:rsid w:val="004C2CC2"/>
    <w:rsid w:val="004C3186"/>
    <w:rsid w:val="004C5042"/>
    <w:rsid w:val="004C621D"/>
    <w:rsid w:val="004C7E5B"/>
    <w:rsid w:val="004D10C3"/>
    <w:rsid w:val="004D33F5"/>
    <w:rsid w:val="004D442A"/>
    <w:rsid w:val="004D53FC"/>
    <w:rsid w:val="004E2EA8"/>
    <w:rsid w:val="004E4422"/>
    <w:rsid w:val="004E5326"/>
    <w:rsid w:val="004F243F"/>
    <w:rsid w:val="004F463A"/>
    <w:rsid w:val="004F65FD"/>
    <w:rsid w:val="00502583"/>
    <w:rsid w:val="00503998"/>
    <w:rsid w:val="00504B7F"/>
    <w:rsid w:val="0050623B"/>
    <w:rsid w:val="00513683"/>
    <w:rsid w:val="00520AF3"/>
    <w:rsid w:val="0052121A"/>
    <w:rsid w:val="00523181"/>
    <w:rsid w:val="00524D13"/>
    <w:rsid w:val="005339F6"/>
    <w:rsid w:val="00545199"/>
    <w:rsid w:val="005469B7"/>
    <w:rsid w:val="00550A8C"/>
    <w:rsid w:val="00551BAA"/>
    <w:rsid w:val="00554181"/>
    <w:rsid w:val="00557E80"/>
    <w:rsid w:val="005637D7"/>
    <w:rsid w:val="005712E2"/>
    <w:rsid w:val="00575E59"/>
    <w:rsid w:val="00576B18"/>
    <w:rsid w:val="00577C8D"/>
    <w:rsid w:val="00580046"/>
    <w:rsid w:val="00581CD3"/>
    <w:rsid w:val="005823B0"/>
    <w:rsid w:val="00585512"/>
    <w:rsid w:val="00585AA6"/>
    <w:rsid w:val="005874D3"/>
    <w:rsid w:val="00587724"/>
    <w:rsid w:val="00591512"/>
    <w:rsid w:val="005919DF"/>
    <w:rsid w:val="00591B0D"/>
    <w:rsid w:val="00592F60"/>
    <w:rsid w:val="005A1C49"/>
    <w:rsid w:val="005A3021"/>
    <w:rsid w:val="005A3B35"/>
    <w:rsid w:val="005A6396"/>
    <w:rsid w:val="005B02E0"/>
    <w:rsid w:val="005B2D91"/>
    <w:rsid w:val="005B3D6D"/>
    <w:rsid w:val="005B48B4"/>
    <w:rsid w:val="005B7902"/>
    <w:rsid w:val="005C372E"/>
    <w:rsid w:val="005C5A79"/>
    <w:rsid w:val="005C5F40"/>
    <w:rsid w:val="005C6661"/>
    <w:rsid w:val="005C6E3B"/>
    <w:rsid w:val="005D3435"/>
    <w:rsid w:val="005D474B"/>
    <w:rsid w:val="005E085C"/>
    <w:rsid w:val="005E0F99"/>
    <w:rsid w:val="005E147D"/>
    <w:rsid w:val="005E22C2"/>
    <w:rsid w:val="005E546F"/>
    <w:rsid w:val="005E57BB"/>
    <w:rsid w:val="005F0017"/>
    <w:rsid w:val="005F6B7C"/>
    <w:rsid w:val="006014F1"/>
    <w:rsid w:val="00602670"/>
    <w:rsid w:val="00605F93"/>
    <w:rsid w:val="006128B3"/>
    <w:rsid w:val="00612B2C"/>
    <w:rsid w:val="0061357B"/>
    <w:rsid w:val="006137C2"/>
    <w:rsid w:val="00614417"/>
    <w:rsid w:val="00614A7D"/>
    <w:rsid w:val="00622584"/>
    <w:rsid w:val="00622ACE"/>
    <w:rsid w:val="00622CF7"/>
    <w:rsid w:val="00623FBA"/>
    <w:rsid w:val="00634D9F"/>
    <w:rsid w:val="0063631C"/>
    <w:rsid w:val="006367F6"/>
    <w:rsid w:val="0063757B"/>
    <w:rsid w:val="006377CE"/>
    <w:rsid w:val="00640DC5"/>
    <w:rsid w:val="006423D0"/>
    <w:rsid w:val="00644905"/>
    <w:rsid w:val="00647575"/>
    <w:rsid w:val="0065055D"/>
    <w:rsid w:val="006537D9"/>
    <w:rsid w:val="00664A48"/>
    <w:rsid w:val="00665DEF"/>
    <w:rsid w:val="00665E18"/>
    <w:rsid w:val="00671741"/>
    <w:rsid w:val="006748D7"/>
    <w:rsid w:val="00675974"/>
    <w:rsid w:val="00675BB1"/>
    <w:rsid w:val="00675D6B"/>
    <w:rsid w:val="006775F1"/>
    <w:rsid w:val="00677DAD"/>
    <w:rsid w:val="006817F8"/>
    <w:rsid w:val="00692AA7"/>
    <w:rsid w:val="00693A53"/>
    <w:rsid w:val="00697FEC"/>
    <w:rsid w:val="006A0AF2"/>
    <w:rsid w:val="006A175F"/>
    <w:rsid w:val="006A2D77"/>
    <w:rsid w:val="006A405A"/>
    <w:rsid w:val="006A44F5"/>
    <w:rsid w:val="006B0C44"/>
    <w:rsid w:val="006B4394"/>
    <w:rsid w:val="006B43BF"/>
    <w:rsid w:val="006B4537"/>
    <w:rsid w:val="006B5F85"/>
    <w:rsid w:val="006B6929"/>
    <w:rsid w:val="006B709B"/>
    <w:rsid w:val="006C2C43"/>
    <w:rsid w:val="006C54AF"/>
    <w:rsid w:val="006C593C"/>
    <w:rsid w:val="006D381F"/>
    <w:rsid w:val="006D499C"/>
    <w:rsid w:val="006D7363"/>
    <w:rsid w:val="006E0181"/>
    <w:rsid w:val="006E76C8"/>
    <w:rsid w:val="006F14FD"/>
    <w:rsid w:val="006F51E3"/>
    <w:rsid w:val="006F7C90"/>
    <w:rsid w:val="007009D3"/>
    <w:rsid w:val="00700C0E"/>
    <w:rsid w:val="00704563"/>
    <w:rsid w:val="00705DAD"/>
    <w:rsid w:val="00711521"/>
    <w:rsid w:val="00711F29"/>
    <w:rsid w:val="00716634"/>
    <w:rsid w:val="00722538"/>
    <w:rsid w:val="007247B9"/>
    <w:rsid w:val="00727D85"/>
    <w:rsid w:val="007346C7"/>
    <w:rsid w:val="00736041"/>
    <w:rsid w:val="007408C7"/>
    <w:rsid w:val="00742A61"/>
    <w:rsid w:val="007456F1"/>
    <w:rsid w:val="00746021"/>
    <w:rsid w:val="007465DA"/>
    <w:rsid w:val="00747C17"/>
    <w:rsid w:val="00747F87"/>
    <w:rsid w:val="007512AB"/>
    <w:rsid w:val="007514C1"/>
    <w:rsid w:val="00752C7F"/>
    <w:rsid w:val="007540D1"/>
    <w:rsid w:val="00756103"/>
    <w:rsid w:val="0076006C"/>
    <w:rsid w:val="00761641"/>
    <w:rsid w:val="00770113"/>
    <w:rsid w:val="00772482"/>
    <w:rsid w:val="00773D12"/>
    <w:rsid w:val="00775DD7"/>
    <w:rsid w:val="00776598"/>
    <w:rsid w:val="00780607"/>
    <w:rsid w:val="00785C51"/>
    <w:rsid w:val="00785C55"/>
    <w:rsid w:val="007868E9"/>
    <w:rsid w:val="00792948"/>
    <w:rsid w:val="00792CA9"/>
    <w:rsid w:val="00796E84"/>
    <w:rsid w:val="007A0D98"/>
    <w:rsid w:val="007A1ECC"/>
    <w:rsid w:val="007A3ADE"/>
    <w:rsid w:val="007A5733"/>
    <w:rsid w:val="007A5774"/>
    <w:rsid w:val="007B383A"/>
    <w:rsid w:val="007B4E70"/>
    <w:rsid w:val="007B59F5"/>
    <w:rsid w:val="007B7769"/>
    <w:rsid w:val="007C67ED"/>
    <w:rsid w:val="007D04F9"/>
    <w:rsid w:val="007D1BAF"/>
    <w:rsid w:val="007D25EF"/>
    <w:rsid w:val="007D26BA"/>
    <w:rsid w:val="007D647B"/>
    <w:rsid w:val="007D6FAE"/>
    <w:rsid w:val="007E3A3D"/>
    <w:rsid w:val="007E5082"/>
    <w:rsid w:val="007F0D61"/>
    <w:rsid w:val="007F1AEA"/>
    <w:rsid w:val="007F2EF1"/>
    <w:rsid w:val="007F322E"/>
    <w:rsid w:val="007F5525"/>
    <w:rsid w:val="007F716C"/>
    <w:rsid w:val="00801E74"/>
    <w:rsid w:val="00802D88"/>
    <w:rsid w:val="00804214"/>
    <w:rsid w:val="0080485E"/>
    <w:rsid w:val="008050B3"/>
    <w:rsid w:val="00806F4C"/>
    <w:rsid w:val="00812CC9"/>
    <w:rsid w:val="008142B4"/>
    <w:rsid w:val="008145BC"/>
    <w:rsid w:val="008177B0"/>
    <w:rsid w:val="008228DC"/>
    <w:rsid w:val="00822BB1"/>
    <w:rsid w:val="008271F5"/>
    <w:rsid w:val="00832324"/>
    <w:rsid w:val="00835337"/>
    <w:rsid w:val="0083648C"/>
    <w:rsid w:val="00840491"/>
    <w:rsid w:val="00846DCD"/>
    <w:rsid w:val="00851793"/>
    <w:rsid w:val="00851D85"/>
    <w:rsid w:val="00853440"/>
    <w:rsid w:val="00855F5E"/>
    <w:rsid w:val="00860CCB"/>
    <w:rsid w:val="00866820"/>
    <w:rsid w:val="00873B85"/>
    <w:rsid w:val="008740A3"/>
    <w:rsid w:val="008744DA"/>
    <w:rsid w:val="0087457E"/>
    <w:rsid w:val="008759A5"/>
    <w:rsid w:val="00882188"/>
    <w:rsid w:val="00890198"/>
    <w:rsid w:val="0089297B"/>
    <w:rsid w:val="00892F37"/>
    <w:rsid w:val="008A02F9"/>
    <w:rsid w:val="008B0E68"/>
    <w:rsid w:val="008B1E60"/>
    <w:rsid w:val="008B5ACD"/>
    <w:rsid w:val="008B6B3D"/>
    <w:rsid w:val="008C36CA"/>
    <w:rsid w:val="008C6BCF"/>
    <w:rsid w:val="008D4FA5"/>
    <w:rsid w:val="008D5D5D"/>
    <w:rsid w:val="008E07A6"/>
    <w:rsid w:val="008E1252"/>
    <w:rsid w:val="008E3F8C"/>
    <w:rsid w:val="008F6748"/>
    <w:rsid w:val="00902FD0"/>
    <w:rsid w:val="00903ADC"/>
    <w:rsid w:val="009053D3"/>
    <w:rsid w:val="0090691F"/>
    <w:rsid w:val="00907F0D"/>
    <w:rsid w:val="00910549"/>
    <w:rsid w:val="0091298E"/>
    <w:rsid w:val="00913486"/>
    <w:rsid w:val="009200ED"/>
    <w:rsid w:val="009204B1"/>
    <w:rsid w:val="0092058A"/>
    <w:rsid w:val="0093111F"/>
    <w:rsid w:val="009333D6"/>
    <w:rsid w:val="00934892"/>
    <w:rsid w:val="00935689"/>
    <w:rsid w:val="009378EA"/>
    <w:rsid w:val="00944E5A"/>
    <w:rsid w:val="0095303B"/>
    <w:rsid w:val="00957A5B"/>
    <w:rsid w:val="009617DE"/>
    <w:rsid w:val="009663B6"/>
    <w:rsid w:val="009714F6"/>
    <w:rsid w:val="0097214C"/>
    <w:rsid w:val="00973232"/>
    <w:rsid w:val="00974A47"/>
    <w:rsid w:val="00975126"/>
    <w:rsid w:val="00980286"/>
    <w:rsid w:val="00990DCF"/>
    <w:rsid w:val="0099105E"/>
    <w:rsid w:val="0099233E"/>
    <w:rsid w:val="009946EE"/>
    <w:rsid w:val="009A22BC"/>
    <w:rsid w:val="009A4CD6"/>
    <w:rsid w:val="009A537C"/>
    <w:rsid w:val="009B2740"/>
    <w:rsid w:val="009B6C60"/>
    <w:rsid w:val="009B74C2"/>
    <w:rsid w:val="009C0886"/>
    <w:rsid w:val="009C19EE"/>
    <w:rsid w:val="009C28D0"/>
    <w:rsid w:val="009C35F2"/>
    <w:rsid w:val="009C7782"/>
    <w:rsid w:val="009D1ED5"/>
    <w:rsid w:val="009D4074"/>
    <w:rsid w:val="009D4C13"/>
    <w:rsid w:val="009D7A13"/>
    <w:rsid w:val="009E102F"/>
    <w:rsid w:val="009E21A7"/>
    <w:rsid w:val="00A01510"/>
    <w:rsid w:val="00A103ED"/>
    <w:rsid w:val="00A13C60"/>
    <w:rsid w:val="00A1580E"/>
    <w:rsid w:val="00A177FC"/>
    <w:rsid w:val="00A25CEB"/>
    <w:rsid w:val="00A341A3"/>
    <w:rsid w:val="00A35800"/>
    <w:rsid w:val="00A44531"/>
    <w:rsid w:val="00A52918"/>
    <w:rsid w:val="00A547B3"/>
    <w:rsid w:val="00A55632"/>
    <w:rsid w:val="00A57545"/>
    <w:rsid w:val="00A6346E"/>
    <w:rsid w:val="00A70E82"/>
    <w:rsid w:val="00A84CAD"/>
    <w:rsid w:val="00A8511C"/>
    <w:rsid w:val="00A878D1"/>
    <w:rsid w:val="00A90E50"/>
    <w:rsid w:val="00A91457"/>
    <w:rsid w:val="00A95FA5"/>
    <w:rsid w:val="00A96D92"/>
    <w:rsid w:val="00A97602"/>
    <w:rsid w:val="00AA6222"/>
    <w:rsid w:val="00AA7BEC"/>
    <w:rsid w:val="00AB0032"/>
    <w:rsid w:val="00AB3733"/>
    <w:rsid w:val="00AB7897"/>
    <w:rsid w:val="00AC094F"/>
    <w:rsid w:val="00AC145D"/>
    <w:rsid w:val="00AC5054"/>
    <w:rsid w:val="00AD5946"/>
    <w:rsid w:val="00AD5ACA"/>
    <w:rsid w:val="00AD6223"/>
    <w:rsid w:val="00AD73F2"/>
    <w:rsid w:val="00AD76E5"/>
    <w:rsid w:val="00AE04B5"/>
    <w:rsid w:val="00AE26F6"/>
    <w:rsid w:val="00AE28E6"/>
    <w:rsid w:val="00AE4BAC"/>
    <w:rsid w:val="00AF075F"/>
    <w:rsid w:val="00AF1066"/>
    <w:rsid w:val="00AF2764"/>
    <w:rsid w:val="00AF277A"/>
    <w:rsid w:val="00AF5059"/>
    <w:rsid w:val="00B034FC"/>
    <w:rsid w:val="00B0504D"/>
    <w:rsid w:val="00B051E4"/>
    <w:rsid w:val="00B05310"/>
    <w:rsid w:val="00B0616B"/>
    <w:rsid w:val="00B07686"/>
    <w:rsid w:val="00B07D14"/>
    <w:rsid w:val="00B10A0B"/>
    <w:rsid w:val="00B152F1"/>
    <w:rsid w:val="00B16E39"/>
    <w:rsid w:val="00B25DC2"/>
    <w:rsid w:val="00B30D85"/>
    <w:rsid w:val="00B3204B"/>
    <w:rsid w:val="00B35A4A"/>
    <w:rsid w:val="00B42B45"/>
    <w:rsid w:val="00B4562F"/>
    <w:rsid w:val="00B45B9C"/>
    <w:rsid w:val="00B46139"/>
    <w:rsid w:val="00B508F6"/>
    <w:rsid w:val="00B53AB7"/>
    <w:rsid w:val="00B5492E"/>
    <w:rsid w:val="00B55EB6"/>
    <w:rsid w:val="00B61E9F"/>
    <w:rsid w:val="00B62206"/>
    <w:rsid w:val="00B63FD7"/>
    <w:rsid w:val="00B64FC9"/>
    <w:rsid w:val="00B65567"/>
    <w:rsid w:val="00B76BB3"/>
    <w:rsid w:val="00B76E97"/>
    <w:rsid w:val="00B77F4C"/>
    <w:rsid w:val="00B816D9"/>
    <w:rsid w:val="00B877A6"/>
    <w:rsid w:val="00B9120F"/>
    <w:rsid w:val="00B9189C"/>
    <w:rsid w:val="00B9216C"/>
    <w:rsid w:val="00B924A4"/>
    <w:rsid w:val="00B95AA6"/>
    <w:rsid w:val="00BA0A92"/>
    <w:rsid w:val="00BB0D1A"/>
    <w:rsid w:val="00BB1D3B"/>
    <w:rsid w:val="00BB2786"/>
    <w:rsid w:val="00BB47C6"/>
    <w:rsid w:val="00BB72D7"/>
    <w:rsid w:val="00BC35ED"/>
    <w:rsid w:val="00BC7149"/>
    <w:rsid w:val="00BD06F2"/>
    <w:rsid w:val="00BD188C"/>
    <w:rsid w:val="00BD23CE"/>
    <w:rsid w:val="00BD493A"/>
    <w:rsid w:val="00BD76D2"/>
    <w:rsid w:val="00BE0B25"/>
    <w:rsid w:val="00BE205A"/>
    <w:rsid w:val="00BE3802"/>
    <w:rsid w:val="00BE6826"/>
    <w:rsid w:val="00BE6EB6"/>
    <w:rsid w:val="00BF0AE2"/>
    <w:rsid w:val="00BF1BB2"/>
    <w:rsid w:val="00BF238E"/>
    <w:rsid w:val="00BF2F4A"/>
    <w:rsid w:val="00BF36A5"/>
    <w:rsid w:val="00BF48A0"/>
    <w:rsid w:val="00BF544D"/>
    <w:rsid w:val="00C00389"/>
    <w:rsid w:val="00C0076F"/>
    <w:rsid w:val="00C0301C"/>
    <w:rsid w:val="00C050B6"/>
    <w:rsid w:val="00C10F12"/>
    <w:rsid w:val="00C12428"/>
    <w:rsid w:val="00C2099A"/>
    <w:rsid w:val="00C245EA"/>
    <w:rsid w:val="00C256F6"/>
    <w:rsid w:val="00C26901"/>
    <w:rsid w:val="00C26FA7"/>
    <w:rsid w:val="00C3010F"/>
    <w:rsid w:val="00C3097E"/>
    <w:rsid w:val="00C354F6"/>
    <w:rsid w:val="00C35EBE"/>
    <w:rsid w:val="00C35ECC"/>
    <w:rsid w:val="00C361A8"/>
    <w:rsid w:val="00C40F45"/>
    <w:rsid w:val="00C41246"/>
    <w:rsid w:val="00C41DF9"/>
    <w:rsid w:val="00C42C55"/>
    <w:rsid w:val="00C431DE"/>
    <w:rsid w:val="00C44D5D"/>
    <w:rsid w:val="00C44DAA"/>
    <w:rsid w:val="00C45E5F"/>
    <w:rsid w:val="00C46291"/>
    <w:rsid w:val="00C515FC"/>
    <w:rsid w:val="00C614D4"/>
    <w:rsid w:val="00C63412"/>
    <w:rsid w:val="00C641B1"/>
    <w:rsid w:val="00C667D9"/>
    <w:rsid w:val="00C675DA"/>
    <w:rsid w:val="00C7111E"/>
    <w:rsid w:val="00C714D0"/>
    <w:rsid w:val="00C72455"/>
    <w:rsid w:val="00C8403E"/>
    <w:rsid w:val="00C90EF4"/>
    <w:rsid w:val="00C90F09"/>
    <w:rsid w:val="00CA015A"/>
    <w:rsid w:val="00CA3BF5"/>
    <w:rsid w:val="00CB2568"/>
    <w:rsid w:val="00CB4BA4"/>
    <w:rsid w:val="00CB52D6"/>
    <w:rsid w:val="00CC1AA3"/>
    <w:rsid w:val="00CD15D4"/>
    <w:rsid w:val="00CD3055"/>
    <w:rsid w:val="00CD33E8"/>
    <w:rsid w:val="00CD4428"/>
    <w:rsid w:val="00CD4486"/>
    <w:rsid w:val="00CD5C1F"/>
    <w:rsid w:val="00CE51A7"/>
    <w:rsid w:val="00CE543D"/>
    <w:rsid w:val="00CE55D6"/>
    <w:rsid w:val="00CF34A3"/>
    <w:rsid w:val="00CF46F5"/>
    <w:rsid w:val="00CF4819"/>
    <w:rsid w:val="00CF57DE"/>
    <w:rsid w:val="00CF5E22"/>
    <w:rsid w:val="00CF6BFC"/>
    <w:rsid w:val="00CF78EB"/>
    <w:rsid w:val="00D00A0E"/>
    <w:rsid w:val="00D01503"/>
    <w:rsid w:val="00D01E15"/>
    <w:rsid w:val="00D06888"/>
    <w:rsid w:val="00D06A44"/>
    <w:rsid w:val="00D119FC"/>
    <w:rsid w:val="00D151EB"/>
    <w:rsid w:val="00D16152"/>
    <w:rsid w:val="00D227FB"/>
    <w:rsid w:val="00D23707"/>
    <w:rsid w:val="00D300E0"/>
    <w:rsid w:val="00D3021F"/>
    <w:rsid w:val="00D31762"/>
    <w:rsid w:val="00D374CD"/>
    <w:rsid w:val="00D3770A"/>
    <w:rsid w:val="00D405CB"/>
    <w:rsid w:val="00D517F5"/>
    <w:rsid w:val="00D52750"/>
    <w:rsid w:val="00D650CE"/>
    <w:rsid w:val="00D65E12"/>
    <w:rsid w:val="00D71719"/>
    <w:rsid w:val="00D74ACC"/>
    <w:rsid w:val="00D776DA"/>
    <w:rsid w:val="00D8250C"/>
    <w:rsid w:val="00D86867"/>
    <w:rsid w:val="00D86B6B"/>
    <w:rsid w:val="00D8758B"/>
    <w:rsid w:val="00D942B3"/>
    <w:rsid w:val="00D94863"/>
    <w:rsid w:val="00D96CE4"/>
    <w:rsid w:val="00D97E11"/>
    <w:rsid w:val="00DA16E0"/>
    <w:rsid w:val="00DA235F"/>
    <w:rsid w:val="00DA5E80"/>
    <w:rsid w:val="00DA7D09"/>
    <w:rsid w:val="00DB30C2"/>
    <w:rsid w:val="00DB4B8A"/>
    <w:rsid w:val="00DC0A47"/>
    <w:rsid w:val="00DC2630"/>
    <w:rsid w:val="00DC3488"/>
    <w:rsid w:val="00DC49E9"/>
    <w:rsid w:val="00DC4BB5"/>
    <w:rsid w:val="00DC55E4"/>
    <w:rsid w:val="00DC728A"/>
    <w:rsid w:val="00DC7AC5"/>
    <w:rsid w:val="00DC7D71"/>
    <w:rsid w:val="00DC7EDE"/>
    <w:rsid w:val="00DD188C"/>
    <w:rsid w:val="00DD29A3"/>
    <w:rsid w:val="00DD48EE"/>
    <w:rsid w:val="00DD4AF9"/>
    <w:rsid w:val="00DD691D"/>
    <w:rsid w:val="00DE0B96"/>
    <w:rsid w:val="00DE0F0A"/>
    <w:rsid w:val="00DE10B9"/>
    <w:rsid w:val="00DE738D"/>
    <w:rsid w:val="00DF02AF"/>
    <w:rsid w:val="00DF0832"/>
    <w:rsid w:val="00DF0B13"/>
    <w:rsid w:val="00DF2EB8"/>
    <w:rsid w:val="00DF4A94"/>
    <w:rsid w:val="00DF5349"/>
    <w:rsid w:val="00DF5C49"/>
    <w:rsid w:val="00DF5E0A"/>
    <w:rsid w:val="00DF6003"/>
    <w:rsid w:val="00DF7FAB"/>
    <w:rsid w:val="00E00095"/>
    <w:rsid w:val="00E0328B"/>
    <w:rsid w:val="00E03C91"/>
    <w:rsid w:val="00E0504E"/>
    <w:rsid w:val="00E066C3"/>
    <w:rsid w:val="00E10D8C"/>
    <w:rsid w:val="00E1353A"/>
    <w:rsid w:val="00E1447B"/>
    <w:rsid w:val="00E1564B"/>
    <w:rsid w:val="00E166E2"/>
    <w:rsid w:val="00E208A0"/>
    <w:rsid w:val="00E22A25"/>
    <w:rsid w:val="00E23EBC"/>
    <w:rsid w:val="00E25B49"/>
    <w:rsid w:val="00E26E75"/>
    <w:rsid w:val="00E27E9D"/>
    <w:rsid w:val="00E31677"/>
    <w:rsid w:val="00E32459"/>
    <w:rsid w:val="00E33B77"/>
    <w:rsid w:val="00E366C0"/>
    <w:rsid w:val="00E371EA"/>
    <w:rsid w:val="00E443AD"/>
    <w:rsid w:val="00E46912"/>
    <w:rsid w:val="00E52547"/>
    <w:rsid w:val="00E54B07"/>
    <w:rsid w:val="00E552D1"/>
    <w:rsid w:val="00E5556E"/>
    <w:rsid w:val="00E55CD6"/>
    <w:rsid w:val="00E57685"/>
    <w:rsid w:val="00E6140C"/>
    <w:rsid w:val="00E626C1"/>
    <w:rsid w:val="00E627AB"/>
    <w:rsid w:val="00E62EB3"/>
    <w:rsid w:val="00E64429"/>
    <w:rsid w:val="00E677DD"/>
    <w:rsid w:val="00E72F01"/>
    <w:rsid w:val="00E7355E"/>
    <w:rsid w:val="00E7594B"/>
    <w:rsid w:val="00E81E46"/>
    <w:rsid w:val="00E8719B"/>
    <w:rsid w:val="00E9715D"/>
    <w:rsid w:val="00EA2598"/>
    <w:rsid w:val="00EA6913"/>
    <w:rsid w:val="00EA7409"/>
    <w:rsid w:val="00EB0FA9"/>
    <w:rsid w:val="00EB4688"/>
    <w:rsid w:val="00EB5D42"/>
    <w:rsid w:val="00EB6C07"/>
    <w:rsid w:val="00EB7DE0"/>
    <w:rsid w:val="00EC028D"/>
    <w:rsid w:val="00EC1A61"/>
    <w:rsid w:val="00EC22D3"/>
    <w:rsid w:val="00EC50BC"/>
    <w:rsid w:val="00EC55EF"/>
    <w:rsid w:val="00EC6A35"/>
    <w:rsid w:val="00EC7250"/>
    <w:rsid w:val="00ED2B63"/>
    <w:rsid w:val="00ED633B"/>
    <w:rsid w:val="00EE0303"/>
    <w:rsid w:val="00EE2DCE"/>
    <w:rsid w:val="00EE3AB0"/>
    <w:rsid w:val="00EE439B"/>
    <w:rsid w:val="00EE478C"/>
    <w:rsid w:val="00EE48CB"/>
    <w:rsid w:val="00EF1168"/>
    <w:rsid w:val="00EF5FFB"/>
    <w:rsid w:val="00EF7FE0"/>
    <w:rsid w:val="00F01C81"/>
    <w:rsid w:val="00F01DD7"/>
    <w:rsid w:val="00F04255"/>
    <w:rsid w:val="00F04FC5"/>
    <w:rsid w:val="00F07901"/>
    <w:rsid w:val="00F1132C"/>
    <w:rsid w:val="00F121BC"/>
    <w:rsid w:val="00F123D3"/>
    <w:rsid w:val="00F15DD5"/>
    <w:rsid w:val="00F17D4B"/>
    <w:rsid w:val="00F20D9A"/>
    <w:rsid w:val="00F23139"/>
    <w:rsid w:val="00F24908"/>
    <w:rsid w:val="00F25B81"/>
    <w:rsid w:val="00F30808"/>
    <w:rsid w:val="00F31F22"/>
    <w:rsid w:val="00F36376"/>
    <w:rsid w:val="00F36461"/>
    <w:rsid w:val="00F40F6B"/>
    <w:rsid w:val="00F437B7"/>
    <w:rsid w:val="00F47FB8"/>
    <w:rsid w:val="00F530A8"/>
    <w:rsid w:val="00F54476"/>
    <w:rsid w:val="00F56972"/>
    <w:rsid w:val="00F63992"/>
    <w:rsid w:val="00F64D64"/>
    <w:rsid w:val="00F66CD5"/>
    <w:rsid w:val="00F671C0"/>
    <w:rsid w:val="00F67953"/>
    <w:rsid w:val="00F67A9A"/>
    <w:rsid w:val="00F70F4E"/>
    <w:rsid w:val="00F73113"/>
    <w:rsid w:val="00F75FC4"/>
    <w:rsid w:val="00F76008"/>
    <w:rsid w:val="00F762FD"/>
    <w:rsid w:val="00F820DB"/>
    <w:rsid w:val="00F85981"/>
    <w:rsid w:val="00F87263"/>
    <w:rsid w:val="00F93725"/>
    <w:rsid w:val="00FA0F0E"/>
    <w:rsid w:val="00FA4890"/>
    <w:rsid w:val="00FB055C"/>
    <w:rsid w:val="00FB77FA"/>
    <w:rsid w:val="00FC0EC8"/>
    <w:rsid w:val="00FC3C70"/>
    <w:rsid w:val="00FC4A73"/>
    <w:rsid w:val="00FC559C"/>
    <w:rsid w:val="00FC7F0D"/>
    <w:rsid w:val="00FD60EB"/>
    <w:rsid w:val="00FD6270"/>
    <w:rsid w:val="00FD6E79"/>
    <w:rsid w:val="00FD710A"/>
    <w:rsid w:val="00FE0DB6"/>
    <w:rsid w:val="00FE2E64"/>
    <w:rsid w:val="00FE645A"/>
    <w:rsid w:val="00FF0CB5"/>
    <w:rsid w:val="00FF38B1"/>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16156D"/>
    <w:rPr>
      <w:color w:val="800080" w:themeColor="followedHyperlink"/>
      <w:u w:val="single"/>
    </w:rPr>
  </w:style>
  <w:style w:type="paragraph" w:customStyle="1" w:styleId="volissue">
    <w:name w:val="volissue"/>
    <w:basedOn w:val="Normal"/>
    <w:rsid w:val="00592F60"/>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5874D3"/>
    <w:pPr>
      <w:spacing w:after="0"/>
    </w:pPr>
    <w:rPr>
      <w:sz w:val="20"/>
      <w:szCs w:val="20"/>
    </w:rPr>
  </w:style>
  <w:style w:type="character" w:customStyle="1" w:styleId="EndnoteTextChar">
    <w:name w:val="Endnote Text Char"/>
    <w:basedOn w:val="DefaultParagraphFont"/>
    <w:link w:val="EndnoteText"/>
    <w:uiPriority w:val="99"/>
    <w:semiHidden/>
    <w:rsid w:val="005874D3"/>
    <w:rPr>
      <w:sz w:val="20"/>
      <w:szCs w:val="20"/>
    </w:rPr>
  </w:style>
  <w:style w:type="character" w:styleId="EndnoteReference">
    <w:name w:val="endnote reference"/>
    <w:basedOn w:val="DefaultParagraphFont"/>
    <w:uiPriority w:val="99"/>
    <w:semiHidden/>
    <w:unhideWhenUsed/>
    <w:rsid w:val="005874D3"/>
    <w:rPr>
      <w:vertAlign w:val="superscript"/>
    </w:rPr>
  </w:style>
  <w:style w:type="paragraph" w:styleId="Quote">
    <w:name w:val="Quote"/>
    <w:basedOn w:val="Normal"/>
    <w:next w:val="Normal"/>
    <w:link w:val="QuoteChar"/>
    <w:uiPriority w:val="29"/>
    <w:qFormat/>
    <w:rsid w:val="0045427D"/>
    <w:pPr>
      <w:spacing w:line="276" w:lineRule="auto"/>
    </w:pPr>
    <w:rPr>
      <w:rFonts w:ascii="Lucida Bright" w:hAnsi="Lucida Bright"/>
      <w:i/>
      <w:iCs/>
      <w:color w:val="000000" w:themeColor="text1"/>
      <w:sz w:val="22"/>
      <w:szCs w:val="22"/>
    </w:rPr>
  </w:style>
  <w:style w:type="character" w:customStyle="1" w:styleId="QuoteChar">
    <w:name w:val="Quote Char"/>
    <w:basedOn w:val="DefaultParagraphFont"/>
    <w:link w:val="Quote"/>
    <w:uiPriority w:val="29"/>
    <w:rsid w:val="0045427D"/>
    <w:rPr>
      <w:rFonts w:ascii="Lucida Bright" w:hAnsi="Lucida Bright"/>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16156D"/>
    <w:rPr>
      <w:color w:val="800080" w:themeColor="followedHyperlink"/>
      <w:u w:val="single"/>
    </w:rPr>
  </w:style>
  <w:style w:type="paragraph" w:customStyle="1" w:styleId="volissue">
    <w:name w:val="volissue"/>
    <w:basedOn w:val="Normal"/>
    <w:rsid w:val="00592F60"/>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5874D3"/>
    <w:pPr>
      <w:spacing w:after="0"/>
    </w:pPr>
    <w:rPr>
      <w:sz w:val="20"/>
      <w:szCs w:val="20"/>
    </w:rPr>
  </w:style>
  <w:style w:type="character" w:customStyle="1" w:styleId="EndnoteTextChar">
    <w:name w:val="Endnote Text Char"/>
    <w:basedOn w:val="DefaultParagraphFont"/>
    <w:link w:val="EndnoteText"/>
    <w:uiPriority w:val="99"/>
    <w:semiHidden/>
    <w:rsid w:val="005874D3"/>
    <w:rPr>
      <w:sz w:val="20"/>
      <w:szCs w:val="20"/>
    </w:rPr>
  </w:style>
  <w:style w:type="character" w:styleId="EndnoteReference">
    <w:name w:val="endnote reference"/>
    <w:basedOn w:val="DefaultParagraphFont"/>
    <w:uiPriority w:val="99"/>
    <w:semiHidden/>
    <w:unhideWhenUsed/>
    <w:rsid w:val="005874D3"/>
    <w:rPr>
      <w:vertAlign w:val="superscript"/>
    </w:rPr>
  </w:style>
  <w:style w:type="paragraph" w:styleId="Quote">
    <w:name w:val="Quote"/>
    <w:basedOn w:val="Normal"/>
    <w:next w:val="Normal"/>
    <w:link w:val="QuoteChar"/>
    <w:uiPriority w:val="29"/>
    <w:qFormat/>
    <w:rsid w:val="0045427D"/>
    <w:pPr>
      <w:spacing w:line="276" w:lineRule="auto"/>
    </w:pPr>
    <w:rPr>
      <w:rFonts w:ascii="Lucida Bright" w:hAnsi="Lucida Bright"/>
      <w:i/>
      <w:iCs/>
      <w:color w:val="000000" w:themeColor="text1"/>
      <w:sz w:val="22"/>
      <w:szCs w:val="22"/>
    </w:rPr>
  </w:style>
  <w:style w:type="character" w:customStyle="1" w:styleId="QuoteChar">
    <w:name w:val="Quote Char"/>
    <w:basedOn w:val="DefaultParagraphFont"/>
    <w:link w:val="Quote"/>
    <w:uiPriority w:val="29"/>
    <w:rsid w:val="0045427D"/>
    <w:rPr>
      <w:rFonts w:ascii="Lucida Bright" w:hAnsi="Lucida Bright"/>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26">
      <w:bodyDiv w:val="1"/>
      <w:marLeft w:val="0"/>
      <w:marRight w:val="0"/>
      <w:marTop w:val="0"/>
      <w:marBottom w:val="0"/>
      <w:divBdr>
        <w:top w:val="none" w:sz="0" w:space="0" w:color="auto"/>
        <w:left w:val="none" w:sz="0" w:space="0" w:color="auto"/>
        <w:bottom w:val="none" w:sz="0" w:space="0" w:color="auto"/>
        <w:right w:val="none" w:sz="0" w:space="0" w:color="auto"/>
      </w:divBdr>
    </w:div>
    <w:div w:id="261111695">
      <w:bodyDiv w:val="1"/>
      <w:marLeft w:val="0"/>
      <w:marRight w:val="0"/>
      <w:marTop w:val="0"/>
      <w:marBottom w:val="0"/>
      <w:divBdr>
        <w:top w:val="none" w:sz="0" w:space="0" w:color="auto"/>
        <w:left w:val="none" w:sz="0" w:space="0" w:color="auto"/>
        <w:bottom w:val="none" w:sz="0" w:space="0" w:color="auto"/>
        <w:right w:val="none" w:sz="0" w:space="0" w:color="auto"/>
      </w:divBdr>
      <w:divsChild>
        <w:div w:id="2114014897">
          <w:marLeft w:val="0"/>
          <w:marRight w:val="0"/>
          <w:marTop w:val="0"/>
          <w:marBottom w:val="0"/>
          <w:divBdr>
            <w:top w:val="none" w:sz="0" w:space="0" w:color="auto"/>
            <w:left w:val="none" w:sz="0" w:space="0" w:color="auto"/>
            <w:bottom w:val="none" w:sz="0" w:space="0" w:color="auto"/>
            <w:right w:val="none" w:sz="0" w:space="0" w:color="auto"/>
          </w:divBdr>
        </w:div>
        <w:div w:id="99643514">
          <w:marLeft w:val="0"/>
          <w:marRight w:val="0"/>
          <w:marTop w:val="0"/>
          <w:marBottom w:val="0"/>
          <w:divBdr>
            <w:top w:val="none" w:sz="0" w:space="0" w:color="auto"/>
            <w:left w:val="none" w:sz="0" w:space="0" w:color="auto"/>
            <w:bottom w:val="none" w:sz="0" w:space="0" w:color="auto"/>
            <w:right w:val="none" w:sz="0" w:space="0" w:color="auto"/>
          </w:divBdr>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9251853">
      <w:bodyDiv w:val="1"/>
      <w:marLeft w:val="0"/>
      <w:marRight w:val="0"/>
      <w:marTop w:val="0"/>
      <w:marBottom w:val="0"/>
      <w:divBdr>
        <w:top w:val="none" w:sz="0" w:space="0" w:color="auto"/>
        <w:left w:val="none" w:sz="0" w:space="0" w:color="auto"/>
        <w:bottom w:val="none" w:sz="0" w:space="0" w:color="auto"/>
        <w:right w:val="none" w:sz="0" w:space="0" w:color="auto"/>
      </w:divBdr>
    </w:div>
    <w:div w:id="522596672">
      <w:bodyDiv w:val="1"/>
      <w:marLeft w:val="0"/>
      <w:marRight w:val="0"/>
      <w:marTop w:val="0"/>
      <w:marBottom w:val="0"/>
      <w:divBdr>
        <w:top w:val="none" w:sz="0" w:space="0" w:color="auto"/>
        <w:left w:val="none" w:sz="0" w:space="0" w:color="auto"/>
        <w:bottom w:val="none" w:sz="0" w:space="0" w:color="auto"/>
        <w:right w:val="none" w:sz="0" w:space="0" w:color="auto"/>
      </w:divBdr>
    </w:div>
    <w:div w:id="788939654">
      <w:bodyDiv w:val="1"/>
      <w:marLeft w:val="0"/>
      <w:marRight w:val="0"/>
      <w:marTop w:val="0"/>
      <w:marBottom w:val="0"/>
      <w:divBdr>
        <w:top w:val="none" w:sz="0" w:space="0" w:color="auto"/>
        <w:left w:val="none" w:sz="0" w:space="0" w:color="auto"/>
        <w:bottom w:val="none" w:sz="0" w:space="0" w:color="auto"/>
        <w:right w:val="none" w:sz="0" w:space="0" w:color="auto"/>
      </w:divBdr>
    </w:div>
    <w:div w:id="1055665291">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19917394">
      <w:bodyDiv w:val="1"/>
      <w:marLeft w:val="0"/>
      <w:marRight w:val="0"/>
      <w:marTop w:val="0"/>
      <w:marBottom w:val="0"/>
      <w:divBdr>
        <w:top w:val="none" w:sz="0" w:space="0" w:color="auto"/>
        <w:left w:val="none" w:sz="0" w:space="0" w:color="auto"/>
        <w:bottom w:val="none" w:sz="0" w:space="0" w:color="auto"/>
        <w:right w:val="none" w:sz="0" w:space="0" w:color="auto"/>
      </w:divBdr>
    </w:div>
    <w:div w:id="1678850223">
      <w:bodyDiv w:val="1"/>
      <w:marLeft w:val="0"/>
      <w:marRight w:val="0"/>
      <w:marTop w:val="0"/>
      <w:marBottom w:val="0"/>
      <w:divBdr>
        <w:top w:val="none" w:sz="0" w:space="0" w:color="auto"/>
        <w:left w:val="none" w:sz="0" w:space="0" w:color="auto"/>
        <w:bottom w:val="none" w:sz="0" w:space="0" w:color="auto"/>
        <w:right w:val="none" w:sz="0" w:space="0" w:color="auto"/>
      </w:divBdr>
    </w:div>
    <w:div w:id="1764498065">
      <w:bodyDiv w:val="1"/>
      <w:marLeft w:val="0"/>
      <w:marRight w:val="0"/>
      <w:marTop w:val="0"/>
      <w:marBottom w:val="0"/>
      <w:divBdr>
        <w:top w:val="none" w:sz="0" w:space="0" w:color="auto"/>
        <w:left w:val="none" w:sz="0" w:space="0" w:color="auto"/>
        <w:bottom w:val="none" w:sz="0" w:space="0" w:color="auto"/>
        <w:right w:val="none" w:sz="0" w:space="0" w:color="auto"/>
      </w:divBdr>
    </w:div>
    <w:div w:id="2040428023">
      <w:bodyDiv w:val="1"/>
      <w:marLeft w:val="0"/>
      <w:marRight w:val="0"/>
      <w:marTop w:val="0"/>
      <w:marBottom w:val="0"/>
      <w:divBdr>
        <w:top w:val="none" w:sz="0" w:space="0" w:color="auto"/>
        <w:left w:val="none" w:sz="0" w:space="0" w:color="auto"/>
        <w:bottom w:val="none" w:sz="0" w:space="0" w:color="auto"/>
        <w:right w:val="none" w:sz="0" w:space="0" w:color="auto"/>
      </w:divBdr>
    </w:div>
    <w:div w:id="20702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pbs/ho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consumers/information-medicines-cmi.htm" TargetMode="External"/><Relationship Id="rId5" Type="http://schemas.openxmlformats.org/officeDocument/2006/relationships/settings" Target="settings.xml"/><Relationship Id="rId15" Type="http://schemas.openxmlformats.org/officeDocument/2006/relationships/hyperlink" Target="http://www.pbs.gov.au/info/industry/listing/elements/pbac-meetings/psd/2012-11/imatinib" TargetMode="External"/><Relationship Id="rId10" Type="http://schemas.openxmlformats.org/officeDocument/2006/relationships/hyperlink" Target="https://www.ebs.tga.gov.au/ebs/picmi/picmirepository.nsf/pdf?OpenAgent&amp;id=CP-2010-PI-04296-3&amp;d=201612191611462248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ebs.tga.gov.au/ebs/picmi/picmirepository.nsf/pdf?OpenAgent&amp;id=CP-2010-PI-04296-3&amp;d=2016121916114622483" TargetMode="External"/><Relationship Id="rId14" Type="http://schemas.openxmlformats.org/officeDocument/2006/relationships/hyperlink" Target="http://www.pbs.gov.au/pbs/hom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4FED-6FA6-4B32-A083-AE57E59E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2017-06-21T03:55:00Z</dcterms:created>
  <dcterms:modified xsi:type="dcterms:W3CDTF">2017-06-23T04:09:00Z</dcterms:modified>
</cp:coreProperties>
</file>