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747DD4" w:rsidP="00F73113">
      <w:pPr>
        <w:pStyle w:val="Title"/>
      </w:pPr>
      <w:bookmarkStart w:id="0" w:name="_GoBack"/>
      <w:bookmarkEnd w:id="0"/>
      <w:r>
        <w:t>Ferric carboxymaltose</w:t>
      </w:r>
      <w:r w:rsidR="001C4016">
        <w:t xml:space="preserve">: </w:t>
      </w:r>
      <w:r>
        <w:t xml:space="preserve">24 month predicted versus actual </w:t>
      </w:r>
      <w:r w:rsidR="001C4016">
        <w:t>a</w:t>
      </w:r>
      <w:r>
        <w:t>nalysis</w:t>
      </w:r>
    </w:p>
    <w:p w:rsidR="00736041" w:rsidRDefault="009053D3" w:rsidP="00F73113">
      <w:pPr>
        <w:pStyle w:val="Title2"/>
      </w:pPr>
      <w:r>
        <w:t>D</w:t>
      </w:r>
      <w:r w:rsidR="00832324" w:rsidRPr="0063631C">
        <w:t xml:space="preserve">rug utilisation sub-committee </w:t>
      </w:r>
      <w:r w:rsidR="00832324">
        <w:t>(DUSC)</w:t>
      </w:r>
    </w:p>
    <w:p w:rsidR="009053D3" w:rsidRDefault="00747DD4" w:rsidP="00F73113">
      <w:pPr>
        <w:pStyle w:val="Meetingdate"/>
      </w:pPr>
      <w:r>
        <w:t>February</w:t>
      </w:r>
      <w:r w:rsidR="00D151EB" w:rsidRPr="00F73113">
        <w:t xml:space="preserve"> 20</w:t>
      </w:r>
      <w:r>
        <w:t>17</w:t>
      </w:r>
    </w:p>
    <w:p w:rsidR="00747DD4" w:rsidRDefault="00747DD4" w:rsidP="00F73113">
      <w:pPr>
        <w:pStyle w:val="Meetingdate"/>
        <w:rPr>
          <w:i w:val="0"/>
          <w:sz w:val="28"/>
          <w:szCs w:val="28"/>
        </w:rPr>
      </w:pPr>
      <w:r w:rsidRPr="00747DD4">
        <w:rPr>
          <w:i w:val="0"/>
          <w:sz w:val="28"/>
          <w:szCs w:val="28"/>
        </w:rPr>
        <w:t>Abstract</w:t>
      </w:r>
    </w:p>
    <w:p w:rsidR="00747DD4" w:rsidRDefault="00747DD4" w:rsidP="00F73113">
      <w:pPr>
        <w:pStyle w:val="Meetingdate"/>
        <w:rPr>
          <w:szCs w:val="24"/>
        </w:rPr>
      </w:pPr>
      <w:r>
        <w:rPr>
          <w:szCs w:val="24"/>
        </w:rPr>
        <w:t>Purpose</w:t>
      </w:r>
    </w:p>
    <w:p w:rsidR="00F524D8" w:rsidRDefault="00F524D8" w:rsidP="00F524D8">
      <w:pPr>
        <w:pStyle w:val="Meetingdate"/>
        <w:rPr>
          <w:b w:val="0"/>
          <w:i w:val="0"/>
          <w:szCs w:val="24"/>
        </w:rPr>
      </w:pPr>
      <w:r>
        <w:rPr>
          <w:b w:val="0"/>
          <w:i w:val="0"/>
          <w:szCs w:val="24"/>
        </w:rPr>
        <w:t xml:space="preserve">To compare the predicted and actual utilisation of ferric carboxymaltose (FCM) in the first 24 months of PBS listing. </w:t>
      </w:r>
    </w:p>
    <w:p w:rsidR="00747DD4" w:rsidRDefault="00C973E5" w:rsidP="00747DD4">
      <w:pPr>
        <w:pStyle w:val="Heading3"/>
      </w:pPr>
      <w:r>
        <w:t>Background</w:t>
      </w:r>
    </w:p>
    <w:p w:rsidR="00C973E5" w:rsidRDefault="00C973E5" w:rsidP="001235FE">
      <w:r>
        <w:t>FCM</w:t>
      </w:r>
      <w:r w:rsidRPr="00C973E5">
        <w:t xml:space="preserve"> was listed on a cost-minimisation basis with intravenous iron polymaltose (IP) for the treatment of iron deficiency anaemia (IDA). The cost-minimisation took into account the pricing advantage for use in different treatment settings with reduced administration costs.</w:t>
      </w:r>
    </w:p>
    <w:p w:rsidR="001235FE" w:rsidRPr="00EA077D" w:rsidRDefault="001235FE" w:rsidP="001235FE">
      <w:r>
        <w:t>FCM was listed on the PBS 1 June 2014.</w:t>
      </w:r>
    </w:p>
    <w:p w:rsidR="00747DD4" w:rsidRDefault="00747DD4" w:rsidP="00747DD4">
      <w:pPr>
        <w:pStyle w:val="Heading3"/>
      </w:pPr>
      <w:r>
        <w:t>Data Source / methodology</w:t>
      </w:r>
    </w:p>
    <w:p w:rsidR="0086269D" w:rsidRDefault="0086269D" w:rsidP="0086269D">
      <w:pPr>
        <w:pStyle w:val="NoSpacing"/>
      </w:pPr>
      <w:r>
        <w:t>The analyses used data from the Department of Human Services (DHS) supplied prescriptions database.</w:t>
      </w:r>
    </w:p>
    <w:p w:rsidR="00747DD4" w:rsidRDefault="00747DD4" w:rsidP="00747DD4">
      <w:pPr>
        <w:pStyle w:val="Heading3"/>
      </w:pPr>
      <w:r w:rsidRPr="0065560F">
        <w:t>Key Findings</w:t>
      </w:r>
    </w:p>
    <w:p w:rsidR="00447F6E" w:rsidRDefault="00447F6E" w:rsidP="00447F6E">
      <w:pPr>
        <w:pStyle w:val="ListParagraph"/>
        <w:numPr>
          <w:ilvl w:val="0"/>
          <w:numId w:val="22"/>
        </w:numPr>
      </w:pPr>
      <w:r>
        <w:t xml:space="preserve">There was a substantial growth in the total intravenous iron market after FCM was PBS-listed. </w:t>
      </w:r>
    </w:p>
    <w:p w:rsidR="00712283" w:rsidRPr="009B60CC" w:rsidRDefault="009B60CC" w:rsidP="00E10DFD">
      <w:pPr>
        <w:pStyle w:val="ListParagraph"/>
        <w:numPr>
          <w:ilvl w:val="0"/>
          <w:numId w:val="22"/>
        </w:numPr>
      </w:pPr>
      <w:r>
        <w:rPr>
          <w:bCs/>
          <w:color w:val="000000"/>
        </w:rPr>
        <w:t xml:space="preserve">There were </w:t>
      </w:r>
      <w:r w:rsidRPr="009B60CC">
        <w:rPr>
          <w:bCs/>
          <w:color w:val="000000"/>
        </w:rPr>
        <w:t>69,460</w:t>
      </w:r>
      <w:r>
        <w:rPr>
          <w:bCs/>
          <w:color w:val="000000"/>
        </w:rPr>
        <w:t xml:space="preserve"> FCM prescriptions supplied </w:t>
      </w:r>
      <w:r w:rsidR="0065560F">
        <w:rPr>
          <w:bCs/>
          <w:color w:val="000000"/>
        </w:rPr>
        <w:t xml:space="preserve">in the first year of PBS </w:t>
      </w:r>
      <w:r>
        <w:rPr>
          <w:bCs/>
          <w:color w:val="000000"/>
        </w:rPr>
        <w:t xml:space="preserve">listing (June 2014 to May 2015) </w:t>
      </w:r>
      <w:r w:rsidRPr="009B60CC">
        <w:rPr>
          <w:bCs/>
          <w:color w:val="000000"/>
        </w:rPr>
        <w:t>and 125,887</w:t>
      </w:r>
      <w:r w:rsidR="00E10DFD">
        <w:rPr>
          <w:bCs/>
          <w:color w:val="000000"/>
        </w:rPr>
        <w:t xml:space="preserve"> prescriptions supplied</w:t>
      </w:r>
      <w:r w:rsidRPr="009B60CC">
        <w:rPr>
          <w:bCs/>
          <w:color w:val="000000"/>
        </w:rPr>
        <w:t xml:space="preserve"> in the second year (June 2015 to May 2016).</w:t>
      </w:r>
      <w:r>
        <w:rPr>
          <w:bCs/>
          <w:color w:val="000000"/>
          <w:sz w:val="20"/>
          <w:szCs w:val="20"/>
        </w:rPr>
        <w:t xml:space="preserve"> </w:t>
      </w:r>
      <w:r w:rsidR="00E10DFD">
        <w:t>In the second year, the use of FCM was higher than predicted.</w:t>
      </w:r>
    </w:p>
    <w:p w:rsidR="009B60CC" w:rsidRPr="00F524D8" w:rsidRDefault="00E10DFD" w:rsidP="009B60CC">
      <w:pPr>
        <w:pStyle w:val="ListParagraph"/>
        <w:numPr>
          <w:ilvl w:val="0"/>
          <w:numId w:val="22"/>
        </w:numPr>
      </w:pPr>
      <w:r>
        <w:t xml:space="preserve">The </w:t>
      </w:r>
      <w:r w:rsidR="007947C0">
        <w:t xml:space="preserve">prescriber type that wrote the </w:t>
      </w:r>
      <w:r>
        <w:t xml:space="preserve">largest proportion of </w:t>
      </w:r>
      <w:r w:rsidR="0000615C">
        <w:t xml:space="preserve">supplied </w:t>
      </w:r>
      <w:r>
        <w:t xml:space="preserve">parenteral iron prescriptions was GPs. </w:t>
      </w:r>
    </w:p>
    <w:p w:rsidR="00747DD4" w:rsidRPr="00033469" w:rsidRDefault="00747DD4" w:rsidP="00033469">
      <w:pPr>
        <w:spacing w:line="276" w:lineRule="auto"/>
        <w:rPr>
          <w:b/>
          <w:sz w:val="32"/>
          <w:szCs w:val="32"/>
        </w:rPr>
      </w:pPr>
      <w:r>
        <w:br w:type="page"/>
      </w:r>
      <w:r w:rsidRPr="00033469">
        <w:rPr>
          <w:b/>
          <w:sz w:val="32"/>
          <w:szCs w:val="32"/>
        </w:rPr>
        <w:lastRenderedPageBreak/>
        <w:t>Purpose of analysis</w:t>
      </w:r>
    </w:p>
    <w:p w:rsidR="000333D7" w:rsidRDefault="000333D7" w:rsidP="000333D7">
      <w:pPr>
        <w:pStyle w:val="Meetingdate"/>
        <w:rPr>
          <w:b w:val="0"/>
          <w:i w:val="0"/>
          <w:szCs w:val="24"/>
        </w:rPr>
      </w:pPr>
      <w:r>
        <w:rPr>
          <w:b w:val="0"/>
          <w:i w:val="0"/>
          <w:szCs w:val="24"/>
        </w:rPr>
        <w:t xml:space="preserve">To </w:t>
      </w:r>
      <w:r w:rsidR="00F524D8">
        <w:rPr>
          <w:b w:val="0"/>
          <w:i w:val="0"/>
          <w:szCs w:val="24"/>
        </w:rPr>
        <w:t xml:space="preserve">compare the predicted and actual </w:t>
      </w:r>
      <w:r>
        <w:rPr>
          <w:b w:val="0"/>
          <w:i w:val="0"/>
          <w:szCs w:val="24"/>
        </w:rPr>
        <w:t>utilisation of ferric carboxymaltose</w:t>
      </w:r>
      <w:r w:rsidR="000C1AAA">
        <w:rPr>
          <w:b w:val="0"/>
          <w:i w:val="0"/>
          <w:szCs w:val="24"/>
        </w:rPr>
        <w:t xml:space="preserve"> (FCM)</w:t>
      </w:r>
      <w:r>
        <w:rPr>
          <w:b w:val="0"/>
          <w:i w:val="0"/>
          <w:szCs w:val="24"/>
        </w:rPr>
        <w:t xml:space="preserve"> in the</w:t>
      </w:r>
      <w:r w:rsidR="00F524D8">
        <w:rPr>
          <w:b w:val="0"/>
          <w:i w:val="0"/>
          <w:szCs w:val="24"/>
        </w:rPr>
        <w:t xml:space="preserve"> first</w:t>
      </w:r>
      <w:r>
        <w:rPr>
          <w:b w:val="0"/>
          <w:i w:val="0"/>
          <w:szCs w:val="24"/>
        </w:rPr>
        <w:t xml:space="preserve"> 24 months </w:t>
      </w:r>
      <w:r w:rsidR="00F524D8">
        <w:rPr>
          <w:b w:val="0"/>
          <w:i w:val="0"/>
          <w:szCs w:val="24"/>
        </w:rPr>
        <w:t xml:space="preserve">of </w:t>
      </w:r>
      <w:r>
        <w:rPr>
          <w:b w:val="0"/>
          <w:i w:val="0"/>
          <w:szCs w:val="24"/>
        </w:rPr>
        <w:t xml:space="preserve">PBS listing. </w:t>
      </w:r>
    </w:p>
    <w:p w:rsidR="006537D9" w:rsidRDefault="00736041" w:rsidP="00CF5E22">
      <w:pPr>
        <w:pStyle w:val="Heading1"/>
      </w:pPr>
      <w:bookmarkStart w:id="1" w:name="_Background"/>
      <w:bookmarkEnd w:id="1"/>
      <w:r w:rsidRPr="005E22C2">
        <w:t>Background</w:t>
      </w:r>
    </w:p>
    <w:p w:rsidR="00292120" w:rsidRPr="007247B9" w:rsidRDefault="00292120" w:rsidP="00292120">
      <w:r w:rsidRPr="00B62ABF">
        <w:t xml:space="preserve">Iron is an essential element required for the oxygen-carrying capacity of haemoglobin in red blood cells and of myoglobin in muscle tissue. Moreover, iron plays an important role in many other vital processes in the human body. </w:t>
      </w:r>
      <w:r w:rsidR="00F524D8">
        <w:t>In</w:t>
      </w:r>
      <w:r w:rsidR="00F524D8" w:rsidRPr="00B62ABF">
        <w:t>travenous iron preparation</w:t>
      </w:r>
      <w:r w:rsidR="00F524D8">
        <w:t>s, such as FCM</w:t>
      </w:r>
      <w:r w:rsidR="00F96A18">
        <w:t>,</w:t>
      </w:r>
      <w:r w:rsidR="00F524D8" w:rsidRPr="00B62ABF">
        <w:t xml:space="preserve"> </w:t>
      </w:r>
      <w:r w:rsidR="00F524D8">
        <w:t>are</w:t>
      </w:r>
      <w:r w:rsidR="00F524D8" w:rsidRPr="00B62ABF">
        <w:t xml:space="preserve"> </w:t>
      </w:r>
      <w:r w:rsidRPr="00B62ABF">
        <w:t>used for the treatment of patients with iron deficiency when oral iron preparations are ineffective or</w:t>
      </w:r>
      <w:r w:rsidR="00F96A18">
        <w:t xml:space="preserve"> cannot be used. The aim of </w:t>
      </w:r>
      <w:r w:rsidRPr="00B62ABF">
        <w:t xml:space="preserve">therapy is to replenish body iron stores and to remedy anaemia, a reduced level of haemoglobin due to iron deficiency. Before administration, a blood test </w:t>
      </w:r>
      <w:r>
        <w:t xml:space="preserve">is performed </w:t>
      </w:r>
      <w:r w:rsidRPr="00B62ABF">
        <w:t xml:space="preserve">to calculate the dose of </w:t>
      </w:r>
      <w:r>
        <w:t>FCM</w:t>
      </w:r>
      <w:r w:rsidRPr="00B62ABF">
        <w:t xml:space="preserve"> require</w:t>
      </w:r>
      <w:r>
        <w:t>d</w:t>
      </w:r>
      <w:r w:rsidRPr="00B62ABF">
        <w:t>.</w:t>
      </w:r>
      <w:bookmarkStart w:id="2" w:name="_Ref469646562"/>
      <w:r>
        <w:rPr>
          <w:rStyle w:val="FootnoteReference"/>
        </w:rPr>
        <w:footnoteReference w:id="1"/>
      </w:r>
      <w:bookmarkEnd w:id="2"/>
    </w:p>
    <w:p w:rsidR="00292120" w:rsidRDefault="00292120" w:rsidP="00292120">
      <w:pPr>
        <w:rPr>
          <w:vertAlign w:val="superscript"/>
        </w:rPr>
      </w:pPr>
      <w:r>
        <w:t xml:space="preserve">Iron deficiency and </w:t>
      </w:r>
      <w:r w:rsidR="00F524D8" w:rsidRPr="009044F7">
        <w:t>iron deficiency anaemia (</w:t>
      </w:r>
      <w:r>
        <w:t>IDA</w:t>
      </w:r>
      <w:r w:rsidR="00F524D8">
        <w:t>)</w:t>
      </w:r>
      <w:r>
        <w:t xml:space="preserve"> are common conditions in Australia and can affect people of all ages and stages of life. Few studies have reported the prevalence of iron deficien</w:t>
      </w:r>
      <w:bookmarkStart w:id="3" w:name="_Ref469646493"/>
      <w:r w:rsidR="0065560F">
        <w:t>cy in the Australian population</w:t>
      </w:r>
      <w:r w:rsidR="00F96A18">
        <w:t>;</w:t>
      </w:r>
      <w:bookmarkEnd w:id="3"/>
      <w:r w:rsidRPr="00663C8A">
        <w:t xml:space="preserve"> </w:t>
      </w:r>
      <w:r>
        <w:t>however</w:t>
      </w:r>
      <w:r w:rsidR="00F96A18">
        <w:t>,</w:t>
      </w:r>
      <w:r>
        <w:t xml:space="preserve"> there is a high prevalence in women and in Indigenous communities.</w:t>
      </w:r>
      <w:bookmarkStart w:id="4" w:name="_Ref469992668"/>
      <w:bookmarkStart w:id="5" w:name="_Ref469646234"/>
      <w:r w:rsidR="00F96A18">
        <w:rPr>
          <w:rStyle w:val="FootnoteReference"/>
        </w:rPr>
        <w:footnoteReference w:id="2"/>
      </w:r>
      <w:bookmarkEnd w:id="4"/>
      <w:r w:rsidR="00F96A18" w:rsidRPr="002D6BA4">
        <w:rPr>
          <w:vertAlign w:val="superscript"/>
        </w:rPr>
        <w:t>,</w:t>
      </w:r>
      <w:bookmarkStart w:id="6" w:name="_Ref469646288"/>
      <w:r w:rsidR="00F96A18">
        <w:rPr>
          <w:rStyle w:val="FootnoteReference"/>
        </w:rPr>
        <w:footnoteReference w:id="3"/>
      </w:r>
      <w:bookmarkEnd w:id="6"/>
      <w:r w:rsidR="00F96A18">
        <w:rPr>
          <w:vertAlign w:val="superscript"/>
        </w:rPr>
        <w:t>,</w:t>
      </w:r>
      <w:r w:rsidR="009F561D">
        <w:rPr>
          <w:rStyle w:val="FootnoteReference"/>
        </w:rPr>
        <w:footnoteReference w:id="4"/>
      </w:r>
      <w:bookmarkEnd w:id="5"/>
      <w:r>
        <w:t xml:space="preserve"> Causes of IDA may be inadequate dietary intake of iron, malabsorption, increased iron requirements (such as in pregnancy) or as a comorbidity to an underlying condition.</w:t>
      </w:r>
      <w:bookmarkStart w:id="7" w:name="_Ref469646356"/>
      <w:r w:rsidR="009F561D">
        <w:rPr>
          <w:rStyle w:val="FootnoteReference"/>
        </w:rPr>
        <w:footnoteReference w:id="5"/>
      </w:r>
      <w:bookmarkEnd w:id="7"/>
      <w:r>
        <w:t xml:space="preserve"> Untreated IDA</w:t>
      </w:r>
      <w:r w:rsidRPr="00CC389E">
        <w:t xml:space="preserve"> is associated with impaired development in children, adverse effects on cognitive and physical performance in adults, and poorer maternal and infant outcomes in pregnancy.</w:t>
      </w:r>
      <w:r w:rsidR="00531C78">
        <w:rPr>
          <w:vertAlign w:val="superscript"/>
        </w:rPr>
        <w:t>2</w:t>
      </w:r>
      <w:r>
        <w:t xml:space="preserve"> </w:t>
      </w:r>
    </w:p>
    <w:p w:rsidR="00292120" w:rsidRDefault="00292120" w:rsidP="00292120">
      <w:r>
        <w:t>In most patients with IDA, first-line therapy is oral iron supplementation. Oral iron is readily available in over</w:t>
      </w:r>
      <w:r w:rsidR="0000615C">
        <w:t>-</w:t>
      </w:r>
      <w:r>
        <w:t>the</w:t>
      </w:r>
      <w:r w:rsidR="0000615C">
        <w:t>-</w:t>
      </w:r>
      <w:r>
        <w:t>counter products but the doses vary greatly. Parenteral iron can be used if there is an intolerance to oral iron (e.g. gastrointestinal side effects) or drug interactions, poor adherence or lack of efficacy of oral iron, malabsorption</w:t>
      </w:r>
      <w:r w:rsidR="001E3A02">
        <w:t xml:space="preserve">, </w:t>
      </w:r>
      <w:r>
        <w:t>high iron need (e.g. in haemodialysis)</w:t>
      </w:r>
      <w:r w:rsidR="00F524D8">
        <w:t xml:space="preserve"> and where replenishment is needed rapidly</w:t>
      </w:r>
      <w:r>
        <w:t>.</w:t>
      </w:r>
      <w:r w:rsidR="00531C78">
        <w:rPr>
          <w:vertAlign w:val="superscript"/>
        </w:rPr>
        <w:t>3</w:t>
      </w:r>
      <w:r w:rsidR="009F561D">
        <w:rPr>
          <w:vertAlign w:val="superscript"/>
        </w:rPr>
        <w:t>,</w:t>
      </w:r>
      <w:bookmarkStart w:id="8" w:name="_Ref469646542"/>
      <w:r w:rsidR="009F561D">
        <w:rPr>
          <w:rStyle w:val="FootnoteReference"/>
        </w:rPr>
        <w:footnoteReference w:id="6"/>
      </w:r>
      <w:bookmarkEnd w:id="8"/>
      <w:r w:rsidR="000C1AAA">
        <w:rPr>
          <w:vertAlign w:val="superscript"/>
        </w:rPr>
        <w:t xml:space="preserve"> </w:t>
      </w:r>
    </w:p>
    <w:p w:rsidR="00292120" w:rsidRPr="008B0477" w:rsidRDefault="00292120" w:rsidP="00292120">
      <w:r>
        <w:t xml:space="preserve">The three forms of parenteral iron that are listed on the PBS are iron polymaltose (IP), iron sucrose (IS) and FCM. FCM can be rapidly infused (15 minutes or less) in single doses </w:t>
      </w:r>
      <w:r w:rsidR="00F524D8">
        <w:t>of up to 1</w:t>
      </w:r>
      <w:r w:rsidR="0065560F">
        <w:t>,</w:t>
      </w:r>
      <w:r w:rsidR="00F524D8">
        <w:t>000</w:t>
      </w:r>
      <w:r w:rsidR="0065560F">
        <w:t xml:space="preserve"> </w:t>
      </w:r>
      <w:r w:rsidR="00F524D8">
        <w:t xml:space="preserve">mg </w:t>
      </w:r>
      <w:r>
        <w:t xml:space="preserve">and is suitable for administration in non-hospital settings, such as by GPs and nurses in community practices. Repeat doses may be needed to meet total iron </w:t>
      </w:r>
      <w:r>
        <w:lastRenderedPageBreak/>
        <w:t>requirements.</w:t>
      </w:r>
      <w:r w:rsidR="00531C78">
        <w:rPr>
          <w:vertAlign w:val="superscript"/>
        </w:rPr>
        <w:t>5</w:t>
      </w:r>
      <w:r w:rsidR="009F561D">
        <w:rPr>
          <w:vertAlign w:val="superscript"/>
        </w:rPr>
        <w:t>,</w:t>
      </w:r>
      <w:r w:rsidR="009F561D">
        <w:rPr>
          <w:rStyle w:val="FootnoteReference"/>
        </w:rPr>
        <w:footnoteReference w:id="7"/>
      </w:r>
      <w:r>
        <w:t xml:space="preserve"> </w:t>
      </w:r>
      <w:r w:rsidR="000E378C">
        <w:t xml:space="preserve">Refer to </w:t>
      </w:r>
      <w:r w:rsidR="000E378C" w:rsidRPr="00F36F22">
        <w:t>Dosage and administration</w:t>
      </w:r>
      <w:r w:rsidR="000E378C">
        <w:t xml:space="preserve"> for further details. </w:t>
      </w:r>
      <w:r>
        <w:t>B</w:t>
      </w:r>
      <w:r w:rsidRPr="007C71F2">
        <w:t xml:space="preserve">oth </w:t>
      </w:r>
      <w:r>
        <w:t>IP</w:t>
      </w:r>
      <w:r w:rsidRPr="007C71F2">
        <w:t xml:space="preserve"> and </w:t>
      </w:r>
      <w:r>
        <w:t>IS</w:t>
      </w:r>
      <w:r w:rsidRPr="007C71F2">
        <w:t xml:space="preserve"> </w:t>
      </w:r>
      <w:r>
        <w:t>are</w:t>
      </w:r>
      <w:r w:rsidRPr="007C71F2">
        <w:t xml:space="preserve"> </w:t>
      </w:r>
      <w:r>
        <w:t>administered intravenously, although IP can be given as an intramuscular injection using a specified technique.</w:t>
      </w:r>
      <w:r w:rsidR="00531C78">
        <w:rPr>
          <w:vertAlign w:val="superscript"/>
        </w:rPr>
        <w:t>5</w:t>
      </w:r>
      <w:r w:rsidRPr="00213718">
        <w:rPr>
          <w:vertAlign w:val="superscript"/>
        </w:rPr>
        <w:t>,</w:t>
      </w:r>
      <w:r>
        <w:rPr>
          <w:rStyle w:val="FootnoteReference"/>
        </w:rPr>
        <w:footnoteReference w:id="8"/>
      </w:r>
      <w:r>
        <w:t xml:space="preserve"> </w:t>
      </w:r>
      <w:r w:rsidR="001E3A02" w:rsidRPr="001E3A02">
        <w:t>Intramuscular iron therapy is effective; however it can be painful and can result in permanent skin staining.</w:t>
      </w:r>
      <w:r w:rsidR="0069469C" w:rsidRPr="0069469C">
        <w:rPr>
          <w:vertAlign w:val="superscript"/>
        </w:rPr>
        <w:t>2</w:t>
      </w:r>
      <w:r w:rsidR="002A2AAB" w:rsidRPr="002A2AAB" w:rsidDel="001E3A02">
        <w:rPr>
          <w:vertAlign w:val="superscript"/>
        </w:rPr>
        <w:t xml:space="preserve"> </w:t>
      </w:r>
      <w:r>
        <w:t xml:space="preserve">IP </w:t>
      </w:r>
      <w:r w:rsidR="001E3A02">
        <w:t xml:space="preserve">given intravenously </w:t>
      </w:r>
      <w:r>
        <w:t xml:space="preserve">requires an infusion time of approximately </w:t>
      </w:r>
      <w:r w:rsidR="000E378C">
        <w:t>five</w:t>
      </w:r>
      <w:r>
        <w:t xml:space="preserve"> </w:t>
      </w:r>
      <w:r w:rsidR="00684B9A">
        <w:t>hours;</w:t>
      </w:r>
      <w:r>
        <w:t xml:space="preserve"> however the total iron requirement can be given in a single dose. IS has a lower risk of adverse effects than IP and small repeated doses are given to replace the total iron required.</w:t>
      </w:r>
      <w:r w:rsidR="00531C78">
        <w:rPr>
          <w:vertAlign w:val="superscript"/>
        </w:rPr>
        <w:t>5</w:t>
      </w:r>
      <w:r w:rsidR="008B0477">
        <w:rPr>
          <w:vertAlign w:val="superscript"/>
        </w:rPr>
        <w:t xml:space="preserve"> </w:t>
      </w:r>
    </w:p>
    <w:p w:rsidR="00292120" w:rsidRDefault="00292120" w:rsidP="00292120">
      <w:r>
        <w:t>The efficacy of FCM for correcting IDA has been evaluated across a range of clinical conditions including inflammatory bowel diseases</w:t>
      </w:r>
      <w:r w:rsidR="000E378C">
        <w:t>, chronic kidney disease</w:t>
      </w:r>
      <w:r>
        <w:t>, heart f</w:t>
      </w:r>
      <w:r w:rsidR="00E8557C">
        <w:t xml:space="preserve">ailure, heavy uterine bleeding </w:t>
      </w:r>
      <w:r>
        <w:t>and postpartum anaemia.</w:t>
      </w:r>
      <w:r w:rsidR="00531C78">
        <w:rPr>
          <w:vertAlign w:val="superscript"/>
        </w:rPr>
        <w:t>6</w:t>
      </w:r>
      <w:r>
        <w:t xml:space="preserve"> Some evidence for the use of FCM in treating Restless Leg Syndrome has also been found.</w:t>
      </w:r>
      <w:r>
        <w:rPr>
          <w:rStyle w:val="FootnoteReference"/>
        </w:rPr>
        <w:footnoteReference w:id="9"/>
      </w:r>
      <w:r>
        <w:t xml:space="preserve"> </w:t>
      </w:r>
    </w:p>
    <w:p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rsidR="00ED3661" w:rsidRDefault="00ED3661" w:rsidP="00A35800">
      <w:r>
        <w:t>FCM</w:t>
      </w:r>
      <w:r w:rsidRPr="00ED3661">
        <w:t xml:space="preserve"> is indicated for the treatment of iron deficiency when oral iron preparations are ineffective or cannot be used. The diagnosis must be based on laboratory tests.</w:t>
      </w:r>
    </w:p>
    <w:p w:rsidR="006B709B" w:rsidRDefault="006B709B" w:rsidP="00CF5E22">
      <w:pPr>
        <w:pStyle w:val="Heading2"/>
      </w:pPr>
      <w:bookmarkStart w:id="9" w:name="_Dosage_and_administration1"/>
      <w:bookmarkEnd w:id="9"/>
      <w:r>
        <w:t>Dosage and administration</w:t>
      </w:r>
      <w:r w:rsidR="00531C78">
        <w:rPr>
          <w:vertAlign w:val="superscript"/>
        </w:rPr>
        <w:t>1</w:t>
      </w:r>
    </w:p>
    <w:p w:rsidR="001152CB" w:rsidRDefault="003260A6" w:rsidP="004C0D04">
      <w:pPr>
        <w:pStyle w:val="Tabletitle"/>
        <w:spacing w:after="0"/>
        <w:rPr>
          <w:b w:val="0"/>
        </w:rPr>
      </w:pPr>
      <w:r w:rsidRPr="003260A6">
        <w:rPr>
          <w:b w:val="0"/>
        </w:rPr>
        <w:t xml:space="preserve">The cumulative dose for repletion of iron using </w:t>
      </w:r>
      <w:r>
        <w:rPr>
          <w:b w:val="0"/>
        </w:rPr>
        <w:t>FCM</w:t>
      </w:r>
      <w:r w:rsidRPr="003260A6">
        <w:rPr>
          <w:b w:val="0"/>
        </w:rPr>
        <w:t xml:space="preserve"> is determined based on the patient’s body weight and </w:t>
      </w:r>
      <w:r w:rsidR="00447F6E">
        <w:rPr>
          <w:b w:val="0"/>
        </w:rPr>
        <w:t xml:space="preserve">haemoglobin </w:t>
      </w:r>
      <w:r w:rsidRPr="003260A6">
        <w:rPr>
          <w:b w:val="0"/>
        </w:rPr>
        <w:t xml:space="preserve">level and must not be exceeded. </w:t>
      </w:r>
      <w:r w:rsidR="00E8557C">
        <w:rPr>
          <w:b w:val="0"/>
        </w:rPr>
        <w:t xml:space="preserve">Refer to Appendix A for more details on dosage. </w:t>
      </w:r>
    </w:p>
    <w:p w:rsidR="004C0D04" w:rsidRDefault="004C0D04" w:rsidP="004C0D04">
      <w:pPr>
        <w:pStyle w:val="Tabletitle"/>
        <w:spacing w:before="0" w:after="0"/>
        <w:rPr>
          <w:b w:val="0"/>
        </w:rPr>
      </w:pPr>
    </w:p>
    <w:p w:rsidR="001152CB" w:rsidRDefault="001152CB" w:rsidP="004C0D04">
      <w:pPr>
        <w:pStyle w:val="Tabletitle"/>
        <w:spacing w:before="0"/>
        <w:rPr>
          <w:b w:val="0"/>
        </w:rPr>
      </w:pPr>
      <w:r>
        <w:rPr>
          <w:b w:val="0"/>
        </w:rPr>
        <w:t>FCM</w:t>
      </w:r>
      <w:r w:rsidRPr="001152CB">
        <w:rPr>
          <w:b w:val="0"/>
        </w:rPr>
        <w:t xml:space="preserve"> may be administered by intravenous injection using undiluted solution up to a maximum single dose of 1,000 mg iron (up to a maximum of 20 mg iron/kg body weight). For doses greater than 200</w:t>
      </w:r>
      <w:r w:rsidR="00A6385F">
        <w:rPr>
          <w:b w:val="0"/>
        </w:rPr>
        <w:t> mg</w:t>
      </w:r>
      <w:r w:rsidRPr="001152CB">
        <w:rPr>
          <w:b w:val="0"/>
        </w:rPr>
        <w:t xml:space="preserve"> and up to 500 mg iron, </w:t>
      </w:r>
      <w:r>
        <w:rPr>
          <w:b w:val="0"/>
        </w:rPr>
        <w:t>FCM</w:t>
      </w:r>
      <w:r w:rsidRPr="001152CB">
        <w:rPr>
          <w:b w:val="0"/>
        </w:rPr>
        <w:t xml:space="preserve"> should be administered at a rate of 100 mg iron/min</w:t>
      </w:r>
      <w:r>
        <w:rPr>
          <w:b w:val="0"/>
        </w:rPr>
        <w:t>ute</w:t>
      </w:r>
      <w:r w:rsidRPr="001152CB">
        <w:rPr>
          <w:b w:val="0"/>
        </w:rPr>
        <w:t>. For doses greater than 500</w:t>
      </w:r>
      <w:r w:rsidR="00A6385F">
        <w:rPr>
          <w:b w:val="0"/>
        </w:rPr>
        <w:t> mg</w:t>
      </w:r>
      <w:r w:rsidRPr="001152CB">
        <w:rPr>
          <w:b w:val="0"/>
        </w:rPr>
        <w:t xml:space="preserve"> and up to 1,000 mg iron, </w:t>
      </w:r>
      <w:r>
        <w:rPr>
          <w:b w:val="0"/>
        </w:rPr>
        <w:t>FCM</w:t>
      </w:r>
      <w:r w:rsidRPr="001152CB">
        <w:rPr>
          <w:b w:val="0"/>
        </w:rPr>
        <w:t xml:space="preserve"> should be administered over 15 minutes. </w:t>
      </w:r>
      <w:r w:rsidR="00A6385F">
        <w:rPr>
          <w:b w:val="0"/>
        </w:rPr>
        <w:t>M</w:t>
      </w:r>
      <w:r w:rsidRPr="001152CB">
        <w:rPr>
          <w:b w:val="0"/>
        </w:rPr>
        <w:t xml:space="preserve">ore than 1,000 mg of iron </w:t>
      </w:r>
      <w:r w:rsidR="00A6385F">
        <w:rPr>
          <w:b w:val="0"/>
        </w:rPr>
        <w:t xml:space="preserve">should not be administered </w:t>
      </w:r>
      <w:r w:rsidRPr="001152CB">
        <w:rPr>
          <w:b w:val="0"/>
        </w:rPr>
        <w:t>per week.</w:t>
      </w:r>
    </w:p>
    <w:p w:rsidR="001152CB" w:rsidRDefault="001152CB" w:rsidP="001152CB">
      <w:pPr>
        <w:pStyle w:val="Tabletitle"/>
        <w:spacing w:before="0"/>
        <w:rPr>
          <w:b w:val="0"/>
        </w:rPr>
      </w:pPr>
    </w:p>
    <w:p w:rsidR="001152CB" w:rsidRDefault="001152CB" w:rsidP="001152CB">
      <w:pPr>
        <w:pStyle w:val="Tabletitle"/>
        <w:spacing w:before="0"/>
        <w:rPr>
          <w:b w:val="0"/>
        </w:rPr>
      </w:pPr>
      <w:r w:rsidRPr="001152CB">
        <w:rPr>
          <w:b w:val="0"/>
        </w:rPr>
        <w:t>In haemodialysis-dependent chronic kidney disease patients, a single daily injection of F</w:t>
      </w:r>
      <w:r>
        <w:rPr>
          <w:b w:val="0"/>
        </w:rPr>
        <w:t>CM</w:t>
      </w:r>
      <w:r w:rsidRPr="001152CB">
        <w:rPr>
          <w:b w:val="0"/>
        </w:rPr>
        <w:t xml:space="preserve"> should not exceed 200 mg iron. </w:t>
      </w:r>
    </w:p>
    <w:p w:rsidR="001152CB" w:rsidRDefault="001152CB" w:rsidP="001152CB">
      <w:pPr>
        <w:pStyle w:val="Tabletitle"/>
        <w:spacing w:before="0"/>
        <w:rPr>
          <w:b w:val="0"/>
        </w:rPr>
      </w:pPr>
    </w:p>
    <w:p w:rsidR="001152CB" w:rsidRDefault="001152CB" w:rsidP="001152CB">
      <w:pPr>
        <w:pStyle w:val="Tabletitle"/>
        <w:spacing w:before="0"/>
        <w:rPr>
          <w:b w:val="0"/>
        </w:rPr>
      </w:pPr>
      <w:r>
        <w:rPr>
          <w:b w:val="0"/>
        </w:rPr>
        <w:t>FCM</w:t>
      </w:r>
      <w:r w:rsidRPr="001152CB">
        <w:rPr>
          <w:b w:val="0"/>
        </w:rPr>
        <w:t xml:space="preserve"> must be administered only by the intravenous route</w:t>
      </w:r>
      <w:r>
        <w:rPr>
          <w:b w:val="0"/>
        </w:rPr>
        <w:t xml:space="preserve">, </w:t>
      </w:r>
      <w:r w:rsidRPr="001152CB">
        <w:rPr>
          <w:b w:val="0"/>
        </w:rPr>
        <w:t>by bolus injection, or during a haemodialysis session undiluted directly into the venous limb of the dialyser, or by i</w:t>
      </w:r>
      <w:r>
        <w:rPr>
          <w:b w:val="0"/>
        </w:rPr>
        <w:t xml:space="preserve">nfusion. In case of infusion, FCM </w:t>
      </w:r>
      <w:r w:rsidRPr="001152CB">
        <w:rPr>
          <w:b w:val="0"/>
        </w:rPr>
        <w:t>must be diluted only in sterile 0.9% m/V sodium chloride solution</w:t>
      </w:r>
      <w:r>
        <w:rPr>
          <w:b w:val="0"/>
        </w:rPr>
        <w:t xml:space="preserve"> as per a dilution plan.</w:t>
      </w:r>
    </w:p>
    <w:p w:rsidR="009C7243" w:rsidRDefault="009C7243" w:rsidP="009C7243">
      <w:pPr>
        <w:spacing w:after="0"/>
      </w:pPr>
    </w:p>
    <w:p w:rsidR="00F17D4B" w:rsidRPr="002F61CA" w:rsidRDefault="00F17D4B" w:rsidP="009C7243">
      <w:pPr>
        <w:spacing w:after="0"/>
      </w:pPr>
      <w:r w:rsidRPr="002F61CA">
        <w:lastRenderedPageBreak/>
        <w:t xml:space="preserve">The current Product Information (PI) and Consumer Medicine Information (CMI) </w:t>
      </w:r>
      <w:r w:rsidR="007D15E5">
        <w:t xml:space="preserve">for each product </w:t>
      </w:r>
      <w:r w:rsidRPr="002F61CA">
        <w:t xml:space="preserve">are available from </w:t>
      </w:r>
      <w:r w:rsidRPr="00F36F22">
        <w:t>the TGA (Product Information)</w:t>
      </w:r>
      <w:r>
        <w:t xml:space="preserve"> and </w:t>
      </w:r>
      <w:r w:rsidRPr="00F36F22">
        <w:t>the TGA (Consumer Medicines Information)</w:t>
      </w:r>
      <w:r>
        <w:t>.</w:t>
      </w:r>
    </w:p>
    <w:p w:rsidR="00DF0B13" w:rsidRDefault="00DF0B13" w:rsidP="00CF5E22">
      <w:pPr>
        <w:pStyle w:val="Heading2"/>
      </w:pPr>
      <w:r w:rsidRPr="007247B9">
        <w:t>PBS listing details</w:t>
      </w:r>
      <w:r w:rsidR="00D151EB">
        <w:t xml:space="preserve"> (</w:t>
      </w:r>
      <w:r w:rsidR="00D151EB" w:rsidRPr="00D067D7">
        <w:t xml:space="preserve">as at </w:t>
      </w:r>
      <w:r w:rsidR="00235528">
        <w:t>December</w:t>
      </w:r>
      <w:r w:rsidR="006C78A7" w:rsidRPr="00D067D7">
        <w:t xml:space="preserve"> 2016</w:t>
      </w:r>
      <w:r w:rsidR="00D151EB">
        <w:t>)</w:t>
      </w:r>
    </w:p>
    <w:p w:rsidR="00451ADE" w:rsidRDefault="00451ADE" w:rsidP="00451ADE">
      <w:pPr>
        <w:pStyle w:val="Heading3"/>
        <w:spacing w:before="0"/>
      </w:pPr>
      <w:r>
        <w:t>Restriction</w:t>
      </w:r>
    </w:p>
    <w:p w:rsidR="00451ADE" w:rsidRDefault="00451ADE" w:rsidP="00451ADE">
      <w:r>
        <w:t>FCM has an unrestricted PBS listing.</w:t>
      </w:r>
    </w:p>
    <w:p w:rsidR="00451ADE" w:rsidRDefault="00451ADE" w:rsidP="00451ADE">
      <w:r>
        <w:t>IP and IS have unrestricted PBS listings for prescriptions with nil repeats and an Authority Required (</w:t>
      </w:r>
      <w:r w:rsidR="00A6385F">
        <w:t>STREAMLINED</w:t>
      </w:r>
      <w:r>
        <w:t xml:space="preserve">) listing for patients with IDA undergoing chronic haemodialysis allowing up to five repeats. </w:t>
      </w:r>
    </w:p>
    <w:p w:rsidR="001420B3" w:rsidRPr="001420B3" w:rsidRDefault="001420B3" w:rsidP="00CF5E22">
      <w:pPr>
        <w:pStyle w:val="Tabletitle"/>
      </w:pPr>
      <w:r w:rsidRPr="00292120">
        <w:t xml:space="preserve">Table </w:t>
      </w:r>
      <w:r w:rsidR="00FF4580">
        <w:t>1</w:t>
      </w:r>
      <w:r w:rsidRPr="00292120">
        <w:t>:</w:t>
      </w:r>
      <w:r w:rsidRPr="001420B3">
        <w:t xml:space="preserve"> </w:t>
      </w:r>
      <w:r w:rsidR="00235528">
        <w:t xml:space="preserve">Unrestricted </w:t>
      </w:r>
      <w:r w:rsidR="009663B6">
        <w:t>PB</w:t>
      </w:r>
      <w:r w:rsidR="006C78A7">
        <w:t>S listing</w:t>
      </w:r>
      <w:r w:rsidR="00235528">
        <w:t>s</w:t>
      </w:r>
      <w:r w:rsidR="006C78A7">
        <w:t xml:space="preserve"> of </w:t>
      </w:r>
      <w:r w:rsidR="00235528">
        <w:t>parenteral iron products</w:t>
      </w:r>
      <w:r w:rsidR="006C78A7">
        <w:t xml:space="preserve"> </w:t>
      </w:r>
    </w:p>
    <w:tbl>
      <w:tblPr>
        <w:tblStyle w:val="TableGrid"/>
        <w:tblW w:w="9064" w:type="dxa"/>
        <w:tblLayout w:type="fixed"/>
        <w:tblLook w:val="04A0" w:firstRow="1" w:lastRow="0" w:firstColumn="1" w:lastColumn="0" w:noHBand="0" w:noVBand="1"/>
        <w:tblCaption w:val="Unrestricted PBS listings of parenteral iron products"/>
        <w:tblDescription w:val="Table with six columns and four rows. Column headings are item, name/form/strength/pack size, maximum quantity units, repeats, DPMQ and brand name/manufacturer. The items listed are ferric carboxymaltose, iron polymaltose and iron sucrose."/>
      </w:tblPr>
      <w:tblGrid>
        <w:gridCol w:w="969"/>
        <w:gridCol w:w="2400"/>
        <w:gridCol w:w="1701"/>
        <w:gridCol w:w="850"/>
        <w:gridCol w:w="1040"/>
        <w:gridCol w:w="2104"/>
      </w:tblGrid>
      <w:tr w:rsidR="0093111F" w:rsidRPr="00A35800" w:rsidTr="0093111F">
        <w:trPr>
          <w:trHeight w:val="694"/>
          <w:tblHeader/>
        </w:trPr>
        <w:tc>
          <w:tcPr>
            <w:tcW w:w="969"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Item</w:t>
            </w:r>
          </w:p>
        </w:tc>
        <w:tc>
          <w:tcPr>
            <w:tcW w:w="240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Name, form &amp; strength, pack size</w:t>
            </w:r>
          </w:p>
        </w:tc>
        <w:tc>
          <w:tcPr>
            <w:tcW w:w="1701" w:type="dxa"/>
            <w:shd w:val="clear" w:color="auto" w:fill="BFBFBF" w:themeFill="background1" w:themeFillShade="BF"/>
          </w:tcPr>
          <w:p w:rsidR="00EB705A" w:rsidRDefault="0093111F" w:rsidP="00A35800">
            <w:pPr>
              <w:pStyle w:val="Tableheading"/>
              <w:rPr>
                <w:sz w:val="20"/>
                <w:szCs w:val="20"/>
              </w:rPr>
            </w:pPr>
            <w:r w:rsidRPr="00A35800">
              <w:rPr>
                <w:sz w:val="20"/>
                <w:szCs w:val="20"/>
              </w:rPr>
              <w:t>Max</w:t>
            </w:r>
            <w:r w:rsidR="00A13C60" w:rsidRPr="00A35800">
              <w:rPr>
                <w:sz w:val="20"/>
                <w:szCs w:val="20"/>
              </w:rPr>
              <w:t xml:space="preserve">. </w:t>
            </w:r>
            <w:r w:rsidRPr="00A35800">
              <w:rPr>
                <w:sz w:val="20"/>
                <w:szCs w:val="20"/>
              </w:rPr>
              <w:t>quant</w:t>
            </w:r>
            <w:r w:rsidR="00EB705A">
              <w:rPr>
                <w:sz w:val="20"/>
                <w:szCs w:val="20"/>
              </w:rPr>
              <w:t>ity</w:t>
            </w:r>
            <w:r w:rsidR="003A7199">
              <w:rPr>
                <w:sz w:val="20"/>
                <w:szCs w:val="20"/>
              </w:rPr>
              <w:t xml:space="preserve"> units</w:t>
            </w:r>
          </w:p>
          <w:p w:rsidR="0093111F" w:rsidRPr="009044F7" w:rsidRDefault="00EB705A" w:rsidP="0069469C">
            <w:pPr>
              <w:pStyle w:val="Tableheading"/>
              <w:rPr>
                <w:i/>
                <w:sz w:val="20"/>
                <w:szCs w:val="20"/>
              </w:rPr>
            </w:pPr>
            <w:r w:rsidRPr="009044F7">
              <w:rPr>
                <w:i/>
                <w:sz w:val="20"/>
                <w:szCs w:val="20"/>
              </w:rPr>
              <w:t>(mg iron)</w:t>
            </w:r>
            <w:r w:rsidR="0069469C" w:rsidRPr="0069469C">
              <w:rPr>
                <w:i/>
                <w:sz w:val="20"/>
                <w:szCs w:val="20"/>
                <w:vertAlign w:val="superscript"/>
              </w:rPr>
              <w:t>6</w:t>
            </w:r>
          </w:p>
        </w:tc>
        <w:tc>
          <w:tcPr>
            <w:tcW w:w="85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 xml:space="preserve">Rpts </w:t>
            </w:r>
          </w:p>
        </w:tc>
        <w:tc>
          <w:tcPr>
            <w:tcW w:w="104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DPMQ</w:t>
            </w:r>
          </w:p>
        </w:tc>
        <w:tc>
          <w:tcPr>
            <w:tcW w:w="2104"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Brand name and manufacturer</w:t>
            </w:r>
          </w:p>
        </w:tc>
      </w:tr>
      <w:tr w:rsidR="0093111F" w:rsidRPr="00A35800" w:rsidTr="0093111F">
        <w:trPr>
          <w:trHeight w:val="552"/>
          <w:tblHeader/>
        </w:trPr>
        <w:tc>
          <w:tcPr>
            <w:tcW w:w="969" w:type="dxa"/>
            <w:shd w:val="clear" w:color="auto" w:fill="auto"/>
          </w:tcPr>
          <w:p w:rsidR="0093111F" w:rsidRPr="00A35800" w:rsidRDefault="009C7243" w:rsidP="00A35800">
            <w:pPr>
              <w:pStyle w:val="Tablewriting"/>
            </w:pPr>
            <w:r>
              <w:t>10104T</w:t>
            </w:r>
          </w:p>
        </w:tc>
        <w:tc>
          <w:tcPr>
            <w:tcW w:w="2400" w:type="dxa"/>
            <w:shd w:val="clear" w:color="auto" w:fill="auto"/>
          </w:tcPr>
          <w:p w:rsidR="0093111F" w:rsidRPr="00A35800" w:rsidRDefault="009C7243" w:rsidP="002C4BC6">
            <w:pPr>
              <w:pStyle w:val="Tablewriting"/>
            </w:pPr>
            <w:r>
              <w:t>I</w:t>
            </w:r>
            <w:r w:rsidRPr="009C7243">
              <w:t>ron (as ferric carboxymaltose) 500</w:t>
            </w:r>
            <w:r w:rsidR="002C4BC6">
              <w:t> </w:t>
            </w:r>
            <w:r w:rsidRPr="009C7243">
              <w:t>mg/10 mL injection, 1</w:t>
            </w:r>
            <w:r w:rsidR="002C4BC6">
              <w:t> </w:t>
            </w:r>
            <w:r w:rsidRPr="009C7243">
              <w:t>x 10 mL vial</w:t>
            </w:r>
            <w:r w:rsidR="009B756F" w:rsidRPr="00EA7004">
              <w:rPr>
                <w:vertAlign w:val="superscript"/>
              </w:rPr>
              <w:t>a</w:t>
            </w:r>
          </w:p>
        </w:tc>
        <w:tc>
          <w:tcPr>
            <w:tcW w:w="1701" w:type="dxa"/>
            <w:shd w:val="clear" w:color="auto" w:fill="auto"/>
          </w:tcPr>
          <w:p w:rsidR="0093111F" w:rsidRDefault="009C7243" w:rsidP="00A35800">
            <w:pPr>
              <w:pStyle w:val="Tablewriting"/>
            </w:pPr>
            <w:r>
              <w:t>2</w:t>
            </w:r>
          </w:p>
          <w:p w:rsidR="00EB705A" w:rsidRPr="009044F7" w:rsidRDefault="00EB705A" w:rsidP="00A35800">
            <w:pPr>
              <w:pStyle w:val="Tablewriting"/>
              <w:rPr>
                <w:i/>
              </w:rPr>
            </w:pPr>
            <w:r w:rsidRPr="009044F7">
              <w:rPr>
                <w:i/>
              </w:rPr>
              <w:t>(1000</w:t>
            </w:r>
            <w:r w:rsidR="002C4BC6">
              <w:rPr>
                <w:i/>
              </w:rPr>
              <w:t> </w:t>
            </w:r>
            <w:r w:rsidRPr="009044F7">
              <w:rPr>
                <w:i/>
              </w:rPr>
              <w:t>mg)</w:t>
            </w:r>
          </w:p>
        </w:tc>
        <w:tc>
          <w:tcPr>
            <w:tcW w:w="850" w:type="dxa"/>
            <w:shd w:val="clear" w:color="auto" w:fill="auto"/>
          </w:tcPr>
          <w:p w:rsidR="0093111F" w:rsidRPr="00A35800" w:rsidRDefault="009C7243" w:rsidP="00A35800">
            <w:pPr>
              <w:pStyle w:val="Tablewriting"/>
            </w:pPr>
            <w:r>
              <w:t>1</w:t>
            </w:r>
          </w:p>
        </w:tc>
        <w:tc>
          <w:tcPr>
            <w:tcW w:w="1040" w:type="dxa"/>
            <w:shd w:val="clear" w:color="auto" w:fill="auto"/>
          </w:tcPr>
          <w:p w:rsidR="0093111F" w:rsidRPr="00A35800" w:rsidRDefault="009C7243" w:rsidP="00A35800">
            <w:pPr>
              <w:pStyle w:val="Tablewriting"/>
            </w:pPr>
            <w:r>
              <w:t>$306.96</w:t>
            </w:r>
          </w:p>
        </w:tc>
        <w:tc>
          <w:tcPr>
            <w:tcW w:w="2104" w:type="dxa"/>
            <w:shd w:val="clear" w:color="auto" w:fill="auto"/>
          </w:tcPr>
          <w:p w:rsidR="0093111F" w:rsidRPr="00A35800" w:rsidRDefault="009C7243" w:rsidP="00A35800">
            <w:pPr>
              <w:pStyle w:val="Tablewriting"/>
            </w:pPr>
            <w:r>
              <w:t>Ferinject</w:t>
            </w:r>
            <w:r>
              <w:rPr>
                <w:rFonts w:ascii="Calibri" w:hAnsi="Calibri"/>
              </w:rPr>
              <w:t>®</w:t>
            </w:r>
            <w:r>
              <w:t xml:space="preserve"> (Vifor Pharma Pty Limited)</w:t>
            </w:r>
          </w:p>
        </w:tc>
      </w:tr>
      <w:tr w:rsidR="000A0FA8" w:rsidRPr="00A35800" w:rsidTr="0093111F">
        <w:trPr>
          <w:trHeight w:val="552"/>
          <w:tblHeader/>
        </w:trPr>
        <w:tc>
          <w:tcPr>
            <w:tcW w:w="969" w:type="dxa"/>
            <w:shd w:val="clear" w:color="auto" w:fill="auto"/>
          </w:tcPr>
          <w:p w:rsidR="000A0FA8" w:rsidRDefault="000A0FA8" w:rsidP="00A35800">
            <w:pPr>
              <w:pStyle w:val="Tablewriting"/>
            </w:pPr>
            <w:r>
              <w:t>2593L</w:t>
            </w:r>
          </w:p>
        </w:tc>
        <w:tc>
          <w:tcPr>
            <w:tcW w:w="2400" w:type="dxa"/>
            <w:shd w:val="clear" w:color="auto" w:fill="auto"/>
          </w:tcPr>
          <w:p w:rsidR="000A0FA8" w:rsidRDefault="000A0FA8" w:rsidP="002C4BC6">
            <w:pPr>
              <w:pStyle w:val="Tablewriting"/>
            </w:pPr>
            <w:r>
              <w:t xml:space="preserve">Iron </w:t>
            </w:r>
            <w:r w:rsidRPr="000A0FA8">
              <w:t>(as polymaltose) 100</w:t>
            </w:r>
            <w:r w:rsidR="002C4BC6">
              <w:t> </w:t>
            </w:r>
            <w:r w:rsidRPr="000A0FA8">
              <w:t>mg/2 mL injection, 5</w:t>
            </w:r>
            <w:r w:rsidR="002C4BC6">
              <w:t> </w:t>
            </w:r>
            <w:r w:rsidRPr="000A0FA8">
              <w:t>x</w:t>
            </w:r>
            <w:r w:rsidR="002C4BC6">
              <w:t> </w:t>
            </w:r>
            <w:r w:rsidRPr="000A0FA8">
              <w:t>2</w:t>
            </w:r>
            <w:r w:rsidR="002C4BC6">
              <w:t> </w:t>
            </w:r>
            <w:r w:rsidRPr="000A0FA8">
              <w:t>mL ampoules</w:t>
            </w:r>
          </w:p>
        </w:tc>
        <w:tc>
          <w:tcPr>
            <w:tcW w:w="1701" w:type="dxa"/>
            <w:shd w:val="clear" w:color="auto" w:fill="auto"/>
          </w:tcPr>
          <w:p w:rsidR="000A0FA8" w:rsidRDefault="000A0FA8" w:rsidP="00A35800">
            <w:pPr>
              <w:pStyle w:val="Tablewriting"/>
            </w:pPr>
            <w:r>
              <w:t>5</w:t>
            </w:r>
          </w:p>
          <w:p w:rsidR="00EB705A" w:rsidRPr="009044F7" w:rsidRDefault="00EB705A" w:rsidP="00A35800">
            <w:pPr>
              <w:pStyle w:val="Tablewriting"/>
              <w:rPr>
                <w:i/>
              </w:rPr>
            </w:pPr>
            <w:r w:rsidRPr="009044F7">
              <w:rPr>
                <w:i/>
              </w:rPr>
              <w:t>(2,500</w:t>
            </w:r>
            <w:r w:rsidR="002C4BC6">
              <w:rPr>
                <w:i/>
              </w:rPr>
              <w:t> </w:t>
            </w:r>
            <w:r w:rsidRPr="009044F7">
              <w:rPr>
                <w:i/>
              </w:rPr>
              <w:t>mg)</w:t>
            </w:r>
          </w:p>
        </w:tc>
        <w:tc>
          <w:tcPr>
            <w:tcW w:w="850" w:type="dxa"/>
            <w:shd w:val="clear" w:color="auto" w:fill="auto"/>
          </w:tcPr>
          <w:p w:rsidR="000A0FA8" w:rsidRDefault="000A0FA8" w:rsidP="00A35800">
            <w:pPr>
              <w:pStyle w:val="Tablewriting"/>
            </w:pPr>
            <w:r>
              <w:t>0</w:t>
            </w:r>
          </w:p>
        </w:tc>
        <w:tc>
          <w:tcPr>
            <w:tcW w:w="1040" w:type="dxa"/>
            <w:shd w:val="clear" w:color="auto" w:fill="auto"/>
          </w:tcPr>
          <w:p w:rsidR="000A0FA8" w:rsidRDefault="000A0FA8" w:rsidP="00A35800">
            <w:pPr>
              <w:pStyle w:val="Tablewriting"/>
            </w:pPr>
            <w:r>
              <w:t>$23.16</w:t>
            </w:r>
          </w:p>
        </w:tc>
        <w:tc>
          <w:tcPr>
            <w:tcW w:w="2104" w:type="dxa"/>
            <w:shd w:val="clear" w:color="auto" w:fill="auto"/>
          </w:tcPr>
          <w:p w:rsidR="000A0FA8" w:rsidRDefault="000A0FA8" w:rsidP="00A35800">
            <w:pPr>
              <w:pStyle w:val="Tablewriting"/>
            </w:pPr>
            <w:r>
              <w:t>Ferrosig</w:t>
            </w:r>
            <w:r>
              <w:rPr>
                <w:rFonts w:ascii="Calibri" w:hAnsi="Calibri"/>
              </w:rPr>
              <w:t>®</w:t>
            </w:r>
            <w:r>
              <w:t xml:space="preserve"> (Sigma Company Limited)</w:t>
            </w:r>
          </w:p>
          <w:p w:rsidR="000A0FA8" w:rsidRDefault="000A0FA8" w:rsidP="00A35800">
            <w:pPr>
              <w:pStyle w:val="Tablewriting"/>
            </w:pPr>
            <w:r>
              <w:t>Ferrum H</w:t>
            </w:r>
            <w:r>
              <w:rPr>
                <w:rFonts w:ascii="Calibri" w:hAnsi="Calibri"/>
              </w:rPr>
              <w:t>®</w:t>
            </w:r>
            <w:r>
              <w:t xml:space="preserve"> (Aspen Pharmacare Australia Pty Ltd)</w:t>
            </w:r>
          </w:p>
        </w:tc>
      </w:tr>
      <w:tr w:rsidR="000A0FA8" w:rsidRPr="00A35800" w:rsidTr="0093111F">
        <w:trPr>
          <w:trHeight w:val="552"/>
          <w:tblHeader/>
        </w:trPr>
        <w:tc>
          <w:tcPr>
            <w:tcW w:w="969" w:type="dxa"/>
            <w:shd w:val="clear" w:color="auto" w:fill="auto"/>
          </w:tcPr>
          <w:p w:rsidR="000A0FA8" w:rsidRDefault="000A0FA8" w:rsidP="00A35800">
            <w:pPr>
              <w:pStyle w:val="Tablewriting"/>
            </w:pPr>
            <w:r>
              <w:t>10229J</w:t>
            </w:r>
          </w:p>
        </w:tc>
        <w:tc>
          <w:tcPr>
            <w:tcW w:w="2400" w:type="dxa"/>
            <w:shd w:val="clear" w:color="auto" w:fill="auto"/>
          </w:tcPr>
          <w:p w:rsidR="000A0FA8" w:rsidRDefault="000A0FA8" w:rsidP="002C4BC6">
            <w:pPr>
              <w:pStyle w:val="Tablewriting"/>
            </w:pPr>
            <w:r>
              <w:t>I</w:t>
            </w:r>
            <w:r w:rsidRPr="000A0FA8">
              <w:t>ron (as sucrose) 100</w:t>
            </w:r>
            <w:r w:rsidR="002C4BC6">
              <w:t> </w:t>
            </w:r>
            <w:r w:rsidRPr="000A0FA8">
              <w:t>mg/5</w:t>
            </w:r>
            <w:r w:rsidR="002C4BC6">
              <w:t> mL injection, 5 x </w:t>
            </w:r>
            <w:r w:rsidRPr="000A0FA8">
              <w:t>5 mL ampoules</w:t>
            </w:r>
          </w:p>
        </w:tc>
        <w:tc>
          <w:tcPr>
            <w:tcW w:w="1701" w:type="dxa"/>
            <w:shd w:val="clear" w:color="auto" w:fill="auto"/>
          </w:tcPr>
          <w:p w:rsidR="000A0FA8" w:rsidRDefault="000A0FA8" w:rsidP="00A35800">
            <w:pPr>
              <w:pStyle w:val="Tablewriting"/>
            </w:pPr>
            <w:r>
              <w:t>5</w:t>
            </w:r>
          </w:p>
          <w:p w:rsidR="00EB705A" w:rsidRPr="009044F7" w:rsidRDefault="00EB705A" w:rsidP="00A35800">
            <w:pPr>
              <w:pStyle w:val="Tablewriting"/>
              <w:rPr>
                <w:i/>
              </w:rPr>
            </w:pPr>
            <w:r w:rsidRPr="009044F7">
              <w:rPr>
                <w:i/>
              </w:rPr>
              <w:t>(2,500</w:t>
            </w:r>
            <w:r w:rsidR="002C4BC6">
              <w:rPr>
                <w:i/>
              </w:rPr>
              <w:t> </w:t>
            </w:r>
            <w:r w:rsidRPr="009044F7">
              <w:rPr>
                <w:i/>
              </w:rPr>
              <w:t>mg)</w:t>
            </w:r>
          </w:p>
        </w:tc>
        <w:tc>
          <w:tcPr>
            <w:tcW w:w="850" w:type="dxa"/>
            <w:shd w:val="clear" w:color="auto" w:fill="auto"/>
          </w:tcPr>
          <w:p w:rsidR="000A0FA8" w:rsidRDefault="000A0FA8" w:rsidP="00A35800">
            <w:pPr>
              <w:pStyle w:val="Tablewriting"/>
            </w:pPr>
            <w:r>
              <w:t>0</w:t>
            </w:r>
          </w:p>
        </w:tc>
        <w:tc>
          <w:tcPr>
            <w:tcW w:w="1040" w:type="dxa"/>
            <w:shd w:val="clear" w:color="auto" w:fill="auto"/>
          </w:tcPr>
          <w:p w:rsidR="000A0FA8" w:rsidRDefault="000A0FA8" w:rsidP="00A35800">
            <w:pPr>
              <w:pStyle w:val="Tablewriting"/>
            </w:pPr>
            <w:r>
              <w:t>$39.53</w:t>
            </w:r>
          </w:p>
        </w:tc>
        <w:tc>
          <w:tcPr>
            <w:tcW w:w="2104" w:type="dxa"/>
            <w:shd w:val="clear" w:color="auto" w:fill="auto"/>
          </w:tcPr>
          <w:p w:rsidR="000A0FA8" w:rsidRDefault="000A0FA8" w:rsidP="00A35800">
            <w:pPr>
              <w:pStyle w:val="Tablewriting"/>
            </w:pPr>
            <w:r>
              <w:t>Venofer</w:t>
            </w:r>
            <w:r>
              <w:rPr>
                <w:rFonts w:ascii="Calibri" w:hAnsi="Calibri"/>
              </w:rPr>
              <w:t>®</w:t>
            </w:r>
            <w:r>
              <w:t xml:space="preserve"> (Aspen Pharmacare Australia Pty Ltd)</w:t>
            </w:r>
          </w:p>
        </w:tc>
      </w:tr>
    </w:tbl>
    <w:p w:rsidR="007247B9" w:rsidRDefault="007408C7" w:rsidP="00563407">
      <w:pPr>
        <w:pStyle w:val="Notes"/>
        <w:spacing w:after="0"/>
      </w:pPr>
      <w:r w:rsidRPr="00A35800">
        <w:t xml:space="preserve">Source: </w:t>
      </w:r>
      <w:r w:rsidR="001624D7">
        <w:t xml:space="preserve">the </w:t>
      </w:r>
      <w:r w:rsidR="001624D7" w:rsidRPr="00F36F22">
        <w:t>PBS website</w:t>
      </w:r>
      <w:r w:rsidR="001624D7">
        <w:t>.</w:t>
      </w:r>
      <w:r w:rsidR="0000615C">
        <w:t xml:space="preserve"> </w:t>
      </w:r>
      <w:r w:rsidR="0028034F">
        <w:t>Special Pricing Arrangements apply</w:t>
      </w:r>
      <w:r w:rsidR="0080485E" w:rsidRPr="0080485E">
        <w:t>.</w:t>
      </w:r>
    </w:p>
    <w:p w:rsidR="00235528" w:rsidRDefault="00235528" w:rsidP="00563407">
      <w:pPr>
        <w:pStyle w:val="Notes"/>
        <w:spacing w:after="0"/>
        <w:rPr>
          <w:vertAlign w:val="superscript"/>
        </w:rPr>
      </w:pPr>
    </w:p>
    <w:p w:rsidR="00235528" w:rsidRPr="00235528" w:rsidRDefault="00235528" w:rsidP="00563407">
      <w:pPr>
        <w:pStyle w:val="Notes"/>
        <w:spacing w:after="0"/>
        <w:rPr>
          <w:b/>
          <w:sz w:val="24"/>
          <w:szCs w:val="24"/>
        </w:rPr>
      </w:pPr>
      <w:r w:rsidRPr="00235528">
        <w:rPr>
          <w:b/>
          <w:sz w:val="24"/>
          <w:szCs w:val="24"/>
        </w:rPr>
        <w:t xml:space="preserve">Table </w:t>
      </w:r>
      <w:r w:rsidR="00FF4580">
        <w:rPr>
          <w:b/>
          <w:sz w:val="24"/>
          <w:szCs w:val="24"/>
        </w:rPr>
        <w:t>2</w:t>
      </w:r>
      <w:r w:rsidRPr="00235528">
        <w:rPr>
          <w:b/>
          <w:sz w:val="24"/>
          <w:szCs w:val="24"/>
        </w:rPr>
        <w:t>: PBS listing</w:t>
      </w:r>
      <w:r>
        <w:rPr>
          <w:b/>
          <w:sz w:val="24"/>
          <w:szCs w:val="24"/>
        </w:rPr>
        <w:t>s</w:t>
      </w:r>
      <w:r w:rsidRPr="00235528">
        <w:rPr>
          <w:b/>
          <w:sz w:val="24"/>
          <w:szCs w:val="24"/>
        </w:rPr>
        <w:t xml:space="preserve"> of parenteral iron pro</w:t>
      </w:r>
      <w:r w:rsidR="003A7199">
        <w:rPr>
          <w:b/>
          <w:sz w:val="24"/>
          <w:szCs w:val="24"/>
        </w:rPr>
        <w:t>ducts with Authority Required (</w:t>
      </w:r>
      <w:r w:rsidR="00A6385F">
        <w:rPr>
          <w:b/>
          <w:sz w:val="24"/>
          <w:szCs w:val="24"/>
        </w:rPr>
        <w:t>STREAMLINED</w:t>
      </w:r>
      <w:r w:rsidRPr="00235528">
        <w:rPr>
          <w:b/>
          <w:sz w:val="24"/>
          <w:szCs w:val="24"/>
        </w:rPr>
        <w:t>) codes</w:t>
      </w:r>
    </w:p>
    <w:tbl>
      <w:tblPr>
        <w:tblStyle w:val="TableGrid"/>
        <w:tblW w:w="9064" w:type="dxa"/>
        <w:tblLayout w:type="fixed"/>
        <w:tblLook w:val="04A0" w:firstRow="1" w:lastRow="0" w:firstColumn="1" w:lastColumn="0" w:noHBand="0" w:noVBand="1"/>
        <w:tblCaption w:val="PBS listings of parenteral iron products with authority required streamlined codes"/>
        <w:tblDescription w:val="Two item codes, for iron polymaltose and iron sucrose, are listed in the table along with other PBS details"/>
      </w:tblPr>
      <w:tblGrid>
        <w:gridCol w:w="969"/>
        <w:gridCol w:w="2400"/>
        <w:gridCol w:w="1701"/>
        <w:gridCol w:w="850"/>
        <w:gridCol w:w="1040"/>
        <w:gridCol w:w="2104"/>
      </w:tblGrid>
      <w:tr w:rsidR="00235528" w:rsidRPr="00A35800" w:rsidTr="0014033A">
        <w:trPr>
          <w:trHeight w:val="694"/>
          <w:tblHeader/>
        </w:trPr>
        <w:tc>
          <w:tcPr>
            <w:tcW w:w="969" w:type="dxa"/>
            <w:shd w:val="clear" w:color="auto" w:fill="BFBFBF" w:themeFill="background1" w:themeFillShade="BF"/>
          </w:tcPr>
          <w:p w:rsidR="00235528" w:rsidRPr="00A35800" w:rsidRDefault="00235528" w:rsidP="0014033A">
            <w:pPr>
              <w:pStyle w:val="Tableheading"/>
              <w:rPr>
                <w:sz w:val="20"/>
                <w:szCs w:val="20"/>
              </w:rPr>
            </w:pPr>
            <w:r w:rsidRPr="00A35800">
              <w:rPr>
                <w:sz w:val="20"/>
                <w:szCs w:val="20"/>
              </w:rPr>
              <w:t>Item</w:t>
            </w:r>
          </w:p>
        </w:tc>
        <w:tc>
          <w:tcPr>
            <w:tcW w:w="2400" w:type="dxa"/>
            <w:shd w:val="clear" w:color="auto" w:fill="BFBFBF" w:themeFill="background1" w:themeFillShade="BF"/>
          </w:tcPr>
          <w:p w:rsidR="00235528" w:rsidRPr="00A35800" w:rsidRDefault="00235528" w:rsidP="0014033A">
            <w:pPr>
              <w:pStyle w:val="Tableheading"/>
              <w:rPr>
                <w:sz w:val="20"/>
                <w:szCs w:val="20"/>
              </w:rPr>
            </w:pPr>
            <w:r w:rsidRPr="00A35800">
              <w:rPr>
                <w:sz w:val="20"/>
                <w:szCs w:val="20"/>
              </w:rPr>
              <w:t>Name, form &amp; strength, pack size</w:t>
            </w:r>
          </w:p>
        </w:tc>
        <w:tc>
          <w:tcPr>
            <w:tcW w:w="1701" w:type="dxa"/>
            <w:shd w:val="clear" w:color="auto" w:fill="BFBFBF" w:themeFill="background1" w:themeFillShade="BF"/>
          </w:tcPr>
          <w:p w:rsidR="00235528" w:rsidRDefault="00235528" w:rsidP="0014033A">
            <w:pPr>
              <w:pStyle w:val="Tableheading"/>
              <w:rPr>
                <w:sz w:val="20"/>
                <w:szCs w:val="20"/>
              </w:rPr>
            </w:pPr>
            <w:r w:rsidRPr="00A35800">
              <w:rPr>
                <w:sz w:val="20"/>
                <w:szCs w:val="20"/>
              </w:rPr>
              <w:t>Max. quant</w:t>
            </w:r>
            <w:r>
              <w:rPr>
                <w:sz w:val="20"/>
                <w:szCs w:val="20"/>
              </w:rPr>
              <w:t>ity</w:t>
            </w:r>
            <w:r w:rsidR="003A7199">
              <w:rPr>
                <w:sz w:val="20"/>
                <w:szCs w:val="20"/>
              </w:rPr>
              <w:t xml:space="preserve"> units</w:t>
            </w:r>
          </w:p>
          <w:p w:rsidR="00235528" w:rsidRPr="009044F7" w:rsidRDefault="00235528" w:rsidP="0014033A">
            <w:pPr>
              <w:pStyle w:val="Tableheading"/>
              <w:rPr>
                <w:i/>
                <w:sz w:val="20"/>
                <w:szCs w:val="20"/>
              </w:rPr>
            </w:pPr>
            <w:r w:rsidRPr="009044F7">
              <w:rPr>
                <w:i/>
                <w:sz w:val="20"/>
                <w:szCs w:val="20"/>
              </w:rPr>
              <w:t>(mg iron)</w:t>
            </w:r>
            <w:r w:rsidR="0069469C" w:rsidRPr="0069469C">
              <w:rPr>
                <w:i/>
                <w:sz w:val="20"/>
                <w:szCs w:val="20"/>
                <w:vertAlign w:val="superscript"/>
              </w:rPr>
              <w:t>6</w:t>
            </w:r>
            <w:r w:rsidRPr="009044F7">
              <w:rPr>
                <w:i/>
                <w:sz w:val="20"/>
                <w:szCs w:val="20"/>
              </w:rPr>
              <w:t xml:space="preserve"> </w:t>
            </w:r>
          </w:p>
        </w:tc>
        <w:tc>
          <w:tcPr>
            <w:tcW w:w="850" w:type="dxa"/>
            <w:shd w:val="clear" w:color="auto" w:fill="BFBFBF" w:themeFill="background1" w:themeFillShade="BF"/>
          </w:tcPr>
          <w:p w:rsidR="00235528" w:rsidRPr="00A35800" w:rsidRDefault="00235528" w:rsidP="0014033A">
            <w:pPr>
              <w:pStyle w:val="Tableheading"/>
              <w:rPr>
                <w:sz w:val="20"/>
                <w:szCs w:val="20"/>
              </w:rPr>
            </w:pPr>
            <w:r w:rsidRPr="00A35800">
              <w:rPr>
                <w:sz w:val="20"/>
                <w:szCs w:val="20"/>
              </w:rPr>
              <w:t xml:space="preserve">Rpts </w:t>
            </w:r>
          </w:p>
        </w:tc>
        <w:tc>
          <w:tcPr>
            <w:tcW w:w="1040" w:type="dxa"/>
            <w:shd w:val="clear" w:color="auto" w:fill="BFBFBF" w:themeFill="background1" w:themeFillShade="BF"/>
          </w:tcPr>
          <w:p w:rsidR="00235528" w:rsidRPr="00A35800" w:rsidRDefault="00235528" w:rsidP="0014033A">
            <w:pPr>
              <w:pStyle w:val="Tableheading"/>
              <w:rPr>
                <w:sz w:val="20"/>
                <w:szCs w:val="20"/>
              </w:rPr>
            </w:pPr>
            <w:r w:rsidRPr="00A35800">
              <w:rPr>
                <w:sz w:val="20"/>
                <w:szCs w:val="20"/>
              </w:rPr>
              <w:t>DPMQ</w:t>
            </w:r>
          </w:p>
        </w:tc>
        <w:tc>
          <w:tcPr>
            <w:tcW w:w="2104" w:type="dxa"/>
            <w:shd w:val="clear" w:color="auto" w:fill="BFBFBF" w:themeFill="background1" w:themeFillShade="BF"/>
          </w:tcPr>
          <w:p w:rsidR="00235528" w:rsidRPr="00A35800" w:rsidRDefault="00235528" w:rsidP="0014033A">
            <w:pPr>
              <w:pStyle w:val="Tableheading"/>
              <w:rPr>
                <w:sz w:val="20"/>
                <w:szCs w:val="20"/>
              </w:rPr>
            </w:pPr>
            <w:r w:rsidRPr="00A35800">
              <w:rPr>
                <w:sz w:val="20"/>
                <w:szCs w:val="20"/>
              </w:rPr>
              <w:t>Brand name and manufacturer</w:t>
            </w:r>
          </w:p>
        </w:tc>
      </w:tr>
      <w:tr w:rsidR="00235528" w:rsidRPr="00A35800" w:rsidTr="0014033A">
        <w:trPr>
          <w:trHeight w:val="552"/>
          <w:tblHeader/>
        </w:trPr>
        <w:tc>
          <w:tcPr>
            <w:tcW w:w="969" w:type="dxa"/>
            <w:shd w:val="clear" w:color="auto" w:fill="auto"/>
          </w:tcPr>
          <w:p w:rsidR="00235528" w:rsidRDefault="00235528" w:rsidP="0014033A">
            <w:pPr>
              <w:pStyle w:val="Tablewriting"/>
            </w:pPr>
            <w:r>
              <w:t>2805P</w:t>
            </w:r>
          </w:p>
        </w:tc>
        <w:tc>
          <w:tcPr>
            <w:tcW w:w="2400" w:type="dxa"/>
            <w:shd w:val="clear" w:color="auto" w:fill="auto"/>
          </w:tcPr>
          <w:p w:rsidR="00235528" w:rsidRDefault="00235528" w:rsidP="002C4BC6">
            <w:pPr>
              <w:pStyle w:val="Tablewriting"/>
            </w:pPr>
            <w:r>
              <w:t xml:space="preserve">Iron </w:t>
            </w:r>
            <w:r w:rsidRPr="000A0FA8">
              <w:t>(as polymaltose) 100</w:t>
            </w:r>
            <w:r w:rsidR="002C4BC6">
              <w:t> </w:t>
            </w:r>
            <w:r w:rsidRPr="000A0FA8">
              <w:t>mg/2 mL injection, 5</w:t>
            </w:r>
            <w:r w:rsidR="002C4BC6">
              <w:t> </w:t>
            </w:r>
            <w:r w:rsidRPr="000A0FA8">
              <w:t>x</w:t>
            </w:r>
            <w:r w:rsidR="002C4BC6">
              <w:t> </w:t>
            </w:r>
            <w:r w:rsidRPr="000A0FA8">
              <w:t>2 mL ampoules</w:t>
            </w:r>
          </w:p>
        </w:tc>
        <w:tc>
          <w:tcPr>
            <w:tcW w:w="1701" w:type="dxa"/>
            <w:shd w:val="clear" w:color="auto" w:fill="auto"/>
          </w:tcPr>
          <w:p w:rsidR="00235528" w:rsidRDefault="00235528" w:rsidP="0014033A">
            <w:pPr>
              <w:pStyle w:val="Tablewriting"/>
            </w:pPr>
            <w:r>
              <w:t>5</w:t>
            </w:r>
          </w:p>
          <w:p w:rsidR="00235528" w:rsidRPr="009044F7" w:rsidRDefault="00235528" w:rsidP="0014033A">
            <w:pPr>
              <w:pStyle w:val="Tablewriting"/>
              <w:rPr>
                <w:i/>
              </w:rPr>
            </w:pPr>
            <w:r w:rsidRPr="009044F7">
              <w:rPr>
                <w:i/>
              </w:rPr>
              <w:t>(2,500mg)</w:t>
            </w:r>
          </w:p>
        </w:tc>
        <w:tc>
          <w:tcPr>
            <w:tcW w:w="850" w:type="dxa"/>
            <w:shd w:val="clear" w:color="auto" w:fill="auto"/>
          </w:tcPr>
          <w:p w:rsidR="00235528" w:rsidRDefault="00235528" w:rsidP="0014033A">
            <w:pPr>
              <w:pStyle w:val="Tablewriting"/>
            </w:pPr>
            <w:r>
              <w:t>5</w:t>
            </w:r>
          </w:p>
        </w:tc>
        <w:tc>
          <w:tcPr>
            <w:tcW w:w="1040" w:type="dxa"/>
            <w:shd w:val="clear" w:color="auto" w:fill="auto"/>
          </w:tcPr>
          <w:p w:rsidR="00235528" w:rsidRDefault="00235528" w:rsidP="0014033A">
            <w:pPr>
              <w:pStyle w:val="Tablewriting"/>
            </w:pPr>
            <w:r>
              <w:t>$23.16</w:t>
            </w:r>
          </w:p>
        </w:tc>
        <w:tc>
          <w:tcPr>
            <w:tcW w:w="2104" w:type="dxa"/>
            <w:shd w:val="clear" w:color="auto" w:fill="auto"/>
          </w:tcPr>
          <w:p w:rsidR="00235528" w:rsidRDefault="00235528" w:rsidP="0014033A">
            <w:pPr>
              <w:pStyle w:val="Tablewriting"/>
            </w:pPr>
            <w:r>
              <w:t>Ferrosig</w:t>
            </w:r>
            <w:r>
              <w:rPr>
                <w:rFonts w:ascii="Calibri" w:hAnsi="Calibri"/>
              </w:rPr>
              <w:t>®</w:t>
            </w:r>
            <w:r>
              <w:t xml:space="preserve"> (Sigma Company Limited)</w:t>
            </w:r>
          </w:p>
          <w:p w:rsidR="00235528" w:rsidRDefault="00235528" w:rsidP="0014033A">
            <w:pPr>
              <w:pStyle w:val="Tablewriting"/>
            </w:pPr>
            <w:r>
              <w:t>Ferrum H</w:t>
            </w:r>
            <w:r>
              <w:rPr>
                <w:rFonts w:ascii="Calibri" w:hAnsi="Calibri"/>
              </w:rPr>
              <w:t>®</w:t>
            </w:r>
            <w:r>
              <w:t xml:space="preserve"> (Aspen Pharmacare Australia Pty Ltd)</w:t>
            </w:r>
          </w:p>
        </w:tc>
      </w:tr>
      <w:tr w:rsidR="00235528" w:rsidRPr="00A35800" w:rsidTr="0014033A">
        <w:trPr>
          <w:trHeight w:val="552"/>
          <w:tblHeader/>
        </w:trPr>
        <w:tc>
          <w:tcPr>
            <w:tcW w:w="969" w:type="dxa"/>
            <w:shd w:val="clear" w:color="auto" w:fill="auto"/>
          </w:tcPr>
          <w:p w:rsidR="00235528" w:rsidRDefault="00235528" w:rsidP="0014033A">
            <w:pPr>
              <w:pStyle w:val="Tablewriting"/>
            </w:pPr>
            <w:r>
              <w:t>8807M</w:t>
            </w:r>
          </w:p>
        </w:tc>
        <w:tc>
          <w:tcPr>
            <w:tcW w:w="2400" w:type="dxa"/>
            <w:shd w:val="clear" w:color="auto" w:fill="auto"/>
          </w:tcPr>
          <w:p w:rsidR="00235528" w:rsidRDefault="00235528" w:rsidP="002C4BC6">
            <w:pPr>
              <w:pStyle w:val="Tablewriting"/>
            </w:pPr>
            <w:r>
              <w:t>I</w:t>
            </w:r>
            <w:r w:rsidRPr="000A0FA8">
              <w:t>ron (as sucrose) 100</w:t>
            </w:r>
            <w:r w:rsidR="002C4BC6">
              <w:t> </w:t>
            </w:r>
            <w:r w:rsidRPr="000A0FA8">
              <w:t>mg/5</w:t>
            </w:r>
            <w:r w:rsidR="002C4BC6">
              <w:t> mL injection, 5 </w:t>
            </w:r>
            <w:r w:rsidRPr="000A0FA8">
              <w:t>x</w:t>
            </w:r>
            <w:r w:rsidR="002C4BC6">
              <w:t> </w:t>
            </w:r>
            <w:r w:rsidRPr="000A0FA8">
              <w:t>5 mL ampoules</w:t>
            </w:r>
          </w:p>
        </w:tc>
        <w:tc>
          <w:tcPr>
            <w:tcW w:w="1701" w:type="dxa"/>
            <w:shd w:val="clear" w:color="auto" w:fill="auto"/>
          </w:tcPr>
          <w:p w:rsidR="00235528" w:rsidRDefault="00235528" w:rsidP="0014033A">
            <w:pPr>
              <w:pStyle w:val="Tablewriting"/>
            </w:pPr>
            <w:r>
              <w:t>5</w:t>
            </w:r>
          </w:p>
          <w:p w:rsidR="00235528" w:rsidRPr="009044F7" w:rsidRDefault="00235528" w:rsidP="0014033A">
            <w:pPr>
              <w:pStyle w:val="Tablewriting"/>
              <w:rPr>
                <w:i/>
              </w:rPr>
            </w:pPr>
            <w:r w:rsidRPr="009044F7">
              <w:rPr>
                <w:i/>
              </w:rPr>
              <w:t>(2,500mg)</w:t>
            </w:r>
          </w:p>
        </w:tc>
        <w:tc>
          <w:tcPr>
            <w:tcW w:w="850" w:type="dxa"/>
            <w:shd w:val="clear" w:color="auto" w:fill="auto"/>
          </w:tcPr>
          <w:p w:rsidR="00235528" w:rsidRDefault="00235528" w:rsidP="0014033A">
            <w:pPr>
              <w:pStyle w:val="Tablewriting"/>
            </w:pPr>
            <w:r>
              <w:t>5</w:t>
            </w:r>
          </w:p>
        </w:tc>
        <w:tc>
          <w:tcPr>
            <w:tcW w:w="1040" w:type="dxa"/>
            <w:shd w:val="clear" w:color="auto" w:fill="auto"/>
          </w:tcPr>
          <w:p w:rsidR="00235528" w:rsidRDefault="00235528" w:rsidP="0014033A">
            <w:pPr>
              <w:pStyle w:val="Tablewriting"/>
            </w:pPr>
            <w:r>
              <w:t>$39.53</w:t>
            </w:r>
          </w:p>
        </w:tc>
        <w:tc>
          <w:tcPr>
            <w:tcW w:w="2104" w:type="dxa"/>
            <w:shd w:val="clear" w:color="auto" w:fill="auto"/>
          </w:tcPr>
          <w:p w:rsidR="00235528" w:rsidRDefault="00235528" w:rsidP="0014033A">
            <w:pPr>
              <w:pStyle w:val="Tablewriting"/>
            </w:pPr>
            <w:r>
              <w:t>Venofer</w:t>
            </w:r>
            <w:r>
              <w:rPr>
                <w:rFonts w:ascii="Calibri" w:hAnsi="Calibri"/>
              </w:rPr>
              <w:t>®</w:t>
            </w:r>
            <w:r>
              <w:t xml:space="preserve"> (Aspen Pharmacare Australia Pty Ltd)</w:t>
            </w:r>
          </w:p>
        </w:tc>
      </w:tr>
    </w:tbl>
    <w:p w:rsidR="00235528" w:rsidRDefault="00235528" w:rsidP="00235528">
      <w:pPr>
        <w:pStyle w:val="Notes"/>
        <w:spacing w:after="0"/>
      </w:pPr>
      <w:r w:rsidRPr="00A35800">
        <w:t xml:space="preserve">Source: </w:t>
      </w:r>
      <w:r>
        <w:t xml:space="preserve">the </w:t>
      </w:r>
      <w:r w:rsidRPr="00F36F22">
        <w:t>PBS website</w:t>
      </w:r>
      <w:r w:rsidR="0000615C">
        <w:t xml:space="preserve">. </w:t>
      </w:r>
      <w:r>
        <w:t>Special Pricing Arrangements apply</w:t>
      </w:r>
      <w:r w:rsidRPr="0080485E">
        <w:t>.</w:t>
      </w:r>
    </w:p>
    <w:p w:rsidR="00235528" w:rsidRPr="00E12BF1" w:rsidRDefault="00235528" w:rsidP="00563407">
      <w:pPr>
        <w:pStyle w:val="Notes"/>
        <w:spacing w:after="0"/>
      </w:pPr>
    </w:p>
    <w:p w:rsidR="006775F1" w:rsidRPr="006775F1" w:rsidRDefault="006775F1" w:rsidP="00A35800">
      <w:r w:rsidRPr="006775F1">
        <w:t xml:space="preserve">For </w:t>
      </w:r>
      <w:r w:rsidR="00835337">
        <w:t xml:space="preserve">details of the current PBS listing refer to the </w:t>
      </w:r>
      <w:r w:rsidR="00835337" w:rsidRPr="00F36F22">
        <w:t>PBS website</w:t>
      </w:r>
      <w:r w:rsidR="00835337">
        <w:rPr>
          <w:rStyle w:val="Hyperlink"/>
        </w:rPr>
        <w:t>.</w:t>
      </w:r>
    </w:p>
    <w:p w:rsidR="009C35F2" w:rsidRDefault="009C35F2" w:rsidP="00CF5E22">
      <w:pPr>
        <w:pStyle w:val="Heading3"/>
      </w:pPr>
      <w:r w:rsidRPr="00065162">
        <w:lastRenderedPageBreak/>
        <w:t>Date of listing on PBS</w:t>
      </w:r>
    </w:p>
    <w:p w:rsidR="00EA077D" w:rsidRDefault="00065162" w:rsidP="00EA077D">
      <w:r>
        <w:t>FCM was listed on the PBS 1 June 2014.</w:t>
      </w:r>
    </w:p>
    <w:p w:rsidR="000A2CAF" w:rsidRPr="00EA077D" w:rsidRDefault="00BA3278" w:rsidP="00EA077D">
      <w:r>
        <w:t>IP and IS were listed on the PBS in 1966 and 2005, respectively.</w:t>
      </w:r>
    </w:p>
    <w:p w:rsidR="00675BB1" w:rsidRPr="00675BB1" w:rsidRDefault="00675BB1" w:rsidP="00CF5E22">
      <w:pPr>
        <w:pStyle w:val="Heading3"/>
      </w:pPr>
      <w:r w:rsidRPr="00675BB1">
        <w:t>Changes to listing</w:t>
      </w:r>
    </w:p>
    <w:p w:rsidR="000A2CAF" w:rsidRPr="00870782" w:rsidRDefault="000A2CAF" w:rsidP="000A2CAF">
      <w:pPr>
        <w:spacing w:after="0"/>
      </w:pPr>
      <w:r w:rsidRPr="00870782">
        <w:t xml:space="preserve">At the April 2013 Special </w:t>
      </w:r>
      <w:r w:rsidR="00123E7E">
        <w:t>Pharmaceutical Benefits Advisory Committee (</w:t>
      </w:r>
      <w:r w:rsidRPr="00870782">
        <w:t>PBAC</w:t>
      </w:r>
      <w:r w:rsidR="00123E7E">
        <w:t>)</w:t>
      </w:r>
      <w:r w:rsidRPr="00870782">
        <w:t xml:space="preserve"> meeting, the PBAC considered and agreed to a request to increase the number of repeats available on the listed injectable iron preparations, IP and IS, to five for patients undergoing haemodialysis. Following sponsor comment, at the July 2013 PBAC meeting, the PBAC recommended that the maximum quantity for </w:t>
      </w:r>
      <w:r w:rsidR="00BA3278" w:rsidRPr="00870782">
        <w:t>IS</w:t>
      </w:r>
      <w:r w:rsidRPr="00870782">
        <w:t>’s haemodialysis listing be amended back to 1.</w:t>
      </w:r>
    </w:p>
    <w:p w:rsidR="000A2CAF" w:rsidRPr="000A2CAF" w:rsidRDefault="000A2CAF" w:rsidP="000A2CAF">
      <w:pPr>
        <w:spacing w:after="0"/>
        <w:rPr>
          <w:color w:val="595959" w:themeColor="text1" w:themeTint="A6"/>
        </w:rPr>
      </w:pPr>
    </w:p>
    <w:p w:rsidR="009C35F2" w:rsidRPr="00870782" w:rsidRDefault="000A2CAF" w:rsidP="000A2CAF">
      <w:pPr>
        <w:spacing w:after="0"/>
      </w:pPr>
      <w:r w:rsidRPr="00870782">
        <w:t>Following a minor submission at its</w:t>
      </w:r>
      <w:r w:rsidR="00015BF6" w:rsidRPr="00870782">
        <w:t xml:space="preserve"> Nov</w:t>
      </w:r>
      <w:r w:rsidRPr="00870782">
        <w:t>ember</w:t>
      </w:r>
      <w:r w:rsidR="00015BF6" w:rsidRPr="00870782">
        <w:t xml:space="preserve"> 2014 </w:t>
      </w:r>
      <w:r w:rsidRPr="00870782">
        <w:t xml:space="preserve">meeting, the PBAC recommended amending the listing of IS </w:t>
      </w:r>
      <w:r w:rsidR="00015BF6" w:rsidRPr="00870782">
        <w:t xml:space="preserve">to be identical to that of </w:t>
      </w:r>
      <w:r w:rsidRPr="00870782">
        <w:t>IP</w:t>
      </w:r>
      <w:r w:rsidR="00015BF6" w:rsidRPr="00870782">
        <w:t xml:space="preserve"> </w:t>
      </w:r>
      <w:r w:rsidRPr="00870782">
        <w:t>by r</w:t>
      </w:r>
      <w:r w:rsidR="00015BF6" w:rsidRPr="00870782">
        <w:t>equesting the same restriction (i.e. make the existing restriction less restrictive); and</w:t>
      </w:r>
      <w:r w:rsidRPr="00870782">
        <w:t xml:space="preserve"> by allowing</w:t>
      </w:r>
      <w:r w:rsidR="00015BF6" w:rsidRPr="00870782">
        <w:t xml:space="preserve"> a price reduction to achieve price parity with </w:t>
      </w:r>
      <w:r w:rsidRPr="00870782">
        <w:t>IP</w:t>
      </w:r>
      <w:r w:rsidR="00015BF6" w:rsidRPr="00870782">
        <w:t>.</w:t>
      </w:r>
      <w:r w:rsidRPr="00870782">
        <w:t xml:space="preserve"> It was previously listed as</w:t>
      </w:r>
      <w:r w:rsidR="00A6385F">
        <w:t xml:space="preserve"> an Authority R</w:t>
      </w:r>
      <w:r w:rsidRPr="00870782">
        <w:t xml:space="preserve">equired benefit on the basis of acceptable cost effectiveness in patients who have failed prior </w:t>
      </w:r>
      <w:r w:rsidR="00B948EB">
        <w:t>intravenous (</w:t>
      </w:r>
      <w:r w:rsidRPr="00870782">
        <w:t>IV</w:t>
      </w:r>
      <w:r w:rsidR="00B948EB">
        <w:t>)</w:t>
      </w:r>
      <w:r w:rsidRPr="00870782">
        <w:t xml:space="preserve"> IP therapy due to hypersensitivity reactions.</w:t>
      </w:r>
    </w:p>
    <w:p w:rsidR="000A2CAF" w:rsidRDefault="000A2CAF" w:rsidP="000A2CAF">
      <w:pPr>
        <w:spacing w:after="0"/>
      </w:pPr>
    </w:p>
    <w:p w:rsidR="00BF544D" w:rsidRDefault="00870782" w:rsidP="00BF544D">
      <w:r>
        <w:t xml:space="preserve">For further details refer to the </w:t>
      </w:r>
      <w:r w:rsidRPr="00F36F22">
        <w:t>Public Summary Document</w:t>
      </w:r>
      <w:r>
        <w:t xml:space="preserve"> from the November 2014 </w:t>
      </w:r>
      <w:r w:rsidR="00D235F4">
        <w:t xml:space="preserve">PBAC </w:t>
      </w:r>
      <w:r>
        <w:t xml:space="preserve">meeting. </w:t>
      </w:r>
    </w:p>
    <w:p w:rsidR="00DA307C" w:rsidRDefault="006A2AB5" w:rsidP="00DA307C">
      <w:pPr>
        <w:pStyle w:val="Heading2"/>
      </w:pPr>
      <w:r>
        <w:t>Relevant aspects of</w:t>
      </w:r>
      <w:r w:rsidRPr="005E22C2">
        <w:t xml:space="preserve"> consideration</w:t>
      </w:r>
      <w:r>
        <w:t xml:space="preserve"> by the Pharmaceutical Benefits Advisory Committee (PBAC) </w:t>
      </w:r>
    </w:p>
    <w:p w:rsidR="006627C5" w:rsidRDefault="006627C5" w:rsidP="00DA307C">
      <w:pPr>
        <w:widowControl w:val="0"/>
        <w:spacing w:after="0"/>
      </w:pPr>
      <w:r w:rsidRPr="006627C5">
        <w:t xml:space="preserve">At the </w:t>
      </w:r>
      <w:r w:rsidRPr="00805249">
        <w:t>March 2013</w:t>
      </w:r>
      <w:r w:rsidRPr="006627C5">
        <w:t xml:space="preserve"> meeting, the PBAC recommended listing </w:t>
      </w:r>
      <w:r>
        <w:t>FCM</w:t>
      </w:r>
      <w:r w:rsidRPr="006627C5">
        <w:t xml:space="preserve"> on the PBS as an unrestricted benef</w:t>
      </w:r>
      <w:r>
        <w:t xml:space="preserve">it for </w:t>
      </w:r>
      <w:r w:rsidRPr="006627C5">
        <w:t xml:space="preserve">IDA. Listing was recommended on a cost-minimisation </w:t>
      </w:r>
      <w:r w:rsidR="007654CF">
        <w:t xml:space="preserve">basis </w:t>
      </w:r>
      <w:r w:rsidR="00B948EB">
        <w:t xml:space="preserve">with </w:t>
      </w:r>
      <w:r>
        <w:t xml:space="preserve">IV </w:t>
      </w:r>
      <w:r w:rsidRPr="006627C5">
        <w:t>IP. The equi-effective doses were based on a 1:1 ratio of iron delivered by those formulations.</w:t>
      </w:r>
      <w:r>
        <w:t xml:space="preserve"> </w:t>
      </w:r>
      <w:r w:rsidRPr="006627C5">
        <w:t>The PBAC considered that there may be an advantage of FCM over IV IP in terms of reduced administration time but that this benefit had not been quantified and would need to be determined in order to justify a price advantage.</w:t>
      </w:r>
      <w:r>
        <w:t xml:space="preserve"> </w:t>
      </w:r>
    </w:p>
    <w:p w:rsidR="009044F7" w:rsidRDefault="009044F7" w:rsidP="00DA307C">
      <w:pPr>
        <w:widowControl w:val="0"/>
        <w:spacing w:after="0"/>
      </w:pPr>
    </w:p>
    <w:p w:rsidR="003810D9" w:rsidRDefault="006627C5" w:rsidP="00DA307C">
      <w:pPr>
        <w:widowControl w:val="0"/>
        <w:spacing w:after="0"/>
      </w:pPr>
      <w:r>
        <w:t xml:space="preserve">For further details refer to the </w:t>
      </w:r>
      <w:r w:rsidRPr="00F36F22">
        <w:t>Public Summary Document</w:t>
      </w:r>
      <w:r>
        <w:t xml:space="preserve"> from the March 2013 </w:t>
      </w:r>
      <w:r w:rsidR="00D235F4">
        <w:t xml:space="preserve">PBAC </w:t>
      </w:r>
      <w:r>
        <w:t xml:space="preserve">meeting. </w:t>
      </w:r>
    </w:p>
    <w:p w:rsidR="00A63279" w:rsidRDefault="00A63279" w:rsidP="00DA307C">
      <w:pPr>
        <w:widowControl w:val="0"/>
        <w:spacing w:after="0"/>
        <w:rPr>
          <w:rFonts w:ascii="Arial" w:hAnsi="Arial" w:cs="Arial"/>
          <w:sz w:val="21"/>
          <w:szCs w:val="21"/>
        </w:rPr>
      </w:pPr>
    </w:p>
    <w:p w:rsidR="006A2AB5" w:rsidRPr="005E0B7F" w:rsidRDefault="00A63279" w:rsidP="00DA307C">
      <w:pPr>
        <w:widowControl w:val="0"/>
        <w:spacing w:after="0"/>
      </w:pPr>
      <w:r w:rsidRPr="005E0B7F">
        <w:rPr>
          <w:rFonts w:cs="Arial"/>
        </w:rPr>
        <w:t xml:space="preserve">At the </w:t>
      </w:r>
      <w:r w:rsidRPr="00805249">
        <w:rPr>
          <w:rFonts w:cs="Arial"/>
        </w:rPr>
        <w:t>November 2013</w:t>
      </w:r>
      <w:r w:rsidRPr="005E0B7F">
        <w:rPr>
          <w:rFonts w:cs="Arial"/>
        </w:rPr>
        <w:t xml:space="preserve"> meeting, the PBAC considered a resubmission to quantify the </w:t>
      </w:r>
      <w:r w:rsidRPr="005E0B7F">
        <w:t>advantage of FCM over IV IP in terms of reduced administration time in order to justify a price advantage.</w:t>
      </w:r>
    </w:p>
    <w:p w:rsidR="00A63279" w:rsidRPr="005E0B7F" w:rsidRDefault="00A63279" w:rsidP="00DA307C">
      <w:pPr>
        <w:widowControl w:val="0"/>
        <w:spacing w:after="0"/>
      </w:pPr>
    </w:p>
    <w:p w:rsidR="00974BE1" w:rsidRPr="005E0B7F" w:rsidRDefault="0058553C" w:rsidP="00974BE1">
      <w:pPr>
        <w:spacing w:after="0"/>
        <w:contextualSpacing/>
      </w:pPr>
      <w:r>
        <w:t>The re</w:t>
      </w:r>
      <w:r w:rsidR="00974BE1" w:rsidRPr="005E0B7F">
        <w:t xml:space="preserve">submission presented a new cost analysis. The total pharmaceutical costs associated with FCM are higher than those for IP; however the resubmission claimed that patients </w:t>
      </w:r>
      <w:r w:rsidR="00A6385F">
        <w:t>would</w:t>
      </w:r>
      <w:r w:rsidR="00974BE1" w:rsidRPr="005E0B7F">
        <w:t xml:space="preserve"> move to lower cost treatment settings reducing the average weighted treatment cost. </w:t>
      </w:r>
    </w:p>
    <w:p w:rsidR="00974BE1" w:rsidRPr="005E0B7F" w:rsidRDefault="00974BE1" w:rsidP="00974BE1">
      <w:pPr>
        <w:jc w:val="both"/>
      </w:pPr>
    </w:p>
    <w:p w:rsidR="00B73020" w:rsidRDefault="00B73020" w:rsidP="00B73020">
      <w:pPr>
        <w:spacing w:after="0"/>
        <w:contextualSpacing/>
        <w:rPr>
          <w:rFonts w:eastAsia="Times New Roman" w:cs="Times New Roman"/>
        </w:rPr>
      </w:pPr>
      <w:r w:rsidRPr="00F143CA">
        <w:rPr>
          <w:rFonts w:eastAsia="Times New Roman" w:cs="Times New Roman"/>
        </w:rPr>
        <w:lastRenderedPageBreak/>
        <w:t xml:space="preserve">The PBAC considered that there </w:t>
      </w:r>
      <w:r w:rsidR="00A6385F">
        <w:rPr>
          <w:rFonts w:eastAsia="Times New Roman" w:cs="Times New Roman"/>
        </w:rPr>
        <w:t>was</w:t>
      </w:r>
      <w:r w:rsidRPr="00F143CA">
        <w:rPr>
          <w:rFonts w:eastAsia="Times New Roman" w:cs="Times New Roman"/>
        </w:rPr>
        <w:t xml:space="preserve"> a clinical need for FCM in Australia as the shorter injection time </w:t>
      </w:r>
      <w:r w:rsidR="00A6385F">
        <w:rPr>
          <w:rFonts w:eastAsia="Times New Roman" w:cs="Times New Roman"/>
        </w:rPr>
        <w:t>was</w:t>
      </w:r>
      <w:r w:rsidRPr="00F143CA">
        <w:rPr>
          <w:rFonts w:eastAsia="Times New Roman" w:cs="Times New Roman"/>
        </w:rPr>
        <w:t xml:space="preserve"> likely to provide an advantage for many groups of people who require iron treatment. </w:t>
      </w:r>
    </w:p>
    <w:p w:rsidR="00B73020" w:rsidRDefault="00B73020" w:rsidP="00B73020">
      <w:pPr>
        <w:spacing w:after="0"/>
        <w:contextualSpacing/>
        <w:rPr>
          <w:rFonts w:eastAsia="Times New Roman" w:cs="Times New Roman"/>
        </w:rPr>
      </w:pPr>
    </w:p>
    <w:p w:rsidR="00F143CA" w:rsidRDefault="00F143CA" w:rsidP="00F143CA">
      <w:pPr>
        <w:spacing w:after="0"/>
        <w:contextualSpacing/>
      </w:pPr>
      <w:r w:rsidRPr="002A2AAB">
        <w:t xml:space="preserve">The PBAC reiterated its view that there </w:t>
      </w:r>
      <w:r w:rsidR="00A6385F">
        <w:t>was</w:t>
      </w:r>
      <w:r w:rsidRPr="002A2AAB">
        <w:t xml:space="preserve"> likely to be an </w:t>
      </w:r>
      <w:r w:rsidRPr="00F143CA">
        <w:t>advantage of FCM over IP given intravenously in</w:t>
      </w:r>
      <w:r w:rsidR="0000615C">
        <w:t xml:space="preserve"> terms of administration time. </w:t>
      </w:r>
      <w:r w:rsidRPr="00F143CA">
        <w:t>However the PBAC did not accept the resubmission’s calculation that there would be a saving in treatment costs based on a 1,000</w:t>
      </w:r>
      <w:r w:rsidR="002C4BC6">
        <w:t> </w:t>
      </w:r>
      <w:r w:rsidRPr="00F143CA">
        <w:t xml:space="preserve">mg dose. </w:t>
      </w:r>
    </w:p>
    <w:p w:rsidR="00F143CA" w:rsidRPr="00F143CA" w:rsidRDefault="00F143CA" w:rsidP="00F143CA">
      <w:pPr>
        <w:spacing w:after="0"/>
        <w:contextualSpacing/>
      </w:pPr>
    </w:p>
    <w:p w:rsidR="00F143CA" w:rsidRPr="00F143CA" w:rsidRDefault="00F143CA" w:rsidP="00F143CA">
      <w:pPr>
        <w:spacing w:after="0"/>
        <w:contextualSpacing/>
        <w:rPr>
          <w:rFonts w:eastAsia="Times New Roman" w:cs="Times New Roman"/>
        </w:rPr>
      </w:pPr>
      <w:r w:rsidRPr="00F143CA">
        <w:rPr>
          <w:rFonts w:eastAsia="Times New Roman" w:cs="Times New Roman"/>
        </w:rPr>
        <w:t>The PBAC agreed with the pre-PBAC response that the extent of any change in the setting where iron is infused is subject to a range of factors. These factors include hospital funding models, willingness and ability of general practitioners and specialists to administer IV iron in their rooms and referral pract</w:t>
      </w:r>
      <w:r w:rsidR="0000615C">
        <w:rPr>
          <w:rFonts w:eastAsia="Times New Roman" w:cs="Times New Roman"/>
        </w:rPr>
        <w:t>ices of medical practitioners. </w:t>
      </w:r>
      <w:r w:rsidRPr="00F143CA">
        <w:rPr>
          <w:rFonts w:eastAsia="Times New Roman" w:cs="Times New Roman"/>
        </w:rPr>
        <w:t>All of these factors are likely to vary s</w:t>
      </w:r>
      <w:r w:rsidR="00A6385F">
        <w:rPr>
          <w:rFonts w:eastAsia="Times New Roman" w:cs="Times New Roman"/>
        </w:rPr>
        <w:t>ignificantly between different states, t</w:t>
      </w:r>
      <w:r w:rsidRPr="00F143CA">
        <w:rPr>
          <w:rFonts w:eastAsia="Times New Roman" w:cs="Times New Roman"/>
        </w:rPr>
        <w:t xml:space="preserve">erritories and health care settings. </w:t>
      </w:r>
    </w:p>
    <w:p w:rsidR="00F143CA" w:rsidRDefault="00F143CA" w:rsidP="00974BE1">
      <w:pPr>
        <w:spacing w:after="0"/>
        <w:contextualSpacing/>
        <w:rPr>
          <w:rFonts w:eastAsia="Times New Roman" w:cs="Times New Roman"/>
        </w:rPr>
      </w:pPr>
    </w:p>
    <w:p w:rsidR="002F3DD1" w:rsidRDefault="00974BE1" w:rsidP="002A2AAB">
      <w:pPr>
        <w:spacing w:after="0"/>
        <w:contextualSpacing/>
      </w:pPr>
      <w:r w:rsidRPr="00974BE1">
        <w:rPr>
          <w:rFonts w:eastAsia="Times New Roman" w:cs="Times New Roman"/>
        </w:rPr>
        <w:t xml:space="preserve">The PBAC noted that the main driver for the price </w:t>
      </w:r>
      <w:r w:rsidRPr="00E0039A">
        <w:rPr>
          <w:rFonts w:eastAsia="Times New Roman" w:cs="Times New Roman"/>
        </w:rPr>
        <w:t>difference requested was the reduction in publ</w:t>
      </w:r>
      <w:r w:rsidR="0000615C" w:rsidRPr="00E0039A">
        <w:rPr>
          <w:rFonts w:eastAsia="Times New Roman" w:cs="Times New Roman"/>
        </w:rPr>
        <w:t xml:space="preserve">ic hospital admitted patients. </w:t>
      </w:r>
      <w:r w:rsidR="00B948EB" w:rsidRPr="00E0039A">
        <w:rPr>
          <w:rFonts w:eastAsia="Times New Roman" w:cs="Times New Roman"/>
        </w:rPr>
        <w:t>The re</w:t>
      </w:r>
      <w:r w:rsidR="002F3DD1" w:rsidRPr="00E0039A">
        <w:rPr>
          <w:rFonts w:eastAsia="Times New Roman" w:cs="Times New Roman"/>
        </w:rPr>
        <w:t xml:space="preserve">submission claimed that </w:t>
      </w:r>
      <w:r w:rsidR="00F36F22">
        <w:rPr>
          <w:rFonts w:eastAsia="Times New Roman" w:cs="Times New Roman"/>
          <w:noProof/>
          <w:color w:val="000000"/>
          <w:highlight w:val="black"/>
        </w:rPr>
        <w:t>'''''''''''</w:t>
      </w:r>
      <w:r w:rsidR="002F3DD1" w:rsidRPr="00E0039A">
        <w:rPr>
          <w:rFonts w:eastAsia="Times New Roman" w:cs="Times New Roman"/>
        </w:rPr>
        <w:t xml:space="preserve">% of patients </w:t>
      </w:r>
      <w:r w:rsidR="00A6385F" w:rsidRPr="00E0039A">
        <w:rPr>
          <w:rFonts w:eastAsia="Times New Roman" w:cs="Times New Roman"/>
        </w:rPr>
        <w:t>were</w:t>
      </w:r>
      <w:r w:rsidR="002F3DD1" w:rsidRPr="00E0039A">
        <w:rPr>
          <w:rFonts w:eastAsia="Times New Roman" w:cs="Times New Roman"/>
        </w:rPr>
        <w:t xml:space="preserve"> admitted as in-patients for iron infusions and </w:t>
      </w:r>
      <w:r w:rsidR="00F36F22">
        <w:rPr>
          <w:rFonts w:eastAsia="Times New Roman" w:cs="Times New Roman"/>
          <w:noProof/>
          <w:color w:val="000000"/>
          <w:highlight w:val="black"/>
        </w:rPr>
        <w:t>''''''''''</w:t>
      </w:r>
      <w:r w:rsidR="002F3DD1" w:rsidRPr="00E0039A">
        <w:rPr>
          <w:rFonts w:eastAsia="Times New Roman" w:cs="Times New Roman"/>
        </w:rPr>
        <w:t xml:space="preserve">% </w:t>
      </w:r>
      <w:r w:rsidR="00B948EB" w:rsidRPr="00E0039A">
        <w:rPr>
          <w:rFonts w:eastAsia="Times New Roman" w:cs="Times New Roman"/>
        </w:rPr>
        <w:t xml:space="preserve">were </w:t>
      </w:r>
      <w:r w:rsidR="002F3DD1" w:rsidRPr="00E0039A">
        <w:rPr>
          <w:rFonts w:eastAsia="Times New Roman" w:cs="Times New Roman"/>
        </w:rPr>
        <w:t>non-admitted (day only) patients. The PBAC considered that the surve</w:t>
      </w:r>
      <w:r w:rsidR="00B948EB" w:rsidRPr="00E0039A">
        <w:rPr>
          <w:rFonts w:eastAsia="Times New Roman" w:cs="Times New Roman"/>
        </w:rPr>
        <w:t>y data provided in the</w:t>
      </w:r>
      <w:r w:rsidR="00B948EB">
        <w:rPr>
          <w:rFonts w:eastAsia="Times New Roman" w:cs="Times New Roman"/>
        </w:rPr>
        <w:t xml:space="preserve"> resubmission over-</w:t>
      </w:r>
      <w:r w:rsidR="002F3DD1" w:rsidRPr="002A2AAB">
        <w:rPr>
          <w:rFonts w:eastAsia="Times New Roman" w:cs="Times New Roman"/>
        </w:rPr>
        <w:t>estimated the proportion of admitted patients and underestimated the non-admitted patients. In addition</w:t>
      </w:r>
      <w:r w:rsidR="00B948EB">
        <w:rPr>
          <w:rFonts w:eastAsia="Times New Roman" w:cs="Times New Roman"/>
        </w:rPr>
        <w:t>,</w:t>
      </w:r>
      <w:r w:rsidR="002F3DD1" w:rsidRPr="002A2AAB">
        <w:rPr>
          <w:rFonts w:eastAsia="Times New Roman" w:cs="Times New Roman"/>
        </w:rPr>
        <w:t xml:space="preserve"> the PBAC considered that the proposed changes in private hospitals were unlikely to occur owing to the business models in place. </w:t>
      </w:r>
    </w:p>
    <w:p w:rsidR="00286C71" w:rsidRDefault="00286C71" w:rsidP="002A2AAB">
      <w:pPr>
        <w:spacing w:after="0"/>
        <w:contextualSpacing/>
      </w:pPr>
    </w:p>
    <w:p w:rsidR="00286C71" w:rsidRPr="002A2AAB" w:rsidRDefault="00286C71" w:rsidP="002A2AAB">
      <w:pPr>
        <w:spacing w:after="0"/>
        <w:contextualSpacing/>
        <w:rPr>
          <w:rFonts w:cs="Times New Roman"/>
        </w:rPr>
      </w:pPr>
      <w:r w:rsidRPr="00286C71">
        <w:rPr>
          <w:rFonts w:eastAsia="Times New Roman" w:cs="Times New Roman"/>
        </w:rPr>
        <w:t>The PBAC noted that when the proportions of IP use in public hospitals as inpatients and outpatients were reverse</w:t>
      </w:r>
      <w:r w:rsidR="00B948EB">
        <w:rPr>
          <w:rFonts w:eastAsia="Times New Roman" w:cs="Times New Roman"/>
        </w:rPr>
        <w:t>d from that proposed in the resubmission</w:t>
      </w:r>
      <w:r w:rsidRPr="00286C71">
        <w:rPr>
          <w:rFonts w:eastAsia="Times New Roman" w:cs="Times New Roman"/>
        </w:rPr>
        <w:t>, the proportion of FCM use in private hospital inpatients was highe</w:t>
      </w:r>
      <w:r w:rsidR="00B948EB">
        <w:rPr>
          <w:rFonts w:eastAsia="Times New Roman" w:cs="Times New Roman"/>
        </w:rPr>
        <w:t>r than that proposed in the resubmission.</w:t>
      </w:r>
      <w:r w:rsidRPr="00286C71">
        <w:rPr>
          <w:rFonts w:eastAsia="Times New Roman" w:cs="Times New Roman"/>
        </w:rPr>
        <w:t xml:space="preserve"> </w:t>
      </w:r>
      <w:r w:rsidR="00B948EB">
        <w:rPr>
          <w:rFonts w:eastAsia="Times New Roman" w:cs="Times New Roman"/>
        </w:rPr>
        <w:t>Further, t</w:t>
      </w:r>
      <w:r w:rsidRPr="00286C71">
        <w:rPr>
          <w:rFonts w:eastAsia="Times New Roman" w:cs="Times New Roman"/>
        </w:rPr>
        <w:t>he proportion of private hospital outpatient use was the same for both IP and FCM and the proportions of use in general practice remained</w:t>
      </w:r>
      <w:r w:rsidR="00B948EB">
        <w:rPr>
          <w:rFonts w:eastAsia="Times New Roman" w:cs="Times New Roman"/>
        </w:rPr>
        <w:t xml:space="preserve"> the same. With these changes, t</w:t>
      </w:r>
      <w:r w:rsidRPr="00286C71">
        <w:rPr>
          <w:rFonts w:eastAsia="Times New Roman" w:cs="Times New Roman"/>
        </w:rPr>
        <w:t xml:space="preserve">he difference in treatment costs resulted in a higher weighted treatment cost </w:t>
      </w:r>
      <w:r w:rsidR="00B948EB">
        <w:rPr>
          <w:rFonts w:eastAsia="Times New Roman" w:cs="Times New Roman"/>
        </w:rPr>
        <w:t>than that calculated in the resubmission. </w:t>
      </w:r>
      <w:r w:rsidRPr="00286C71">
        <w:rPr>
          <w:rFonts w:eastAsia="Times New Roman" w:cs="Times New Roman"/>
        </w:rPr>
        <w:t>The PBAC noted that on the basis of this revised calculation, a price reduction would be required.</w:t>
      </w:r>
    </w:p>
    <w:p w:rsidR="00E7615A" w:rsidRPr="00520754" w:rsidRDefault="00E7615A" w:rsidP="002A2AAB">
      <w:pPr>
        <w:spacing w:after="0"/>
        <w:contextualSpacing/>
        <w:rPr>
          <w:rFonts w:eastAsia="Times New Roman" w:cs="Times New Roman"/>
        </w:rPr>
      </w:pPr>
    </w:p>
    <w:p w:rsidR="002F3DD1" w:rsidRPr="00520754" w:rsidRDefault="00B948EB" w:rsidP="002A2AAB">
      <w:pPr>
        <w:spacing w:after="0"/>
        <w:contextualSpacing/>
        <w:rPr>
          <w:rFonts w:eastAsia="Times New Roman" w:cs="Times New Roman"/>
        </w:rPr>
      </w:pPr>
      <w:r w:rsidRPr="00520754">
        <w:rPr>
          <w:rFonts w:eastAsia="Times New Roman" w:cs="Times New Roman"/>
        </w:rPr>
        <w:t xml:space="preserve">The PBAC considered that the resubmission’s approach to preparing the estimates was reasonable. The PBAC agreed with </w:t>
      </w:r>
      <w:r w:rsidR="002F3DD1" w:rsidRPr="00520754">
        <w:rPr>
          <w:rFonts w:eastAsia="Times New Roman" w:cs="Times New Roman"/>
        </w:rPr>
        <w:t xml:space="preserve">DUSC that the </w:t>
      </w:r>
      <w:r w:rsidRPr="00520754">
        <w:rPr>
          <w:rFonts w:eastAsia="Times New Roman" w:cs="Times New Roman"/>
        </w:rPr>
        <w:t xml:space="preserve">treatment </w:t>
      </w:r>
      <w:r w:rsidR="002F3DD1" w:rsidRPr="00520754">
        <w:rPr>
          <w:rFonts w:eastAsia="Times New Roman" w:cs="Times New Roman"/>
        </w:rPr>
        <w:t xml:space="preserve">survey </w:t>
      </w:r>
      <w:r w:rsidRPr="00520754">
        <w:rPr>
          <w:rFonts w:eastAsia="Times New Roman" w:cs="Times New Roman"/>
        </w:rPr>
        <w:t xml:space="preserve">used </w:t>
      </w:r>
      <w:r w:rsidR="002F3DD1" w:rsidRPr="00520754">
        <w:rPr>
          <w:rFonts w:eastAsia="Times New Roman" w:cs="Times New Roman"/>
        </w:rPr>
        <w:t xml:space="preserve">had a number of internal and external validity issues and considered that the extent of switching to community based GP settings could be inflated in the survey. </w:t>
      </w:r>
    </w:p>
    <w:p w:rsidR="00E7615A" w:rsidRPr="00520754" w:rsidRDefault="00E7615A" w:rsidP="002A2AAB">
      <w:pPr>
        <w:spacing w:after="0"/>
        <w:contextualSpacing/>
        <w:rPr>
          <w:rFonts w:eastAsia="Times New Roman" w:cs="Times New Roman"/>
        </w:rPr>
      </w:pPr>
    </w:p>
    <w:p w:rsidR="00E7615A" w:rsidRPr="00520754" w:rsidRDefault="00E7615A" w:rsidP="00E7615A">
      <w:pPr>
        <w:spacing w:after="150" w:line="300" w:lineRule="atLeast"/>
        <w:rPr>
          <w:rFonts w:eastAsia="Times New Roman" w:cs="Arial"/>
        </w:rPr>
      </w:pPr>
      <w:r w:rsidRPr="00520754">
        <w:rPr>
          <w:rFonts w:eastAsia="Times New Roman" w:cs="Arial"/>
        </w:rPr>
        <w:t>The PBAC also noted the ESC and DUSC concerns regarding the possible use in haemodialysis patients where there is no administrative cost advantage</w:t>
      </w:r>
      <w:r w:rsidR="00520754" w:rsidRPr="00520754">
        <w:rPr>
          <w:rFonts w:eastAsia="Times New Roman" w:cs="Arial"/>
        </w:rPr>
        <w:t>,</w:t>
      </w:r>
      <w:r w:rsidRPr="00520754">
        <w:rPr>
          <w:rFonts w:eastAsia="Times New Roman" w:cs="Arial"/>
        </w:rPr>
        <w:t xml:space="preserve"> and that there was potential for the 500</w:t>
      </w:r>
      <w:r w:rsidR="005E0B7F" w:rsidRPr="00520754">
        <w:rPr>
          <w:rFonts w:eastAsia="Times New Roman" w:cs="Arial"/>
        </w:rPr>
        <w:t xml:space="preserve"> </w:t>
      </w:r>
      <w:r w:rsidRPr="00520754">
        <w:rPr>
          <w:rFonts w:eastAsia="Times New Roman" w:cs="Arial"/>
        </w:rPr>
        <w:t xml:space="preserve">mg vial to be used for lower doses. </w:t>
      </w:r>
    </w:p>
    <w:p w:rsidR="00E7615A" w:rsidRPr="00520754" w:rsidRDefault="00E7615A" w:rsidP="00E7615A">
      <w:pPr>
        <w:spacing w:after="150" w:line="300" w:lineRule="atLeast"/>
        <w:rPr>
          <w:rFonts w:eastAsia="Times New Roman" w:cs="Arial"/>
        </w:rPr>
      </w:pPr>
      <w:r w:rsidRPr="00520754">
        <w:rPr>
          <w:rFonts w:eastAsia="Times New Roman" w:cs="Arial"/>
        </w:rPr>
        <w:t>The PBAC noted that the sponsor reduced the cost of the 500</w:t>
      </w:r>
      <w:r w:rsidR="005E0B7F" w:rsidRPr="00520754">
        <w:rPr>
          <w:rFonts w:eastAsia="Times New Roman" w:cs="Arial"/>
        </w:rPr>
        <w:t xml:space="preserve"> </w:t>
      </w:r>
      <w:r w:rsidRPr="00520754">
        <w:rPr>
          <w:rFonts w:eastAsia="Times New Roman" w:cs="Arial"/>
        </w:rPr>
        <w:t>mg vial to address the potential use of doses greater than 1</w:t>
      </w:r>
      <w:r w:rsidR="005E0B7F" w:rsidRPr="00520754">
        <w:rPr>
          <w:rFonts w:eastAsia="Times New Roman" w:cs="Arial"/>
        </w:rPr>
        <w:t>,</w:t>
      </w:r>
      <w:r w:rsidRPr="00520754">
        <w:rPr>
          <w:rFonts w:eastAsia="Times New Roman" w:cs="Arial"/>
        </w:rPr>
        <w:t>000</w:t>
      </w:r>
      <w:r w:rsidR="005E0B7F" w:rsidRPr="00520754">
        <w:rPr>
          <w:rFonts w:eastAsia="Times New Roman" w:cs="Arial"/>
        </w:rPr>
        <w:t xml:space="preserve"> </w:t>
      </w:r>
      <w:r w:rsidRPr="00520754">
        <w:rPr>
          <w:rFonts w:eastAsia="Times New Roman" w:cs="Arial"/>
        </w:rPr>
        <w:t>mg</w:t>
      </w:r>
      <w:r w:rsidR="00520754" w:rsidRPr="00520754">
        <w:rPr>
          <w:rFonts w:eastAsia="Times New Roman" w:cs="Arial"/>
        </w:rPr>
        <w:t>;</w:t>
      </w:r>
      <w:r w:rsidRPr="00520754">
        <w:rPr>
          <w:rFonts w:eastAsia="Times New Roman" w:cs="Arial"/>
        </w:rPr>
        <w:t xml:space="preserve"> however</w:t>
      </w:r>
      <w:r w:rsidR="00520754" w:rsidRPr="00520754">
        <w:rPr>
          <w:rFonts w:eastAsia="Times New Roman" w:cs="Arial"/>
        </w:rPr>
        <w:t>,</w:t>
      </w:r>
      <w:r w:rsidRPr="00520754">
        <w:rPr>
          <w:rFonts w:eastAsia="Times New Roman" w:cs="Arial"/>
        </w:rPr>
        <w:t xml:space="preserve"> the PBAC noted that the pre-PBAC response did not address the potential use in patients requiring smaller doses than 500</w:t>
      </w:r>
      <w:r w:rsidR="005E0B7F" w:rsidRPr="00520754">
        <w:rPr>
          <w:rFonts w:eastAsia="Times New Roman" w:cs="Arial"/>
        </w:rPr>
        <w:t xml:space="preserve"> </w:t>
      </w:r>
      <w:r w:rsidR="00520754" w:rsidRPr="00520754">
        <w:rPr>
          <w:rFonts w:eastAsia="Times New Roman" w:cs="Arial"/>
        </w:rPr>
        <w:t xml:space="preserve">mg. </w:t>
      </w:r>
      <w:r w:rsidRPr="00520754">
        <w:rPr>
          <w:rFonts w:eastAsia="Times New Roman" w:cs="Arial"/>
        </w:rPr>
        <w:t xml:space="preserve">Therefore the PBAC considered that the dispensed price for maximum quantity (DMPQ) </w:t>
      </w:r>
      <w:r w:rsidRPr="00520754">
        <w:rPr>
          <w:rFonts w:eastAsia="Times New Roman" w:cs="Arial"/>
        </w:rPr>
        <w:lastRenderedPageBreak/>
        <w:t xml:space="preserve">proposed in the pre-PBAC response was poorly justified and that the expected price advantage for FCM compared to IP would be lower. </w:t>
      </w:r>
    </w:p>
    <w:p w:rsidR="00E7615A" w:rsidRPr="00520754" w:rsidRDefault="00E7615A" w:rsidP="00E7615A">
      <w:pPr>
        <w:spacing w:after="150" w:line="300" w:lineRule="atLeast"/>
        <w:rPr>
          <w:rFonts w:eastAsia="Times New Roman" w:cs="Arial"/>
        </w:rPr>
      </w:pPr>
      <w:r w:rsidRPr="00520754">
        <w:rPr>
          <w:rFonts w:eastAsia="Times New Roman" w:cs="Arial"/>
        </w:rPr>
        <w:t xml:space="preserve">On the basis of the costing model in the submission, the PBAC requested the </w:t>
      </w:r>
      <w:r w:rsidR="00520754" w:rsidRPr="00520754">
        <w:rPr>
          <w:rFonts w:eastAsia="Times New Roman" w:cs="Arial"/>
        </w:rPr>
        <w:t xml:space="preserve">Department </w:t>
      </w:r>
      <w:r w:rsidRPr="00520754">
        <w:rPr>
          <w:rFonts w:eastAsia="Times New Roman" w:cs="Arial"/>
        </w:rPr>
        <w:t xml:space="preserve">calculate a cost-minimised price using the revised treatment setting proportions. The PBAC recommended that the price should take account of the variability in proportions of inpatient and outpatient administration as well as the variability in administration of iron in GP settings. </w:t>
      </w:r>
    </w:p>
    <w:p w:rsidR="00E7615A" w:rsidRPr="00520754" w:rsidRDefault="00E7615A" w:rsidP="00E7615A">
      <w:pPr>
        <w:spacing w:after="150" w:line="300" w:lineRule="atLeast"/>
        <w:rPr>
          <w:rFonts w:eastAsia="Times New Roman" w:cs="Arial"/>
        </w:rPr>
      </w:pPr>
      <w:r w:rsidRPr="00520754">
        <w:rPr>
          <w:rFonts w:eastAsia="Times New Roman" w:cs="Arial"/>
        </w:rPr>
        <w:t>The PBAC considered that the Department should negotiate a risk sharing arrangement with the sponsor to mitigate the risk of wastage and the potential for larger market uptake in patients treated in health settings with little or no administration benefit. The PBAC</w:t>
      </w:r>
      <w:r w:rsidR="00A6385F">
        <w:rPr>
          <w:rFonts w:eastAsia="Times New Roman" w:cs="Arial"/>
        </w:rPr>
        <w:t xml:space="preserve"> did not consider an Authority R</w:t>
      </w:r>
      <w:r w:rsidRPr="00520754">
        <w:rPr>
          <w:rFonts w:eastAsia="Times New Roman" w:cs="Arial"/>
        </w:rPr>
        <w:t xml:space="preserve">equired listing would be justified for the purposes of a risk sharing arrangement. </w:t>
      </w:r>
    </w:p>
    <w:p w:rsidR="00A63279" w:rsidRPr="005E0B7F" w:rsidRDefault="00A63279" w:rsidP="00A63279">
      <w:pPr>
        <w:spacing w:before="240" w:after="0"/>
      </w:pPr>
      <w:r w:rsidRPr="005E0B7F">
        <w:t xml:space="preserve">For further details refer to the </w:t>
      </w:r>
      <w:r w:rsidRPr="00F36F22">
        <w:t>Public Summary Document</w:t>
      </w:r>
      <w:r w:rsidRPr="005E0B7F">
        <w:t xml:space="preserve"> from the November 2013 PBAC meeting.</w:t>
      </w:r>
    </w:p>
    <w:p w:rsidR="00A63279" w:rsidRDefault="00A63279" w:rsidP="00DA307C">
      <w:pPr>
        <w:widowControl w:val="0"/>
        <w:spacing w:after="0"/>
      </w:pPr>
    </w:p>
    <w:p w:rsidR="003810D9" w:rsidRPr="006A2AB5" w:rsidRDefault="006A2AB5" w:rsidP="00DA307C">
      <w:pPr>
        <w:widowControl w:val="0"/>
        <w:spacing w:after="0"/>
        <w:rPr>
          <w:b/>
          <w:sz w:val="28"/>
          <w:szCs w:val="28"/>
        </w:rPr>
      </w:pPr>
      <w:r w:rsidRPr="006A2AB5">
        <w:rPr>
          <w:b/>
          <w:sz w:val="28"/>
          <w:szCs w:val="28"/>
        </w:rPr>
        <w:t>Approach taken to estimate utilisation</w:t>
      </w:r>
    </w:p>
    <w:p w:rsidR="006A2AB5" w:rsidRDefault="006A2AB5" w:rsidP="00DA307C">
      <w:pPr>
        <w:widowControl w:val="0"/>
        <w:spacing w:after="0"/>
      </w:pPr>
    </w:p>
    <w:p w:rsidR="00DA307C" w:rsidRPr="00520754" w:rsidRDefault="00DA307C" w:rsidP="00DA307C">
      <w:pPr>
        <w:widowControl w:val="0"/>
        <w:spacing w:after="0"/>
        <w:rPr>
          <w:rFonts w:eastAsia="Times New Roman" w:cs="Times New Roman"/>
          <w:snapToGrid w:val="0"/>
          <w:lang w:eastAsia="en-US"/>
        </w:rPr>
      </w:pPr>
      <w:r w:rsidRPr="00520754">
        <w:t xml:space="preserve">DUSC reviewed the </w:t>
      </w:r>
      <w:r w:rsidR="009F68B2" w:rsidRPr="00520754">
        <w:t>re</w:t>
      </w:r>
      <w:r w:rsidRPr="00520754">
        <w:t xml:space="preserve">submission of FCM </w:t>
      </w:r>
      <w:r w:rsidRPr="00BF5DAB">
        <w:t xml:space="preserve">for IDA. The submission used a </w:t>
      </w:r>
      <w:r w:rsidR="00520754" w:rsidRPr="00BF5DAB">
        <w:t>scenario-</w:t>
      </w:r>
      <w:r w:rsidR="006D76AF" w:rsidRPr="00BF5DAB">
        <w:t xml:space="preserve">based </w:t>
      </w:r>
      <w:r w:rsidRPr="00BF5DAB">
        <w:t>market share approach</w:t>
      </w:r>
      <w:r w:rsidR="006D76AF" w:rsidRPr="00BF5DAB">
        <w:t>, with and without FCM available</w:t>
      </w:r>
      <w:r w:rsidR="00802A66" w:rsidRPr="00BF5DAB">
        <w:t>. The base case estimates assume</w:t>
      </w:r>
      <w:r w:rsidR="006D76AF" w:rsidRPr="00BF5DAB">
        <w:t>d</w:t>
      </w:r>
      <w:r w:rsidR="00802A66" w:rsidRPr="00BF5DAB">
        <w:t xml:space="preserve"> a standard dose of 1</w:t>
      </w:r>
      <w:r w:rsidR="008A425D" w:rsidRPr="00BF5DAB">
        <w:t>,</w:t>
      </w:r>
      <w:r w:rsidR="00802A66" w:rsidRPr="00BF5DAB">
        <w:t>000</w:t>
      </w:r>
      <w:r w:rsidR="008A425D" w:rsidRPr="00BF5DAB">
        <w:t xml:space="preserve"> </w:t>
      </w:r>
      <w:r w:rsidR="00802A66" w:rsidRPr="00BF5DAB">
        <w:t xml:space="preserve">mg </w:t>
      </w:r>
      <w:r w:rsidR="008A425D" w:rsidRPr="00BF5DAB">
        <w:t xml:space="preserve">of </w:t>
      </w:r>
      <w:r w:rsidR="00802A66" w:rsidRPr="00BF5DAB">
        <w:t>iron.</w:t>
      </w:r>
      <w:r w:rsidRPr="00BF5DAB">
        <w:t xml:space="preserve"> </w:t>
      </w:r>
      <w:r w:rsidRPr="00BF5DAB">
        <w:rPr>
          <w:rFonts w:eastAsia="Times New Roman" w:cs="Times New Roman"/>
          <w:snapToGrid w:val="0"/>
          <w:lang w:eastAsia="en-US"/>
        </w:rPr>
        <w:t xml:space="preserve">DUSC considered the extent of use and financial </w:t>
      </w:r>
      <w:r w:rsidR="00802A66" w:rsidRPr="00BF5DAB">
        <w:rPr>
          <w:rFonts w:eastAsia="Times New Roman" w:cs="Times New Roman"/>
          <w:snapToGrid w:val="0"/>
          <w:lang w:eastAsia="en-US"/>
        </w:rPr>
        <w:t xml:space="preserve">estimates </w:t>
      </w:r>
      <w:r w:rsidRPr="00BF5DAB">
        <w:rPr>
          <w:rFonts w:eastAsia="Times New Roman" w:cs="Times New Roman"/>
          <w:snapToGrid w:val="0"/>
          <w:lang w:eastAsia="en-US"/>
        </w:rPr>
        <w:t xml:space="preserve">presented in the submission to be underestimated. DUSC considered that the estimated number of patients treated with FCM was sensitive to the market size at baseline, market growth and FCM uptake. The financial impact was also sensitive to the dose prescribed and redistribution across treatment settings. </w:t>
      </w:r>
      <w:r w:rsidR="00EA4685" w:rsidRPr="00BF5DAB">
        <w:rPr>
          <w:rFonts w:eastAsia="Times New Roman" w:cs="Times New Roman"/>
          <w:snapToGrid w:val="0"/>
          <w:lang w:eastAsia="en-US"/>
        </w:rPr>
        <w:t xml:space="preserve">Refer to Appendix </w:t>
      </w:r>
      <w:r w:rsidR="004C0D04" w:rsidRPr="00BF5DAB">
        <w:rPr>
          <w:rFonts w:eastAsia="Times New Roman" w:cs="Times New Roman"/>
          <w:snapToGrid w:val="0"/>
          <w:lang w:eastAsia="en-US"/>
        </w:rPr>
        <w:t>B</w:t>
      </w:r>
      <w:r w:rsidR="00EA4685" w:rsidRPr="00BF5DAB">
        <w:rPr>
          <w:rFonts w:eastAsia="Times New Roman" w:cs="Times New Roman"/>
          <w:snapToGrid w:val="0"/>
          <w:lang w:eastAsia="en-US"/>
        </w:rPr>
        <w:t xml:space="preserve"> for financial estimates.</w:t>
      </w:r>
    </w:p>
    <w:p w:rsidR="00DA307C" w:rsidRPr="00734891" w:rsidRDefault="00DA307C" w:rsidP="00DA307C">
      <w:pPr>
        <w:pStyle w:val="BodyText"/>
        <w:jc w:val="left"/>
        <w:rPr>
          <w:rFonts w:asciiTheme="minorHAnsi" w:hAnsiTheme="minorHAnsi"/>
          <w:b w:val="0"/>
          <w:sz w:val="24"/>
          <w:szCs w:val="24"/>
        </w:rPr>
      </w:pPr>
    </w:p>
    <w:p w:rsidR="00A01726" w:rsidRDefault="00A01726" w:rsidP="00DA307C">
      <w:pPr>
        <w:pStyle w:val="BodyText"/>
        <w:jc w:val="left"/>
        <w:rPr>
          <w:rFonts w:asciiTheme="minorHAnsi" w:hAnsiTheme="minorHAnsi"/>
          <w:sz w:val="24"/>
          <w:szCs w:val="24"/>
        </w:rPr>
      </w:pPr>
      <w:r>
        <w:rPr>
          <w:rFonts w:asciiTheme="minorHAnsi" w:hAnsiTheme="minorHAnsi"/>
          <w:sz w:val="24"/>
          <w:szCs w:val="24"/>
        </w:rPr>
        <w:br w:type="page"/>
      </w:r>
    </w:p>
    <w:p w:rsidR="00DF0593" w:rsidRPr="00734891" w:rsidRDefault="00B90BC8" w:rsidP="00DA307C">
      <w:pPr>
        <w:pStyle w:val="BodyText"/>
        <w:jc w:val="left"/>
        <w:rPr>
          <w:rFonts w:asciiTheme="minorHAnsi" w:hAnsiTheme="minorHAnsi"/>
          <w:sz w:val="24"/>
          <w:szCs w:val="24"/>
        </w:rPr>
      </w:pPr>
      <w:r w:rsidRPr="00734891">
        <w:rPr>
          <w:rFonts w:asciiTheme="minorHAnsi" w:hAnsiTheme="minorHAnsi"/>
          <w:sz w:val="24"/>
          <w:szCs w:val="24"/>
        </w:rPr>
        <w:lastRenderedPageBreak/>
        <w:t>Table 3</w:t>
      </w:r>
      <w:r w:rsidR="00DF0593" w:rsidRPr="00734891">
        <w:rPr>
          <w:rFonts w:asciiTheme="minorHAnsi" w:hAnsiTheme="minorHAnsi"/>
          <w:sz w:val="24"/>
          <w:szCs w:val="24"/>
        </w:rPr>
        <w:t xml:space="preserve">: October 2013 </w:t>
      </w:r>
      <w:r w:rsidRPr="00734891">
        <w:rPr>
          <w:rFonts w:asciiTheme="minorHAnsi" w:hAnsiTheme="minorHAnsi"/>
          <w:sz w:val="24"/>
          <w:szCs w:val="24"/>
        </w:rPr>
        <w:t xml:space="preserve">DUSC </w:t>
      </w:r>
      <w:r w:rsidR="00DF0593" w:rsidRPr="00734891">
        <w:rPr>
          <w:rFonts w:asciiTheme="minorHAnsi" w:hAnsiTheme="minorHAnsi"/>
          <w:sz w:val="24"/>
          <w:szCs w:val="24"/>
        </w:rPr>
        <w:t>advice on base case assumptions from November 2013 resubmission</w:t>
      </w:r>
    </w:p>
    <w:tbl>
      <w:tblPr>
        <w:tblStyle w:val="TableGrid"/>
        <w:tblW w:w="0" w:type="auto"/>
        <w:tblLook w:val="04A0" w:firstRow="1" w:lastRow="0" w:firstColumn="1" w:lastColumn="0" w:noHBand="0" w:noVBand="1"/>
        <w:tblCaption w:val="October 2013 DUSC advice on base case assumptions from November 2013 resubmission"/>
        <w:tblDescription w:val="Three columns with the estimate, source and DUSC advice for each of baseline market size, market growth, uptake and standard dose of ferric carboxymaltose."/>
      </w:tblPr>
      <w:tblGrid>
        <w:gridCol w:w="2235"/>
        <w:gridCol w:w="2268"/>
        <w:gridCol w:w="4019"/>
      </w:tblGrid>
      <w:tr w:rsidR="006A2AB5" w:rsidRPr="00734891" w:rsidTr="00E34F9A">
        <w:trPr>
          <w:tblHeader/>
        </w:trPr>
        <w:tc>
          <w:tcPr>
            <w:tcW w:w="2235" w:type="dxa"/>
            <w:shd w:val="clear" w:color="auto" w:fill="BFBFBF" w:themeFill="background1" w:themeFillShade="BF"/>
          </w:tcPr>
          <w:p w:rsidR="00BD1004" w:rsidRPr="00734891" w:rsidRDefault="00DF0593" w:rsidP="00887FE1">
            <w:pPr>
              <w:rPr>
                <w:b/>
                <w:sz w:val="20"/>
                <w:szCs w:val="20"/>
              </w:rPr>
            </w:pPr>
            <w:r w:rsidRPr="00734891">
              <w:rPr>
                <w:b/>
                <w:sz w:val="20"/>
                <w:szCs w:val="20"/>
              </w:rPr>
              <w:t>Estimate</w:t>
            </w:r>
          </w:p>
        </w:tc>
        <w:tc>
          <w:tcPr>
            <w:tcW w:w="2268" w:type="dxa"/>
            <w:shd w:val="clear" w:color="auto" w:fill="BFBFBF" w:themeFill="background1" w:themeFillShade="BF"/>
          </w:tcPr>
          <w:p w:rsidR="00BD1004" w:rsidRPr="00734891" w:rsidRDefault="00BD1004" w:rsidP="00887FE1">
            <w:pPr>
              <w:rPr>
                <w:b/>
                <w:sz w:val="20"/>
                <w:szCs w:val="20"/>
              </w:rPr>
            </w:pPr>
            <w:r w:rsidRPr="00734891">
              <w:rPr>
                <w:b/>
                <w:sz w:val="20"/>
                <w:szCs w:val="20"/>
              </w:rPr>
              <w:t>Source</w:t>
            </w:r>
          </w:p>
        </w:tc>
        <w:tc>
          <w:tcPr>
            <w:tcW w:w="4019" w:type="dxa"/>
            <w:shd w:val="clear" w:color="auto" w:fill="BFBFBF" w:themeFill="background1" w:themeFillShade="BF"/>
          </w:tcPr>
          <w:p w:rsidR="00BD1004" w:rsidRPr="00734891" w:rsidRDefault="00BD1004" w:rsidP="00887FE1">
            <w:pPr>
              <w:rPr>
                <w:b/>
                <w:sz w:val="20"/>
                <w:szCs w:val="20"/>
              </w:rPr>
            </w:pPr>
            <w:r w:rsidRPr="00734891">
              <w:rPr>
                <w:b/>
                <w:sz w:val="20"/>
                <w:szCs w:val="20"/>
              </w:rPr>
              <w:t>DUSC advice</w:t>
            </w:r>
          </w:p>
        </w:tc>
      </w:tr>
      <w:tr w:rsidR="008A425D" w:rsidRPr="00734891" w:rsidTr="008A425D">
        <w:tc>
          <w:tcPr>
            <w:tcW w:w="2235" w:type="dxa"/>
            <w:shd w:val="clear" w:color="auto" w:fill="auto"/>
          </w:tcPr>
          <w:p w:rsidR="001A2867" w:rsidRPr="00734891" w:rsidRDefault="006D76AF" w:rsidP="001A2867">
            <w:pPr>
              <w:rPr>
                <w:sz w:val="20"/>
                <w:szCs w:val="20"/>
              </w:rPr>
            </w:pPr>
            <w:r w:rsidRPr="00734891">
              <w:rPr>
                <w:sz w:val="20"/>
                <w:szCs w:val="20"/>
              </w:rPr>
              <w:t>Baseline m</w:t>
            </w:r>
            <w:r w:rsidR="008A425D" w:rsidRPr="00734891">
              <w:rPr>
                <w:sz w:val="20"/>
                <w:szCs w:val="20"/>
              </w:rPr>
              <w:t>arket size</w:t>
            </w:r>
            <w:r w:rsidR="001A2867" w:rsidRPr="00734891">
              <w:rPr>
                <w:sz w:val="20"/>
                <w:szCs w:val="20"/>
              </w:rPr>
              <w:t xml:space="preserve"> </w:t>
            </w:r>
          </w:p>
          <w:p w:rsidR="001A2867" w:rsidRPr="00734891" w:rsidRDefault="001A2867" w:rsidP="001A2867">
            <w:pPr>
              <w:rPr>
                <w:sz w:val="20"/>
                <w:szCs w:val="20"/>
              </w:rPr>
            </w:pPr>
          </w:p>
          <w:p w:rsidR="001A2867" w:rsidRPr="00734891" w:rsidRDefault="001A2867" w:rsidP="00BB76C3">
            <w:pPr>
              <w:rPr>
                <w:sz w:val="20"/>
                <w:szCs w:val="20"/>
              </w:rPr>
            </w:pPr>
          </w:p>
        </w:tc>
        <w:tc>
          <w:tcPr>
            <w:tcW w:w="2268" w:type="dxa"/>
            <w:shd w:val="clear" w:color="auto" w:fill="auto"/>
          </w:tcPr>
          <w:p w:rsidR="008A425D" w:rsidRPr="00734891" w:rsidRDefault="001A2867" w:rsidP="001A2867">
            <w:pPr>
              <w:rPr>
                <w:sz w:val="20"/>
                <w:szCs w:val="20"/>
              </w:rPr>
            </w:pPr>
            <w:r w:rsidRPr="00734891">
              <w:rPr>
                <w:sz w:val="20"/>
                <w:szCs w:val="20"/>
              </w:rPr>
              <w:t>Hospital separations for IDA (sourced from AIHW)</w:t>
            </w:r>
          </w:p>
          <w:p w:rsidR="001A2867" w:rsidRPr="00734891" w:rsidRDefault="001A2867" w:rsidP="001A2867">
            <w:pPr>
              <w:rPr>
                <w:sz w:val="20"/>
                <w:szCs w:val="20"/>
              </w:rPr>
            </w:pPr>
          </w:p>
          <w:p w:rsidR="001A2867" w:rsidRPr="00734891" w:rsidRDefault="001A2867" w:rsidP="001A2867">
            <w:pPr>
              <w:rPr>
                <w:sz w:val="20"/>
                <w:szCs w:val="20"/>
              </w:rPr>
            </w:pPr>
            <w:r w:rsidRPr="00734891">
              <w:rPr>
                <w:sz w:val="20"/>
                <w:szCs w:val="20"/>
              </w:rPr>
              <w:t xml:space="preserve">GP consultations where IV iron was prescribed (General Practice Research Network database) </w:t>
            </w:r>
          </w:p>
        </w:tc>
        <w:tc>
          <w:tcPr>
            <w:tcW w:w="4019" w:type="dxa"/>
            <w:shd w:val="clear" w:color="auto" w:fill="auto"/>
          </w:tcPr>
          <w:p w:rsidR="008A425D" w:rsidRPr="00734891" w:rsidRDefault="001A2867" w:rsidP="001A2867">
            <w:pPr>
              <w:rPr>
                <w:sz w:val="20"/>
                <w:szCs w:val="20"/>
              </w:rPr>
            </w:pPr>
            <w:r w:rsidRPr="00734891">
              <w:rPr>
                <w:sz w:val="20"/>
                <w:szCs w:val="20"/>
              </w:rPr>
              <w:t xml:space="preserve">The number of GP consultations where IP was prescribed could potentially have been three times higher than </w:t>
            </w:r>
            <w:r w:rsidR="00520754">
              <w:rPr>
                <w:sz w:val="20"/>
                <w:szCs w:val="20"/>
              </w:rPr>
              <w:t xml:space="preserve">that </w:t>
            </w:r>
            <w:r w:rsidRPr="00734891">
              <w:rPr>
                <w:sz w:val="20"/>
                <w:szCs w:val="20"/>
              </w:rPr>
              <w:t>presented in the submission, resulting in an underestimate of the baseline market and representing closer to 50% of the distribution across treatment settings at the time.</w:t>
            </w:r>
          </w:p>
        </w:tc>
      </w:tr>
      <w:tr w:rsidR="006A2AB5" w:rsidRPr="00734891" w:rsidTr="00BD1004">
        <w:tc>
          <w:tcPr>
            <w:tcW w:w="2235" w:type="dxa"/>
          </w:tcPr>
          <w:p w:rsidR="00BD1004" w:rsidRPr="00734891" w:rsidRDefault="00EB56CB" w:rsidP="00887FE1">
            <w:pPr>
              <w:rPr>
                <w:sz w:val="20"/>
                <w:szCs w:val="20"/>
              </w:rPr>
            </w:pPr>
            <w:r w:rsidRPr="00734891">
              <w:rPr>
                <w:sz w:val="20"/>
                <w:szCs w:val="20"/>
              </w:rPr>
              <w:t>Market growth</w:t>
            </w:r>
          </w:p>
        </w:tc>
        <w:tc>
          <w:tcPr>
            <w:tcW w:w="2268" w:type="dxa"/>
          </w:tcPr>
          <w:p w:rsidR="00BD1004" w:rsidRPr="00E0039A" w:rsidRDefault="00BD1004" w:rsidP="00887FE1">
            <w:pPr>
              <w:rPr>
                <w:sz w:val="20"/>
                <w:szCs w:val="20"/>
              </w:rPr>
            </w:pPr>
            <w:r w:rsidRPr="00E0039A">
              <w:rPr>
                <w:sz w:val="20"/>
                <w:szCs w:val="20"/>
              </w:rPr>
              <w:t>Submission assumption</w:t>
            </w:r>
          </w:p>
          <w:p w:rsidR="00802A66" w:rsidRPr="00E0039A" w:rsidRDefault="00520754" w:rsidP="00DF7CA5">
            <w:pPr>
              <w:rPr>
                <w:sz w:val="20"/>
                <w:szCs w:val="20"/>
              </w:rPr>
            </w:pPr>
            <w:r w:rsidRPr="00E0039A">
              <w:rPr>
                <w:sz w:val="20"/>
                <w:szCs w:val="20"/>
              </w:rPr>
              <w:t>(a</w:t>
            </w:r>
            <w:r w:rsidR="00EB56CB" w:rsidRPr="00E0039A">
              <w:rPr>
                <w:sz w:val="20"/>
                <w:szCs w:val="20"/>
              </w:rPr>
              <w:t xml:space="preserve">dditional market growth of </w:t>
            </w:r>
            <w:r w:rsidR="00F36F22">
              <w:rPr>
                <w:noProof/>
                <w:color w:val="000000"/>
                <w:sz w:val="20"/>
                <w:szCs w:val="20"/>
                <w:highlight w:val="black"/>
              </w:rPr>
              <w:t>''''''''' ''''''' '''''''' ''''' ' '''' '''''''' '''''''' ''''' ' '''''</w:t>
            </w:r>
            <w:r w:rsidRPr="00E0039A">
              <w:rPr>
                <w:sz w:val="20"/>
                <w:szCs w:val="20"/>
              </w:rPr>
              <w:t>)</w:t>
            </w:r>
          </w:p>
        </w:tc>
        <w:tc>
          <w:tcPr>
            <w:tcW w:w="4019" w:type="dxa"/>
          </w:tcPr>
          <w:p w:rsidR="00BD1004" w:rsidRPr="00E0039A" w:rsidRDefault="00BD1004" w:rsidP="00887FE1">
            <w:pPr>
              <w:pStyle w:val="BodyText"/>
              <w:jc w:val="left"/>
              <w:rPr>
                <w:rFonts w:asciiTheme="minorHAnsi" w:hAnsiTheme="minorHAnsi"/>
                <w:b w:val="0"/>
              </w:rPr>
            </w:pPr>
            <w:r w:rsidRPr="00E0039A">
              <w:rPr>
                <w:rFonts w:asciiTheme="minorHAnsi" w:hAnsiTheme="minorHAnsi"/>
                <w:b w:val="0"/>
              </w:rPr>
              <w:t xml:space="preserve">IDA was likely to be undertreated due to perceived and actual problems with use of oral and available subsidised parenteral iron. The submission assumed additional growth in the total IV iron market initially, and while DUSC considered this reasonable, the extent of current underutilisation was not quantified in the submission. </w:t>
            </w:r>
          </w:p>
        </w:tc>
      </w:tr>
      <w:tr w:rsidR="006A2AB5" w:rsidRPr="00734891" w:rsidTr="00BD1004">
        <w:tc>
          <w:tcPr>
            <w:tcW w:w="2235" w:type="dxa"/>
          </w:tcPr>
          <w:p w:rsidR="00BD1004" w:rsidRPr="00734891" w:rsidRDefault="00BD1004" w:rsidP="00887FE1">
            <w:pPr>
              <w:rPr>
                <w:sz w:val="20"/>
                <w:szCs w:val="20"/>
              </w:rPr>
            </w:pPr>
            <w:r w:rsidRPr="00734891">
              <w:rPr>
                <w:sz w:val="20"/>
                <w:szCs w:val="20"/>
              </w:rPr>
              <w:t>Uptake</w:t>
            </w:r>
            <w:r w:rsidR="00DF7CA5" w:rsidRPr="00734891">
              <w:rPr>
                <w:sz w:val="20"/>
                <w:szCs w:val="20"/>
              </w:rPr>
              <w:t xml:space="preserve"> (FCM m</w:t>
            </w:r>
            <w:r w:rsidR="00EB56CB" w:rsidRPr="00734891">
              <w:rPr>
                <w:sz w:val="20"/>
                <w:szCs w:val="20"/>
              </w:rPr>
              <w:t>arket share)</w:t>
            </w:r>
          </w:p>
        </w:tc>
        <w:tc>
          <w:tcPr>
            <w:tcW w:w="2268" w:type="dxa"/>
          </w:tcPr>
          <w:p w:rsidR="00BD1004" w:rsidRPr="00E0039A" w:rsidRDefault="00DF0593" w:rsidP="00887FE1">
            <w:pPr>
              <w:rPr>
                <w:sz w:val="20"/>
                <w:szCs w:val="20"/>
              </w:rPr>
            </w:pPr>
            <w:r w:rsidRPr="00E0039A">
              <w:rPr>
                <w:sz w:val="20"/>
                <w:szCs w:val="20"/>
              </w:rPr>
              <w:t>Submission assumption</w:t>
            </w:r>
          </w:p>
          <w:p w:rsidR="006D76AF" w:rsidRPr="00E0039A" w:rsidRDefault="00520754" w:rsidP="00887FE1">
            <w:pPr>
              <w:rPr>
                <w:sz w:val="20"/>
                <w:szCs w:val="20"/>
              </w:rPr>
            </w:pPr>
            <w:r w:rsidRPr="00E0039A">
              <w:rPr>
                <w:sz w:val="20"/>
                <w:szCs w:val="20"/>
              </w:rPr>
              <w:t>(</w:t>
            </w:r>
            <w:r w:rsidR="006D76AF" w:rsidRPr="00E0039A">
              <w:rPr>
                <w:sz w:val="20"/>
                <w:szCs w:val="20"/>
              </w:rPr>
              <w:t xml:space="preserve">FCM </w:t>
            </w:r>
            <w:r w:rsidR="00F36F22">
              <w:rPr>
                <w:noProof/>
                <w:color w:val="000000"/>
                <w:sz w:val="20"/>
                <w:szCs w:val="20"/>
                <w:highlight w:val="black"/>
              </w:rPr>
              <w:t>'''''</w:t>
            </w:r>
            <w:r w:rsidR="006D76AF" w:rsidRPr="00E0039A">
              <w:rPr>
                <w:sz w:val="20"/>
                <w:szCs w:val="20"/>
              </w:rPr>
              <w:t xml:space="preserve">% in Y1 increasing to </w:t>
            </w:r>
            <w:r w:rsidR="00F36F22">
              <w:rPr>
                <w:noProof/>
                <w:color w:val="000000"/>
                <w:sz w:val="20"/>
                <w:szCs w:val="20"/>
                <w:highlight w:val="black"/>
              </w:rPr>
              <w:t>'''''</w:t>
            </w:r>
            <w:r w:rsidR="006D76AF" w:rsidRPr="00E0039A">
              <w:rPr>
                <w:sz w:val="20"/>
                <w:szCs w:val="20"/>
              </w:rPr>
              <w:t>% in Y5)</w:t>
            </w:r>
          </w:p>
          <w:p w:rsidR="00EB56CB" w:rsidRPr="00E0039A" w:rsidRDefault="00EB56CB" w:rsidP="00887FE1">
            <w:pPr>
              <w:rPr>
                <w:sz w:val="20"/>
                <w:szCs w:val="20"/>
              </w:rPr>
            </w:pPr>
          </w:p>
        </w:tc>
        <w:tc>
          <w:tcPr>
            <w:tcW w:w="4019" w:type="dxa"/>
          </w:tcPr>
          <w:p w:rsidR="00BD1004" w:rsidRPr="00E0039A" w:rsidRDefault="00BD1004" w:rsidP="00887FE1">
            <w:pPr>
              <w:pStyle w:val="BodyText"/>
              <w:jc w:val="left"/>
              <w:rPr>
                <w:rFonts w:asciiTheme="minorHAnsi" w:hAnsiTheme="minorHAnsi"/>
                <w:b w:val="0"/>
              </w:rPr>
            </w:pPr>
            <w:r w:rsidRPr="00E0039A">
              <w:rPr>
                <w:rFonts w:asciiTheme="minorHAnsi" w:hAnsiTheme="minorHAnsi"/>
                <w:b w:val="0"/>
              </w:rPr>
              <w:t>Uptake was considered to potentially be high in both the treated and untreated population</w:t>
            </w:r>
            <w:r w:rsidR="00520754" w:rsidRPr="00E0039A">
              <w:rPr>
                <w:rFonts w:asciiTheme="minorHAnsi" w:hAnsiTheme="minorHAnsi"/>
                <w:b w:val="0"/>
              </w:rPr>
              <w:t>s</w:t>
            </w:r>
            <w:r w:rsidRPr="00E0039A">
              <w:rPr>
                <w:rFonts w:asciiTheme="minorHAnsi" w:hAnsiTheme="minorHAnsi"/>
                <w:b w:val="0"/>
              </w:rPr>
              <w:t xml:space="preserve">. The feasibility and acceptability of FCM administration in practice would impact uptake and redistribution across settings. </w:t>
            </w:r>
          </w:p>
        </w:tc>
      </w:tr>
      <w:tr w:rsidR="006A2AB5" w:rsidRPr="00734891" w:rsidTr="00BD1004">
        <w:tc>
          <w:tcPr>
            <w:tcW w:w="2235" w:type="dxa"/>
          </w:tcPr>
          <w:p w:rsidR="00BD1004" w:rsidRPr="00734891" w:rsidRDefault="002C4BC6" w:rsidP="00887FE1">
            <w:pPr>
              <w:rPr>
                <w:sz w:val="20"/>
                <w:szCs w:val="20"/>
              </w:rPr>
            </w:pPr>
            <w:r>
              <w:rPr>
                <w:sz w:val="20"/>
                <w:szCs w:val="20"/>
              </w:rPr>
              <w:t>Standard dose of 1,000 </w:t>
            </w:r>
            <w:r w:rsidR="00BD1004" w:rsidRPr="00734891">
              <w:rPr>
                <w:sz w:val="20"/>
                <w:szCs w:val="20"/>
              </w:rPr>
              <w:t>mg and distribution across settings</w:t>
            </w:r>
          </w:p>
        </w:tc>
        <w:tc>
          <w:tcPr>
            <w:tcW w:w="2268" w:type="dxa"/>
          </w:tcPr>
          <w:p w:rsidR="00BD1004" w:rsidRPr="00E0039A" w:rsidRDefault="00BD1004" w:rsidP="00887FE1">
            <w:pPr>
              <w:rPr>
                <w:sz w:val="20"/>
                <w:szCs w:val="20"/>
              </w:rPr>
            </w:pPr>
            <w:r w:rsidRPr="00E0039A">
              <w:rPr>
                <w:sz w:val="20"/>
                <w:szCs w:val="20"/>
              </w:rPr>
              <w:t>Treatment survey</w:t>
            </w:r>
          </w:p>
          <w:p w:rsidR="00DF7CA5" w:rsidRPr="00E0039A" w:rsidRDefault="00DF7CA5" w:rsidP="00887FE1">
            <w:pPr>
              <w:rPr>
                <w:sz w:val="20"/>
                <w:szCs w:val="20"/>
              </w:rPr>
            </w:pPr>
          </w:p>
          <w:p w:rsidR="00700970" w:rsidRPr="00F36F22" w:rsidRDefault="00F36F22" w:rsidP="00BB76C3">
            <w:pPr>
              <w:rPr>
                <w:sz w:val="20"/>
                <w:szCs w:val="20"/>
                <w:highlight w:val="black"/>
              </w:rPr>
            </w:pPr>
            <w:r>
              <w:rPr>
                <w:noProof/>
                <w:color w:val="000000"/>
                <w:sz w:val="20"/>
                <w:szCs w:val="20"/>
                <w:highlight w:val="black"/>
              </w:rPr>
              <w:t>''''' ''''''''''''''''''''' ''''''''' '''' ''''''' '''''''''''''''''' ''' '''''''''''' ''''''''''''''''' '''''''''''''''' ''''' ''''''''''''''''' ''''''''' '''' '''' ''''''''' ''''''''''''''''''' ''''''''''''' '''''''''' ''''' ''''' ''''''''''' '''''''' '''''''' '''''''''' ''''' '''''''''''''' '''''' '''' ''''' ''''''' '''''''' '''''''''''' '''''' ''''''''''' ''''''''''''''''' ''''''''''' '''''''''''''''''' ''''''' ''''''''''''''' '''' ''''' '''''' ''''''''' ''''''' ''''''''' '''''''' ''''''''''''''''''' '''''''''''''''''''''''''''''''</w:t>
            </w:r>
          </w:p>
        </w:tc>
        <w:tc>
          <w:tcPr>
            <w:tcW w:w="4019" w:type="dxa"/>
          </w:tcPr>
          <w:p w:rsidR="00BD1004" w:rsidRPr="00E0039A" w:rsidRDefault="00BD1004" w:rsidP="00E929CA">
            <w:pPr>
              <w:pStyle w:val="BodyText"/>
              <w:jc w:val="left"/>
              <w:rPr>
                <w:rFonts w:asciiTheme="minorHAnsi" w:hAnsiTheme="minorHAnsi"/>
                <w:b w:val="0"/>
              </w:rPr>
            </w:pPr>
            <w:r w:rsidRPr="00E0039A">
              <w:rPr>
                <w:rFonts w:asciiTheme="minorHAnsi" w:hAnsiTheme="minorHAnsi"/>
                <w:b w:val="0"/>
              </w:rPr>
              <w:t xml:space="preserve">The treatment survey needed to be interpreted with caution due to internal and external validity concerns. </w:t>
            </w:r>
            <w:r w:rsidR="00E929CA" w:rsidRPr="00E0039A">
              <w:rPr>
                <w:rFonts w:asciiTheme="minorHAnsi" w:hAnsiTheme="minorHAnsi"/>
                <w:b w:val="0"/>
              </w:rPr>
              <w:t xml:space="preserve">The percentage distribution of patients in admitted versus non-admitted settings reported in the survey was highly variable and included haemodialysis patients who are not part of the requested population. </w:t>
            </w:r>
            <w:r w:rsidRPr="00E0039A">
              <w:rPr>
                <w:rFonts w:asciiTheme="minorHAnsi" w:hAnsiTheme="minorHAnsi"/>
                <w:b w:val="0"/>
              </w:rPr>
              <w:t xml:space="preserve">The extent of cost offsets or cost savings in all settings was unclear. </w:t>
            </w:r>
          </w:p>
          <w:p w:rsidR="00AA5764" w:rsidRPr="00E0039A" w:rsidRDefault="00AA5764" w:rsidP="00E929CA">
            <w:pPr>
              <w:pStyle w:val="BodyText"/>
              <w:jc w:val="left"/>
              <w:rPr>
                <w:rFonts w:asciiTheme="minorHAnsi" w:hAnsiTheme="minorHAnsi"/>
                <w:b w:val="0"/>
              </w:rPr>
            </w:pPr>
          </w:p>
          <w:p w:rsidR="00AA5764" w:rsidRPr="00E0039A" w:rsidRDefault="00AA5764" w:rsidP="00E929CA">
            <w:pPr>
              <w:pStyle w:val="BodyText"/>
              <w:jc w:val="left"/>
              <w:rPr>
                <w:rFonts w:asciiTheme="minorHAnsi" w:hAnsiTheme="minorHAnsi"/>
                <w:b w:val="0"/>
              </w:rPr>
            </w:pPr>
            <w:r w:rsidRPr="00E0039A">
              <w:rPr>
                <w:rFonts w:asciiTheme="minorHAnsi" w:hAnsiTheme="minorHAnsi"/>
                <w:b w:val="0"/>
              </w:rPr>
              <w:t xml:space="preserve">The survey may have underrepresented indigenous communities, as the Northern Territory was not included, and therefore may not be generalizable. </w:t>
            </w:r>
          </w:p>
        </w:tc>
      </w:tr>
    </w:tbl>
    <w:p w:rsidR="00DF0593" w:rsidRPr="00734891" w:rsidRDefault="00DF0593" w:rsidP="00DF0593">
      <w:pPr>
        <w:widowControl w:val="0"/>
        <w:spacing w:after="0"/>
        <w:rPr>
          <w:rFonts w:eastAsia="Times New Roman" w:cs="Times New Roman"/>
          <w:snapToGrid w:val="0"/>
          <w:lang w:eastAsia="en-US"/>
        </w:rPr>
      </w:pPr>
      <w:r w:rsidRPr="00734891">
        <w:rPr>
          <w:rFonts w:eastAsia="Times New Roman" w:cs="Times New Roman"/>
          <w:snapToGrid w:val="0"/>
          <w:sz w:val="20"/>
          <w:szCs w:val="20"/>
          <w:lang w:eastAsia="en-US"/>
        </w:rPr>
        <w:t>Sou</w:t>
      </w:r>
      <w:r w:rsidR="00161CFA" w:rsidRPr="00734891">
        <w:rPr>
          <w:rFonts w:eastAsia="Times New Roman" w:cs="Times New Roman"/>
          <w:snapToGrid w:val="0"/>
          <w:sz w:val="20"/>
          <w:szCs w:val="20"/>
          <w:lang w:eastAsia="en-US"/>
        </w:rPr>
        <w:t xml:space="preserve">rce: DUSC advice October 2013. </w:t>
      </w:r>
      <w:r w:rsidRPr="00734891">
        <w:rPr>
          <w:rFonts w:eastAsia="Times New Roman" w:cs="Times New Roman"/>
          <w:snapToGrid w:val="0"/>
          <w:sz w:val="20"/>
          <w:szCs w:val="20"/>
          <w:lang w:eastAsia="en-US"/>
        </w:rPr>
        <w:t>FCM: ferric carboxymaltose</w:t>
      </w:r>
      <w:r w:rsidR="00EA4685" w:rsidRPr="00734891">
        <w:rPr>
          <w:rFonts w:eastAsia="Times New Roman" w:cs="Times New Roman"/>
          <w:snapToGrid w:val="0"/>
          <w:sz w:val="20"/>
          <w:szCs w:val="20"/>
          <w:lang w:eastAsia="en-US"/>
        </w:rPr>
        <w:t>, IDA: iron deficiency anaemia</w:t>
      </w:r>
    </w:p>
    <w:p w:rsidR="00BD1004" w:rsidRPr="00734891" w:rsidRDefault="00BD1004" w:rsidP="00DA307C">
      <w:pPr>
        <w:pStyle w:val="BodyText"/>
        <w:jc w:val="left"/>
        <w:rPr>
          <w:rFonts w:asciiTheme="minorHAnsi" w:hAnsiTheme="minorHAnsi"/>
          <w:b w:val="0"/>
          <w:sz w:val="24"/>
          <w:szCs w:val="24"/>
        </w:rPr>
      </w:pPr>
    </w:p>
    <w:p w:rsidR="00DA307C" w:rsidRPr="00734891" w:rsidRDefault="00DA307C" w:rsidP="00EA4685">
      <w:pPr>
        <w:rPr>
          <w:b/>
        </w:rPr>
      </w:pPr>
      <w:r w:rsidRPr="00734891">
        <w:t xml:space="preserve">DUSC considered it likely that the 500 mg vial would be used for chronic haemodialysis patients, who require lower maintenance doses, in outpatient and community settings. </w:t>
      </w:r>
      <w:r w:rsidR="00EA4685" w:rsidRPr="00734891">
        <w:rPr>
          <w:rFonts w:cs="Arial"/>
        </w:rPr>
        <w:t>Exclusion of chronic haemodialysis patients receiving maintenance therapy is not pos</w:t>
      </w:r>
      <w:r w:rsidR="002A2AAB" w:rsidRPr="00734891">
        <w:rPr>
          <w:rFonts w:cs="Arial"/>
        </w:rPr>
        <w:t xml:space="preserve">sible with </w:t>
      </w:r>
      <w:r w:rsidR="00EA4685" w:rsidRPr="00734891">
        <w:rPr>
          <w:rFonts w:cs="Arial"/>
        </w:rPr>
        <w:t>unrestricted benefit listing</w:t>
      </w:r>
      <w:r w:rsidR="00E53C98" w:rsidRPr="00734891">
        <w:rPr>
          <w:rFonts w:cs="Arial"/>
        </w:rPr>
        <w:t>s</w:t>
      </w:r>
      <w:r w:rsidR="00EA4685" w:rsidRPr="00734891">
        <w:rPr>
          <w:rFonts w:cs="Arial"/>
        </w:rPr>
        <w:t xml:space="preserve">. </w:t>
      </w:r>
      <w:r w:rsidR="00520754">
        <w:rPr>
          <w:rFonts w:cs="Arial"/>
        </w:rPr>
        <w:t>DUSC considered t</w:t>
      </w:r>
      <w:r w:rsidR="00EA4685" w:rsidRPr="00734891">
        <w:rPr>
          <w:rFonts w:cs="Arial"/>
        </w:rPr>
        <w:t>here would be wastage and increased o</w:t>
      </w:r>
      <w:r w:rsidR="00520754">
        <w:rPr>
          <w:rFonts w:cs="Arial"/>
        </w:rPr>
        <w:t>verall costs for treating the haemodialysis</w:t>
      </w:r>
      <w:r w:rsidR="00EA4685" w:rsidRPr="00734891">
        <w:rPr>
          <w:rFonts w:cs="Arial"/>
        </w:rPr>
        <w:t xml:space="preserve"> population with FCM over IP. </w:t>
      </w:r>
    </w:p>
    <w:p w:rsidR="00DA307C" w:rsidRPr="00734891" w:rsidRDefault="00BD1004" w:rsidP="00BD1004">
      <w:pPr>
        <w:pStyle w:val="BodyText"/>
        <w:jc w:val="left"/>
        <w:rPr>
          <w:rFonts w:asciiTheme="minorHAnsi" w:hAnsiTheme="minorHAnsi"/>
          <w:b w:val="0"/>
          <w:sz w:val="24"/>
          <w:szCs w:val="24"/>
        </w:rPr>
      </w:pPr>
      <w:r w:rsidRPr="00734891">
        <w:rPr>
          <w:rFonts w:asciiTheme="minorHAnsi" w:hAnsiTheme="minorHAnsi"/>
          <w:b w:val="0"/>
          <w:sz w:val="24"/>
          <w:szCs w:val="24"/>
        </w:rPr>
        <w:t>DUSC also considered that t</w:t>
      </w:r>
      <w:r w:rsidR="00DA307C" w:rsidRPr="00734891">
        <w:rPr>
          <w:rFonts w:asciiTheme="minorHAnsi" w:hAnsiTheme="minorHAnsi"/>
          <w:b w:val="0"/>
          <w:sz w:val="24"/>
          <w:szCs w:val="24"/>
        </w:rPr>
        <w:t xml:space="preserve">here was risk for use outside of the restriction for iron deficiency without anaemia, or in patients with symptoms (e.g. fatigue) of iron deficiency anaemia. </w:t>
      </w:r>
    </w:p>
    <w:p w:rsidR="00EA4685" w:rsidRPr="00734891" w:rsidRDefault="00DA307C" w:rsidP="00DA307C">
      <w:pPr>
        <w:pStyle w:val="BodyText"/>
        <w:jc w:val="left"/>
        <w:rPr>
          <w:rFonts w:asciiTheme="minorHAnsi" w:hAnsiTheme="minorHAnsi"/>
          <w:b w:val="0"/>
          <w:sz w:val="24"/>
          <w:szCs w:val="24"/>
        </w:rPr>
      </w:pPr>
      <w:r w:rsidRPr="00734891">
        <w:rPr>
          <w:rFonts w:asciiTheme="minorHAnsi" w:hAnsiTheme="minorHAnsi"/>
          <w:b w:val="0"/>
          <w:sz w:val="24"/>
          <w:szCs w:val="24"/>
        </w:rPr>
        <w:lastRenderedPageBreak/>
        <w:br/>
      </w:r>
      <w:r w:rsidR="00EA4685" w:rsidRPr="00734891">
        <w:rPr>
          <w:rFonts w:asciiTheme="minorHAnsi" w:hAnsiTheme="minorHAnsi"/>
          <w:b w:val="0"/>
          <w:sz w:val="24"/>
          <w:szCs w:val="24"/>
        </w:rPr>
        <w:t xml:space="preserve">From a quality use of medicines perspective, DUSC </w:t>
      </w:r>
      <w:r w:rsidRPr="00734891">
        <w:rPr>
          <w:rFonts w:asciiTheme="minorHAnsi" w:hAnsiTheme="minorHAnsi"/>
          <w:b w:val="0"/>
          <w:sz w:val="24"/>
          <w:szCs w:val="24"/>
        </w:rPr>
        <w:t>considered that due to its convenience over IP, FCM may have an important role in reducing unnecessary use of red cell transfusion, and for replenishment of iron stores in patients who require transfusion to avoid further IDA episodes. It should be noted that PBS-subsidised FCM is not able to be prescribed to hospital inpatients, and so the availability of FCM in individual hospital formularies will impact uptake.</w:t>
      </w:r>
    </w:p>
    <w:p w:rsidR="00D5315E" w:rsidRPr="00734891" w:rsidRDefault="00D5315E" w:rsidP="00D5315E">
      <w:pPr>
        <w:pStyle w:val="NormalWeb"/>
        <w:shd w:val="clear" w:color="auto" w:fill="FFFFFF"/>
        <w:spacing w:before="0" w:beforeAutospacing="0" w:after="0" w:afterAutospacing="0" w:line="300" w:lineRule="atLeast"/>
        <w:rPr>
          <w:rFonts w:asciiTheme="minorHAnsi" w:hAnsiTheme="minorHAnsi" w:cs="Arial"/>
        </w:rPr>
      </w:pPr>
    </w:p>
    <w:p w:rsidR="00177457" w:rsidRPr="00734891" w:rsidRDefault="00177457" w:rsidP="00D5315E">
      <w:pPr>
        <w:pStyle w:val="NormalWeb"/>
        <w:shd w:val="clear" w:color="auto" w:fill="FFFFFF"/>
        <w:spacing w:before="0" w:beforeAutospacing="0" w:after="0" w:afterAutospacing="0" w:line="300" w:lineRule="atLeast"/>
        <w:rPr>
          <w:rFonts w:asciiTheme="minorHAnsi" w:hAnsiTheme="minorHAnsi" w:cs="Arial"/>
        </w:rPr>
      </w:pPr>
      <w:r w:rsidRPr="00734891">
        <w:rPr>
          <w:rFonts w:asciiTheme="minorHAnsi" w:hAnsiTheme="minorHAnsi" w:cs="Arial"/>
        </w:rPr>
        <w:t>The PBAC agreed with DUSC that FCM may facilitate greater use of iron infusions in specific settings where IDA was a significant health issue and access to hospital-based care was extremely limited, in particular remote and regional areas. However, they also considered that the uptake and delivery of services by GPs would be highly variable across Australia and dependent on various factors such as activity-based funding and resource utilisation in hospitals, fees for MBS services, and availability of equipment for infusion and monitoring.</w:t>
      </w:r>
    </w:p>
    <w:p w:rsidR="000240E3" w:rsidRPr="00734891" w:rsidRDefault="000240E3" w:rsidP="000240E3">
      <w:pPr>
        <w:pStyle w:val="NormalWeb"/>
        <w:shd w:val="clear" w:color="auto" w:fill="FFFFFF"/>
        <w:spacing w:before="0" w:beforeAutospacing="0" w:after="0" w:afterAutospacing="0" w:line="300" w:lineRule="atLeast"/>
        <w:rPr>
          <w:rFonts w:asciiTheme="minorHAnsi" w:hAnsiTheme="minorHAnsi" w:cs="Arial"/>
        </w:rPr>
      </w:pPr>
    </w:p>
    <w:p w:rsidR="00177457" w:rsidRPr="00734891" w:rsidRDefault="00177457" w:rsidP="000240E3">
      <w:pPr>
        <w:pStyle w:val="NormalWeb"/>
        <w:shd w:val="clear" w:color="auto" w:fill="FFFFFF"/>
        <w:spacing w:before="0" w:beforeAutospacing="0" w:after="0" w:afterAutospacing="0" w:line="300" w:lineRule="atLeast"/>
        <w:rPr>
          <w:rFonts w:asciiTheme="minorHAnsi" w:hAnsiTheme="minorHAnsi" w:cs="Arial"/>
        </w:rPr>
      </w:pPr>
      <w:r w:rsidRPr="006117FA">
        <w:rPr>
          <w:rFonts w:asciiTheme="minorHAnsi" w:hAnsiTheme="minorHAnsi" w:cs="Arial"/>
        </w:rPr>
        <w:t xml:space="preserve">The PBAC considered that the resubmission’s approach to preparing the estimates was reasonable. The PBAC agreed with DUSC that the treatment survey should be interpreted with caution due to external and internal validity concerns. In particular the PBAC agreed that the distribution of patients in non-admitted and admitted settings reported in the survey was highly variable and considered that the estimated proportions of people </w:t>
      </w:r>
      <w:r w:rsidRPr="00734891">
        <w:rPr>
          <w:rFonts w:asciiTheme="minorHAnsi" w:hAnsiTheme="minorHAnsi" w:cs="Arial"/>
        </w:rPr>
        <w:t>switching iron administration from hospital inpatient to hospital outpatient settings was inflated. The PBAC noted DUSC’s advice that more clinics, employing nurses to deliver services such as FCM administration, may be set up in community settings in the future. </w:t>
      </w:r>
    </w:p>
    <w:p w:rsidR="00E814C3" w:rsidRDefault="00E814C3" w:rsidP="00177457">
      <w:pPr>
        <w:spacing w:after="0"/>
        <w:contextualSpacing/>
        <w:rPr>
          <w:rFonts w:eastAsia="Times New Roman" w:cs="Times New Roman"/>
        </w:rPr>
      </w:pPr>
    </w:p>
    <w:p w:rsidR="00177457" w:rsidRPr="00734891" w:rsidRDefault="00177457" w:rsidP="00177457">
      <w:pPr>
        <w:spacing w:after="0"/>
        <w:contextualSpacing/>
        <w:rPr>
          <w:rFonts w:eastAsia="Times New Roman" w:cs="Times New Roman"/>
        </w:rPr>
      </w:pPr>
      <w:r w:rsidRPr="00734891">
        <w:rPr>
          <w:rFonts w:eastAsia="Times New Roman" w:cs="Times New Roman"/>
        </w:rPr>
        <w:t>The final agreed estimates differed from the estimates in the resubmission, as they incorporated the DUSC advice ‘that the number of GP consultations where IP is currently prescribed could potentially be three times higher than presented in the resubmission’.</w:t>
      </w:r>
    </w:p>
    <w:p w:rsidR="00177457" w:rsidRPr="00734891" w:rsidRDefault="00177457" w:rsidP="00177457">
      <w:pPr>
        <w:spacing w:after="0"/>
        <w:contextualSpacing/>
        <w:rPr>
          <w:rFonts w:eastAsia="Times New Roman" w:cs="Times New Roman"/>
        </w:rPr>
      </w:pPr>
    </w:p>
    <w:p w:rsidR="00A01726" w:rsidRDefault="00A01726" w:rsidP="00177457">
      <w:pPr>
        <w:spacing w:after="0"/>
        <w:contextualSpacing/>
        <w:rPr>
          <w:rFonts w:eastAsia="Times New Roman" w:cs="Times New Roman"/>
          <w:b/>
        </w:rPr>
      </w:pPr>
      <w:r>
        <w:rPr>
          <w:rFonts w:eastAsia="Times New Roman" w:cs="Times New Roman"/>
          <w:b/>
        </w:rPr>
        <w:br w:type="page"/>
      </w:r>
    </w:p>
    <w:p w:rsidR="00177457" w:rsidRPr="00E814C3" w:rsidRDefault="00177457" w:rsidP="00177457">
      <w:pPr>
        <w:spacing w:after="0"/>
        <w:contextualSpacing/>
        <w:rPr>
          <w:rFonts w:eastAsia="Times New Roman" w:cs="Times New Roman"/>
          <w:b/>
        </w:rPr>
      </w:pPr>
      <w:r w:rsidRPr="00E814C3">
        <w:rPr>
          <w:rFonts w:eastAsia="Times New Roman" w:cs="Times New Roman"/>
          <w:b/>
        </w:rPr>
        <w:lastRenderedPageBreak/>
        <w:t xml:space="preserve">Table 4: Resubmission and </w:t>
      </w:r>
      <w:r w:rsidRPr="00E814C3">
        <w:rPr>
          <w:rFonts w:eastAsia="Times New Roman" w:cs="Times New Roman"/>
          <w:b/>
          <w:i/>
        </w:rPr>
        <w:t>(final agreed estimates)</w:t>
      </w:r>
      <w:r w:rsidRPr="00E814C3">
        <w:rPr>
          <w:rFonts w:eastAsia="Times New Roman" w:cs="Times New Roman"/>
          <w:b/>
        </w:rPr>
        <w:t xml:space="preserve"> for cost analysis</w:t>
      </w:r>
    </w:p>
    <w:tbl>
      <w:tblPr>
        <w:tblStyle w:val="TableGrid"/>
        <w:tblW w:w="0" w:type="auto"/>
        <w:tblLook w:val="04A0" w:firstRow="1" w:lastRow="0" w:firstColumn="1" w:lastColumn="0" w:noHBand="0" w:noVBand="1"/>
        <w:tblCaption w:val="Resubmission and final agreed estimates for cost analysis"/>
        <w:tblDescription w:val="Five columns and sixteen rows. Outlines the parameters with their corresponding values, source and comments."/>
      </w:tblPr>
      <w:tblGrid>
        <w:gridCol w:w="586"/>
        <w:gridCol w:w="2256"/>
        <w:gridCol w:w="1271"/>
        <w:gridCol w:w="1554"/>
        <w:gridCol w:w="3506"/>
      </w:tblGrid>
      <w:tr w:rsidR="00177457" w:rsidRPr="00734891" w:rsidTr="00E34F9A">
        <w:trPr>
          <w:tblHeader/>
        </w:trPr>
        <w:tc>
          <w:tcPr>
            <w:tcW w:w="586" w:type="dxa"/>
            <w:shd w:val="clear" w:color="auto" w:fill="BFBFBF" w:themeFill="background1" w:themeFillShade="BF"/>
          </w:tcPr>
          <w:p w:rsidR="00177457" w:rsidRPr="00734891" w:rsidRDefault="00177457" w:rsidP="002E5F54">
            <w:pPr>
              <w:pStyle w:val="NormalWeb"/>
              <w:rPr>
                <w:rFonts w:asciiTheme="minorHAnsi" w:hAnsiTheme="minorHAnsi" w:cs="Arial"/>
                <w:b/>
                <w:sz w:val="20"/>
                <w:szCs w:val="20"/>
              </w:rPr>
            </w:pPr>
            <w:r w:rsidRPr="00734891">
              <w:rPr>
                <w:rFonts w:asciiTheme="minorHAnsi" w:hAnsiTheme="minorHAnsi" w:cs="Arial"/>
                <w:b/>
                <w:sz w:val="20"/>
                <w:szCs w:val="20"/>
              </w:rPr>
              <w:t>Row</w:t>
            </w:r>
          </w:p>
        </w:tc>
        <w:tc>
          <w:tcPr>
            <w:tcW w:w="2256" w:type="dxa"/>
            <w:shd w:val="clear" w:color="auto" w:fill="BFBFBF" w:themeFill="background1" w:themeFillShade="BF"/>
          </w:tcPr>
          <w:p w:rsidR="00177457" w:rsidRPr="00734891" w:rsidRDefault="00177457" w:rsidP="002E5F54">
            <w:pPr>
              <w:pStyle w:val="NormalWeb"/>
              <w:rPr>
                <w:rFonts w:asciiTheme="minorHAnsi" w:hAnsiTheme="minorHAnsi" w:cs="Arial"/>
                <w:b/>
                <w:sz w:val="20"/>
                <w:szCs w:val="20"/>
              </w:rPr>
            </w:pPr>
            <w:r w:rsidRPr="00734891">
              <w:rPr>
                <w:rFonts w:asciiTheme="minorHAnsi" w:hAnsiTheme="minorHAnsi" w:cs="Arial"/>
                <w:b/>
                <w:sz w:val="20"/>
                <w:szCs w:val="20"/>
              </w:rPr>
              <w:t>Parameter</w:t>
            </w:r>
          </w:p>
        </w:tc>
        <w:tc>
          <w:tcPr>
            <w:tcW w:w="1271" w:type="dxa"/>
            <w:shd w:val="clear" w:color="auto" w:fill="BFBFBF" w:themeFill="background1" w:themeFillShade="BF"/>
          </w:tcPr>
          <w:p w:rsidR="00177457" w:rsidRPr="00734891" w:rsidRDefault="00177457" w:rsidP="002E5F54">
            <w:pPr>
              <w:pStyle w:val="NormalWeb"/>
              <w:rPr>
                <w:rFonts w:asciiTheme="minorHAnsi" w:hAnsiTheme="minorHAnsi" w:cs="Arial"/>
                <w:b/>
                <w:sz w:val="20"/>
                <w:szCs w:val="20"/>
              </w:rPr>
            </w:pPr>
            <w:r w:rsidRPr="00734891">
              <w:rPr>
                <w:rFonts w:asciiTheme="minorHAnsi" w:hAnsiTheme="minorHAnsi" w:cs="Arial"/>
                <w:b/>
                <w:sz w:val="20"/>
                <w:szCs w:val="20"/>
              </w:rPr>
              <w:t>Value</w:t>
            </w:r>
          </w:p>
        </w:tc>
        <w:tc>
          <w:tcPr>
            <w:tcW w:w="1554" w:type="dxa"/>
            <w:shd w:val="clear" w:color="auto" w:fill="BFBFBF" w:themeFill="background1" w:themeFillShade="BF"/>
          </w:tcPr>
          <w:p w:rsidR="00177457" w:rsidRPr="00734891" w:rsidRDefault="00177457" w:rsidP="002E5F54">
            <w:pPr>
              <w:pStyle w:val="NormalWeb"/>
              <w:rPr>
                <w:rFonts w:asciiTheme="minorHAnsi" w:hAnsiTheme="minorHAnsi" w:cs="Arial"/>
                <w:b/>
                <w:sz w:val="20"/>
                <w:szCs w:val="20"/>
              </w:rPr>
            </w:pPr>
            <w:r w:rsidRPr="00734891">
              <w:rPr>
                <w:rFonts w:asciiTheme="minorHAnsi" w:hAnsiTheme="minorHAnsi" w:cs="Arial"/>
                <w:b/>
                <w:sz w:val="20"/>
                <w:szCs w:val="20"/>
              </w:rPr>
              <w:t>Source</w:t>
            </w:r>
          </w:p>
        </w:tc>
        <w:tc>
          <w:tcPr>
            <w:tcW w:w="3506" w:type="dxa"/>
            <w:shd w:val="clear" w:color="auto" w:fill="BFBFBF" w:themeFill="background1" w:themeFillShade="BF"/>
          </w:tcPr>
          <w:p w:rsidR="00177457" w:rsidRPr="00734891" w:rsidRDefault="00177457" w:rsidP="002E5F54">
            <w:pPr>
              <w:pStyle w:val="NormalWeb"/>
              <w:rPr>
                <w:rFonts w:asciiTheme="minorHAnsi" w:hAnsiTheme="minorHAnsi" w:cs="Arial"/>
                <w:b/>
                <w:sz w:val="20"/>
                <w:szCs w:val="20"/>
              </w:rPr>
            </w:pPr>
            <w:r w:rsidRPr="00734891">
              <w:rPr>
                <w:rFonts w:asciiTheme="minorHAnsi" w:hAnsiTheme="minorHAnsi" w:cs="Arial"/>
                <w:b/>
                <w:sz w:val="20"/>
                <w:szCs w:val="20"/>
              </w:rPr>
              <w:t>Comments</w:t>
            </w: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A</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cs="Arial"/>
                <w:sz w:val="20"/>
                <w:szCs w:val="20"/>
              </w:rPr>
              <w:t>Total admitted separations</w:t>
            </w:r>
          </w:p>
        </w:tc>
        <w:tc>
          <w:tcPr>
            <w:tcW w:w="1271" w:type="dxa"/>
            <w:vAlign w:val="center"/>
          </w:tcPr>
          <w:p w:rsidR="00177457" w:rsidRPr="00F36F22" w:rsidRDefault="00F36F22" w:rsidP="002E5F54">
            <w:pPr>
              <w:pStyle w:val="NormalWeb"/>
              <w:rPr>
                <w:rFonts w:asciiTheme="minorHAnsi" w:hAnsiTheme="minorHAnsi" w:cs="Arial"/>
                <w:sz w:val="20"/>
                <w:szCs w:val="20"/>
                <w:highlight w:val="black"/>
              </w:rPr>
            </w:pPr>
            <w:r>
              <w:rPr>
                <w:rFonts w:asciiTheme="minorHAnsi" w:hAnsiTheme="minorHAnsi" w:cs="Arial"/>
                <w:noProof/>
                <w:color w:val="000000"/>
                <w:sz w:val="20"/>
                <w:szCs w:val="20"/>
                <w:highlight w:val="black"/>
              </w:rPr>
              <w:t>''''''''''''''</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cs="Arial"/>
                <w:sz w:val="20"/>
                <w:szCs w:val="20"/>
              </w:rPr>
              <w:t>AIHW 2009-10</w:t>
            </w:r>
          </w:p>
        </w:tc>
        <w:tc>
          <w:tcPr>
            <w:tcW w:w="3506" w:type="dxa"/>
            <w:vAlign w:val="center"/>
          </w:tcPr>
          <w:p w:rsidR="00177457" w:rsidRPr="00E0039A" w:rsidRDefault="000034F0" w:rsidP="000034F0">
            <w:pPr>
              <w:pStyle w:val="NormalWeb"/>
              <w:rPr>
                <w:rFonts w:asciiTheme="minorHAnsi" w:hAnsiTheme="minorHAnsi" w:cs="Arial"/>
                <w:sz w:val="20"/>
                <w:szCs w:val="20"/>
              </w:rPr>
            </w:pPr>
            <w:r w:rsidRPr="00E0039A">
              <w:rPr>
                <w:rFonts w:asciiTheme="minorHAnsi" w:hAnsiTheme="minorHAnsi" w:cs="Arial"/>
                <w:sz w:val="20"/>
                <w:szCs w:val="20"/>
              </w:rPr>
              <w:t xml:space="preserve">Includes </w:t>
            </w:r>
            <w:r w:rsidR="00F36F22">
              <w:rPr>
                <w:rFonts w:asciiTheme="minorHAnsi" w:hAnsiTheme="minorHAnsi" w:cs="Arial"/>
                <w:noProof/>
                <w:color w:val="000000"/>
                <w:sz w:val="20"/>
                <w:szCs w:val="20"/>
                <w:highlight w:val="black"/>
              </w:rPr>
              <w:t>''''''''''''</w:t>
            </w:r>
            <w:r w:rsidRPr="00E0039A">
              <w:rPr>
                <w:rFonts w:asciiTheme="minorHAnsi" w:hAnsiTheme="minorHAnsi" w:cs="Arial"/>
                <w:sz w:val="20"/>
                <w:szCs w:val="20"/>
              </w:rPr>
              <w:t xml:space="preserve"> same-</w:t>
            </w:r>
            <w:r w:rsidR="00177457" w:rsidRPr="00E0039A">
              <w:rPr>
                <w:rFonts w:asciiTheme="minorHAnsi" w:hAnsiTheme="minorHAnsi" w:cs="Arial"/>
                <w:sz w:val="20"/>
                <w:szCs w:val="20"/>
              </w:rPr>
              <w:t xml:space="preserve">day admitted patients and </w:t>
            </w:r>
            <w:r w:rsidR="00F36F22">
              <w:rPr>
                <w:rFonts w:asciiTheme="minorHAnsi" w:hAnsiTheme="minorHAnsi" w:cs="Arial"/>
                <w:noProof/>
                <w:color w:val="000000"/>
                <w:sz w:val="20"/>
                <w:szCs w:val="20"/>
                <w:highlight w:val="black"/>
              </w:rPr>
              <w:t>''''''''''''</w:t>
            </w:r>
            <w:r w:rsidR="00177457" w:rsidRPr="00E0039A">
              <w:rPr>
                <w:rFonts w:asciiTheme="minorHAnsi" w:hAnsiTheme="minorHAnsi" w:cs="Arial"/>
                <w:sz w:val="20"/>
                <w:szCs w:val="20"/>
              </w:rPr>
              <w:t xml:space="preserve"> non-same</w:t>
            </w:r>
            <w:r w:rsidRPr="00E0039A">
              <w:rPr>
                <w:rFonts w:asciiTheme="minorHAnsi" w:hAnsiTheme="minorHAnsi" w:cs="Arial"/>
                <w:sz w:val="20"/>
                <w:szCs w:val="20"/>
              </w:rPr>
              <w:t>-</w:t>
            </w:r>
            <w:r w:rsidR="00177457" w:rsidRPr="00E0039A">
              <w:rPr>
                <w:rFonts w:asciiTheme="minorHAnsi" w:hAnsiTheme="minorHAnsi" w:cs="Arial"/>
                <w:sz w:val="20"/>
                <w:szCs w:val="20"/>
              </w:rPr>
              <w:t>day admitted patients (AIHW break-down)</w:t>
            </w: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B</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cs="Arial"/>
                <w:sz w:val="20"/>
                <w:szCs w:val="20"/>
              </w:rPr>
              <w:t>Proportion admitted</w:t>
            </w:r>
          </w:p>
        </w:tc>
        <w:tc>
          <w:tcPr>
            <w:tcW w:w="1271" w:type="dxa"/>
            <w:vAlign w:val="center"/>
          </w:tcPr>
          <w:p w:rsidR="00177457" w:rsidRPr="00F36F22" w:rsidRDefault="00F36F22" w:rsidP="002E5F54">
            <w:pPr>
              <w:pStyle w:val="NormalWeb"/>
              <w:rPr>
                <w:rFonts w:asciiTheme="minorHAnsi" w:hAnsiTheme="minorHAnsi" w:cs="Arial"/>
                <w:sz w:val="20"/>
                <w:szCs w:val="20"/>
                <w:highlight w:val="black"/>
              </w:rPr>
            </w:pPr>
            <w:r>
              <w:rPr>
                <w:rFonts w:asciiTheme="minorHAnsi" w:hAnsiTheme="minorHAnsi" w:cs="Arial"/>
                <w:noProof/>
                <w:color w:val="000000"/>
                <w:sz w:val="20"/>
                <w:szCs w:val="20"/>
                <w:highlight w:val="black"/>
              </w:rPr>
              <w:t>''''''''</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cs="Arial"/>
                <w:sz w:val="20"/>
                <w:szCs w:val="20"/>
              </w:rPr>
              <w:t>Treatment survey</w:t>
            </w:r>
          </w:p>
        </w:tc>
        <w:tc>
          <w:tcPr>
            <w:tcW w:w="3506" w:type="dxa"/>
            <w:vAlign w:val="center"/>
          </w:tcPr>
          <w:p w:rsidR="00177457" w:rsidRPr="00E0039A" w:rsidRDefault="00177457" w:rsidP="000034F0">
            <w:pPr>
              <w:pStyle w:val="NormalWeb"/>
              <w:rPr>
                <w:rFonts w:asciiTheme="minorHAnsi" w:hAnsiTheme="minorHAnsi" w:cs="Arial"/>
                <w:sz w:val="20"/>
                <w:szCs w:val="20"/>
              </w:rPr>
            </w:pPr>
            <w:r w:rsidRPr="00E0039A">
              <w:rPr>
                <w:rFonts w:asciiTheme="minorHAnsi" w:hAnsiTheme="minorHAnsi" w:cs="Arial"/>
                <w:sz w:val="20"/>
                <w:szCs w:val="20"/>
              </w:rPr>
              <w:t>The treatment survey results provides the best estimate on the proportion admitted - noting the admitted separation includes same</w:t>
            </w:r>
            <w:r w:rsidR="000034F0" w:rsidRPr="00E0039A">
              <w:rPr>
                <w:rFonts w:asciiTheme="minorHAnsi" w:hAnsiTheme="minorHAnsi" w:cs="Arial"/>
                <w:sz w:val="20"/>
                <w:szCs w:val="20"/>
              </w:rPr>
              <w:t>-day and non-same-</w:t>
            </w:r>
            <w:r w:rsidRPr="00E0039A">
              <w:rPr>
                <w:rFonts w:asciiTheme="minorHAnsi" w:hAnsiTheme="minorHAnsi" w:cs="Arial"/>
                <w:sz w:val="20"/>
                <w:szCs w:val="20"/>
              </w:rPr>
              <w:t>day admissions</w:t>
            </w: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C</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cs="Arial"/>
                <w:sz w:val="20"/>
                <w:szCs w:val="20"/>
              </w:rPr>
              <w:t>Non-admitted presentations</w:t>
            </w:r>
          </w:p>
        </w:tc>
        <w:tc>
          <w:tcPr>
            <w:tcW w:w="1271" w:type="dxa"/>
            <w:vAlign w:val="center"/>
          </w:tcPr>
          <w:p w:rsidR="00177457" w:rsidRPr="00F36F22" w:rsidRDefault="00F36F22" w:rsidP="002E5F54">
            <w:pPr>
              <w:pStyle w:val="NormalWeb"/>
              <w:rPr>
                <w:rFonts w:asciiTheme="minorHAnsi" w:hAnsiTheme="minorHAnsi" w:cs="Arial"/>
                <w:sz w:val="20"/>
                <w:szCs w:val="20"/>
                <w:highlight w:val="black"/>
              </w:rPr>
            </w:pPr>
            <w:r>
              <w:rPr>
                <w:rFonts w:asciiTheme="minorHAnsi" w:hAnsiTheme="minorHAnsi" w:cs="Arial"/>
                <w:noProof/>
                <w:color w:val="000000"/>
                <w:sz w:val="20"/>
                <w:szCs w:val="20"/>
                <w:highlight w:val="black"/>
              </w:rPr>
              <w:t>''''''''''</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cs="Arial"/>
                <w:sz w:val="20"/>
                <w:szCs w:val="20"/>
              </w:rPr>
              <w:t>(A*1/B)-A</w:t>
            </w:r>
          </w:p>
        </w:tc>
        <w:tc>
          <w:tcPr>
            <w:tcW w:w="3506" w:type="dxa"/>
            <w:vMerge w:val="restart"/>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cs="Arial"/>
                <w:sz w:val="20"/>
                <w:szCs w:val="20"/>
              </w:rPr>
              <w:t>N/A</w:t>
            </w: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D</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cs="Arial"/>
                <w:sz w:val="20"/>
                <w:szCs w:val="20"/>
              </w:rPr>
              <w:t>Proportion public</w:t>
            </w:r>
          </w:p>
        </w:tc>
        <w:tc>
          <w:tcPr>
            <w:tcW w:w="1271" w:type="dxa"/>
            <w:vAlign w:val="center"/>
          </w:tcPr>
          <w:p w:rsidR="00177457" w:rsidRPr="00F36F22" w:rsidRDefault="00F36F22" w:rsidP="002E5F54">
            <w:pPr>
              <w:pStyle w:val="NormalWeb"/>
              <w:rPr>
                <w:rFonts w:asciiTheme="minorHAnsi" w:hAnsiTheme="minorHAnsi" w:cs="Arial"/>
                <w:sz w:val="20"/>
                <w:szCs w:val="20"/>
                <w:highlight w:val="black"/>
              </w:rPr>
            </w:pPr>
            <w:r>
              <w:rPr>
                <w:rFonts w:asciiTheme="minorHAnsi" w:hAnsiTheme="minorHAnsi" w:cs="Arial"/>
                <w:noProof/>
                <w:color w:val="000000"/>
                <w:sz w:val="20"/>
                <w:szCs w:val="20"/>
                <w:highlight w:val="black"/>
              </w:rPr>
              <w:t xml:space="preserve">'''''''' </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cs="Arial"/>
                <w:sz w:val="20"/>
                <w:szCs w:val="20"/>
              </w:rPr>
              <w:t>NHCDC 2008-09</w:t>
            </w:r>
          </w:p>
        </w:tc>
        <w:tc>
          <w:tcPr>
            <w:tcW w:w="3506" w:type="dxa"/>
            <w:vMerge/>
            <w:vAlign w:val="center"/>
          </w:tcPr>
          <w:p w:rsidR="00177457" w:rsidRPr="00E0039A" w:rsidRDefault="00177457" w:rsidP="002E5F54">
            <w:pPr>
              <w:pStyle w:val="NormalWeb"/>
              <w:rPr>
                <w:rFonts w:asciiTheme="minorHAnsi" w:hAnsiTheme="minorHAnsi" w:cs="Arial"/>
                <w:sz w:val="20"/>
                <w:szCs w:val="20"/>
              </w:rPr>
            </w:pP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E</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Proportion private</w:t>
            </w:r>
          </w:p>
        </w:tc>
        <w:tc>
          <w:tcPr>
            <w:tcW w:w="1271" w:type="dxa"/>
            <w:vAlign w:val="center"/>
          </w:tcPr>
          <w:p w:rsidR="00177457" w:rsidRPr="00F36F22" w:rsidRDefault="00F36F22" w:rsidP="002E5F54">
            <w:pPr>
              <w:pStyle w:val="NormalWeb"/>
              <w:rPr>
                <w:rFonts w:asciiTheme="minorHAnsi" w:hAnsiTheme="minorHAnsi" w:cs="Arial"/>
                <w:sz w:val="20"/>
                <w:szCs w:val="20"/>
                <w:highlight w:val="black"/>
              </w:rPr>
            </w:pPr>
            <w:r>
              <w:rPr>
                <w:rFonts w:asciiTheme="minorHAnsi" w:hAnsiTheme="minorHAnsi"/>
                <w:noProof/>
                <w:color w:val="000000"/>
                <w:sz w:val="20"/>
                <w:szCs w:val="20"/>
                <w:highlight w:val="black"/>
              </w:rPr>
              <w:t>''''''''</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1-D</w:t>
            </w:r>
          </w:p>
        </w:tc>
        <w:tc>
          <w:tcPr>
            <w:tcW w:w="3506" w:type="dxa"/>
            <w:vMerge/>
            <w:vAlign w:val="center"/>
          </w:tcPr>
          <w:p w:rsidR="00177457" w:rsidRPr="00E0039A" w:rsidRDefault="00177457" w:rsidP="002E5F54">
            <w:pPr>
              <w:pStyle w:val="NormalWeb"/>
              <w:rPr>
                <w:rFonts w:asciiTheme="minorHAnsi" w:hAnsiTheme="minorHAnsi" w:cs="Arial"/>
                <w:sz w:val="20"/>
                <w:szCs w:val="20"/>
              </w:rPr>
            </w:pP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F</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Number admitted public</w:t>
            </w:r>
          </w:p>
        </w:tc>
        <w:tc>
          <w:tcPr>
            <w:tcW w:w="1271" w:type="dxa"/>
            <w:vAlign w:val="center"/>
          </w:tcPr>
          <w:p w:rsidR="00177457" w:rsidRPr="00F36F22" w:rsidRDefault="00F36F22" w:rsidP="002E5F54">
            <w:pPr>
              <w:pStyle w:val="NormalWeb"/>
              <w:rPr>
                <w:rFonts w:asciiTheme="minorHAnsi" w:hAnsiTheme="minorHAnsi" w:cs="Arial"/>
                <w:sz w:val="20"/>
                <w:szCs w:val="20"/>
                <w:highlight w:val="black"/>
              </w:rPr>
            </w:pPr>
            <w:r>
              <w:rPr>
                <w:rFonts w:asciiTheme="minorHAnsi" w:hAnsiTheme="minorHAnsi"/>
                <w:noProof/>
                <w:color w:val="000000"/>
                <w:sz w:val="20"/>
                <w:szCs w:val="20"/>
                <w:highlight w:val="black"/>
              </w:rPr>
              <w:t xml:space="preserve">'''''''''''''' </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A*D</w:t>
            </w:r>
          </w:p>
        </w:tc>
        <w:tc>
          <w:tcPr>
            <w:tcW w:w="3506" w:type="dxa"/>
            <w:vMerge/>
            <w:vAlign w:val="center"/>
          </w:tcPr>
          <w:p w:rsidR="00177457" w:rsidRPr="00E0039A" w:rsidRDefault="00177457" w:rsidP="002E5F54">
            <w:pPr>
              <w:pStyle w:val="NormalWeb"/>
              <w:rPr>
                <w:rFonts w:asciiTheme="minorHAnsi" w:hAnsiTheme="minorHAnsi" w:cs="Arial"/>
                <w:sz w:val="20"/>
                <w:szCs w:val="20"/>
              </w:rPr>
            </w:pP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G</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Number admitted private</w:t>
            </w:r>
          </w:p>
        </w:tc>
        <w:tc>
          <w:tcPr>
            <w:tcW w:w="1271" w:type="dxa"/>
            <w:vAlign w:val="center"/>
          </w:tcPr>
          <w:p w:rsidR="00177457" w:rsidRPr="00F36F22" w:rsidRDefault="00F36F22" w:rsidP="002E5F54">
            <w:pPr>
              <w:pStyle w:val="NormalWeb"/>
              <w:rPr>
                <w:rFonts w:asciiTheme="minorHAnsi" w:hAnsiTheme="minorHAnsi" w:cs="Arial"/>
                <w:sz w:val="20"/>
                <w:szCs w:val="20"/>
                <w:highlight w:val="black"/>
              </w:rPr>
            </w:pPr>
            <w:r>
              <w:rPr>
                <w:rFonts w:asciiTheme="minorHAnsi" w:hAnsiTheme="minorHAnsi"/>
                <w:noProof/>
                <w:color w:val="000000"/>
                <w:sz w:val="20"/>
                <w:szCs w:val="20"/>
                <w:highlight w:val="black"/>
              </w:rPr>
              <w:t xml:space="preserve">''''''''''' </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A*E</w:t>
            </w:r>
          </w:p>
        </w:tc>
        <w:tc>
          <w:tcPr>
            <w:tcW w:w="3506" w:type="dxa"/>
            <w:vMerge/>
            <w:vAlign w:val="center"/>
          </w:tcPr>
          <w:p w:rsidR="00177457" w:rsidRPr="00E0039A" w:rsidRDefault="00177457" w:rsidP="002E5F54">
            <w:pPr>
              <w:pStyle w:val="NormalWeb"/>
              <w:rPr>
                <w:rFonts w:asciiTheme="minorHAnsi" w:hAnsiTheme="minorHAnsi" w:cs="Arial"/>
                <w:sz w:val="20"/>
                <w:szCs w:val="20"/>
              </w:rPr>
            </w:pP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H</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Number non-admitted public</w:t>
            </w:r>
          </w:p>
        </w:tc>
        <w:tc>
          <w:tcPr>
            <w:tcW w:w="1271" w:type="dxa"/>
            <w:vAlign w:val="center"/>
          </w:tcPr>
          <w:p w:rsidR="00177457" w:rsidRPr="00F36F22" w:rsidRDefault="00F36F22" w:rsidP="002E5F54">
            <w:pPr>
              <w:pStyle w:val="NormalWeb"/>
              <w:rPr>
                <w:rFonts w:asciiTheme="minorHAnsi" w:hAnsiTheme="minorHAnsi" w:cs="Arial"/>
                <w:sz w:val="20"/>
                <w:szCs w:val="20"/>
                <w:highlight w:val="black"/>
              </w:rPr>
            </w:pPr>
            <w:r>
              <w:rPr>
                <w:rFonts w:asciiTheme="minorHAnsi" w:hAnsiTheme="minorHAnsi"/>
                <w:noProof/>
                <w:color w:val="000000"/>
                <w:sz w:val="20"/>
                <w:szCs w:val="20"/>
                <w:highlight w:val="black"/>
              </w:rPr>
              <w:t xml:space="preserve">'''''''''' </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C*D</w:t>
            </w:r>
          </w:p>
        </w:tc>
        <w:tc>
          <w:tcPr>
            <w:tcW w:w="3506" w:type="dxa"/>
            <w:vMerge/>
            <w:vAlign w:val="center"/>
          </w:tcPr>
          <w:p w:rsidR="00177457" w:rsidRPr="00E0039A" w:rsidRDefault="00177457" w:rsidP="002E5F54">
            <w:pPr>
              <w:pStyle w:val="NormalWeb"/>
              <w:rPr>
                <w:rFonts w:asciiTheme="minorHAnsi" w:hAnsiTheme="minorHAnsi" w:cs="Arial"/>
                <w:sz w:val="20"/>
                <w:szCs w:val="20"/>
              </w:rPr>
            </w:pP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I</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Number non-admitted private</w:t>
            </w:r>
          </w:p>
        </w:tc>
        <w:tc>
          <w:tcPr>
            <w:tcW w:w="1271" w:type="dxa"/>
            <w:vAlign w:val="center"/>
          </w:tcPr>
          <w:p w:rsidR="00177457" w:rsidRPr="00F36F22" w:rsidRDefault="00F36F22" w:rsidP="002E5F54">
            <w:pPr>
              <w:pStyle w:val="NormalWeb"/>
              <w:rPr>
                <w:rFonts w:asciiTheme="minorHAnsi" w:hAnsiTheme="minorHAnsi" w:cs="Arial"/>
                <w:sz w:val="20"/>
                <w:szCs w:val="20"/>
                <w:highlight w:val="black"/>
              </w:rPr>
            </w:pPr>
            <w:r>
              <w:rPr>
                <w:rFonts w:asciiTheme="minorHAnsi" w:hAnsiTheme="minorHAnsi"/>
                <w:noProof/>
                <w:color w:val="000000"/>
                <w:sz w:val="20"/>
                <w:szCs w:val="20"/>
                <w:highlight w:val="black"/>
              </w:rPr>
              <w:t xml:space="preserve">''''''''''' </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C*E</w:t>
            </w:r>
          </w:p>
        </w:tc>
        <w:tc>
          <w:tcPr>
            <w:tcW w:w="3506" w:type="dxa"/>
            <w:vMerge/>
            <w:vAlign w:val="center"/>
          </w:tcPr>
          <w:p w:rsidR="00177457" w:rsidRPr="00E0039A" w:rsidRDefault="00177457" w:rsidP="002E5F54">
            <w:pPr>
              <w:pStyle w:val="NormalWeb"/>
              <w:rPr>
                <w:rFonts w:asciiTheme="minorHAnsi" w:hAnsiTheme="minorHAnsi" w:cs="Arial"/>
                <w:sz w:val="20"/>
                <w:szCs w:val="20"/>
              </w:rPr>
            </w:pP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J</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Number GP</w:t>
            </w:r>
          </w:p>
        </w:tc>
        <w:tc>
          <w:tcPr>
            <w:tcW w:w="1271" w:type="dxa"/>
            <w:vAlign w:val="center"/>
          </w:tcPr>
          <w:p w:rsidR="00177457" w:rsidRPr="00E0039A" w:rsidRDefault="00F36F22" w:rsidP="002E5F54">
            <w:pPr>
              <w:pStyle w:val="NormalWeb"/>
              <w:rPr>
                <w:rFonts w:asciiTheme="minorHAnsi" w:hAnsiTheme="minorHAnsi" w:cs="Arial"/>
                <w:sz w:val="20"/>
                <w:szCs w:val="20"/>
              </w:rPr>
            </w:pPr>
            <w:r>
              <w:rPr>
                <w:rFonts w:asciiTheme="minorHAnsi" w:hAnsiTheme="minorHAnsi"/>
                <w:noProof/>
                <w:color w:val="000000"/>
                <w:sz w:val="20"/>
                <w:szCs w:val="20"/>
                <w:highlight w:val="black"/>
              </w:rPr>
              <w:t xml:space="preserve">'''''''''' </w:t>
            </w:r>
            <w:r>
              <w:rPr>
                <w:rFonts w:asciiTheme="minorHAnsi" w:hAnsiTheme="minorHAnsi"/>
                <w:i/>
                <w:noProof/>
                <w:color w:val="000000"/>
                <w:sz w:val="20"/>
                <w:szCs w:val="20"/>
                <w:highlight w:val="black"/>
              </w:rPr>
              <w:t>'''''''''''''''</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GPRN 2012-2013</w:t>
            </w:r>
          </w:p>
        </w:tc>
        <w:tc>
          <w:tcPr>
            <w:tcW w:w="350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cs="Arial"/>
                <w:sz w:val="20"/>
                <w:szCs w:val="20"/>
              </w:rPr>
              <w:t>Increase in Number of GP to reflect all IDA patients and correlates to DUSC advice</w:t>
            </w: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K</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Total episodes</w:t>
            </w:r>
          </w:p>
        </w:tc>
        <w:tc>
          <w:tcPr>
            <w:tcW w:w="1271" w:type="dxa"/>
            <w:vAlign w:val="center"/>
          </w:tcPr>
          <w:p w:rsidR="00177457" w:rsidRPr="00E0039A" w:rsidRDefault="00F36F22" w:rsidP="002E5F54">
            <w:pPr>
              <w:pStyle w:val="NormalWeb"/>
              <w:rPr>
                <w:rFonts w:asciiTheme="minorHAnsi" w:hAnsiTheme="minorHAnsi" w:cs="Arial"/>
                <w:sz w:val="20"/>
                <w:szCs w:val="20"/>
              </w:rPr>
            </w:pPr>
            <w:r>
              <w:rPr>
                <w:rFonts w:asciiTheme="minorHAnsi" w:hAnsiTheme="minorHAnsi"/>
                <w:noProof/>
                <w:color w:val="000000"/>
                <w:sz w:val="20"/>
                <w:szCs w:val="20"/>
                <w:highlight w:val="black"/>
              </w:rPr>
              <w:t xml:space="preserve">'''''''''''' </w:t>
            </w:r>
            <w:r>
              <w:rPr>
                <w:rFonts w:asciiTheme="minorHAnsi" w:hAnsiTheme="minorHAnsi"/>
                <w:i/>
                <w:noProof/>
                <w:color w:val="000000"/>
                <w:sz w:val="20"/>
                <w:szCs w:val="20"/>
                <w:highlight w:val="black"/>
              </w:rPr>
              <w:t>'''''''''''''''''</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Sum(F:J)</w:t>
            </w:r>
          </w:p>
        </w:tc>
        <w:tc>
          <w:tcPr>
            <w:tcW w:w="350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cs="Arial"/>
                <w:sz w:val="20"/>
                <w:szCs w:val="20"/>
              </w:rPr>
              <w:t>N/A</w:t>
            </w: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L</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Proportion admitted public</w:t>
            </w:r>
          </w:p>
        </w:tc>
        <w:tc>
          <w:tcPr>
            <w:tcW w:w="1271" w:type="dxa"/>
            <w:vAlign w:val="center"/>
          </w:tcPr>
          <w:p w:rsidR="00177457" w:rsidRPr="00E0039A" w:rsidRDefault="00F36F22" w:rsidP="002E5F54">
            <w:pPr>
              <w:pStyle w:val="NormalWeb"/>
              <w:rPr>
                <w:rFonts w:asciiTheme="minorHAnsi" w:hAnsiTheme="minorHAnsi" w:cs="Arial"/>
                <w:sz w:val="20"/>
                <w:szCs w:val="20"/>
              </w:rPr>
            </w:pPr>
            <w:r>
              <w:rPr>
                <w:rFonts w:asciiTheme="minorHAnsi" w:hAnsiTheme="minorHAnsi"/>
                <w:noProof/>
                <w:color w:val="000000"/>
                <w:sz w:val="20"/>
                <w:szCs w:val="20"/>
                <w:highlight w:val="black"/>
              </w:rPr>
              <w:t xml:space="preserve">'''''''''''''' </w:t>
            </w:r>
            <w:r>
              <w:rPr>
                <w:rFonts w:asciiTheme="minorHAnsi" w:hAnsiTheme="minorHAnsi"/>
                <w:i/>
                <w:noProof/>
                <w:color w:val="000000"/>
                <w:sz w:val="20"/>
                <w:szCs w:val="20"/>
                <w:highlight w:val="black"/>
              </w:rPr>
              <w:t>''''''''''''''''</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F/K</w:t>
            </w:r>
          </w:p>
        </w:tc>
        <w:tc>
          <w:tcPr>
            <w:tcW w:w="3506" w:type="dxa"/>
            <w:vMerge w:val="restart"/>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cs="Arial"/>
                <w:sz w:val="20"/>
                <w:szCs w:val="20"/>
              </w:rPr>
              <w:t>Changed due to change in number of GP episodes</w:t>
            </w: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M</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Proportion admitted private</w:t>
            </w:r>
          </w:p>
        </w:tc>
        <w:tc>
          <w:tcPr>
            <w:tcW w:w="1271" w:type="dxa"/>
            <w:vAlign w:val="center"/>
          </w:tcPr>
          <w:p w:rsidR="00177457" w:rsidRPr="00E0039A" w:rsidRDefault="00F36F22" w:rsidP="002E5F54">
            <w:pPr>
              <w:pStyle w:val="NormalWeb"/>
              <w:rPr>
                <w:rFonts w:asciiTheme="minorHAnsi" w:hAnsiTheme="minorHAnsi" w:cs="Arial"/>
                <w:sz w:val="20"/>
                <w:szCs w:val="20"/>
              </w:rPr>
            </w:pPr>
            <w:r>
              <w:rPr>
                <w:rFonts w:asciiTheme="minorHAnsi" w:hAnsiTheme="minorHAnsi"/>
                <w:noProof/>
                <w:color w:val="000000"/>
                <w:sz w:val="20"/>
                <w:szCs w:val="20"/>
                <w:highlight w:val="black"/>
              </w:rPr>
              <w:t xml:space="preserve">'''''''''''''''' </w:t>
            </w:r>
            <w:r>
              <w:rPr>
                <w:rFonts w:asciiTheme="minorHAnsi" w:hAnsiTheme="minorHAnsi"/>
                <w:i/>
                <w:noProof/>
                <w:color w:val="000000"/>
                <w:sz w:val="20"/>
                <w:szCs w:val="20"/>
                <w:highlight w:val="black"/>
              </w:rPr>
              <w:t>'''''''''''''''''</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G/K</w:t>
            </w:r>
          </w:p>
        </w:tc>
        <w:tc>
          <w:tcPr>
            <w:tcW w:w="3506" w:type="dxa"/>
            <w:vMerge/>
            <w:vAlign w:val="center"/>
          </w:tcPr>
          <w:p w:rsidR="00177457" w:rsidRPr="00E0039A" w:rsidRDefault="00177457" w:rsidP="002E5F54">
            <w:pPr>
              <w:pStyle w:val="NormalWeb"/>
              <w:rPr>
                <w:rFonts w:asciiTheme="minorHAnsi" w:hAnsiTheme="minorHAnsi" w:cs="Arial"/>
                <w:sz w:val="20"/>
                <w:szCs w:val="20"/>
              </w:rPr>
            </w:pP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N</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Proportion non-admitted public</w:t>
            </w:r>
          </w:p>
        </w:tc>
        <w:tc>
          <w:tcPr>
            <w:tcW w:w="1271" w:type="dxa"/>
            <w:vAlign w:val="center"/>
          </w:tcPr>
          <w:p w:rsidR="00177457" w:rsidRPr="00E0039A" w:rsidRDefault="00F36F22" w:rsidP="002E5F54">
            <w:pPr>
              <w:pStyle w:val="NormalWeb"/>
              <w:rPr>
                <w:rFonts w:asciiTheme="minorHAnsi" w:hAnsiTheme="minorHAnsi" w:cs="Arial"/>
                <w:sz w:val="20"/>
                <w:szCs w:val="20"/>
              </w:rPr>
            </w:pPr>
            <w:r>
              <w:rPr>
                <w:rFonts w:asciiTheme="minorHAnsi" w:hAnsiTheme="minorHAnsi"/>
                <w:noProof/>
                <w:color w:val="000000"/>
                <w:sz w:val="20"/>
                <w:szCs w:val="20"/>
                <w:highlight w:val="black"/>
              </w:rPr>
              <w:t xml:space="preserve">''''''''''''' </w:t>
            </w:r>
            <w:r>
              <w:rPr>
                <w:rFonts w:asciiTheme="minorHAnsi" w:hAnsiTheme="minorHAnsi"/>
                <w:i/>
                <w:noProof/>
                <w:color w:val="000000"/>
                <w:sz w:val="20"/>
                <w:szCs w:val="20"/>
                <w:highlight w:val="black"/>
              </w:rPr>
              <w:t>'''''''''''''''</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H/K</w:t>
            </w:r>
          </w:p>
        </w:tc>
        <w:tc>
          <w:tcPr>
            <w:tcW w:w="3506" w:type="dxa"/>
            <w:vMerge/>
            <w:vAlign w:val="center"/>
          </w:tcPr>
          <w:p w:rsidR="00177457" w:rsidRPr="00E0039A" w:rsidRDefault="00177457" w:rsidP="002E5F54">
            <w:pPr>
              <w:pStyle w:val="NormalWeb"/>
              <w:rPr>
                <w:rFonts w:asciiTheme="minorHAnsi" w:hAnsiTheme="minorHAnsi" w:cs="Arial"/>
                <w:sz w:val="20"/>
                <w:szCs w:val="20"/>
              </w:rPr>
            </w:pPr>
          </w:p>
        </w:tc>
      </w:tr>
      <w:tr w:rsidR="00177457" w:rsidRPr="00E0039A"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O</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Proportion non-admitted private</w:t>
            </w:r>
          </w:p>
        </w:tc>
        <w:tc>
          <w:tcPr>
            <w:tcW w:w="1271" w:type="dxa"/>
            <w:vAlign w:val="center"/>
          </w:tcPr>
          <w:p w:rsidR="00177457" w:rsidRPr="00E0039A" w:rsidRDefault="00F36F22" w:rsidP="002E5F54">
            <w:pPr>
              <w:pStyle w:val="NormalWeb"/>
              <w:rPr>
                <w:rFonts w:asciiTheme="minorHAnsi" w:hAnsiTheme="minorHAnsi" w:cs="Arial"/>
                <w:sz w:val="20"/>
                <w:szCs w:val="20"/>
              </w:rPr>
            </w:pPr>
            <w:r>
              <w:rPr>
                <w:rFonts w:asciiTheme="minorHAnsi" w:hAnsiTheme="minorHAnsi"/>
                <w:noProof/>
                <w:color w:val="000000"/>
                <w:sz w:val="20"/>
                <w:szCs w:val="20"/>
                <w:highlight w:val="black"/>
              </w:rPr>
              <w:t xml:space="preserve">'''''''''''' </w:t>
            </w:r>
            <w:r>
              <w:rPr>
                <w:rFonts w:asciiTheme="minorHAnsi" w:hAnsiTheme="minorHAnsi"/>
                <w:i/>
                <w:noProof/>
                <w:color w:val="000000"/>
                <w:sz w:val="20"/>
                <w:szCs w:val="20"/>
                <w:highlight w:val="black"/>
              </w:rPr>
              <w:t>'''''''''''''</w:t>
            </w:r>
          </w:p>
        </w:tc>
        <w:tc>
          <w:tcPr>
            <w:tcW w:w="1554"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I/K</w:t>
            </w:r>
          </w:p>
        </w:tc>
        <w:tc>
          <w:tcPr>
            <w:tcW w:w="3506" w:type="dxa"/>
            <w:vMerge/>
            <w:vAlign w:val="center"/>
          </w:tcPr>
          <w:p w:rsidR="00177457" w:rsidRPr="00E0039A" w:rsidRDefault="00177457" w:rsidP="002E5F54">
            <w:pPr>
              <w:pStyle w:val="NormalWeb"/>
              <w:rPr>
                <w:rFonts w:asciiTheme="minorHAnsi" w:hAnsiTheme="minorHAnsi" w:cs="Arial"/>
                <w:sz w:val="20"/>
                <w:szCs w:val="20"/>
              </w:rPr>
            </w:pPr>
          </w:p>
        </w:tc>
      </w:tr>
      <w:tr w:rsidR="00177457" w:rsidRPr="00734891" w:rsidTr="002E5F54">
        <w:tc>
          <w:tcPr>
            <w:tcW w:w="586" w:type="dxa"/>
            <w:vAlign w:val="center"/>
          </w:tcPr>
          <w:p w:rsidR="00177457" w:rsidRPr="00E0039A" w:rsidRDefault="00177457" w:rsidP="002E5F54">
            <w:pPr>
              <w:pStyle w:val="NormalWeb"/>
              <w:jc w:val="center"/>
              <w:rPr>
                <w:rFonts w:asciiTheme="minorHAnsi" w:hAnsiTheme="minorHAnsi" w:cs="Arial"/>
                <w:sz w:val="20"/>
                <w:szCs w:val="20"/>
              </w:rPr>
            </w:pPr>
            <w:r w:rsidRPr="00E0039A">
              <w:rPr>
                <w:rFonts w:asciiTheme="minorHAnsi" w:hAnsiTheme="minorHAnsi" w:cs="Arial"/>
                <w:sz w:val="20"/>
                <w:szCs w:val="20"/>
              </w:rPr>
              <w:t>P</w:t>
            </w:r>
          </w:p>
        </w:tc>
        <w:tc>
          <w:tcPr>
            <w:tcW w:w="2256" w:type="dxa"/>
            <w:vAlign w:val="center"/>
          </w:tcPr>
          <w:p w:rsidR="00177457" w:rsidRPr="00E0039A" w:rsidRDefault="00177457" w:rsidP="002E5F54">
            <w:pPr>
              <w:pStyle w:val="NormalWeb"/>
              <w:rPr>
                <w:rFonts w:asciiTheme="minorHAnsi" w:hAnsiTheme="minorHAnsi" w:cs="Arial"/>
                <w:sz w:val="20"/>
                <w:szCs w:val="20"/>
              </w:rPr>
            </w:pPr>
            <w:r w:rsidRPr="00E0039A">
              <w:rPr>
                <w:rFonts w:asciiTheme="minorHAnsi" w:hAnsiTheme="minorHAnsi"/>
                <w:sz w:val="20"/>
                <w:szCs w:val="20"/>
              </w:rPr>
              <w:t>Proportion GP</w:t>
            </w:r>
          </w:p>
        </w:tc>
        <w:tc>
          <w:tcPr>
            <w:tcW w:w="1271" w:type="dxa"/>
            <w:vAlign w:val="center"/>
          </w:tcPr>
          <w:p w:rsidR="00177457" w:rsidRPr="00E0039A" w:rsidRDefault="00F36F22" w:rsidP="002E5F54">
            <w:pPr>
              <w:pStyle w:val="NormalWeb"/>
              <w:rPr>
                <w:rFonts w:asciiTheme="minorHAnsi" w:hAnsiTheme="minorHAnsi" w:cs="Arial"/>
                <w:sz w:val="20"/>
                <w:szCs w:val="20"/>
              </w:rPr>
            </w:pPr>
            <w:r>
              <w:rPr>
                <w:rFonts w:asciiTheme="minorHAnsi" w:hAnsiTheme="minorHAnsi"/>
                <w:noProof/>
                <w:color w:val="000000"/>
                <w:sz w:val="20"/>
                <w:szCs w:val="20"/>
                <w:highlight w:val="black"/>
              </w:rPr>
              <w:t xml:space="preserve">'''''''''''''''' </w:t>
            </w:r>
            <w:r>
              <w:rPr>
                <w:rFonts w:asciiTheme="minorHAnsi" w:hAnsiTheme="minorHAnsi"/>
                <w:i/>
                <w:noProof/>
                <w:color w:val="000000"/>
                <w:sz w:val="20"/>
                <w:szCs w:val="20"/>
                <w:highlight w:val="black"/>
              </w:rPr>
              <w:t>'''''''''''''''''</w:t>
            </w:r>
          </w:p>
        </w:tc>
        <w:tc>
          <w:tcPr>
            <w:tcW w:w="1554" w:type="dxa"/>
            <w:vAlign w:val="center"/>
          </w:tcPr>
          <w:p w:rsidR="00177457" w:rsidRPr="00734891" w:rsidRDefault="00177457" w:rsidP="002E5F54">
            <w:pPr>
              <w:pStyle w:val="NormalWeb"/>
              <w:rPr>
                <w:rFonts w:asciiTheme="minorHAnsi" w:hAnsiTheme="minorHAnsi" w:cs="Arial"/>
                <w:sz w:val="20"/>
                <w:szCs w:val="20"/>
              </w:rPr>
            </w:pPr>
            <w:r w:rsidRPr="00E0039A">
              <w:rPr>
                <w:rFonts w:asciiTheme="minorHAnsi" w:hAnsiTheme="minorHAnsi"/>
                <w:sz w:val="20"/>
                <w:szCs w:val="20"/>
              </w:rPr>
              <w:t>J/K</w:t>
            </w:r>
          </w:p>
        </w:tc>
        <w:tc>
          <w:tcPr>
            <w:tcW w:w="3506" w:type="dxa"/>
            <w:vMerge/>
            <w:vAlign w:val="center"/>
          </w:tcPr>
          <w:p w:rsidR="00177457" w:rsidRPr="00734891" w:rsidRDefault="00177457" w:rsidP="002E5F54">
            <w:pPr>
              <w:pStyle w:val="NormalWeb"/>
              <w:rPr>
                <w:rFonts w:asciiTheme="minorHAnsi" w:hAnsiTheme="minorHAnsi" w:cs="Arial"/>
                <w:sz w:val="20"/>
                <w:szCs w:val="20"/>
              </w:rPr>
            </w:pPr>
          </w:p>
        </w:tc>
      </w:tr>
    </w:tbl>
    <w:p w:rsidR="00177457" w:rsidRPr="006117FA" w:rsidRDefault="00177457" w:rsidP="00177457">
      <w:pPr>
        <w:pStyle w:val="NormalWeb"/>
        <w:rPr>
          <w:rFonts w:asciiTheme="minorHAnsi" w:hAnsiTheme="minorHAnsi" w:cs="Arial"/>
        </w:rPr>
      </w:pPr>
      <w:r w:rsidRPr="00734891">
        <w:rPr>
          <w:rFonts w:asciiTheme="minorHAnsi" w:hAnsiTheme="minorHAnsi" w:cs="Arial"/>
        </w:rPr>
        <w:t xml:space="preserve">The PBAC also noted DUSC’s concerns regarding the </w:t>
      </w:r>
      <w:r w:rsidRPr="006117FA">
        <w:rPr>
          <w:rFonts w:asciiTheme="minorHAnsi" w:hAnsiTheme="minorHAnsi" w:cs="Arial"/>
        </w:rPr>
        <w:t>possible use of FCM in haemodialysis patients, where there is no administrative cost advantage and that there was potential for the 500</w:t>
      </w:r>
      <w:r w:rsidR="00A6385F">
        <w:rPr>
          <w:rFonts w:asciiTheme="minorHAnsi" w:hAnsiTheme="minorHAnsi" w:cs="Arial"/>
        </w:rPr>
        <w:t> </w:t>
      </w:r>
      <w:r w:rsidRPr="006117FA">
        <w:rPr>
          <w:rFonts w:asciiTheme="minorHAnsi" w:hAnsiTheme="minorHAnsi" w:cs="Arial"/>
        </w:rPr>
        <w:t>mg vial to be used for lower doses.</w:t>
      </w:r>
    </w:p>
    <w:p w:rsidR="00177457" w:rsidRDefault="00177457" w:rsidP="00177457">
      <w:pPr>
        <w:spacing w:before="240" w:after="0"/>
      </w:pPr>
      <w:r>
        <w:t xml:space="preserve">For further details refer to </w:t>
      </w:r>
      <w:r w:rsidRPr="00F65F0D">
        <w:t xml:space="preserve">the </w:t>
      </w:r>
      <w:r w:rsidRPr="00F36F22">
        <w:t>Public Summary Document</w:t>
      </w:r>
      <w:r w:rsidRPr="00F65F0D">
        <w:t xml:space="preserve"> from the </w:t>
      </w:r>
      <w:r>
        <w:t>November 2013 PBAC meeting.</w:t>
      </w:r>
    </w:p>
    <w:p w:rsidR="00712F2B" w:rsidRDefault="00712F2B" w:rsidP="00712F2B">
      <w:pPr>
        <w:pStyle w:val="Heading1"/>
        <w:spacing w:before="240" w:after="0"/>
      </w:pPr>
      <w:r w:rsidRPr="00ED6CE8">
        <w:t>Methods</w:t>
      </w:r>
    </w:p>
    <w:p w:rsidR="00A10C62" w:rsidRPr="00A10C62" w:rsidRDefault="00A10C62" w:rsidP="00A10C62">
      <w:pPr>
        <w:spacing w:after="0"/>
      </w:pPr>
    </w:p>
    <w:p w:rsidR="00031DE5" w:rsidRDefault="00ED6CE8" w:rsidP="00031DE5">
      <w:r>
        <w:t xml:space="preserve">The analyses used data from the </w:t>
      </w:r>
      <w:r w:rsidR="002445C0">
        <w:t xml:space="preserve">DUSC database and the </w:t>
      </w:r>
      <w:r>
        <w:t>Department of Human Services (DHS) supplied prescriptions</w:t>
      </w:r>
      <w:r w:rsidR="00031DE5">
        <w:t xml:space="preserve"> database</w:t>
      </w:r>
      <w:r>
        <w:t>.</w:t>
      </w:r>
      <w:r w:rsidR="00031DE5" w:rsidRPr="000449FA">
        <w:t xml:space="preserve"> </w:t>
      </w:r>
    </w:p>
    <w:p w:rsidR="002445C0" w:rsidRDefault="002445C0" w:rsidP="002445C0">
      <w:r w:rsidRPr="00F74FBD">
        <w:t xml:space="preserve">The DHS </w:t>
      </w:r>
      <w:r>
        <w:t>s</w:t>
      </w:r>
      <w:r w:rsidRPr="00F74FBD">
        <w:t>upplied prescriptions database includes data submitted</w:t>
      </w:r>
      <w:r w:rsidR="00E814C3">
        <w:t xml:space="preserve"> to DHS for payment of a </w:t>
      </w:r>
      <w:r>
        <w:t>PBS</w:t>
      </w:r>
      <w:r w:rsidR="00E814C3">
        <w:t>/RPBS</w:t>
      </w:r>
      <w:r>
        <w:t xml:space="preserve"> subsidy by the Government. </w:t>
      </w:r>
      <w:r w:rsidRPr="00F74FBD">
        <w:t>This database includes actual under co</w:t>
      </w:r>
      <w:r w:rsidRPr="00F74FBD">
        <w:noBreakHyphen/>
        <w:t xml:space="preserve">payment </w:t>
      </w:r>
      <w:r w:rsidRPr="00F74FBD">
        <w:lastRenderedPageBreak/>
        <w:t xml:space="preserve">prescription data from 1 April 2012. </w:t>
      </w:r>
      <w:r>
        <w:t xml:space="preserve">Patient counts were based on de-identified unique patient identification numbers (PINs) from the prescription data. </w:t>
      </w:r>
      <w:r w:rsidRPr="00F74FBD">
        <w:t>This allows patients to be classified as new patients and to identify prior treatments. The DHS database was used for patient level analyses</w:t>
      </w:r>
      <w:r>
        <w:t>;</w:t>
      </w:r>
      <w:r w:rsidRPr="00F74FBD">
        <w:t xml:space="preserve"> including </w:t>
      </w:r>
      <w:r>
        <w:t>initiating and prevalent, prescriber type, location</w:t>
      </w:r>
      <w:r w:rsidR="006572EA">
        <w:t xml:space="preserve"> and setting </w:t>
      </w:r>
      <w:r>
        <w:t>analyses.</w:t>
      </w:r>
    </w:p>
    <w:p w:rsidR="00CB1F6B" w:rsidRPr="00523E32" w:rsidRDefault="0096631A" w:rsidP="00031DE5">
      <w:r w:rsidRPr="00523E32">
        <w:t>P</w:t>
      </w:r>
      <w:r w:rsidR="00031DE5" w:rsidRPr="00523E32">
        <w:t xml:space="preserve">atients initiating therapy </w:t>
      </w:r>
      <w:r w:rsidR="00CB1F6B" w:rsidRPr="00523E32">
        <w:t xml:space="preserve">(or ‘new patients’) </w:t>
      </w:r>
      <w:r w:rsidR="00031DE5" w:rsidRPr="00523E32">
        <w:t xml:space="preserve">were defined as those who </w:t>
      </w:r>
      <w:r w:rsidR="00A6385F">
        <w:t>were</w:t>
      </w:r>
      <w:r w:rsidR="00704FE4" w:rsidRPr="00523E32">
        <w:t xml:space="preserve"> supplied their first parenteral iron prescription in that month and year, with a</w:t>
      </w:r>
      <w:r w:rsidR="00523E32" w:rsidRPr="00523E32">
        <w:t xml:space="preserve"> 12</w:t>
      </w:r>
      <w:r w:rsidR="00A6385F">
        <w:t xml:space="preserve"> </w:t>
      </w:r>
      <w:r w:rsidR="00523E32" w:rsidRPr="00523E32">
        <w:t>month</w:t>
      </w:r>
      <w:r w:rsidR="00704FE4" w:rsidRPr="00523E32">
        <w:t xml:space="preserve"> look</w:t>
      </w:r>
      <w:r w:rsidR="002C4BC6">
        <w:t>-</w:t>
      </w:r>
      <w:r w:rsidR="00704FE4" w:rsidRPr="00523E32">
        <w:t>back</w:t>
      </w:r>
      <w:r w:rsidRPr="00523E32">
        <w:t>.</w:t>
      </w:r>
      <w:r w:rsidR="00ED1132">
        <w:t xml:space="preserve"> A sensitivity analysis was also condu</w:t>
      </w:r>
      <w:r w:rsidR="00127ABC">
        <w:t>cted using a 24 month look</w:t>
      </w:r>
      <w:r w:rsidR="002C4BC6">
        <w:t>-</w:t>
      </w:r>
      <w:r w:rsidR="00127ABC">
        <w:t xml:space="preserve">back. For the treatment of iron deficiency, it is likely that patients may require a single supply of iron. If additional supplies are required, it may not be within the same year. Therefore, if a patient is supplied an additional prescription of iron 12 or 24 months after the very first supply, it can be deemed a new episode of treatment. </w:t>
      </w:r>
    </w:p>
    <w:p w:rsidR="006E73CE" w:rsidRDefault="000A1196" w:rsidP="000A1196">
      <w:pPr>
        <w:pStyle w:val="Figurecaption"/>
        <w:spacing w:before="0" w:after="0"/>
        <w:rPr>
          <w:sz w:val="24"/>
          <w:szCs w:val="24"/>
        </w:rPr>
      </w:pPr>
      <w:r>
        <w:rPr>
          <w:sz w:val="24"/>
          <w:szCs w:val="24"/>
        </w:rPr>
        <w:t xml:space="preserve">For the utilisation of FCM per patient analysis, a cohort of patients who initiated FCM between 1 December 2014 and 31 May 2015 were followed over a 12 month period since their initial supply. The number of packs of FCM that they each were supplied over their individual </w:t>
      </w:r>
      <w:r w:rsidR="006E73CE">
        <w:rPr>
          <w:sz w:val="24"/>
          <w:szCs w:val="24"/>
        </w:rPr>
        <w:t>12 month follow-up was counted.</w:t>
      </w:r>
    </w:p>
    <w:p w:rsidR="006E73CE" w:rsidRDefault="006E73CE" w:rsidP="000A1196">
      <w:pPr>
        <w:pStyle w:val="Figurecaption"/>
        <w:spacing w:before="0" w:after="0"/>
        <w:rPr>
          <w:sz w:val="24"/>
          <w:szCs w:val="24"/>
        </w:rPr>
      </w:pPr>
    </w:p>
    <w:p w:rsidR="006E1FFA" w:rsidRPr="00CD7CB9" w:rsidRDefault="006E73CE" w:rsidP="000A1196">
      <w:pPr>
        <w:pStyle w:val="Figurecaption"/>
        <w:spacing w:before="0" w:after="0"/>
        <w:rPr>
          <w:sz w:val="24"/>
          <w:szCs w:val="24"/>
        </w:rPr>
      </w:pPr>
      <w:r>
        <w:rPr>
          <w:sz w:val="24"/>
          <w:szCs w:val="24"/>
        </w:rPr>
        <w:t xml:space="preserve">To analyse the use of FCM in rural and remote areas, </w:t>
      </w:r>
      <w:r w:rsidR="006E1FFA">
        <w:rPr>
          <w:sz w:val="24"/>
          <w:szCs w:val="24"/>
        </w:rPr>
        <w:t>prescriptions</w:t>
      </w:r>
      <w:r>
        <w:rPr>
          <w:sz w:val="24"/>
          <w:szCs w:val="24"/>
        </w:rPr>
        <w:t xml:space="preserve"> are displayed by </w:t>
      </w:r>
      <w:r w:rsidRPr="006E73CE">
        <w:rPr>
          <w:sz w:val="24"/>
          <w:szCs w:val="24"/>
        </w:rPr>
        <w:t>Statistical Area Level 3 (SA3)</w:t>
      </w:r>
      <w:r>
        <w:rPr>
          <w:sz w:val="24"/>
          <w:szCs w:val="24"/>
        </w:rPr>
        <w:t xml:space="preserve"> area. The number of prescriptions in </w:t>
      </w:r>
      <w:r w:rsidR="005F57A4">
        <w:rPr>
          <w:sz w:val="24"/>
          <w:szCs w:val="24"/>
        </w:rPr>
        <w:t>Y</w:t>
      </w:r>
      <w:r>
        <w:rPr>
          <w:sz w:val="24"/>
          <w:szCs w:val="24"/>
        </w:rPr>
        <w:t>ear 2 of PBS listing (June 201</w:t>
      </w:r>
      <w:r w:rsidR="00E63DD2">
        <w:rPr>
          <w:sz w:val="24"/>
          <w:szCs w:val="24"/>
        </w:rPr>
        <w:t>5</w:t>
      </w:r>
      <w:r>
        <w:rPr>
          <w:sz w:val="24"/>
          <w:szCs w:val="24"/>
        </w:rPr>
        <w:t xml:space="preserve"> to May 201</w:t>
      </w:r>
      <w:r w:rsidR="00E63DD2">
        <w:rPr>
          <w:sz w:val="24"/>
          <w:szCs w:val="24"/>
        </w:rPr>
        <w:t>6</w:t>
      </w:r>
      <w:r>
        <w:rPr>
          <w:sz w:val="24"/>
          <w:szCs w:val="24"/>
        </w:rPr>
        <w:t xml:space="preserve">) were </w:t>
      </w:r>
      <w:r w:rsidR="00E63DD2">
        <w:rPr>
          <w:sz w:val="24"/>
          <w:szCs w:val="24"/>
        </w:rPr>
        <w:t xml:space="preserve">converted to SA3 using the ABS </w:t>
      </w:r>
      <w:r w:rsidR="00E63DD2" w:rsidRPr="00E63DD2">
        <w:rPr>
          <w:sz w:val="24"/>
          <w:szCs w:val="24"/>
        </w:rPr>
        <w:t>Postcode 2011 to Statistical Area Level 3 2011</w:t>
      </w:r>
      <w:r w:rsidR="00E63DD2">
        <w:rPr>
          <w:sz w:val="24"/>
          <w:szCs w:val="24"/>
        </w:rPr>
        <w:t xml:space="preserve"> correspondence. The number of prescriptions per SA3 were </w:t>
      </w:r>
      <w:r>
        <w:rPr>
          <w:sz w:val="24"/>
          <w:szCs w:val="24"/>
        </w:rPr>
        <w:t xml:space="preserve">standardised by </w:t>
      </w:r>
      <w:r w:rsidR="00E63DD2">
        <w:rPr>
          <w:sz w:val="24"/>
          <w:szCs w:val="24"/>
        </w:rPr>
        <w:t>100</w:t>
      </w:r>
      <w:r w:rsidR="00DB7B61">
        <w:rPr>
          <w:sz w:val="24"/>
          <w:szCs w:val="24"/>
        </w:rPr>
        <w:t>,</w:t>
      </w:r>
      <w:r w:rsidR="00E63DD2">
        <w:rPr>
          <w:sz w:val="24"/>
          <w:szCs w:val="24"/>
        </w:rPr>
        <w:t xml:space="preserve">000 population </w:t>
      </w:r>
      <w:r w:rsidR="00E63DD2" w:rsidRPr="00251D38">
        <w:rPr>
          <w:sz w:val="24"/>
          <w:szCs w:val="24"/>
        </w:rPr>
        <w:t>using the 201</w:t>
      </w:r>
      <w:r w:rsidR="00251D38" w:rsidRPr="00251D38">
        <w:rPr>
          <w:sz w:val="24"/>
          <w:szCs w:val="24"/>
        </w:rPr>
        <w:t>5</w:t>
      </w:r>
      <w:r w:rsidR="00251D38">
        <w:rPr>
          <w:sz w:val="24"/>
          <w:szCs w:val="24"/>
        </w:rPr>
        <w:t xml:space="preserve"> Estimated Residential Population from ABS.Stat</w:t>
      </w:r>
      <w:r w:rsidR="00E63DD2" w:rsidRPr="00251D38">
        <w:rPr>
          <w:sz w:val="24"/>
          <w:szCs w:val="24"/>
        </w:rPr>
        <w:t>.</w:t>
      </w:r>
    </w:p>
    <w:p w:rsidR="006E73CE" w:rsidRDefault="006E73CE" w:rsidP="00C33F4E">
      <w:pPr>
        <w:autoSpaceDE w:val="0"/>
        <w:autoSpaceDN w:val="0"/>
        <w:adjustRightInd w:val="0"/>
        <w:spacing w:after="0"/>
        <w:rPr>
          <w:rFonts w:cs="Calibri+FPEF"/>
        </w:rPr>
      </w:pPr>
    </w:p>
    <w:p w:rsidR="00C33F4E" w:rsidRPr="00C33F4E" w:rsidRDefault="00C33F4E" w:rsidP="00C33F4E">
      <w:pPr>
        <w:autoSpaceDE w:val="0"/>
        <w:autoSpaceDN w:val="0"/>
        <w:adjustRightInd w:val="0"/>
        <w:spacing w:after="0"/>
        <w:rPr>
          <w:rFonts w:cs="Calibri+FPEF"/>
        </w:rPr>
      </w:pPr>
      <w:r w:rsidRPr="00C33F4E">
        <w:rPr>
          <w:rFonts w:cs="Calibri+FPEF"/>
        </w:rPr>
        <w:t>There are special PBS supply arrangements for clients of eligible remote area Aboriginal</w:t>
      </w:r>
    </w:p>
    <w:p w:rsidR="00E814C3" w:rsidRDefault="00C33F4E" w:rsidP="00712F2B">
      <w:pPr>
        <w:rPr>
          <w:rFonts w:cs="Calibri+FPEF"/>
        </w:rPr>
      </w:pPr>
      <w:r>
        <w:rPr>
          <w:rFonts w:cs="Calibri+FPEF"/>
        </w:rPr>
        <w:t>Health Services (AHS</w:t>
      </w:r>
      <w:r w:rsidRPr="00C33F4E">
        <w:rPr>
          <w:rFonts w:cs="Calibri+FPEF"/>
        </w:rPr>
        <w:t>). AHS are able to receive bulk supplies of PBS medicines through an approved community or hospital pharmacy. Data on items supplied to AHS include the item and quantity supplied, month of supply, the name of the AHS</w:t>
      </w:r>
      <w:r w:rsidR="00A6385F">
        <w:rPr>
          <w:rFonts w:cs="Calibri+FPEF"/>
        </w:rPr>
        <w:t>, s</w:t>
      </w:r>
      <w:r w:rsidRPr="00C33F4E">
        <w:rPr>
          <w:rFonts w:cs="Calibri+FPEF"/>
        </w:rPr>
        <w:t>tate and cost to Government. The supply data relate to the pharmacy supplying the items to the AHS. For medicines supplied to AHS, there are no data on whether the products were supplied to patients or any other patient-level data.</w:t>
      </w:r>
    </w:p>
    <w:p w:rsidR="00712F2B" w:rsidRDefault="00712F2B" w:rsidP="00712F2B">
      <w:r>
        <w:t>As this analysis uses date of supply prescription data, there may be small differences compared with publicly available DHS Medicare date of processing data.</w:t>
      </w:r>
      <w:r>
        <w:rPr>
          <w:rStyle w:val="FootnoteReference"/>
        </w:rPr>
        <w:footnoteReference w:id="10"/>
      </w:r>
      <w:r w:rsidR="0000615C">
        <w:t xml:space="preserve"> </w:t>
      </w:r>
      <w:r>
        <w:t xml:space="preserve">The publicly available DHS Medicare </w:t>
      </w:r>
      <w:r w:rsidR="00031DE5">
        <w:t xml:space="preserve">data only includes subsidised </w:t>
      </w:r>
      <w:r>
        <w:t>PBS</w:t>
      </w:r>
      <w:r w:rsidR="00031DE5">
        <w:t>/RPBS</w:t>
      </w:r>
      <w:r>
        <w:t xml:space="preserve"> prescriptions with prescriptions under the pa</w:t>
      </w:r>
      <w:r w:rsidR="0000615C">
        <w:t xml:space="preserve">tient co-payment not included. </w:t>
      </w:r>
      <w:r>
        <w:t>The DHS Medicare data used in this report includes under co-payment prescriptions from 1 April 2012.</w:t>
      </w:r>
    </w:p>
    <w:p w:rsidR="00A01726" w:rsidRDefault="00A01726" w:rsidP="00712F2B">
      <w:pPr>
        <w:pStyle w:val="Heading1"/>
      </w:pPr>
      <w:r>
        <w:br w:type="page"/>
      </w:r>
    </w:p>
    <w:p w:rsidR="00712F2B" w:rsidRPr="005E22C2" w:rsidRDefault="00712F2B" w:rsidP="00712F2B">
      <w:pPr>
        <w:pStyle w:val="Heading1"/>
      </w:pPr>
      <w:r w:rsidRPr="005E22C2">
        <w:lastRenderedPageBreak/>
        <w:t>Results</w:t>
      </w:r>
    </w:p>
    <w:p w:rsidR="00712F2B" w:rsidRPr="005E22C2" w:rsidRDefault="00712F2B" w:rsidP="00712F2B">
      <w:pPr>
        <w:pStyle w:val="Heading2"/>
      </w:pPr>
      <w:r w:rsidRPr="005E22C2">
        <w:t xml:space="preserve">Analysis of </w:t>
      </w:r>
      <w:r>
        <w:t>d</w:t>
      </w:r>
      <w:r w:rsidRPr="005E22C2">
        <w:t xml:space="preserve">rug </w:t>
      </w:r>
      <w:r>
        <w:t>u</w:t>
      </w:r>
      <w:r w:rsidRPr="005E22C2">
        <w:t>tilisation</w:t>
      </w:r>
    </w:p>
    <w:p w:rsidR="00A01726" w:rsidRDefault="00C973E5" w:rsidP="00A01726">
      <w:r>
        <w:t xml:space="preserve">Figure 1 shows the total number of parenteral iron prescriptions over time, including the number of FCM, IP and IS prescriptions. </w:t>
      </w:r>
    </w:p>
    <w:p w:rsidR="00542B55" w:rsidRDefault="00C96733" w:rsidP="00A01726">
      <w:r w:rsidRPr="00C96733">
        <w:rPr>
          <w:noProof/>
        </w:rPr>
        <w:t xml:space="preserve"> </w:t>
      </w:r>
      <w:r w:rsidR="00F677D2">
        <w:rPr>
          <w:noProof/>
        </w:rPr>
        <w:drawing>
          <wp:inline distT="0" distB="0" distL="0" distR="0" wp14:anchorId="1FDFC664" wp14:editId="66CAA2D2">
            <wp:extent cx="5443869" cy="3282333"/>
            <wp:effectExtent l="0" t="0" r="4445" b="0"/>
            <wp:docPr id="5" name="Picture 5" descr="A graph with four lines: ferric carboxymaltose, iron polymaltose, iron sucrose and total. It depicts the number of prescriptions for each therapy by the month of supply. There is a box indicating that FCM was PBS listed in June 2014." title="Number of PBS parenteral iron prescriptions supplied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47595" cy="3284580"/>
                    </a:xfrm>
                    <a:prstGeom prst="rect">
                      <a:avLst/>
                    </a:prstGeom>
                  </pic:spPr>
                </pic:pic>
              </a:graphicData>
            </a:graphic>
          </wp:inline>
        </w:drawing>
      </w:r>
    </w:p>
    <w:p w:rsidR="00542B55" w:rsidRDefault="002C1EE4" w:rsidP="002C1EE4">
      <w:pPr>
        <w:spacing w:after="0"/>
        <w:rPr>
          <w:b/>
        </w:rPr>
      </w:pPr>
      <w:r>
        <w:rPr>
          <w:b/>
        </w:rPr>
        <w:t xml:space="preserve">Figure </w:t>
      </w:r>
      <w:r w:rsidR="00C973E5">
        <w:rPr>
          <w:b/>
        </w:rPr>
        <w:t>1</w:t>
      </w:r>
      <w:r>
        <w:rPr>
          <w:b/>
        </w:rPr>
        <w:t xml:space="preserve">: Number of PBS parenteral iron prescriptions supplied by month </w:t>
      </w:r>
    </w:p>
    <w:p w:rsidR="002C1EE4" w:rsidRDefault="002C1EE4" w:rsidP="002C1EE4">
      <w:pPr>
        <w:spacing w:after="0"/>
        <w:rPr>
          <w:sz w:val="20"/>
          <w:szCs w:val="20"/>
        </w:rPr>
      </w:pPr>
      <w:r>
        <w:rPr>
          <w:sz w:val="20"/>
          <w:szCs w:val="20"/>
        </w:rPr>
        <w:t xml:space="preserve">Prescriptions by date of supply. FCM PBS-listed 1 June 2014. Source: DHS database accessed </w:t>
      </w:r>
      <w:r w:rsidR="00AF2B34">
        <w:rPr>
          <w:sz w:val="20"/>
          <w:szCs w:val="20"/>
        </w:rPr>
        <w:t>December</w:t>
      </w:r>
      <w:r>
        <w:rPr>
          <w:sz w:val="20"/>
          <w:szCs w:val="20"/>
        </w:rPr>
        <w:t xml:space="preserve"> 2016. </w:t>
      </w:r>
    </w:p>
    <w:p w:rsidR="002C1EE4" w:rsidRDefault="002C1EE4" w:rsidP="002C1EE4">
      <w:pPr>
        <w:spacing w:after="0"/>
        <w:rPr>
          <w:sz w:val="20"/>
          <w:szCs w:val="20"/>
        </w:rPr>
      </w:pPr>
    </w:p>
    <w:p w:rsidR="00D22680" w:rsidRDefault="00C973E5" w:rsidP="00EB56CB">
      <w:pPr>
        <w:spacing w:after="0"/>
      </w:pPr>
      <w:r>
        <w:t xml:space="preserve">The use of parenteral iron had been </w:t>
      </w:r>
      <w:r w:rsidR="00144CC1">
        <w:t>increasing gradually</w:t>
      </w:r>
      <w:r>
        <w:t xml:space="preserve"> until June 2014. Uptake of FCM has been high and rapid</w:t>
      </w:r>
      <w:r w:rsidR="00D34318">
        <w:t>,</w:t>
      </w:r>
      <w:r w:rsidR="00144CC1">
        <w:t xml:space="preserve"> and</w:t>
      </w:r>
      <w:r w:rsidR="00D34318">
        <w:t xml:space="preserve"> </w:t>
      </w:r>
      <w:r w:rsidR="00EB56CB" w:rsidRPr="00EB56CB">
        <w:t xml:space="preserve">has grown the </w:t>
      </w:r>
      <w:r w:rsidR="002A1B90">
        <w:t>parenteral</w:t>
      </w:r>
      <w:r w:rsidR="0024393A">
        <w:t xml:space="preserve"> iron </w:t>
      </w:r>
      <w:r w:rsidR="00EB56CB" w:rsidRPr="00EB56CB">
        <w:t>market substantially.</w:t>
      </w:r>
      <w:r w:rsidR="00144CC1">
        <w:t xml:space="preserve"> </w:t>
      </w:r>
      <w:r>
        <w:t>Use of IP declined</w:t>
      </w:r>
      <w:r w:rsidR="00EB56CB">
        <w:t xml:space="preserve"> following the listing of FCM</w:t>
      </w:r>
      <w:r>
        <w:t xml:space="preserve"> and has stabilised at a lower level. IS use has remained low. </w:t>
      </w:r>
    </w:p>
    <w:p w:rsidR="00EB56CB" w:rsidRDefault="00EB56CB" w:rsidP="002C1EE4">
      <w:pPr>
        <w:spacing w:after="0"/>
      </w:pPr>
    </w:p>
    <w:p w:rsidR="00D34318" w:rsidRDefault="004F335B" w:rsidP="00D14C32">
      <w:pPr>
        <w:spacing w:after="0"/>
      </w:pPr>
      <w:r>
        <w:t>The estimated use of FCM was presented in the submission as ‘episodes’ of a standard dose of 1</w:t>
      </w:r>
      <w:r w:rsidR="000240E3">
        <w:t>,</w:t>
      </w:r>
      <w:r>
        <w:t>000</w:t>
      </w:r>
      <w:r w:rsidR="000240E3">
        <w:t xml:space="preserve"> </w:t>
      </w:r>
      <w:r>
        <w:t xml:space="preserve">mg iron. </w:t>
      </w:r>
      <w:r w:rsidR="00D14C32">
        <w:t>If a patient requires a dose of iron greater than 1,000 mg for an episode, an additional prescription (</w:t>
      </w:r>
      <w:r w:rsidR="009043E3">
        <w:t xml:space="preserve">or </w:t>
      </w:r>
      <w:r w:rsidR="00D14C32">
        <w:t>repeat) would be required for FCM whereas the maximum quantity of IP provides a sufficient quantity for either a higher dose in the infusion or a repeat infusion (see Table 1).</w:t>
      </w:r>
      <w:r w:rsidR="00D34318">
        <w:t xml:space="preserve"> Therefore </w:t>
      </w:r>
      <w:r w:rsidR="00D34318" w:rsidRPr="00D34318">
        <w:t>‘</w:t>
      </w:r>
      <w:r w:rsidR="00D34318">
        <w:t>e</w:t>
      </w:r>
      <w:r w:rsidR="00D34318" w:rsidRPr="00D34318">
        <w:t>pisodes’ and prescriptions may not be comparable.</w:t>
      </w:r>
      <w:r w:rsidR="00D34318">
        <w:t xml:space="preserve"> To assess the extent of any difference, the proportion of FCM prescriptions with a repeat was</w:t>
      </w:r>
      <w:r w:rsidR="009043E3">
        <w:t xml:space="preserve"> determined. An</w:t>
      </w:r>
      <w:r w:rsidR="00D34318">
        <w:t xml:space="preserve"> analysis of the PBS data (not shown) found that </w:t>
      </w:r>
      <w:r w:rsidR="00D34318" w:rsidRPr="00D34318">
        <w:t>70% of original prescriptions</w:t>
      </w:r>
      <w:r w:rsidR="00D34318">
        <w:t xml:space="preserve"> dispensed were ordered with nil repeats, and that 93% of all FCM prescriptions dispe</w:t>
      </w:r>
      <w:r w:rsidR="009043E3">
        <w:t>nsed</w:t>
      </w:r>
      <w:r w:rsidR="00D34318">
        <w:t xml:space="preserve"> wer</w:t>
      </w:r>
      <w:r w:rsidR="009043E3">
        <w:t>e</w:t>
      </w:r>
      <w:r w:rsidR="00D34318">
        <w:t xml:space="preserve"> original prescriptions. </w:t>
      </w:r>
      <w:r w:rsidR="009043E3">
        <w:t>This indicates that the majority of episodes are likely to be for a standard dose of 1</w:t>
      </w:r>
      <w:r w:rsidR="00756EFA">
        <w:t>,</w:t>
      </w:r>
      <w:r w:rsidR="009043E3">
        <w:t>000</w:t>
      </w:r>
      <w:r w:rsidR="00756EFA">
        <w:t xml:space="preserve"> </w:t>
      </w:r>
      <w:r w:rsidR="009043E3">
        <w:t xml:space="preserve">mg. </w:t>
      </w:r>
    </w:p>
    <w:p w:rsidR="00D14C32" w:rsidRDefault="00D14C32" w:rsidP="002C1EE4">
      <w:pPr>
        <w:spacing w:after="0"/>
      </w:pPr>
    </w:p>
    <w:p w:rsidR="00FF4580" w:rsidRPr="00CD7CB9" w:rsidRDefault="009043E3" w:rsidP="00F60AC7">
      <w:pPr>
        <w:spacing w:after="0"/>
      </w:pPr>
      <w:r>
        <w:t xml:space="preserve">The frequency of use </w:t>
      </w:r>
      <w:r w:rsidR="00F60AC7">
        <w:t xml:space="preserve">will vary across a range of patients and conditions. </w:t>
      </w:r>
      <w:r w:rsidR="00FF4580">
        <w:t xml:space="preserve">Table </w:t>
      </w:r>
      <w:r w:rsidR="003875F8">
        <w:t xml:space="preserve">5 </w:t>
      </w:r>
      <w:r w:rsidR="00FF4580">
        <w:t xml:space="preserve">shows the number of </w:t>
      </w:r>
      <w:r w:rsidR="00F60AC7">
        <w:t>500</w:t>
      </w:r>
      <w:r w:rsidR="00E814C3">
        <w:t xml:space="preserve"> </w:t>
      </w:r>
      <w:r w:rsidR="00F60AC7">
        <w:t xml:space="preserve">mg </w:t>
      </w:r>
      <w:r w:rsidR="00FD4582">
        <w:t xml:space="preserve">vials </w:t>
      </w:r>
      <w:r w:rsidR="00FF4580">
        <w:t>of FCM supplied to patients</w:t>
      </w:r>
      <w:r w:rsidR="0096177B">
        <w:t xml:space="preserve"> </w:t>
      </w:r>
      <w:r w:rsidR="00723D6D">
        <w:t>over a 12 month period</w:t>
      </w:r>
      <w:r w:rsidR="0000615C">
        <w:t xml:space="preserve">. </w:t>
      </w:r>
    </w:p>
    <w:p w:rsidR="008F45D7" w:rsidRPr="009043E3" w:rsidRDefault="008F45D7" w:rsidP="00FF4580">
      <w:pPr>
        <w:pStyle w:val="Figurecaption"/>
        <w:spacing w:before="0" w:after="0"/>
        <w:rPr>
          <w:sz w:val="24"/>
          <w:szCs w:val="24"/>
        </w:rPr>
      </w:pPr>
    </w:p>
    <w:p w:rsidR="00FF4580" w:rsidRDefault="00FF4580" w:rsidP="00FF4580">
      <w:pPr>
        <w:pStyle w:val="Figurecaption"/>
        <w:spacing w:before="0" w:after="0"/>
        <w:rPr>
          <w:b/>
          <w:sz w:val="24"/>
          <w:szCs w:val="24"/>
        </w:rPr>
      </w:pPr>
      <w:r>
        <w:rPr>
          <w:b/>
          <w:sz w:val="24"/>
          <w:szCs w:val="24"/>
        </w:rPr>
        <w:t xml:space="preserve">Table </w:t>
      </w:r>
      <w:r w:rsidR="00067C5F">
        <w:rPr>
          <w:b/>
          <w:sz w:val="24"/>
          <w:szCs w:val="24"/>
        </w:rPr>
        <w:t>5</w:t>
      </w:r>
      <w:r>
        <w:rPr>
          <w:b/>
          <w:sz w:val="24"/>
          <w:szCs w:val="24"/>
        </w:rPr>
        <w:t xml:space="preserve">: Number of FCM </w:t>
      </w:r>
      <w:r w:rsidR="00FD4582">
        <w:rPr>
          <w:b/>
          <w:sz w:val="24"/>
          <w:szCs w:val="24"/>
        </w:rPr>
        <w:t xml:space="preserve">vials </w:t>
      </w:r>
      <w:r>
        <w:rPr>
          <w:b/>
          <w:sz w:val="24"/>
          <w:szCs w:val="24"/>
        </w:rPr>
        <w:t>supplied to a cohort</w:t>
      </w:r>
      <w:r w:rsidR="00723D6D">
        <w:rPr>
          <w:b/>
          <w:sz w:val="24"/>
          <w:szCs w:val="24"/>
        </w:rPr>
        <w:t>*</w:t>
      </w:r>
      <w:r>
        <w:rPr>
          <w:b/>
          <w:sz w:val="24"/>
          <w:szCs w:val="24"/>
        </w:rPr>
        <w:t xml:space="preserve"> of patients who received an initial supply of FCM </w:t>
      </w:r>
    </w:p>
    <w:tbl>
      <w:tblPr>
        <w:tblW w:w="4693" w:type="dxa"/>
        <w:tblInd w:w="93" w:type="dxa"/>
        <w:tblLook w:val="04A0" w:firstRow="1" w:lastRow="0" w:firstColumn="1" w:lastColumn="0" w:noHBand="0" w:noVBand="1"/>
      </w:tblPr>
      <w:tblGrid>
        <w:gridCol w:w="2000"/>
        <w:gridCol w:w="2693"/>
      </w:tblGrid>
      <w:tr w:rsidR="00FF4580" w:rsidRPr="007733A5" w:rsidTr="004F2A0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F4580" w:rsidRPr="007733A5" w:rsidRDefault="00FF4580" w:rsidP="00FD4582">
            <w:pPr>
              <w:spacing w:after="0"/>
              <w:jc w:val="center"/>
              <w:rPr>
                <w:rFonts w:ascii="Calibri" w:eastAsia="Times New Roman" w:hAnsi="Calibri" w:cs="Times New Roman"/>
                <w:b/>
                <w:sz w:val="20"/>
                <w:szCs w:val="20"/>
              </w:rPr>
            </w:pPr>
            <w:r w:rsidRPr="007733A5">
              <w:rPr>
                <w:rFonts w:ascii="Calibri" w:eastAsia="Times New Roman" w:hAnsi="Calibri" w:cs="Times New Roman"/>
                <w:b/>
                <w:sz w:val="20"/>
                <w:szCs w:val="20"/>
              </w:rPr>
              <w:t xml:space="preserve">Total number of </w:t>
            </w:r>
            <w:r w:rsidR="00FD4582">
              <w:rPr>
                <w:rFonts w:ascii="Calibri" w:eastAsia="Times New Roman" w:hAnsi="Calibri" w:cs="Times New Roman"/>
                <w:b/>
                <w:sz w:val="20"/>
                <w:szCs w:val="20"/>
              </w:rPr>
              <w:t>vials</w:t>
            </w:r>
            <w:r w:rsidR="00FD4582" w:rsidRPr="007733A5">
              <w:rPr>
                <w:rFonts w:ascii="Calibri" w:eastAsia="Times New Roman" w:hAnsi="Calibri" w:cs="Times New Roman"/>
                <w:b/>
                <w:sz w:val="20"/>
                <w:szCs w:val="20"/>
              </w:rPr>
              <w:t xml:space="preserve"> </w:t>
            </w:r>
            <w:r w:rsidRPr="007733A5">
              <w:rPr>
                <w:rFonts w:ascii="Calibri" w:eastAsia="Times New Roman" w:hAnsi="Calibri" w:cs="Times New Roman"/>
                <w:b/>
                <w:sz w:val="20"/>
                <w:szCs w:val="20"/>
              </w:rPr>
              <w:t>over 12 months</w:t>
            </w:r>
          </w:p>
        </w:tc>
        <w:tc>
          <w:tcPr>
            <w:tcW w:w="26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F4580" w:rsidRPr="007733A5" w:rsidRDefault="00FF4580" w:rsidP="004F2A00">
            <w:pPr>
              <w:spacing w:after="0"/>
              <w:jc w:val="center"/>
              <w:rPr>
                <w:rFonts w:ascii="Calibri" w:eastAsia="Times New Roman" w:hAnsi="Calibri" w:cs="Times New Roman"/>
                <w:b/>
                <w:sz w:val="20"/>
                <w:szCs w:val="20"/>
              </w:rPr>
            </w:pPr>
            <w:r w:rsidRPr="007733A5">
              <w:rPr>
                <w:rFonts w:ascii="Calibri" w:eastAsia="Times New Roman" w:hAnsi="Calibri" w:cs="Times New Roman"/>
                <w:b/>
                <w:sz w:val="20"/>
                <w:szCs w:val="20"/>
              </w:rPr>
              <w:t>Number of patients (% of total)</w:t>
            </w:r>
          </w:p>
        </w:tc>
      </w:tr>
      <w:tr w:rsidR="00FF4580" w:rsidRPr="007733A5" w:rsidTr="004F2A0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F4580" w:rsidRPr="007733A5" w:rsidRDefault="00FF4580" w:rsidP="004F2A00">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1</w:t>
            </w:r>
          </w:p>
        </w:tc>
        <w:tc>
          <w:tcPr>
            <w:tcW w:w="2693" w:type="dxa"/>
            <w:tcBorders>
              <w:top w:val="nil"/>
              <w:left w:val="nil"/>
              <w:bottom w:val="single" w:sz="4" w:space="0" w:color="auto"/>
              <w:right w:val="single" w:sz="4" w:space="0" w:color="auto"/>
            </w:tcBorders>
            <w:shd w:val="clear" w:color="auto" w:fill="auto"/>
            <w:noWrap/>
            <w:vAlign w:val="center"/>
            <w:hideMark/>
          </w:tcPr>
          <w:p w:rsidR="00FF4580" w:rsidRPr="007733A5" w:rsidRDefault="00FF4580" w:rsidP="004F2A00">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7733A5">
              <w:rPr>
                <w:rFonts w:ascii="Calibri" w:eastAsia="Times New Roman" w:hAnsi="Calibri" w:cs="Times New Roman"/>
                <w:sz w:val="20"/>
                <w:szCs w:val="20"/>
              </w:rPr>
              <w:t>1,829</w:t>
            </w:r>
            <w:r>
              <w:rPr>
                <w:rFonts w:ascii="Calibri" w:eastAsia="Times New Roman" w:hAnsi="Calibri" w:cs="Times New Roman"/>
                <w:sz w:val="20"/>
                <w:szCs w:val="20"/>
              </w:rPr>
              <w:t xml:space="preserve"> (5.44%)</w:t>
            </w:r>
            <w:r w:rsidRPr="007733A5">
              <w:rPr>
                <w:rFonts w:ascii="Calibri" w:eastAsia="Times New Roman" w:hAnsi="Calibri" w:cs="Times New Roman"/>
                <w:sz w:val="20"/>
                <w:szCs w:val="20"/>
              </w:rPr>
              <w:t xml:space="preserve"> </w:t>
            </w:r>
          </w:p>
        </w:tc>
      </w:tr>
      <w:tr w:rsidR="00FF4580" w:rsidRPr="007733A5" w:rsidTr="004F2A0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F4580" w:rsidRPr="007733A5" w:rsidRDefault="00FF4580" w:rsidP="004F2A00">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2</w:t>
            </w:r>
          </w:p>
        </w:tc>
        <w:tc>
          <w:tcPr>
            <w:tcW w:w="2693" w:type="dxa"/>
            <w:tcBorders>
              <w:top w:val="nil"/>
              <w:left w:val="nil"/>
              <w:bottom w:val="single" w:sz="4" w:space="0" w:color="auto"/>
              <w:right w:val="single" w:sz="4" w:space="0" w:color="auto"/>
            </w:tcBorders>
            <w:shd w:val="clear" w:color="auto" w:fill="auto"/>
            <w:noWrap/>
            <w:vAlign w:val="center"/>
            <w:hideMark/>
          </w:tcPr>
          <w:p w:rsidR="00FF4580" w:rsidRPr="007733A5" w:rsidRDefault="00FF4580" w:rsidP="004F2A00">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7733A5">
              <w:rPr>
                <w:rFonts w:ascii="Calibri" w:eastAsia="Times New Roman" w:hAnsi="Calibri" w:cs="Times New Roman"/>
                <w:sz w:val="20"/>
                <w:szCs w:val="20"/>
              </w:rPr>
              <w:t>24,574</w:t>
            </w:r>
            <w:r>
              <w:rPr>
                <w:rFonts w:ascii="Calibri" w:eastAsia="Times New Roman" w:hAnsi="Calibri" w:cs="Times New Roman"/>
                <w:sz w:val="20"/>
                <w:szCs w:val="20"/>
              </w:rPr>
              <w:t xml:space="preserve"> (73.04%)</w:t>
            </w:r>
            <w:r w:rsidRPr="007733A5">
              <w:rPr>
                <w:rFonts w:ascii="Calibri" w:eastAsia="Times New Roman" w:hAnsi="Calibri" w:cs="Times New Roman"/>
                <w:sz w:val="20"/>
                <w:szCs w:val="20"/>
              </w:rPr>
              <w:t xml:space="preserve"> </w:t>
            </w:r>
          </w:p>
        </w:tc>
      </w:tr>
      <w:tr w:rsidR="00FF4580" w:rsidRPr="007733A5" w:rsidTr="004F2A0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F4580" w:rsidRPr="007733A5" w:rsidRDefault="00FF4580" w:rsidP="004F2A00">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3</w:t>
            </w:r>
          </w:p>
        </w:tc>
        <w:tc>
          <w:tcPr>
            <w:tcW w:w="2693" w:type="dxa"/>
            <w:tcBorders>
              <w:top w:val="nil"/>
              <w:left w:val="nil"/>
              <w:bottom w:val="single" w:sz="4" w:space="0" w:color="auto"/>
              <w:right w:val="single" w:sz="4" w:space="0" w:color="auto"/>
            </w:tcBorders>
            <w:shd w:val="clear" w:color="auto" w:fill="auto"/>
            <w:noWrap/>
            <w:vAlign w:val="center"/>
            <w:hideMark/>
          </w:tcPr>
          <w:p w:rsidR="00FF4580" w:rsidRPr="007733A5" w:rsidRDefault="00FF4580" w:rsidP="004F2A00">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7733A5">
              <w:rPr>
                <w:rFonts w:ascii="Calibri" w:eastAsia="Times New Roman" w:hAnsi="Calibri" w:cs="Times New Roman"/>
                <w:sz w:val="20"/>
                <w:szCs w:val="20"/>
              </w:rPr>
              <w:t>582</w:t>
            </w:r>
            <w:r>
              <w:rPr>
                <w:rFonts w:ascii="Calibri" w:eastAsia="Times New Roman" w:hAnsi="Calibri" w:cs="Times New Roman"/>
                <w:sz w:val="20"/>
                <w:szCs w:val="20"/>
              </w:rPr>
              <w:t xml:space="preserve"> (1.73%)</w:t>
            </w:r>
            <w:r w:rsidRPr="007733A5">
              <w:rPr>
                <w:rFonts w:ascii="Calibri" w:eastAsia="Times New Roman" w:hAnsi="Calibri" w:cs="Times New Roman"/>
                <w:sz w:val="20"/>
                <w:szCs w:val="20"/>
              </w:rPr>
              <w:t xml:space="preserve"> </w:t>
            </w:r>
          </w:p>
        </w:tc>
      </w:tr>
      <w:tr w:rsidR="00FF4580" w:rsidRPr="007733A5" w:rsidTr="004F2A0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F4580" w:rsidRPr="007733A5" w:rsidRDefault="00FF4580" w:rsidP="004F2A00">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4</w:t>
            </w:r>
          </w:p>
        </w:tc>
        <w:tc>
          <w:tcPr>
            <w:tcW w:w="2693" w:type="dxa"/>
            <w:tcBorders>
              <w:top w:val="nil"/>
              <w:left w:val="nil"/>
              <w:bottom w:val="single" w:sz="4" w:space="0" w:color="auto"/>
              <w:right w:val="single" w:sz="4" w:space="0" w:color="auto"/>
            </w:tcBorders>
            <w:shd w:val="clear" w:color="auto" w:fill="auto"/>
            <w:noWrap/>
            <w:vAlign w:val="center"/>
            <w:hideMark/>
          </w:tcPr>
          <w:p w:rsidR="00FF4580" w:rsidRPr="007733A5" w:rsidRDefault="00FF4580" w:rsidP="004F2A00">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7733A5">
              <w:rPr>
                <w:rFonts w:ascii="Calibri" w:eastAsia="Times New Roman" w:hAnsi="Calibri" w:cs="Times New Roman"/>
                <w:sz w:val="20"/>
                <w:szCs w:val="20"/>
              </w:rPr>
              <w:t xml:space="preserve">5,028 </w:t>
            </w:r>
            <w:r>
              <w:rPr>
                <w:rFonts w:ascii="Calibri" w:eastAsia="Times New Roman" w:hAnsi="Calibri" w:cs="Times New Roman"/>
                <w:sz w:val="20"/>
                <w:szCs w:val="20"/>
              </w:rPr>
              <w:t>(14.94%)</w:t>
            </w:r>
          </w:p>
        </w:tc>
      </w:tr>
      <w:tr w:rsidR="00FF4580" w:rsidRPr="007733A5" w:rsidTr="004F2A0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F4580" w:rsidRPr="007733A5" w:rsidRDefault="00FF4580" w:rsidP="004F2A00">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5</w:t>
            </w:r>
          </w:p>
        </w:tc>
        <w:tc>
          <w:tcPr>
            <w:tcW w:w="2693" w:type="dxa"/>
            <w:tcBorders>
              <w:top w:val="nil"/>
              <w:left w:val="nil"/>
              <w:bottom w:val="single" w:sz="4" w:space="0" w:color="auto"/>
              <w:right w:val="single" w:sz="4" w:space="0" w:color="auto"/>
            </w:tcBorders>
            <w:shd w:val="clear" w:color="auto" w:fill="auto"/>
            <w:noWrap/>
            <w:vAlign w:val="center"/>
            <w:hideMark/>
          </w:tcPr>
          <w:p w:rsidR="00FF4580" w:rsidRPr="007733A5" w:rsidRDefault="00FF4580" w:rsidP="004F2A00">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7733A5">
              <w:rPr>
                <w:rFonts w:ascii="Calibri" w:eastAsia="Times New Roman" w:hAnsi="Calibri" w:cs="Times New Roman"/>
                <w:sz w:val="20"/>
                <w:szCs w:val="20"/>
              </w:rPr>
              <w:t>114</w:t>
            </w:r>
            <w:r>
              <w:rPr>
                <w:rFonts w:ascii="Calibri" w:eastAsia="Times New Roman" w:hAnsi="Calibri" w:cs="Times New Roman"/>
                <w:sz w:val="20"/>
                <w:szCs w:val="20"/>
              </w:rPr>
              <w:t xml:space="preserve"> (0.34%)</w:t>
            </w:r>
            <w:r w:rsidRPr="007733A5">
              <w:rPr>
                <w:rFonts w:ascii="Calibri" w:eastAsia="Times New Roman" w:hAnsi="Calibri" w:cs="Times New Roman"/>
                <w:sz w:val="20"/>
                <w:szCs w:val="20"/>
              </w:rPr>
              <w:t xml:space="preserve"> </w:t>
            </w:r>
          </w:p>
        </w:tc>
      </w:tr>
      <w:tr w:rsidR="00FF4580" w:rsidRPr="007733A5" w:rsidTr="004F2A0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F4580" w:rsidRPr="007733A5" w:rsidRDefault="00FF4580" w:rsidP="004F2A00">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6</w:t>
            </w:r>
          </w:p>
        </w:tc>
        <w:tc>
          <w:tcPr>
            <w:tcW w:w="2693" w:type="dxa"/>
            <w:tcBorders>
              <w:top w:val="nil"/>
              <w:left w:val="nil"/>
              <w:bottom w:val="single" w:sz="4" w:space="0" w:color="auto"/>
              <w:right w:val="single" w:sz="4" w:space="0" w:color="auto"/>
            </w:tcBorders>
            <w:shd w:val="clear" w:color="auto" w:fill="auto"/>
            <w:noWrap/>
            <w:vAlign w:val="center"/>
            <w:hideMark/>
          </w:tcPr>
          <w:p w:rsidR="00FF4580" w:rsidRPr="007733A5" w:rsidRDefault="00FF4580" w:rsidP="004F2A00">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7733A5">
              <w:rPr>
                <w:rFonts w:ascii="Calibri" w:eastAsia="Times New Roman" w:hAnsi="Calibri" w:cs="Times New Roman"/>
                <w:sz w:val="20"/>
                <w:szCs w:val="20"/>
              </w:rPr>
              <w:t>955</w:t>
            </w:r>
            <w:r>
              <w:rPr>
                <w:rFonts w:ascii="Calibri" w:eastAsia="Times New Roman" w:hAnsi="Calibri" w:cs="Times New Roman"/>
                <w:sz w:val="20"/>
                <w:szCs w:val="20"/>
              </w:rPr>
              <w:t xml:space="preserve"> (2.84%)</w:t>
            </w:r>
            <w:r w:rsidRPr="007733A5">
              <w:rPr>
                <w:rFonts w:ascii="Calibri" w:eastAsia="Times New Roman" w:hAnsi="Calibri" w:cs="Times New Roman"/>
                <w:sz w:val="20"/>
                <w:szCs w:val="20"/>
              </w:rPr>
              <w:t xml:space="preserve"> </w:t>
            </w:r>
          </w:p>
        </w:tc>
      </w:tr>
      <w:tr w:rsidR="00FF4580" w:rsidRPr="007733A5" w:rsidTr="004F2A0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F4580" w:rsidRPr="007733A5" w:rsidRDefault="00FF4580" w:rsidP="004F2A00">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7</w:t>
            </w:r>
            <w:r w:rsidR="004F2A00">
              <w:rPr>
                <w:rFonts w:ascii="Calibri" w:eastAsia="Times New Roman" w:hAnsi="Calibri" w:cs="Times New Roman"/>
                <w:sz w:val="20"/>
                <w:szCs w:val="20"/>
              </w:rPr>
              <w:t>-10</w:t>
            </w:r>
          </w:p>
        </w:tc>
        <w:tc>
          <w:tcPr>
            <w:tcW w:w="2693" w:type="dxa"/>
            <w:tcBorders>
              <w:top w:val="nil"/>
              <w:left w:val="nil"/>
              <w:bottom w:val="single" w:sz="4" w:space="0" w:color="auto"/>
              <w:right w:val="single" w:sz="4" w:space="0" w:color="auto"/>
            </w:tcBorders>
            <w:shd w:val="clear" w:color="auto" w:fill="auto"/>
            <w:noWrap/>
            <w:vAlign w:val="center"/>
            <w:hideMark/>
          </w:tcPr>
          <w:p w:rsidR="00FF4580" w:rsidRPr="007733A5" w:rsidRDefault="004F2A00" w:rsidP="004F2A00">
            <w:pPr>
              <w:spacing w:after="0"/>
              <w:jc w:val="right"/>
              <w:rPr>
                <w:rFonts w:ascii="Calibri" w:eastAsia="Times New Roman" w:hAnsi="Calibri" w:cs="Times New Roman"/>
                <w:sz w:val="20"/>
                <w:szCs w:val="20"/>
              </w:rPr>
            </w:pPr>
            <w:r>
              <w:rPr>
                <w:rFonts w:ascii="Calibri" w:eastAsia="Times New Roman" w:hAnsi="Calibri" w:cs="Times New Roman"/>
                <w:sz w:val="20"/>
                <w:szCs w:val="20"/>
              </w:rPr>
              <w:t>462</w:t>
            </w:r>
            <w:r w:rsidR="00FF4580">
              <w:rPr>
                <w:rFonts w:ascii="Calibri" w:eastAsia="Times New Roman" w:hAnsi="Calibri" w:cs="Times New Roman"/>
                <w:sz w:val="20"/>
                <w:szCs w:val="20"/>
              </w:rPr>
              <w:t xml:space="preserve"> (</w:t>
            </w:r>
            <w:r>
              <w:rPr>
                <w:rFonts w:ascii="Calibri" w:eastAsia="Times New Roman" w:hAnsi="Calibri" w:cs="Times New Roman"/>
                <w:sz w:val="20"/>
                <w:szCs w:val="20"/>
              </w:rPr>
              <w:t>1.37</w:t>
            </w:r>
            <w:r w:rsidR="00FF4580">
              <w:rPr>
                <w:rFonts w:ascii="Calibri" w:eastAsia="Times New Roman" w:hAnsi="Calibri" w:cs="Times New Roman"/>
                <w:sz w:val="20"/>
                <w:szCs w:val="20"/>
              </w:rPr>
              <w:t>%)</w:t>
            </w:r>
            <w:r w:rsidR="00FF4580" w:rsidRPr="007733A5">
              <w:rPr>
                <w:rFonts w:ascii="Calibri" w:eastAsia="Times New Roman" w:hAnsi="Calibri" w:cs="Times New Roman"/>
                <w:sz w:val="20"/>
                <w:szCs w:val="20"/>
              </w:rPr>
              <w:t xml:space="preserve"> </w:t>
            </w:r>
          </w:p>
        </w:tc>
      </w:tr>
      <w:tr w:rsidR="00FF4580" w:rsidRPr="007733A5" w:rsidTr="004F2A0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F4580" w:rsidRPr="007733A5" w:rsidRDefault="004F2A00" w:rsidP="004F2A00">
            <w:pPr>
              <w:spacing w:after="0"/>
              <w:jc w:val="right"/>
              <w:rPr>
                <w:rFonts w:ascii="Calibri" w:eastAsia="Times New Roman" w:hAnsi="Calibri" w:cs="Times New Roman"/>
                <w:sz w:val="20"/>
                <w:szCs w:val="20"/>
              </w:rPr>
            </w:pPr>
            <w:r>
              <w:rPr>
                <w:rFonts w:ascii="Calibri" w:eastAsia="Times New Roman" w:hAnsi="Calibri" w:cs="Times New Roman"/>
                <w:sz w:val="20"/>
                <w:szCs w:val="20"/>
              </w:rPr>
              <w:t>11-14</w:t>
            </w:r>
          </w:p>
        </w:tc>
        <w:tc>
          <w:tcPr>
            <w:tcW w:w="2693" w:type="dxa"/>
            <w:tcBorders>
              <w:top w:val="nil"/>
              <w:left w:val="nil"/>
              <w:bottom w:val="single" w:sz="4" w:space="0" w:color="auto"/>
              <w:right w:val="single" w:sz="4" w:space="0" w:color="auto"/>
            </w:tcBorders>
            <w:shd w:val="clear" w:color="auto" w:fill="auto"/>
            <w:noWrap/>
            <w:vAlign w:val="center"/>
            <w:hideMark/>
          </w:tcPr>
          <w:p w:rsidR="00FF4580" w:rsidRPr="007733A5" w:rsidRDefault="004F2A00" w:rsidP="004F2A00">
            <w:pPr>
              <w:spacing w:after="0"/>
              <w:jc w:val="right"/>
              <w:rPr>
                <w:rFonts w:ascii="Calibri" w:eastAsia="Times New Roman" w:hAnsi="Calibri" w:cs="Times New Roman"/>
                <w:sz w:val="20"/>
                <w:szCs w:val="20"/>
              </w:rPr>
            </w:pPr>
            <w:r>
              <w:rPr>
                <w:rFonts w:ascii="Calibri" w:eastAsia="Times New Roman" w:hAnsi="Calibri" w:cs="Times New Roman"/>
                <w:sz w:val="20"/>
                <w:szCs w:val="20"/>
              </w:rPr>
              <w:t>75</w:t>
            </w:r>
            <w:r w:rsidR="00FF4580">
              <w:rPr>
                <w:rFonts w:ascii="Calibri" w:eastAsia="Times New Roman" w:hAnsi="Calibri" w:cs="Times New Roman"/>
                <w:sz w:val="20"/>
                <w:szCs w:val="20"/>
              </w:rPr>
              <w:t xml:space="preserve"> (</w:t>
            </w:r>
            <w:r>
              <w:rPr>
                <w:rFonts w:ascii="Calibri" w:eastAsia="Times New Roman" w:hAnsi="Calibri" w:cs="Times New Roman"/>
                <w:sz w:val="20"/>
                <w:szCs w:val="20"/>
              </w:rPr>
              <w:t>0.22</w:t>
            </w:r>
            <w:r w:rsidR="00FF4580">
              <w:rPr>
                <w:rFonts w:ascii="Calibri" w:eastAsia="Times New Roman" w:hAnsi="Calibri" w:cs="Times New Roman"/>
                <w:sz w:val="20"/>
                <w:szCs w:val="20"/>
              </w:rPr>
              <w:t>%)</w:t>
            </w:r>
          </w:p>
        </w:tc>
      </w:tr>
      <w:tr w:rsidR="00FF4580" w:rsidRPr="007733A5" w:rsidTr="004F2A0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F4580" w:rsidRPr="007733A5" w:rsidRDefault="004F2A00" w:rsidP="004F2A00">
            <w:pPr>
              <w:spacing w:after="0"/>
              <w:jc w:val="right"/>
              <w:rPr>
                <w:rFonts w:ascii="Calibri" w:eastAsia="Times New Roman" w:hAnsi="Calibri" w:cs="Times New Roman"/>
                <w:sz w:val="20"/>
                <w:szCs w:val="20"/>
              </w:rPr>
            </w:pPr>
            <w:r>
              <w:rPr>
                <w:rFonts w:ascii="Calibri" w:eastAsia="Times New Roman" w:hAnsi="Calibri" w:cs="Times New Roman"/>
                <w:sz w:val="20"/>
                <w:szCs w:val="20"/>
              </w:rPr>
              <w:t>15-18</w:t>
            </w:r>
          </w:p>
        </w:tc>
        <w:tc>
          <w:tcPr>
            <w:tcW w:w="2693" w:type="dxa"/>
            <w:tcBorders>
              <w:top w:val="nil"/>
              <w:left w:val="nil"/>
              <w:bottom w:val="single" w:sz="4" w:space="0" w:color="auto"/>
              <w:right w:val="single" w:sz="4" w:space="0" w:color="auto"/>
            </w:tcBorders>
            <w:shd w:val="clear" w:color="auto" w:fill="auto"/>
            <w:noWrap/>
            <w:vAlign w:val="center"/>
            <w:hideMark/>
          </w:tcPr>
          <w:p w:rsidR="00FF4580" w:rsidRPr="007733A5" w:rsidRDefault="004F2A00" w:rsidP="004F2A00">
            <w:pPr>
              <w:spacing w:after="0"/>
              <w:jc w:val="right"/>
              <w:rPr>
                <w:rFonts w:ascii="Calibri" w:eastAsia="Times New Roman" w:hAnsi="Calibri" w:cs="Times New Roman"/>
                <w:sz w:val="20"/>
                <w:szCs w:val="20"/>
              </w:rPr>
            </w:pPr>
            <w:r>
              <w:rPr>
                <w:rFonts w:ascii="Calibri" w:eastAsia="Times New Roman" w:hAnsi="Calibri" w:cs="Times New Roman"/>
                <w:sz w:val="20"/>
                <w:szCs w:val="20"/>
              </w:rPr>
              <w:t>17</w:t>
            </w:r>
            <w:r w:rsidR="00FF4580">
              <w:rPr>
                <w:rFonts w:ascii="Calibri" w:eastAsia="Times New Roman" w:hAnsi="Calibri" w:cs="Times New Roman"/>
                <w:sz w:val="20"/>
                <w:szCs w:val="20"/>
              </w:rPr>
              <w:t xml:space="preserve"> (</w:t>
            </w:r>
            <w:r>
              <w:rPr>
                <w:rFonts w:ascii="Calibri" w:eastAsia="Times New Roman" w:hAnsi="Calibri" w:cs="Times New Roman"/>
                <w:sz w:val="20"/>
                <w:szCs w:val="20"/>
              </w:rPr>
              <w:t>0.05</w:t>
            </w:r>
            <w:r w:rsidR="00FF4580">
              <w:rPr>
                <w:rFonts w:ascii="Calibri" w:eastAsia="Times New Roman" w:hAnsi="Calibri" w:cs="Times New Roman"/>
                <w:sz w:val="20"/>
                <w:szCs w:val="20"/>
              </w:rPr>
              <w:t>%)</w:t>
            </w:r>
            <w:r w:rsidR="00FF4580" w:rsidRPr="007733A5">
              <w:rPr>
                <w:rFonts w:ascii="Calibri" w:eastAsia="Times New Roman" w:hAnsi="Calibri" w:cs="Times New Roman"/>
                <w:sz w:val="20"/>
                <w:szCs w:val="20"/>
              </w:rPr>
              <w:t xml:space="preserve"> </w:t>
            </w:r>
          </w:p>
        </w:tc>
      </w:tr>
      <w:tr w:rsidR="00FF4580" w:rsidRPr="007733A5" w:rsidTr="004F2A0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F4580" w:rsidRPr="007733A5" w:rsidRDefault="004F2A00" w:rsidP="004F2A00">
            <w:pPr>
              <w:spacing w:after="0"/>
              <w:jc w:val="right"/>
              <w:rPr>
                <w:rFonts w:ascii="Calibri" w:eastAsia="Times New Roman" w:hAnsi="Calibri" w:cs="Times New Roman"/>
                <w:sz w:val="20"/>
                <w:szCs w:val="20"/>
              </w:rPr>
            </w:pPr>
            <w:r>
              <w:rPr>
                <w:rFonts w:ascii="Calibri" w:eastAsia="Times New Roman" w:hAnsi="Calibri" w:cs="Times New Roman"/>
                <w:sz w:val="20"/>
                <w:szCs w:val="20"/>
              </w:rPr>
              <w:t>≤19</w:t>
            </w:r>
          </w:p>
        </w:tc>
        <w:tc>
          <w:tcPr>
            <w:tcW w:w="2693" w:type="dxa"/>
            <w:tcBorders>
              <w:top w:val="nil"/>
              <w:left w:val="nil"/>
              <w:bottom w:val="single" w:sz="4" w:space="0" w:color="auto"/>
              <w:right w:val="single" w:sz="4" w:space="0" w:color="auto"/>
            </w:tcBorders>
            <w:shd w:val="clear" w:color="auto" w:fill="auto"/>
            <w:noWrap/>
            <w:vAlign w:val="center"/>
            <w:hideMark/>
          </w:tcPr>
          <w:p w:rsidR="00FF4580" w:rsidRPr="007733A5" w:rsidRDefault="00FF4580" w:rsidP="0069310A">
            <w:pPr>
              <w:spacing w:after="0"/>
              <w:jc w:val="right"/>
              <w:rPr>
                <w:rFonts w:ascii="Calibri" w:eastAsia="Times New Roman" w:hAnsi="Calibri" w:cs="Times New Roman"/>
                <w:sz w:val="20"/>
                <w:szCs w:val="20"/>
              </w:rPr>
            </w:pPr>
            <w:r w:rsidRPr="007733A5">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69310A">
              <w:rPr>
                <w:rFonts w:ascii="Calibri" w:eastAsia="Times New Roman" w:hAnsi="Calibri" w:cs="Times New Roman"/>
                <w:sz w:val="20"/>
                <w:szCs w:val="20"/>
              </w:rPr>
              <w:t>9</w:t>
            </w:r>
            <w:r>
              <w:rPr>
                <w:rFonts w:ascii="Calibri" w:eastAsia="Times New Roman" w:hAnsi="Calibri" w:cs="Times New Roman"/>
                <w:sz w:val="20"/>
                <w:szCs w:val="20"/>
              </w:rPr>
              <w:t xml:space="preserve"> (</w:t>
            </w:r>
            <w:r w:rsidR="0069310A">
              <w:rPr>
                <w:rFonts w:ascii="Calibri" w:eastAsia="Times New Roman" w:hAnsi="Calibri" w:cs="Times New Roman"/>
                <w:sz w:val="20"/>
                <w:szCs w:val="20"/>
              </w:rPr>
              <w:t>0.03</w:t>
            </w:r>
            <w:r>
              <w:rPr>
                <w:rFonts w:ascii="Calibri" w:eastAsia="Times New Roman" w:hAnsi="Calibri" w:cs="Times New Roman"/>
                <w:sz w:val="20"/>
                <w:szCs w:val="20"/>
              </w:rPr>
              <w:t>%)</w:t>
            </w:r>
            <w:r w:rsidRPr="007733A5">
              <w:rPr>
                <w:rFonts w:ascii="Calibri" w:eastAsia="Times New Roman" w:hAnsi="Calibri" w:cs="Times New Roman"/>
                <w:sz w:val="20"/>
                <w:szCs w:val="20"/>
              </w:rPr>
              <w:t xml:space="preserve"> </w:t>
            </w:r>
          </w:p>
        </w:tc>
      </w:tr>
    </w:tbl>
    <w:p w:rsidR="00FF4580" w:rsidRDefault="00FF4580" w:rsidP="00FF4580">
      <w:pPr>
        <w:spacing w:after="0"/>
        <w:rPr>
          <w:sz w:val="20"/>
          <w:szCs w:val="20"/>
        </w:rPr>
      </w:pPr>
      <w:r>
        <w:rPr>
          <w:sz w:val="20"/>
          <w:szCs w:val="20"/>
        </w:rPr>
        <w:t xml:space="preserve">Source: DHS database accessed November 2016. </w:t>
      </w:r>
    </w:p>
    <w:p w:rsidR="00FF4580" w:rsidRPr="00E814C3" w:rsidRDefault="00723D6D" w:rsidP="00723D6D">
      <w:pPr>
        <w:pStyle w:val="Figurecaption"/>
        <w:spacing w:before="0" w:after="0"/>
      </w:pPr>
      <w:r w:rsidRPr="00E814C3">
        <w:t>*Cohort includes all patients initiating FCM between 1 December 2014 and 31 May 2015, followed over a 12 month period since their initial supply.</w:t>
      </w:r>
    </w:p>
    <w:p w:rsidR="00723D6D" w:rsidRDefault="00723D6D" w:rsidP="00FF4580">
      <w:pPr>
        <w:pStyle w:val="Figurecaption"/>
        <w:spacing w:before="0" w:after="0"/>
        <w:rPr>
          <w:sz w:val="24"/>
          <w:szCs w:val="24"/>
        </w:rPr>
      </w:pPr>
    </w:p>
    <w:p w:rsidR="00FF4580" w:rsidRDefault="00EE5C40" w:rsidP="00FF4580">
      <w:pPr>
        <w:pStyle w:val="Figurecaption"/>
        <w:spacing w:before="0" w:after="0"/>
        <w:rPr>
          <w:sz w:val="24"/>
          <w:szCs w:val="24"/>
        </w:rPr>
      </w:pPr>
      <w:r>
        <w:rPr>
          <w:sz w:val="24"/>
          <w:szCs w:val="24"/>
        </w:rPr>
        <w:t xml:space="preserve">The majority </w:t>
      </w:r>
      <w:r w:rsidR="00FF4580">
        <w:rPr>
          <w:sz w:val="24"/>
          <w:szCs w:val="24"/>
        </w:rPr>
        <w:t xml:space="preserve">of patients in this cohort were supplied one prescription (two </w:t>
      </w:r>
      <w:r w:rsidR="00FD4582">
        <w:rPr>
          <w:sz w:val="24"/>
          <w:szCs w:val="24"/>
        </w:rPr>
        <w:t xml:space="preserve">vials </w:t>
      </w:r>
      <w:r w:rsidR="00FF4580">
        <w:rPr>
          <w:sz w:val="24"/>
          <w:szCs w:val="24"/>
        </w:rPr>
        <w:t>with a total of 1,000 mg of iron) over the 12 months. The second large</w:t>
      </w:r>
      <w:r>
        <w:rPr>
          <w:sz w:val="24"/>
          <w:szCs w:val="24"/>
        </w:rPr>
        <w:t>st proportion of patients w</w:t>
      </w:r>
      <w:r w:rsidR="00067C5F">
        <w:rPr>
          <w:sz w:val="24"/>
          <w:szCs w:val="24"/>
        </w:rPr>
        <w:t>as</w:t>
      </w:r>
      <w:r w:rsidR="00FF4580">
        <w:rPr>
          <w:sz w:val="24"/>
          <w:szCs w:val="24"/>
        </w:rPr>
        <w:t xml:space="preserve"> supplied two prescriptions (2,000 mg).</w:t>
      </w:r>
      <w:r w:rsidR="00E814C3">
        <w:rPr>
          <w:sz w:val="24"/>
          <w:szCs w:val="24"/>
        </w:rPr>
        <w:t xml:space="preserve"> </w:t>
      </w:r>
      <w:r w:rsidR="00723D6D">
        <w:rPr>
          <w:sz w:val="24"/>
          <w:szCs w:val="24"/>
        </w:rPr>
        <w:t xml:space="preserve">A small number of patients </w:t>
      </w:r>
      <w:r w:rsidR="00E814C3">
        <w:rPr>
          <w:sz w:val="24"/>
          <w:szCs w:val="24"/>
        </w:rPr>
        <w:t>received</w:t>
      </w:r>
      <w:r w:rsidR="00723D6D">
        <w:rPr>
          <w:sz w:val="24"/>
          <w:szCs w:val="24"/>
        </w:rPr>
        <w:t xml:space="preserve"> </w:t>
      </w:r>
      <w:r w:rsidR="00E814C3">
        <w:rPr>
          <w:sz w:val="24"/>
          <w:szCs w:val="24"/>
        </w:rPr>
        <w:t xml:space="preserve">a </w:t>
      </w:r>
      <w:r w:rsidR="00723D6D">
        <w:rPr>
          <w:sz w:val="24"/>
          <w:szCs w:val="24"/>
        </w:rPr>
        <w:t>large number of vials. This may indicate some use of FCM for haemodialysis patients.</w:t>
      </w:r>
    </w:p>
    <w:p w:rsidR="00FF4580" w:rsidRDefault="00FF4580" w:rsidP="00FF4580">
      <w:pPr>
        <w:pStyle w:val="Figurecaption"/>
        <w:spacing w:before="0" w:after="0"/>
        <w:rPr>
          <w:sz w:val="24"/>
          <w:szCs w:val="24"/>
        </w:rPr>
      </w:pPr>
    </w:p>
    <w:p w:rsidR="00970B80" w:rsidRDefault="00970B80" w:rsidP="00970B80">
      <w:pPr>
        <w:spacing w:after="0"/>
      </w:pPr>
      <w:r>
        <w:t xml:space="preserve">Table </w:t>
      </w:r>
      <w:r w:rsidR="000240E3">
        <w:t>6</w:t>
      </w:r>
      <w:r w:rsidR="00852375">
        <w:t xml:space="preserve"> shows the number of </w:t>
      </w:r>
      <w:r w:rsidR="00F15EA5">
        <w:t>treated</w:t>
      </w:r>
      <w:r w:rsidR="00E85714">
        <w:t xml:space="preserve"> and new </w:t>
      </w:r>
      <w:r>
        <w:t xml:space="preserve">patients </w:t>
      </w:r>
      <w:r w:rsidR="00852375">
        <w:t>who were supplied</w:t>
      </w:r>
      <w:r>
        <w:t xml:space="preserve"> </w:t>
      </w:r>
      <w:r w:rsidR="00852375">
        <w:t xml:space="preserve">parenteral </w:t>
      </w:r>
      <w:r>
        <w:t xml:space="preserve">iron in the two years before </w:t>
      </w:r>
      <w:r w:rsidR="009F0C85">
        <w:t xml:space="preserve">and after </w:t>
      </w:r>
      <w:r>
        <w:t>FCM was PBS-listed</w:t>
      </w:r>
      <w:r w:rsidR="002E5AEE">
        <w:t>, with associated annual growth</w:t>
      </w:r>
      <w:r>
        <w:t>.</w:t>
      </w:r>
      <w:r w:rsidR="00523E32">
        <w:t xml:space="preserve"> </w:t>
      </w:r>
    </w:p>
    <w:p w:rsidR="00970B80" w:rsidRDefault="00970B80" w:rsidP="00970B80">
      <w:pPr>
        <w:spacing w:after="0"/>
      </w:pPr>
    </w:p>
    <w:p w:rsidR="00970B80" w:rsidRPr="00D02898" w:rsidRDefault="00970B80" w:rsidP="00970B80">
      <w:pPr>
        <w:pStyle w:val="Figurecaption"/>
        <w:spacing w:before="0" w:after="0"/>
        <w:rPr>
          <w:b/>
          <w:sz w:val="24"/>
          <w:szCs w:val="24"/>
        </w:rPr>
      </w:pPr>
      <w:r w:rsidRPr="00C33F45">
        <w:rPr>
          <w:b/>
          <w:sz w:val="24"/>
          <w:szCs w:val="24"/>
        </w:rPr>
        <w:t xml:space="preserve">Table </w:t>
      </w:r>
      <w:r w:rsidR="00067C5F">
        <w:rPr>
          <w:b/>
          <w:sz w:val="24"/>
          <w:szCs w:val="24"/>
        </w:rPr>
        <w:t>6</w:t>
      </w:r>
      <w:r w:rsidRPr="00C33F45">
        <w:rPr>
          <w:b/>
          <w:sz w:val="24"/>
          <w:szCs w:val="24"/>
        </w:rPr>
        <w:t>: Number of parenteral iron patients in each year before and after FCM was PBS-listed</w:t>
      </w:r>
    </w:p>
    <w:tbl>
      <w:tblPr>
        <w:tblW w:w="0" w:type="auto"/>
        <w:tblInd w:w="93" w:type="dxa"/>
        <w:tblLayout w:type="fixed"/>
        <w:tblLook w:val="04A0" w:firstRow="1" w:lastRow="0" w:firstColumn="1" w:lastColumn="0" w:noHBand="0" w:noVBand="1"/>
      </w:tblPr>
      <w:tblGrid>
        <w:gridCol w:w="2283"/>
        <w:gridCol w:w="2694"/>
        <w:gridCol w:w="2551"/>
      </w:tblGrid>
      <w:tr w:rsidR="00523E32" w:rsidRPr="0069469C" w:rsidTr="00A01726">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23E32" w:rsidRPr="0069469C" w:rsidRDefault="00523E32" w:rsidP="00FC5910">
            <w:pPr>
              <w:spacing w:after="0"/>
              <w:jc w:val="center"/>
              <w:rPr>
                <w:rFonts w:ascii="Calibri" w:eastAsia="Times New Roman" w:hAnsi="Calibri" w:cs="Times New Roman"/>
                <w:b/>
                <w:color w:val="000000"/>
                <w:sz w:val="20"/>
                <w:szCs w:val="20"/>
              </w:rPr>
            </w:pPr>
            <w:r w:rsidRPr="0069469C">
              <w:rPr>
                <w:rFonts w:ascii="Calibri" w:eastAsia="Times New Roman" w:hAnsi="Calibri" w:cs="Times New Roman"/>
                <w:b/>
                <w:color w:val="000000"/>
                <w:sz w:val="20"/>
                <w:szCs w:val="20"/>
              </w:rPr>
              <w:t>Year</w:t>
            </w:r>
          </w:p>
        </w:tc>
        <w:tc>
          <w:tcPr>
            <w:tcW w:w="26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23E32" w:rsidRPr="0069469C" w:rsidRDefault="003F66E1" w:rsidP="003F66E1">
            <w:pPr>
              <w:spacing w:after="0"/>
              <w:jc w:val="center"/>
              <w:rPr>
                <w:rFonts w:ascii="Calibri" w:eastAsia="Times New Roman" w:hAnsi="Calibri" w:cs="Times New Roman"/>
                <w:b/>
                <w:sz w:val="20"/>
                <w:szCs w:val="20"/>
              </w:rPr>
            </w:pPr>
            <w:r w:rsidRPr="0069469C">
              <w:rPr>
                <w:rFonts w:ascii="Calibri" w:eastAsia="Times New Roman" w:hAnsi="Calibri" w:cs="Times New Roman"/>
                <w:b/>
                <w:sz w:val="20"/>
                <w:szCs w:val="20"/>
              </w:rPr>
              <w:t>Treated</w:t>
            </w:r>
            <w:r w:rsidR="00523E32" w:rsidRPr="0069469C">
              <w:rPr>
                <w:rFonts w:ascii="Calibri" w:eastAsia="Times New Roman" w:hAnsi="Calibri" w:cs="Times New Roman"/>
                <w:b/>
                <w:sz w:val="20"/>
                <w:szCs w:val="20"/>
              </w:rPr>
              <w:t xml:space="preserve"> patients (% growth)</w:t>
            </w:r>
          </w:p>
        </w:tc>
        <w:tc>
          <w:tcPr>
            <w:tcW w:w="25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523E32" w:rsidRPr="0069469C" w:rsidRDefault="00523E32" w:rsidP="003F66E1">
            <w:pPr>
              <w:spacing w:after="0"/>
              <w:jc w:val="center"/>
              <w:rPr>
                <w:rFonts w:ascii="Calibri" w:eastAsia="Times New Roman" w:hAnsi="Calibri" w:cs="Times New Roman"/>
                <w:b/>
                <w:sz w:val="20"/>
                <w:szCs w:val="20"/>
              </w:rPr>
            </w:pPr>
            <w:r w:rsidRPr="0069469C">
              <w:rPr>
                <w:rFonts w:ascii="Calibri" w:eastAsia="Times New Roman" w:hAnsi="Calibri" w:cs="Times New Roman"/>
                <w:b/>
                <w:sz w:val="20"/>
                <w:szCs w:val="20"/>
              </w:rPr>
              <w:t xml:space="preserve">New patients </w:t>
            </w:r>
            <w:r w:rsidR="00A01726" w:rsidRPr="0069469C">
              <w:rPr>
                <w:rFonts w:ascii="Calibri" w:eastAsia="Times New Roman" w:hAnsi="Calibri" w:cs="Times New Roman"/>
                <w:b/>
                <w:sz w:val="20"/>
                <w:szCs w:val="20"/>
              </w:rPr>
              <w:t>(% growth)</w:t>
            </w:r>
          </w:p>
        </w:tc>
      </w:tr>
      <w:tr w:rsidR="00523E32" w:rsidRPr="0069469C" w:rsidTr="00A01726">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523E32" w:rsidRPr="0069469C" w:rsidRDefault="00523E32" w:rsidP="00FC5910">
            <w:pPr>
              <w:spacing w:after="0"/>
              <w:rPr>
                <w:rFonts w:ascii="Calibri" w:eastAsia="Times New Roman" w:hAnsi="Calibri" w:cs="Times New Roman"/>
                <w:color w:val="000000"/>
                <w:sz w:val="20"/>
                <w:szCs w:val="20"/>
              </w:rPr>
            </w:pPr>
            <w:r w:rsidRPr="0069469C">
              <w:rPr>
                <w:rFonts w:ascii="Calibri" w:eastAsia="Times New Roman" w:hAnsi="Calibri" w:cs="Times New Roman"/>
                <w:color w:val="000000"/>
                <w:sz w:val="20"/>
                <w:szCs w:val="20"/>
              </w:rPr>
              <w:t>June 2012 to May 2013</w:t>
            </w:r>
          </w:p>
        </w:tc>
        <w:tc>
          <w:tcPr>
            <w:tcW w:w="2694" w:type="dxa"/>
            <w:tcBorders>
              <w:top w:val="nil"/>
              <w:left w:val="nil"/>
              <w:bottom w:val="single" w:sz="4" w:space="0" w:color="auto"/>
              <w:right w:val="single" w:sz="4" w:space="0" w:color="auto"/>
            </w:tcBorders>
            <w:shd w:val="clear" w:color="auto" w:fill="auto"/>
            <w:noWrap/>
            <w:vAlign w:val="center"/>
          </w:tcPr>
          <w:p w:rsidR="00523E32" w:rsidRPr="0069469C" w:rsidRDefault="00523E32" w:rsidP="00FC5910">
            <w:pPr>
              <w:spacing w:after="0"/>
              <w:jc w:val="right"/>
              <w:rPr>
                <w:rFonts w:ascii="Calibri" w:eastAsia="Times New Roman" w:hAnsi="Calibri" w:cs="Times New Roman"/>
                <w:color w:val="000000"/>
                <w:sz w:val="20"/>
                <w:szCs w:val="20"/>
              </w:rPr>
            </w:pPr>
            <w:r w:rsidRPr="0069469C">
              <w:rPr>
                <w:rFonts w:ascii="Calibri" w:eastAsia="Times New Roman" w:hAnsi="Calibri" w:cs="Times New Roman"/>
                <w:color w:val="000000"/>
                <w:sz w:val="20"/>
                <w:szCs w:val="20"/>
              </w:rPr>
              <w:t>39,408 (N/A)</w:t>
            </w:r>
          </w:p>
        </w:tc>
        <w:tc>
          <w:tcPr>
            <w:tcW w:w="2551" w:type="dxa"/>
            <w:tcBorders>
              <w:top w:val="nil"/>
              <w:left w:val="nil"/>
              <w:bottom w:val="single" w:sz="4" w:space="0" w:color="auto"/>
              <w:right w:val="single" w:sz="4" w:space="0" w:color="auto"/>
            </w:tcBorders>
            <w:vAlign w:val="center"/>
          </w:tcPr>
          <w:p w:rsidR="00523E32" w:rsidRPr="0069469C" w:rsidRDefault="00523E32" w:rsidP="00854FB1">
            <w:pPr>
              <w:spacing w:after="0"/>
              <w:jc w:val="right"/>
              <w:rPr>
                <w:rFonts w:ascii="Calibri" w:hAnsi="Calibri"/>
                <w:color w:val="000000"/>
                <w:sz w:val="20"/>
                <w:szCs w:val="20"/>
              </w:rPr>
            </w:pPr>
            <w:r w:rsidRPr="0069469C">
              <w:rPr>
                <w:rFonts w:ascii="Calibri" w:hAnsi="Calibri"/>
                <w:color w:val="000000"/>
                <w:sz w:val="20"/>
                <w:szCs w:val="20"/>
              </w:rPr>
              <w:t>33,131 (N/A)</w:t>
            </w:r>
          </w:p>
        </w:tc>
      </w:tr>
      <w:tr w:rsidR="00523E32" w:rsidRPr="0069469C" w:rsidTr="00A01726">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523E32" w:rsidRPr="0069469C" w:rsidRDefault="00523E32" w:rsidP="00FC5910">
            <w:pPr>
              <w:spacing w:after="0"/>
              <w:rPr>
                <w:rFonts w:ascii="Calibri" w:eastAsia="Times New Roman" w:hAnsi="Calibri" w:cs="Times New Roman"/>
                <w:color w:val="000000"/>
                <w:sz w:val="20"/>
                <w:szCs w:val="20"/>
              </w:rPr>
            </w:pPr>
            <w:r w:rsidRPr="0069469C">
              <w:rPr>
                <w:rFonts w:ascii="Calibri" w:eastAsia="Times New Roman" w:hAnsi="Calibri" w:cs="Times New Roman"/>
                <w:color w:val="000000"/>
                <w:sz w:val="20"/>
                <w:szCs w:val="20"/>
              </w:rPr>
              <w:t>June 2013 to May 2014</w:t>
            </w:r>
          </w:p>
        </w:tc>
        <w:tc>
          <w:tcPr>
            <w:tcW w:w="2694" w:type="dxa"/>
            <w:tcBorders>
              <w:top w:val="nil"/>
              <w:left w:val="nil"/>
              <w:bottom w:val="single" w:sz="4" w:space="0" w:color="auto"/>
              <w:right w:val="single" w:sz="4" w:space="0" w:color="auto"/>
            </w:tcBorders>
            <w:shd w:val="clear" w:color="auto" w:fill="auto"/>
            <w:noWrap/>
            <w:vAlign w:val="center"/>
          </w:tcPr>
          <w:p w:rsidR="00523E32" w:rsidRPr="0069469C" w:rsidRDefault="00523E32" w:rsidP="00FC5910">
            <w:pPr>
              <w:spacing w:after="0"/>
              <w:jc w:val="right"/>
              <w:rPr>
                <w:rFonts w:ascii="Calibri" w:eastAsia="Times New Roman" w:hAnsi="Calibri" w:cs="Times New Roman"/>
                <w:color w:val="000000"/>
                <w:sz w:val="20"/>
                <w:szCs w:val="20"/>
              </w:rPr>
            </w:pPr>
            <w:r w:rsidRPr="0069469C">
              <w:rPr>
                <w:rFonts w:ascii="Calibri" w:eastAsia="Times New Roman" w:hAnsi="Calibri" w:cs="Times New Roman"/>
                <w:color w:val="000000"/>
                <w:sz w:val="20"/>
                <w:szCs w:val="20"/>
              </w:rPr>
              <w:t xml:space="preserve">44,278 (12.4%) </w:t>
            </w:r>
          </w:p>
        </w:tc>
        <w:tc>
          <w:tcPr>
            <w:tcW w:w="2551" w:type="dxa"/>
            <w:tcBorders>
              <w:top w:val="nil"/>
              <w:left w:val="nil"/>
              <w:bottom w:val="single" w:sz="4" w:space="0" w:color="auto"/>
              <w:right w:val="single" w:sz="4" w:space="0" w:color="auto"/>
            </w:tcBorders>
            <w:vAlign w:val="center"/>
          </w:tcPr>
          <w:p w:rsidR="00523E32" w:rsidRPr="0069469C" w:rsidRDefault="00523E32" w:rsidP="00854FB1">
            <w:pPr>
              <w:spacing w:after="0"/>
              <w:jc w:val="right"/>
              <w:rPr>
                <w:rFonts w:ascii="Calibri" w:hAnsi="Calibri"/>
                <w:color w:val="000000"/>
                <w:sz w:val="20"/>
                <w:szCs w:val="20"/>
              </w:rPr>
            </w:pPr>
            <w:r w:rsidRPr="0069469C">
              <w:rPr>
                <w:rFonts w:ascii="Calibri" w:hAnsi="Calibri"/>
                <w:color w:val="000000"/>
                <w:sz w:val="20"/>
                <w:szCs w:val="20"/>
              </w:rPr>
              <w:t>37,646 (13.6%)</w:t>
            </w:r>
          </w:p>
        </w:tc>
      </w:tr>
      <w:tr w:rsidR="00523E32" w:rsidRPr="0069469C" w:rsidTr="00A01726">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523E32" w:rsidRPr="0069469C" w:rsidRDefault="00523E32" w:rsidP="00FC5910">
            <w:pPr>
              <w:spacing w:after="0"/>
              <w:rPr>
                <w:rFonts w:ascii="Calibri" w:eastAsia="Times New Roman" w:hAnsi="Calibri" w:cs="Times New Roman"/>
                <w:color w:val="000000"/>
                <w:sz w:val="20"/>
                <w:szCs w:val="20"/>
              </w:rPr>
            </w:pPr>
            <w:r w:rsidRPr="0069469C">
              <w:rPr>
                <w:rFonts w:ascii="Calibri" w:eastAsia="Times New Roman" w:hAnsi="Calibri" w:cs="Times New Roman"/>
                <w:color w:val="000000"/>
                <w:sz w:val="20"/>
                <w:szCs w:val="20"/>
              </w:rPr>
              <w:t>June 2014 to May 2015</w:t>
            </w:r>
            <w:r w:rsidRPr="0069469C">
              <w:rPr>
                <w:rFonts w:ascii="Calibri" w:eastAsia="Times New Roman" w:hAnsi="Calibri" w:cs="Times New Roman"/>
                <w:color w:val="000000"/>
                <w:sz w:val="20"/>
                <w:szCs w:val="20"/>
                <w:vertAlign w:val="superscript"/>
              </w:rPr>
              <w:t>1</w:t>
            </w:r>
          </w:p>
        </w:tc>
        <w:tc>
          <w:tcPr>
            <w:tcW w:w="2694" w:type="dxa"/>
            <w:tcBorders>
              <w:top w:val="nil"/>
              <w:left w:val="nil"/>
              <w:bottom w:val="single" w:sz="4" w:space="0" w:color="auto"/>
              <w:right w:val="single" w:sz="4" w:space="0" w:color="auto"/>
            </w:tcBorders>
            <w:shd w:val="clear" w:color="auto" w:fill="auto"/>
            <w:noWrap/>
            <w:vAlign w:val="center"/>
          </w:tcPr>
          <w:p w:rsidR="00523E32" w:rsidRPr="0069469C" w:rsidRDefault="00523E32" w:rsidP="00FC5910">
            <w:pPr>
              <w:spacing w:after="0"/>
              <w:jc w:val="right"/>
              <w:rPr>
                <w:rFonts w:ascii="Calibri" w:eastAsia="Times New Roman" w:hAnsi="Calibri" w:cs="Times New Roman"/>
                <w:color w:val="000000"/>
                <w:sz w:val="20"/>
                <w:szCs w:val="20"/>
              </w:rPr>
            </w:pPr>
            <w:r w:rsidRPr="0069469C">
              <w:rPr>
                <w:rFonts w:ascii="Calibri" w:eastAsia="Times New Roman" w:hAnsi="Calibri" w:cs="Times New Roman"/>
                <w:color w:val="000000"/>
                <w:sz w:val="20"/>
                <w:szCs w:val="20"/>
              </w:rPr>
              <w:t>87,433 (97.5%)</w:t>
            </w:r>
          </w:p>
        </w:tc>
        <w:tc>
          <w:tcPr>
            <w:tcW w:w="2551" w:type="dxa"/>
            <w:tcBorders>
              <w:top w:val="nil"/>
              <w:left w:val="nil"/>
              <w:bottom w:val="single" w:sz="4" w:space="0" w:color="auto"/>
              <w:right w:val="single" w:sz="4" w:space="0" w:color="auto"/>
            </w:tcBorders>
            <w:vAlign w:val="center"/>
          </w:tcPr>
          <w:p w:rsidR="00523E32" w:rsidRPr="0069469C" w:rsidRDefault="00523E32" w:rsidP="00854FB1">
            <w:pPr>
              <w:spacing w:after="0"/>
              <w:jc w:val="right"/>
              <w:rPr>
                <w:rFonts w:ascii="Calibri" w:hAnsi="Calibri"/>
                <w:color w:val="000000"/>
                <w:sz w:val="20"/>
                <w:szCs w:val="20"/>
              </w:rPr>
            </w:pPr>
            <w:r w:rsidRPr="0069469C">
              <w:rPr>
                <w:rFonts w:ascii="Calibri" w:hAnsi="Calibri"/>
                <w:color w:val="000000"/>
                <w:sz w:val="20"/>
                <w:szCs w:val="20"/>
              </w:rPr>
              <w:t>79,524 (111.2%)</w:t>
            </w:r>
          </w:p>
        </w:tc>
      </w:tr>
      <w:tr w:rsidR="00523E32" w:rsidRPr="0069469C" w:rsidTr="00A01726">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523E32" w:rsidRPr="0069469C" w:rsidRDefault="00523E32" w:rsidP="00FC5910">
            <w:pPr>
              <w:spacing w:after="0"/>
              <w:rPr>
                <w:rFonts w:ascii="Calibri" w:eastAsia="Times New Roman" w:hAnsi="Calibri" w:cs="Times New Roman"/>
                <w:color w:val="000000"/>
                <w:sz w:val="20"/>
                <w:szCs w:val="20"/>
              </w:rPr>
            </w:pPr>
            <w:r w:rsidRPr="0069469C">
              <w:rPr>
                <w:rFonts w:ascii="Calibri" w:eastAsia="Times New Roman" w:hAnsi="Calibri" w:cs="Times New Roman"/>
                <w:color w:val="000000"/>
                <w:sz w:val="20"/>
                <w:szCs w:val="20"/>
              </w:rPr>
              <w:t>June 2015 to May 2016</w:t>
            </w:r>
          </w:p>
        </w:tc>
        <w:tc>
          <w:tcPr>
            <w:tcW w:w="2694" w:type="dxa"/>
            <w:tcBorders>
              <w:top w:val="nil"/>
              <w:left w:val="nil"/>
              <w:bottom w:val="single" w:sz="4" w:space="0" w:color="auto"/>
              <w:right w:val="single" w:sz="4" w:space="0" w:color="auto"/>
            </w:tcBorders>
            <w:shd w:val="clear" w:color="auto" w:fill="auto"/>
            <w:noWrap/>
            <w:vAlign w:val="center"/>
          </w:tcPr>
          <w:p w:rsidR="00523E32" w:rsidRPr="0069469C" w:rsidRDefault="00523E32" w:rsidP="00FC5910">
            <w:pPr>
              <w:spacing w:after="0"/>
              <w:jc w:val="right"/>
              <w:rPr>
                <w:rFonts w:ascii="Calibri" w:eastAsia="Times New Roman" w:hAnsi="Calibri" w:cs="Times New Roman"/>
                <w:color w:val="000000"/>
                <w:sz w:val="20"/>
                <w:szCs w:val="20"/>
              </w:rPr>
            </w:pPr>
            <w:r w:rsidRPr="0069469C">
              <w:rPr>
                <w:rFonts w:ascii="Calibri" w:eastAsia="Times New Roman" w:hAnsi="Calibri" w:cs="Times New Roman"/>
                <w:color w:val="000000"/>
                <w:sz w:val="20"/>
                <w:szCs w:val="20"/>
              </w:rPr>
              <w:t>129,225 (47.8%)</w:t>
            </w:r>
          </w:p>
        </w:tc>
        <w:tc>
          <w:tcPr>
            <w:tcW w:w="2551" w:type="dxa"/>
            <w:tcBorders>
              <w:top w:val="nil"/>
              <w:left w:val="nil"/>
              <w:bottom w:val="single" w:sz="4" w:space="0" w:color="auto"/>
              <w:right w:val="single" w:sz="4" w:space="0" w:color="auto"/>
            </w:tcBorders>
            <w:vAlign w:val="center"/>
          </w:tcPr>
          <w:p w:rsidR="00523E32" w:rsidRPr="0069469C" w:rsidRDefault="00523E32" w:rsidP="00854FB1">
            <w:pPr>
              <w:spacing w:after="0"/>
              <w:jc w:val="right"/>
              <w:rPr>
                <w:rFonts w:ascii="Calibri" w:hAnsi="Calibri"/>
                <w:color w:val="000000"/>
                <w:sz w:val="20"/>
                <w:szCs w:val="20"/>
              </w:rPr>
            </w:pPr>
            <w:r w:rsidRPr="0069469C">
              <w:rPr>
                <w:rFonts w:ascii="Calibri" w:hAnsi="Calibri"/>
                <w:color w:val="000000"/>
                <w:sz w:val="20"/>
                <w:szCs w:val="20"/>
              </w:rPr>
              <w:t>115,423 (45.1%)</w:t>
            </w:r>
          </w:p>
        </w:tc>
      </w:tr>
    </w:tbl>
    <w:p w:rsidR="00970B80" w:rsidRDefault="00970B80" w:rsidP="00970B80">
      <w:pPr>
        <w:pStyle w:val="Figurecaption"/>
        <w:spacing w:before="0" w:after="0"/>
      </w:pPr>
      <w:r w:rsidRPr="00D22680">
        <w:rPr>
          <w:rFonts w:ascii="Calibri" w:eastAsia="Times New Roman" w:hAnsi="Calibri" w:cs="Times New Roman"/>
          <w:color w:val="000000"/>
          <w:sz w:val="22"/>
          <w:szCs w:val="22"/>
          <w:vertAlign w:val="superscript"/>
        </w:rPr>
        <w:t>1</w:t>
      </w:r>
      <w:r>
        <w:t xml:space="preserve"> FCM PBS-listed 1 June 2014. </w:t>
      </w:r>
    </w:p>
    <w:p w:rsidR="00970B80" w:rsidRDefault="00970B80" w:rsidP="00970B80">
      <w:pPr>
        <w:pStyle w:val="Figurecaption"/>
        <w:spacing w:before="0" w:after="0"/>
      </w:pPr>
      <w:r>
        <w:t>Parenteral iron includes FCM, IP and IS.</w:t>
      </w:r>
      <w:r w:rsidRPr="00D22680">
        <w:rPr>
          <w:rFonts w:ascii="Calibri" w:eastAsia="Times New Roman" w:hAnsi="Calibri" w:cs="Times New Roman"/>
          <w:color w:val="000000"/>
          <w:sz w:val="22"/>
          <w:szCs w:val="22"/>
          <w:vertAlign w:val="superscript"/>
        </w:rPr>
        <w:t xml:space="preserve"> </w:t>
      </w:r>
      <w:r w:rsidRPr="00071894">
        <w:t>Source: D</w:t>
      </w:r>
      <w:r>
        <w:t>HS</w:t>
      </w:r>
      <w:r w:rsidRPr="00071894">
        <w:t xml:space="preserve"> database accessed </w:t>
      </w:r>
      <w:r w:rsidR="0055093D">
        <w:t>December</w:t>
      </w:r>
      <w:r>
        <w:t xml:space="preserve"> </w:t>
      </w:r>
      <w:r w:rsidRPr="00071894">
        <w:t>2016.</w:t>
      </w:r>
    </w:p>
    <w:p w:rsidR="00970B80" w:rsidRDefault="00970B80" w:rsidP="00970B80">
      <w:pPr>
        <w:pStyle w:val="Figurecaption"/>
        <w:spacing w:before="0" w:after="0"/>
      </w:pPr>
    </w:p>
    <w:p w:rsidR="00970B80" w:rsidRPr="00C33F45" w:rsidRDefault="00A6385F" w:rsidP="00970B80">
      <w:pPr>
        <w:pStyle w:val="Figurecaption"/>
        <w:spacing w:before="0" w:after="0"/>
        <w:rPr>
          <w:sz w:val="24"/>
          <w:szCs w:val="24"/>
        </w:rPr>
      </w:pPr>
      <w:r>
        <w:rPr>
          <w:sz w:val="24"/>
          <w:szCs w:val="24"/>
        </w:rPr>
        <w:t xml:space="preserve">There was </w:t>
      </w:r>
      <w:r w:rsidR="00523E32">
        <w:rPr>
          <w:sz w:val="24"/>
          <w:szCs w:val="24"/>
        </w:rPr>
        <w:t>13.6% growth in new patients in the year b</w:t>
      </w:r>
      <w:r>
        <w:rPr>
          <w:sz w:val="24"/>
          <w:szCs w:val="24"/>
        </w:rPr>
        <w:t xml:space="preserve">efore FCM listing compared to </w:t>
      </w:r>
      <w:r w:rsidR="00523E32">
        <w:rPr>
          <w:sz w:val="24"/>
          <w:szCs w:val="24"/>
        </w:rPr>
        <w:t>111.2% growth in the year that it was listed. The subs</w:t>
      </w:r>
      <w:r>
        <w:rPr>
          <w:sz w:val="24"/>
          <w:szCs w:val="24"/>
        </w:rPr>
        <w:t>equent year had</w:t>
      </w:r>
      <w:r w:rsidR="0000615C">
        <w:rPr>
          <w:sz w:val="24"/>
          <w:szCs w:val="24"/>
        </w:rPr>
        <w:t xml:space="preserve"> 45.1% growth</w:t>
      </w:r>
      <w:r>
        <w:rPr>
          <w:sz w:val="24"/>
          <w:szCs w:val="24"/>
        </w:rPr>
        <w:t xml:space="preserve"> in new patients</w:t>
      </w:r>
      <w:r w:rsidR="0000615C">
        <w:rPr>
          <w:sz w:val="24"/>
          <w:szCs w:val="24"/>
        </w:rPr>
        <w:t>.</w:t>
      </w:r>
      <w:r w:rsidR="00523E32">
        <w:rPr>
          <w:sz w:val="24"/>
          <w:szCs w:val="24"/>
        </w:rPr>
        <w:t xml:space="preserve"> </w:t>
      </w:r>
    </w:p>
    <w:p w:rsidR="00712F2B" w:rsidRDefault="000F240B" w:rsidP="00712F2B">
      <w:pPr>
        <w:pStyle w:val="Heading3"/>
      </w:pPr>
      <w:r>
        <w:t>Analysis by prescriber type</w:t>
      </w:r>
    </w:p>
    <w:p w:rsidR="00002B29" w:rsidRDefault="00447F6E" w:rsidP="004766B1">
      <w:pPr>
        <w:sectPr w:rsidR="00002B29" w:rsidSect="00DD188C">
          <w:headerReference w:type="even" r:id="rId10"/>
          <w:headerReference w:type="default" r:id="rId11"/>
          <w:footerReference w:type="even" r:id="rId12"/>
          <w:footerReference w:type="default" r:id="rId13"/>
          <w:headerReference w:type="first" r:id="rId14"/>
          <w:footerReference w:type="first" r:id="rId15"/>
          <w:pgSz w:w="11906" w:h="16838"/>
          <w:pgMar w:top="1644" w:right="1361" w:bottom="1644" w:left="1588" w:header="709" w:footer="709" w:gutter="0"/>
          <w:cols w:space="708"/>
          <w:docGrid w:linePitch="360"/>
        </w:sectPr>
      </w:pPr>
      <w:r>
        <w:t>Figure 2</w:t>
      </w:r>
      <w:r w:rsidR="00002B29">
        <w:t xml:space="preserve"> </w:t>
      </w:r>
      <w:r w:rsidR="00A250C4">
        <w:t xml:space="preserve">shows </w:t>
      </w:r>
      <w:r w:rsidR="00002B29">
        <w:t xml:space="preserve">the number of </w:t>
      </w:r>
      <w:r w:rsidR="00006115">
        <w:t>parenteral iro</w:t>
      </w:r>
      <w:r w:rsidR="00A250C4">
        <w:t>n</w:t>
      </w:r>
      <w:r w:rsidR="007B7498">
        <w:t xml:space="preserve"> </w:t>
      </w:r>
      <w:r w:rsidR="00006115">
        <w:t xml:space="preserve">prescriptions </w:t>
      </w:r>
      <w:r w:rsidR="00603AA2">
        <w:t xml:space="preserve">(FCM, IP and IS) </w:t>
      </w:r>
      <w:r w:rsidR="00002B29">
        <w:t xml:space="preserve">by prescriber type and year. </w:t>
      </w:r>
    </w:p>
    <w:p w:rsidR="000F240B" w:rsidRPr="000F240B" w:rsidRDefault="00006115" w:rsidP="00223816">
      <w:pPr>
        <w:spacing w:after="0"/>
      </w:pPr>
      <w:r>
        <w:rPr>
          <w:noProof/>
        </w:rPr>
        <w:lastRenderedPageBreak/>
        <w:drawing>
          <wp:inline distT="0" distB="0" distL="0" distR="0" wp14:anchorId="06D550D9" wp14:editId="408B404A">
            <wp:extent cx="8399721" cy="4635795"/>
            <wp:effectExtent l="0" t="0" r="20955" b="12700"/>
            <wp:docPr id="2" name="Chart 2" descr="Three columns, one for the year prior to FCM listing, one June 2014 to May 2015 and one for June 2015 to May 2016. It depicts the number of prescriptions supplied in each year by each of the prescriber types." title="Number of parenteral iron prescriptions by prescriber type and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F240B" w:rsidRDefault="004766B1" w:rsidP="00223816">
      <w:pPr>
        <w:pStyle w:val="Heading3"/>
        <w:spacing w:before="0" w:after="0"/>
        <w:rPr>
          <w:i w:val="0"/>
        </w:rPr>
      </w:pPr>
      <w:r>
        <w:rPr>
          <w:i w:val="0"/>
        </w:rPr>
        <w:t xml:space="preserve">Figure </w:t>
      </w:r>
      <w:r w:rsidR="00067C5F">
        <w:rPr>
          <w:i w:val="0"/>
        </w:rPr>
        <w:t>2</w:t>
      </w:r>
      <w:r>
        <w:rPr>
          <w:i w:val="0"/>
        </w:rPr>
        <w:t xml:space="preserve">: </w:t>
      </w:r>
      <w:r w:rsidR="00223816">
        <w:rPr>
          <w:i w:val="0"/>
        </w:rPr>
        <w:t xml:space="preserve">Number of </w:t>
      </w:r>
      <w:r w:rsidR="00E3728B">
        <w:rPr>
          <w:i w:val="0"/>
        </w:rPr>
        <w:t>parenteral iron</w:t>
      </w:r>
      <w:r w:rsidR="00223816">
        <w:rPr>
          <w:i w:val="0"/>
        </w:rPr>
        <w:t xml:space="preserve"> </w:t>
      </w:r>
      <w:r w:rsidR="00006115">
        <w:rPr>
          <w:i w:val="0"/>
        </w:rPr>
        <w:t xml:space="preserve">prescriptions </w:t>
      </w:r>
      <w:r w:rsidR="00223816">
        <w:rPr>
          <w:i w:val="0"/>
        </w:rPr>
        <w:t>b</w:t>
      </w:r>
      <w:r w:rsidR="00E3728B">
        <w:rPr>
          <w:i w:val="0"/>
        </w:rPr>
        <w:t xml:space="preserve">y prescriber type and </w:t>
      </w:r>
      <w:r w:rsidR="00006115">
        <w:rPr>
          <w:i w:val="0"/>
        </w:rPr>
        <w:t>year</w:t>
      </w:r>
    </w:p>
    <w:p w:rsidR="00FA3710" w:rsidRDefault="00FA3710" w:rsidP="00FA3710">
      <w:pPr>
        <w:pStyle w:val="Figurecaption"/>
        <w:spacing w:before="0" w:after="0"/>
      </w:pPr>
      <w:r>
        <w:t xml:space="preserve">FCM PBS-listed 1 June 2014. </w:t>
      </w:r>
      <w:r w:rsidRPr="00071894">
        <w:t>Source: D</w:t>
      </w:r>
      <w:r>
        <w:t>HS</w:t>
      </w:r>
      <w:r w:rsidRPr="00071894">
        <w:t xml:space="preserve"> database accessed </w:t>
      </w:r>
      <w:r>
        <w:t xml:space="preserve">November </w:t>
      </w:r>
      <w:r w:rsidRPr="00071894">
        <w:t>2016.</w:t>
      </w:r>
    </w:p>
    <w:p w:rsidR="00CA17FE" w:rsidRDefault="00CA17FE" w:rsidP="00FA3710">
      <w:pPr>
        <w:sectPr w:rsidR="00CA17FE" w:rsidSect="004766B1">
          <w:pgSz w:w="16838" w:h="11906" w:orient="landscape"/>
          <w:pgMar w:top="1588" w:right="1644" w:bottom="1361" w:left="1644" w:header="709" w:footer="709" w:gutter="0"/>
          <w:cols w:space="708"/>
          <w:docGrid w:linePitch="360"/>
        </w:sectPr>
      </w:pPr>
    </w:p>
    <w:p w:rsidR="00F724C7" w:rsidRDefault="00A250C4" w:rsidP="00FA3710">
      <w:r>
        <w:lastRenderedPageBreak/>
        <w:t xml:space="preserve">There were many different types of prescribers who provided prescriptions for parenteral iron. </w:t>
      </w:r>
      <w:r w:rsidR="00922C95">
        <w:t xml:space="preserve">The largest </w:t>
      </w:r>
      <w:r w:rsidR="00E814C3">
        <w:t>proportion of prescriptions supplied was</w:t>
      </w:r>
      <w:r w:rsidR="00137697">
        <w:t xml:space="preserve"> written by </w:t>
      </w:r>
      <w:r w:rsidR="00E3728B">
        <w:t>GPs</w:t>
      </w:r>
      <w:r w:rsidR="007671FE">
        <w:t xml:space="preserve">. </w:t>
      </w:r>
      <w:r w:rsidR="00E814C3">
        <w:t>G</w:t>
      </w:r>
      <w:r w:rsidR="00137697">
        <w:t>astroenterologists and hepatologists, neph</w:t>
      </w:r>
      <w:r w:rsidR="00E814C3">
        <w:t>rologists and haematologists were</w:t>
      </w:r>
      <w:r w:rsidR="00137697">
        <w:t xml:space="preserve"> th</w:t>
      </w:r>
      <w:r w:rsidR="0000615C">
        <w:t>e next most common prescribers.</w:t>
      </w:r>
      <w:r w:rsidR="004D2A0B">
        <w:t xml:space="preserve"> </w:t>
      </w:r>
      <w:r w:rsidR="00137697">
        <w:t xml:space="preserve">The highest rate of </w:t>
      </w:r>
      <w:r w:rsidR="00137697" w:rsidRPr="002E5F54">
        <w:t>growth</w:t>
      </w:r>
      <w:r w:rsidR="00137697">
        <w:t xml:space="preserve"> has been for </w:t>
      </w:r>
      <w:r w:rsidR="00E814C3">
        <w:t>pre</w:t>
      </w:r>
      <w:r w:rsidR="00137697">
        <w:t>script</w:t>
      </w:r>
      <w:r w:rsidR="00E814C3">
        <w:t>ion</w:t>
      </w:r>
      <w:r w:rsidR="00137697">
        <w:t>s prescribed by</w:t>
      </w:r>
      <w:r w:rsidR="005336B0">
        <w:t xml:space="preserve"> nurse practitioners, </w:t>
      </w:r>
      <w:r w:rsidR="002E5F54">
        <w:t xml:space="preserve">anaesthetists and palliative medicine </w:t>
      </w:r>
      <w:r w:rsidR="00E72ABE">
        <w:t xml:space="preserve">specialists, </w:t>
      </w:r>
      <w:r w:rsidR="002E5F54">
        <w:t xml:space="preserve">but their contribution to the </w:t>
      </w:r>
      <w:r w:rsidR="00E814C3">
        <w:t>total number of prescriptions was</w:t>
      </w:r>
      <w:r w:rsidR="002E5F54">
        <w:t xml:space="preserve"> </w:t>
      </w:r>
      <w:r w:rsidR="003875F8">
        <w:t xml:space="preserve">very </w:t>
      </w:r>
      <w:r w:rsidR="002E5F54">
        <w:t xml:space="preserve">small. </w:t>
      </w:r>
    </w:p>
    <w:p w:rsidR="00DD3DA3" w:rsidRDefault="001B32E7" w:rsidP="00FA3710">
      <w:pPr>
        <w:rPr>
          <w:b/>
        </w:rPr>
      </w:pPr>
      <w:r>
        <w:rPr>
          <w:b/>
        </w:rPr>
        <w:t>Analysis by setting</w:t>
      </w:r>
    </w:p>
    <w:p w:rsidR="00696220" w:rsidRPr="002E5F54" w:rsidRDefault="00137697" w:rsidP="00FA3710">
      <w:r>
        <w:t xml:space="preserve">A key uncertainty when </w:t>
      </w:r>
      <w:r w:rsidR="00396594">
        <w:t>predicting the costs and use</w:t>
      </w:r>
      <w:r>
        <w:t xml:space="preserve"> of FCM was the distribution of patients across treatment settings. </w:t>
      </w:r>
      <w:r w:rsidR="002E5F54">
        <w:t>Figure 3</w:t>
      </w:r>
      <w:r w:rsidR="00696220">
        <w:t xml:space="preserve"> depicts the number of prescriptions for </w:t>
      </w:r>
      <w:r w:rsidR="00396594">
        <w:t>parenteral iron (</w:t>
      </w:r>
      <w:r w:rsidR="00696220">
        <w:t>FCM, IP and IS</w:t>
      </w:r>
      <w:r w:rsidR="00396594">
        <w:t>)</w:t>
      </w:r>
      <w:r w:rsidR="00696220">
        <w:t xml:space="preserve"> by listing year and </w:t>
      </w:r>
      <w:r w:rsidR="00E25E0C">
        <w:t xml:space="preserve">dispensing </w:t>
      </w:r>
      <w:r w:rsidR="00696220">
        <w:t>setting.</w:t>
      </w:r>
      <w:r>
        <w:t xml:space="preserve"> The results need to be interpreted in the context that medicines used for public hospital inpatients are not subsidised through the PBS (and therefore not visible in this data), and that community pharmacies may provide services to private hospitals and outpatient clinics. </w:t>
      </w:r>
    </w:p>
    <w:p w:rsidR="00696220" w:rsidRDefault="00696220" w:rsidP="002A2AAB">
      <w:pPr>
        <w:spacing w:after="0"/>
      </w:pPr>
      <w:r>
        <w:rPr>
          <w:noProof/>
        </w:rPr>
        <w:drawing>
          <wp:inline distT="0" distB="0" distL="0" distR="0" wp14:anchorId="392E3E36" wp14:editId="3E15639A">
            <wp:extent cx="5794745" cy="3593805"/>
            <wp:effectExtent l="0" t="0" r="15875" b="26035"/>
            <wp:docPr id="3" name="Chart 3" descr="Three columns presented, one for each of: year prior to FCM listing, June 2014 to May 2015 and June 2015 to May 2016. The number of prescriptions supplied in each year by setting are presented." title="Number of total parenteral iron prescriptions by setting and listing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96220" w:rsidRDefault="00696220" w:rsidP="002A2AAB">
      <w:pPr>
        <w:spacing w:after="0"/>
        <w:rPr>
          <w:b/>
        </w:rPr>
      </w:pPr>
      <w:r>
        <w:rPr>
          <w:b/>
        </w:rPr>
        <w:t xml:space="preserve">Figure </w:t>
      </w:r>
      <w:r w:rsidR="002E5F54">
        <w:rPr>
          <w:b/>
        </w:rPr>
        <w:t>3</w:t>
      </w:r>
      <w:r>
        <w:rPr>
          <w:b/>
        </w:rPr>
        <w:t xml:space="preserve">: Number of </w:t>
      </w:r>
      <w:r w:rsidR="00603AA2">
        <w:rPr>
          <w:b/>
        </w:rPr>
        <w:t xml:space="preserve">total </w:t>
      </w:r>
      <w:r>
        <w:rPr>
          <w:b/>
        </w:rPr>
        <w:t>parenteral iron prescriptions by setting and listing year</w:t>
      </w:r>
    </w:p>
    <w:p w:rsidR="00696220" w:rsidRDefault="00696220">
      <w:pPr>
        <w:pStyle w:val="Figurecaption"/>
        <w:spacing w:before="0" w:after="0"/>
      </w:pPr>
      <w:r>
        <w:t xml:space="preserve">FCM PBS-listed 1 June 2014. </w:t>
      </w:r>
      <w:r w:rsidRPr="00071894">
        <w:t>Source: D</w:t>
      </w:r>
      <w:r>
        <w:t>HS</w:t>
      </w:r>
      <w:r w:rsidRPr="00071894">
        <w:t xml:space="preserve"> database accessed </w:t>
      </w:r>
      <w:r>
        <w:t xml:space="preserve">November </w:t>
      </w:r>
      <w:r w:rsidRPr="00071894">
        <w:t>2016.</w:t>
      </w:r>
    </w:p>
    <w:p w:rsidR="002E5F54" w:rsidRDefault="002E5F54" w:rsidP="00825BFB">
      <w:pPr>
        <w:spacing w:after="0"/>
      </w:pPr>
    </w:p>
    <w:p w:rsidR="0064239B" w:rsidRDefault="0064239B" w:rsidP="00825BFB">
      <w:pPr>
        <w:spacing w:after="0"/>
      </w:pPr>
      <w:r>
        <w:t>In the year before FCM was listed and in the two years afterwards, the high</w:t>
      </w:r>
      <w:r w:rsidR="00941A21">
        <w:t>est number of prescriptions was</w:t>
      </w:r>
      <w:r>
        <w:t xml:space="preserve"> supplied by community pharmacies</w:t>
      </w:r>
      <w:r w:rsidR="00494A19">
        <w:t xml:space="preserve">. </w:t>
      </w:r>
    </w:p>
    <w:p w:rsidR="00825BFB" w:rsidRDefault="00825BFB" w:rsidP="00825BFB">
      <w:pPr>
        <w:spacing w:after="0"/>
      </w:pPr>
    </w:p>
    <w:p w:rsidR="00B057BE" w:rsidRDefault="00826631" w:rsidP="00696220">
      <w:r>
        <w:t xml:space="preserve">While community use represents the greatest increase in </w:t>
      </w:r>
      <w:r w:rsidR="00A617F0">
        <w:t xml:space="preserve">the </w:t>
      </w:r>
      <w:r>
        <w:t xml:space="preserve">volume of </w:t>
      </w:r>
      <w:r w:rsidR="00A617F0">
        <w:t>prescriptions</w:t>
      </w:r>
      <w:r>
        <w:t xml:space="preserve"> </w:t>
      </w:r>
      <w:r w:rsidR="00A617F0">
        <w:t>dispensed</w:t>
      </w:r>
      <w:r>
        <w:t>, the highest rate of growth has been in public hospital</w:t>
      </w:r>
      <w:r w:rsidR="003A7D73">
        <w:t>s</w:t>
      </w:r>
      <w:r>
        <w:t xml:space="preserve"> participating in PBS reforms. These hospitals can supply PBS medicines for outpatient and day-</w:t>
      </w:r>
      <w:r w:rsidR="00A617F0">
        <w:t>admitted</w:t>
      </w:r>
      <w:r>
        <w:t xml:space="preserve"> patients.</w:t>
      </w:r>
      <w:r w:rsidR="00A617F0">
        <w:t xml:space="preserve"> The number of parenteral iron PBS prescriptions supplied by public hospitals tripled in the first year that FCM was available compared with the previous year (from </w:t>
      </w:r>
      <w:r w:rsidR="00A617F0">
        <w:lastRenderedPageBreak/>
        <w:t xml:space="preserve">6,456 to 18,324 prescriptions) </w:t>
      </w:r>
      <w:r>
        <w:t>This may indicate some shift from inpatient to outpatient/day</w:t>
      </w:r>
      <w:r w:rsidR="00B057BE">
        <w:t xml:space="preserve"> admitted </w:t>
      </w:r>
      <w:r>
        <w:t>setting</w:t>
      </w:r>
      <w:r w:rsidR="00A617F0">
        <w:t>. H</w:t>
      </w:r>
      <w:r>
        <w:t>owever</w:t>
      </w:r>
      <w:r w:rsidR="00A617F0">
        <w:t>,</w:t>
      </w:r>
      <w:r>
        <w:t xml:space="preserve"> this cannot be v</w:t>
      </w:r>
      <w:r w:rsidR="00A617F0">
        <w:t>erified fr</w:t>
      </w:r>
      <w:r>
        <w:t xml:space="preserve">om </w:t>
      </w:r>
      <w:r w:rsidR="00A617F0">
        <w:t>PBS</w:t>
      </w:r>
      <w:r>
        <w:t xml:space="preserve"> data. </w:t>
      </w:r>
    </w:p>
    <w:p w:rsidR="00941A21" w:rsidRDefault="00A617F0" w:rsidP="002E5F54">
      <w:r>
        <w:t>A breakdown of the prescription</w:t>
      </w:r>
      <w:r w:rsidR="002E5F54">
        <w:t>s</w:t>
      </w:r>
      <w:r>
        <w:t xml:space="preserve"> dispensed by setting for each medicine is provided in Appendix </w:t>
      </w:r>
      <w:r w:rsidR="00452046">
        <w:t>C</w:t>
      </w:r>
      <w:r>
        <w:t>.</w:t>
      </w:r>
      <w:r w:rsidR="00941A21">
        <w:t xml:space="preserve"> </w:t>
      </w:r>
    </w:p>
    <w:p w:rsidR="001067CF" w:rsidRDefault="00452046" w:rsidP="001067CF">
      <w:pPr>
        <w:rPr>
          <w:b/>
        </w:rPr>
      </w:pPr>
      <w:r>
        <w:rPr>
          <w:b/>
        </w:rPr>
        <w:t>Analysis by region</w:t>
      </w:r>
    </w:p>
    <w:p w:rsidR="001067CF" w:rsidRDefault="005E0B7F" w:rsidP="005E0B7F">
      <w:pPr>
        <w:pStyle w:val="NormalWeb"/>
        <w:shd w:val="clear" w:color="auto" w:fill="FFFFFF"/>
        <w:spacing w:before="0" w:beforeAutospacing="0" w:after="0" w:afterAutospacing="0" w:line="300" w:lineRule="atLeast"/>
        <w:rPr>
          <w:rFonts w:asciiTheme="minorHAnsi" w:hAnsiTheme="minorHAnsi"/>
        </w:rPr>
      </w:pPr>
      <w:r>
        <w:rPr>
          <w:rFonts w:asciiTheme="minorHAnsi" w:hAnsiTheme="minorHAnsi" w:cs="Arial"/>
        </w:rPr>
        <w:t xml:space="preserve">The PBAC and DUSC considered that </w:t>
      </w:r>
      <w:r w:rsidRPr="006117FA">
        <w:rPr>
          <w:rFonts w:asciiTheme="minorHAnsi" w:hAnsiTheme="minorHAnsi" w:cs="Arial"/>
        </w:rPr>
        <w:t xml:space="preserve">FCM may facilitate greater use of iron infusions in specific settings where IDA was a significant health issue and access to hospital-based care was extremely limited, in particular remote and regional areas. </w:t>
      </w:r>
      <w:r>
        <w:rPr>
          <w:rFonts w:asciiTheme="minorHAnsi" w:hAnsiTheme="minorHAnsi" w:cs="Arial"/>
        </w:rPr>
        <w:t>T</w:t>
      </w:r>
      <w:r w:rsidRPr="006117FA">
        <w:rPr>
          <w:rFonts w:asciiTheme="minorHAnsi" w:hAnsiTheme="minorHAnsi" w:cs="Arial"/>
        </w:rPr>
        <w:t>he uptake and delivery of services would be highly variable across Australia a</w:t>
      </w:r>
      <w:r w:rsidR="003C0FED">
        <w:rPr>
          <w:rFonts w:asciiTheme="minorHAnsi" w:hAnsiTheme="minorHAnsi" w:cs="Arial"/>
        </w:rPr>
        <w:t>nd dependent on numerous</w:t>
      </w:r>
      <w:r>
        <w:rPr>
          <w:rFonts w:asciiTheme="minorHAnsi" w:hAnsiTheme="minorHAnsi" w:cs="Arial"/>
        </w:rPr>
        <w:t xml:space="preserve"> factors. </w:t>
      </w:r>
      <w:r w:rsidR="001067CF" w:rsidRPr="005E0B7F">
        <w:rPr>
          <w:rFonts w:asciiTheme="minorHAnsi" w:hAnsiTheme="minorHAnsi"/>
        </w:rPr>
        <w:t xml:space="preserve">Figure </w:t>
      </w:r>
      <w:r w:rsidR="00452046" w:rsidRPr="005E0B7F">
        <w:rPr>
          <w:rFonts w:asciiTheme="minorHAnsi" w:hAnsiTheme="minorHAnsi"/>
        </w:rPr>
        <w:t>4</w:t>
      </w:r>
      <w:r w:rsidR="001067CF" w:rsidRPr="005E0B7F">
        <w:rPr>
          <w:rFonts w:asciiTheme="minorHAnsi" w:hAnsiTheme="minorHAnsi"/>
        </w:rPr>
        <w:t xml:space="preserve"> depicts the number of FCM </w:t>
      </w:r>
      <w:r w:rsidR="00452046" w:rsidRPr="005E0B7F">
        <w:rPr>
          <w:rFonts w:asciiTheme="minorHAnsi" w:hAnsiTheme="minorHAnsi"/>
        </w:rPr>
        <w:t xml:space="preserve">vials supplied </w:t>
      </w:r>
      <w:r w:rsidR="001067CF" w:rsidRPr="005E0B7F">
        <w:rPr>
          <w:rFonts w:asciiTheme="minorHAnsi" w:hAnsiTheme="minorHAnsi"/>
        </w:rPr>
        <w:t xml:space="preserve">by </w:t>
      </w:r>
      <w:r>
        <w:rPr>
          <w:rFonts w:asciiTheme="minorHAnsi" w:hAnsiTheme="minorHAnsi"/>
        </w:rPr>
        <w:t>region</w:t>
      </w:r>
      <w:r w:rsidR="001067CF" w:rsidRPr="005E0B7F">
        <w:rPr>
          <w:rFonts w:asciiTheme="minorHAnsi" w:hAnsiTheme="minorHAnsi"/>
        </w:rPr>
        <w:t>.</w:t>
      </w:r>
    </w:p>
    <w:p w:rsidR="00251D38" w:rsidRDefault="00251D38" w:rsidP="005E0B7F">
      <w:pPr>
        <w:pStyle w:val="NormalWeb"/>
        <w:shd w:val="clear" w:color="auto" w:fill="FFFFFF"/>
        <w:spacing w:before="0" w:beforeAutospacing="0" w:after="0" w:afterAutospacing="0" w:line="300" w:lineRule="atLeast"/>
        <w:rPr>
          <w:rFonts w:asciiTheme="minorHAnsi" w:hAnsiTheme="minorHAnsi"/>
        </w:rPr>
      </w:pPr>
    </w:p>
    <w:p w:rsidR="00251D38" w:rsidRDefault="00E814C3" w:rsidP="005E0B7F">
      <w:pPr>
        <w:pStyle w:val="NormalWeb"/>
        <w:shd w:val="clear" w:color="auto" w:fill="FFFFFF"/>
        <w:spacing w:before="0" w:beforeAutospacing="0" w:after="0" w:afterAutospacing="0" w:line="300" w:lineRule="atLeast"/>
      </w:pPr>
      <w:r>
        <w:rPr>
          <w:noProof/>
        </w:rPr>
        <w:drawing>
          <wp:inline distT="0" distB="0" distL="0" distR="0" wp14:anchorId="559AD772" wp14:editId="30481BB6">
            <wp:extent cx="5210175" cy="3714750"/>
            <wp:effectExtent l="19050" t="19050" r="28575" b="19050"/>
            <wp:docPr id="1" name="Picture 1" descr="It's a heat map of Australia showing the areas that have higher density of use." title="Number of FCM prescriptions in the second year of listing (June 2015 to May 2016) by SA3, standardised by 100,000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10175" cy="3714750"/>
                    </a:xfrm>
                    <a:prstGeom prst="rect">
                      <a:avLst/>
                    </a:prstGeom>
                    <a:ln w="9525" cmpd="sng">
                      <a:solidFill>
                        <a:schemeClr val="bg1">
                          <a:lumMod val="50000"/>
                        </a:schemeClr>
                      </a:solidFill>
                    </a:ln>
                  </pic:spPr>
                </pic:pic>
              </a:graphicData>
            </a:graphic>
          </wp:inline>
        </w:drawing>
      </w:r>
    </w:p>
    <w:p w:rsidR="00E0792A" w:rsidRDefault="00452046" w:rsidP="001067CF">
      <w:pPr>
        <w:rPr>
          <w:b/>
        </w:rPr>
      </w:pPr>
      <w:r w:rsidRPr="00212230">
        <w:rPr>
          <w:b/>
        </w:rPr>
        <w:t xml:space="preserve">Figure 4: Number of FCM </w:t>
      </w:r>
      <w:r w:rsidR="00CB4107" w:rsidRPr="00212230">
        <w:rPr>
          <w:b/>
        </w:rPr>
        <w:t>prescriptions</w:t>
      </w:r>
      <w:r w:rsidRPr="00212230">
        <w:rPr>
          <w:b/>
        </w:rPr>
        <w:t xml:space="preserve"> </w:t>
      </w:r>
      <w:r w:rsidR="005F57A4" w:rsidRPr="00212230">
        <w:rPr>
          <w:b/>
        </w:rPr>
        <w:t>in the second year of listing (June 2015 to May</w:t>
      </w:r>
      <w:r w:rsidR="005F57A4">
        <w:rPr>
          <w:b/>
        </w:rPr>
        <w:t xml:space="preserve"> 2016) by SA3, standardised by 100</w:t>
      </w:r>
      <w:r w:rsidR="00DB7B61">
        <w:rPr>
          <w:b/>
        </w:rPr>
        <w:t>,</w:t>
      </w:r>
      <w:r w:rsidR="005F57A4">
        <w:rPr>
          <w:b/>
        </w:rPr>
        <w:t xml:space="preserve">000 population </w:t>
      </w:r>
    </w:p>
    <w:p w:rsidR="00932F68" w:rsidRDefault="00D5315E" w:rsidP="001067CF">
      <w:r>
        <w:t xml:space="preserve">There was </w:t>
      </w:r>
      <w:r w:rsidR="005E0B7F">
        <w:t>variability of use across</w:t>
      </w:r>
      <w:r w:rsidR="002A2640">
        <w:t xml:space="preserve"> </w:t>
      </w:r>
      <w:r w:rsidR="00417329">
        <w:t>Australia.</w:t>
      </w:r>
      <w:r w:rsidR="00932F68">
        <w:t xml:space="preserve"> A number of the more densely populated areas, such as those along the east coast, had lower </w:t>
      </w:r>
      <w:r w:rsidR="006310AB">
        <w:t xml:space="preserve">rates of </w:t>
      </w:r>
      <w:r w:rsidR="00CB4107">
        <w:t>prescriptions</w:t>
      </w:r>
      <w:r w:rsidR="00932F68">
        <w:t xml:space="preserve"> supplied compared to the more regional areas further inland. </w:t>
      </w:r>
    </w:p>
    <w:p w:rsidR="00756EFA" w:rsidRPr="00756EFA" w:rsidRDefault="00756EFA" w:rsidP="001067CF">
      <w:pPr>
        <w:rPr>
          <w:b/>
        </w:rPr>
      </w:pPr>
      <w:r>
        <w:rPr>
          <w:b/>
        </w:rPr>
        <w:t>Pack data from Aboriginal Health Services (AHS)</w:t>
      </w:r>
    </w:p>
    <w:p w:rsidR="00932F68" w:rsidRPr="00932F68" w:rsidRDefault="000240E3" w:rsidP="001067CF">
      <w:r>
        <w:t xml:space="preserve">The prevalence of IDA is high among Aboriginal populations. </w:t>
      </w:r>
      <w:r w:rsidR="00C33F4E" w:rsidRPr="00C33F4E">
        <w:rPr>
          <w:rFonts w:cs="Calibri+FPEF"/>
        </w:rPr>
        <w:t xml:space="preserve">AHS are able to receive bulk supplies of PBS medicines through an approved community or hospital pharmacy. </w:t>
      </w:r>
      <w:r w:rsidR="00932F68">
        <w:t>T</w:t>
      </w:r>
      <w:r w:rsidR="00932F68" w:rsidRPr="00932F68">
        <w:t xml:space="preserve">he total number of vials of FCM supplied through </w:t>
      </w:r>
      <w:r w:rsidR="00932F68">
        <w:t>the AHS</w:t>
      </w:r>
      <w:r w:rsidR="00932F68" w:rsidRPr="00932F68">
        <w:t xml:space="preserve"> in the first year of listing was 728. In the second year it was 1</w:t>
      </w:r>
      <w:r w:rsidR="00932F68">
        <w:t>,</w:t>
      </w:r>
      <w:r w:rsidR="00932F68" w:rsidRPr="00932F68">
        <w:t xml:space="preserve">273. </w:t>
      </w:r>
    </w:p>
    <w:p w:rsidR="00712F2B" w:rsidRPr="005E22C2" w:rsidRDefault="00712F2B" w:rsidP="00712F2B">
      <w:pPr>
        <w:pStyle w:val="Heading2"/>
      </w:pPr>
      <w:r w:rsidRPr="005E22C2">
        <w:lastRenderedPageBreak/>
        <w:t xml:space="preserve">Analysis of </w:t>
      </w:r>
      <w:r>
        <w:t>e</w:t>
      </w:r>
      <w:r w:rsidRPr="005E22C2">
        <w:t>xpenditure</w:t>
      </w:r>
    </w:p>
    <w:p w:rsidR="00CA17FE" w:rsidRDefault="00CA17FE" w:rsidP="00712F2B">
      <w:r>
        <w:t xml:space="preserve">Table </w:t>
      </w:r>
      <w:r w:rsidR="003C0FED">
        <w:t>7</w:t>
      </w:r>
      <w:r>
        <w:t xml:space="preserve"> shows the government expenditure for FCM</w:t>
      </w:r>
      <w:r w:rsidR="00E0792A">
        <w:t>, IP and IS</w:t>
      </w:r>
      <w:r>
        <w:t xml:space="preserve"> in the first two years of listing</w:t>
      </w:r>
      <w:r w:rsidR="00E0792A">
        <w:t xml:space="preserve"> of FCM</w:t>
      </w:r>
      <w:r>
        <w:t xml:space="preserve">. </w:t>
      </w:r>
    </w:p>
    <w:p w:rsidR="005A09B2" w:rsidRPr="005A09B2" w:rsidRDefault="005E0B7F" w:rsidP="005A09B2">
      <w:pPr>
        <w:spacing w:after="0"/>
        <w:rPr>
          <w:b/>
        </w:rPr>
      </w:pPr>
      <w:r>
        <w:rPr>
          <w:b/>
        </w:rPr>
        <w:t>Table 7</w:t>
      </w:r>
      <w:r w:rsidR="005A09B2" w:rsidRPr="005A09B2">
        <w:rPr>
          <w:b/>
        </w:rPr>
        <w:t>: PBS benefits for</w:t>
      </w:r>
      <w:r w:rsidR="00B65DD6">
        <w:rPr>
          <w:b/>
        </w:rPr>
        <w:t xml:space="preserve"> parenteral iron </w:t>
      </w:r>
    </w:p>
    <w:tbl>
      <w:tblPr>
        <w:tblW w:w="9080" w:type="dxa"/>
        <w:tblInd w:w="93" w:type="dxa"/>
        <w:tblLook w:val="04A0" w:firstRow="1" w:lastRow="0" w:firstColumn="1" w:lastColumn="0" w:noHBand="0" w:noVBand="1"/>
      </w:tblPr>
      <w:tblGrid>
        <w:gridCol w:w="3134"/>
        <w:gridCol w:w="1613"/>
        <w:gridCol w:w="1452"/>
        <w:gridCol w:w="1450"/>
        <w:gridCol w:w="1431"/>
      </w:tblGrid>
      <w:tr w:rsidR="00E0792A" w:rsidRPr="00842C8C" w:rsidTr="002A2AAB">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0792A" w:rsidRPr="00842C8C" w:rsidRDefault="00E0792A" w:rsidP="002A2AAB">
            <w:pPr>
              <w:spacing w:after="0"/>
              <w:jc w:val="center"/>
              <w:rPr>
                <w:rFonts w:ascii="Calibri" w:eastAsia="Times New Roman" w:hAnsi="Calibri" w:cs="Times New Roman"/>
                <w:b/>
                <w:sz w:val="20"/>
                <w:szCs w:val="20"/>
              </w:rPr>
            </w:pPr>
            <w:r w:rsidRPr="00842C8C">
              <w:rPr>
                <w:rFonts w:ascii="Calibri" w:eastAsia="Times New Roman" w:hAnsi="Calibri" w:cs="Times New Roman"/>
                <w:b/>
                <w:sz w:val="20"/>
                <w:szCs w:val="20"/>
              </w:rPr>
              <w:t>Listing year</w:t>
            </w:r>
          </w:p>
        </w:tc>
        <w:tc>
          <w:tcPr>
            <w:tcW w:w="161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0792A" w:rsidRPr="00842C8C" w:rsidRDefault="00E0792A" w:rsidP="002A2AAB">
            <w:pPr>
              <w:spacing w:after="0"/>
              <w:jc w:val="center"/>
              <w:rPr>
                <w:rFonts w:ascii="Calibri" w:eastAsia="Times New Roman" w:hAnsi="Calibri" w:cs="Times New Roman"/>
                <w:b/>
                <w:sz w:val="20"/>
                <w:szCs w:val="20"/>
              </w:rPr>
            </w:pPr>
            <w:r>
              <w:rPr>
                <w:rFonts w:ascii="Calibri" w:eastAsia="Times New Roman" w:hAnsi="Calibri" w:cs="Times New Roman"/>
                <w:b/>
                <w:sz w:val="20"/>
                <w:szCs w:val="20"/>
              </w:rPr>
              <w:t>FCM</w:t>
            </w:r>
          </w:p>
        </w:tc>
        <w:tc>
          <w:tcPr>
            <w:tcW w:w="145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E0792A" w:rsidRPr="00842C8C" w:rsidRDefault="00E0792A" w:rsidP="002A2AAB">
            <w:pPr>
              <w:spacing w:after="0"/>
              <w:jc w:val="center"/>
              <w:rPr>
                <w:rFonts w:ascii="Calibri" w:eastAsia="Times New Roman" w:hAnsi="Calibri" w:cs="Times New Roman"/>
                <w:b/>
                <w:sz w:val="20"/>
                <w:szCs w:val="20"/>
              </w:rPr>
            </w:pPr>
            <w:r>
              <w:rPr>
                <w:rFonts w:ascii="Calibri" w:eastAsia="Times New Roman" w:hAnsi="Calibri" w:cs="Times New Roman"/>
                <w:b/>
                <w:sz w:val="20"/>
                <w:szCs w:val="20"/>
              </w:rPr>
              <w:t>IP</w:t>
            </w:r>
          </w:p>
        </w:tc>
        <w:tc>
          <w:tcPr>
            <w:tcW w:w="14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E0792A" w:rsidRPr="00842C8C" w:rsidRDefault="00E0792A" w:rsidP="002A2AAB">
            <w:pPr>
              <w:spacing w:after="0"/>
              <w:jc w:val="center"/>
              <w:rPr>
                <w:rFonts w:ascii="Calibri" w:eastAsia="Times New Roman" w:hAnsi="Calibri" w:cs="Times New Roman"/>
                <w:b/>
                <w:sz w:val="20"/>
                <w:szCs w:val="20"/>
              </w:rPr>
            </w:pPr>
            <w:r>
              <w:rPr>
                <w:rFonts w:ascii="Calibri" w:eastAsia="Times New Roman" w:hAnsi="Calibri" w:cs="Times New Roman"/>
                <w:b/>
                <w:sz w:val="20"/>
                <w:szCs w:val="20"/>
              </w:rPr>
              <w:t>IS</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E0792A" w:rsidRDefault="00E0792A" w:rsidP="002A2AAB">
            <w:pPr>
              <w:spacing w:after="0"/>
              <w:jc w:val="center"/>
              <w:rPr>
                <w:rFonts w:ascii="Calibri" w:eastAsia="Times New Roman" w:hAnsi="Calibri" w:cs="Times New Roman"/>
                <w:b/>
                <w:sz w:val="20"/>
                <w:szCs w:val="20"/>
              </w:rPr>
            </w:pPr>
            <w:r>
              <w:rPr>
                <w:rFonts w:ascii="Calibri" w:eastAsia="Times New Roman" w:hAnsi="Calibri" w:cs="Times New Roman"/>
                <w:b/>
                <w:sz w:val="20"/>
                <w:szCs w:val="20"/>
              </w:rPr>
              <w:t>Total market</w:t>
            </w:r>
          </w:p>
        </w:tc>
      </w:tr>
      <w:tr w:rsidR="00E0792A" w:rsidRPr="00842C8C" w:rsidTr="002A2AAB">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E0792A" w:rsidRPr="00842C8C" w:rsidRDefault="00E0792A" w:rsidP="00CA17FE">
            <w:pPr>
              <w:spacing w:after="0"/>
              <w:rPr>
                <w:rFonts w:ascii="Calibri" w:eastAsia="Times New Roman" w:hAnsi="Calibri" w:cs="Times New Roman"/>
                <w:sz w:val="20"/>
                <w:szCs w:val="20"/>
              </w:rPr>
            </w:pPr>
            <w:r w:rsidRPr="00842C8C">
              <w:rPr>
                <w:rFonts w:ascii="Calibri" w:eastAsia="Times New Roman" w:hAnsi="Calibri" w:cs="Times New Roman"/>
                <w:sz w:val="20"/>
                <w:szCs w:val="20"/>
              </w:rPr>
              <w:t>Year 1 (June 2014 to May 2015)</w:t>
            </w:r>
          </w:p>
        </w:tc>
        <w:tc>
          <w:tcPr>
            <w:tcW w:w="1613" w:type="dxa"/>
            <w:tcBorders>
              <w:top w:val="nil"/>
              <w:left w:val="nil"/>
              <w:bottom w:val="single" w:sz="4" w:space="0" w:color="auto"/>
              <w:right w:val="single" w:sz="4" w:space="0" w:color="auto"/>
            </w:tcBorders>
            <w:shd w:val="clear" w:color="auto" w:fill="auto"/>
            <w:noWrap/>
            <w:vAlign w:val="center"/>
            <w:hideMark/>
          </w:tcPr>
          <w:p w:rsidR="00E0792A" w:rsidRPr="00842C8C" w:rsidRDefault="00E0792A" w:rsidP="002A2AAB">
            <w:pPr>
              <w:spacing w:after="0"/>
              <w:jc w:val="center"/>
              <w:rPr>
                <w:rFonts w:ascii="Calibri" w:eastAsia="Times New Roman" w:hAnsi="Calibri" w:cs="Times New Roman"/>
                <w:color w:val="000000"/>
                <w:sz w:val="20"/>
                <w:szCs w:val="20"/>
              </w:rPr>
            </w:pPr>
            <w:r w:rsidRPr="00842C8C">
              <w:rPr>
                <w:rFonts w:ascii="Calibri" w:eastAsia="Times New Roman" w:hAnsi="Calibri" w:cs="Times New Roman"/>
                <w:color w:val="000000"/>
                <w:sz w:val="20"/>
                <w:szCs w:val="20"/>
              </w:rPr>
              <w:t>$19,292,165</w:t>
            </w:r>
          </w:p>
        </w:tc>
        <w:tc>
          <w:tcPr>
            <w:tcW w:w="1452" w:type="dxa"/>
            <w:tcBorders>
              <w:top w:val="nil"/>
              <w:left w:val="nil"/>
              <w:bottom w:val="single" w:sz="4" w:space="0" w:color="auto"/>
              <w:right w:val="single" w:sz="4" w:space="0" w:color="auto"/>
            </w:tcBorders>
            <w:vAlign w:val="center"/>
          </w:tcPr>
          <w:p w:rsidR="00E0792A" w:rsidRPr="00842C8C" w:rsidRDefault="00E0792A" w:rsidP="002A2AAB">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$982,946</w:t>
            </w:r>
          </w:p>
        </w:tc>
        <w:tc>
          <w:tcPr>
            <w:tcW w:w="1450" w:type="dxa"/>
            <w:tcBorders>
              <w:top w:val="nil"/>
              <w:left w:val="nil"/>
              <w:bottom w:val="single" w:sz="4" w:space="0" w:color="auto"/>
              <w:right w:val="single" w:sz="4" w:space="0" w:color="auto"/>
            </w:tcBorders>
            <w:vAlign w:val="center"/>
          </w:tcPr>
          <w:p w:rsidR="00E0792A" w:rsidRPr="00842C8C" w:rsidRDefault="00E0792A" w:rsidP="002A2AAB">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$58,953</w:t>
            </w:r>
          </w:p>
        </w:tc>
        <w:tc>
          <w:tcPr>
            <w:tcW w:w="1431" w:type="dxa"/>
            <w:tcBorders>
              <w:top w:val="nil"/>
              <w:left w:val="nil"/>
              <w:bottom w:val="single" w:sz="4" w:space="0" w:color="auto"/>
              <w:right w:val="single" w:sz="4" w:space="0" w:color="auto"/>
            </w:tcBorders>
            <w:vAlign w:val="center"/>
          </w:tcPr>
          <w:p w:rsidR="00E0792A" w:rsidRPr="00842C8C" w:rsidRDefault="00E0792A" w:rsidP="002A2AAB">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$20,334,064</w:t>
            </w:r>
          </w:p>
        </w:tc>
      </w:tr>
      <w:tr w:rsidR="00E0792A" w:rsidRPr="00842C8C" w:rsidTr="002A2AAB">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E0792A" w:rsidRPr="00842C8C" w:rsidRDefault="00E0792A" w:rsidP="00CA17FE">
            <w:pPr>
              <w:spacing w:after="0"/>
              <w:rPr>
                <w:rFonts w:ascii="Calibri" w:eastAsia="Times New Roman" w:hAnsi="Calibri" w:cs="Times New Roman"/>
                <w:sz w:val="20"/>
                <w:szCs w:val="20"/>
              </w:rPr>
            </w:pPr>
            <w:r w:rsidRPr="00842C8C">
              <w:rPr>
                <w:rFonts w:ascii="Calibri" w:eastAsia="Times New Roman" w:hAnsi="Calibri" w:cs="Times New Roman"/>
                <w:sz w:val="20"/>
                <w:szCs w:val="20"/>
              </w:rPr>
              <w:t>Year 2 (June 2015 to May 2016)</w:t>
            </w:r>
          </w:p>
        </w:tc>
        <w:tc>
          <w:tcPr>
            <w:tcW w:w="1613" w:type="dxa"/>
            <w:tcBorders>
              <w:top w:val="nil"/>
              <w:left w:val="nil"/>
              <w:bottom w:val="single" w:sz="4" w:space="0" w:color="auto"/>
              <w:right w:val="single" w:sz="4" w:space="0" w:color="auto"/>
            </w:tcBorders>
            <w:shd w:val="clear" w:color="auto" w:fill="auto"/>
            <w:noWrap/>
            <w:vAlign w:val="center"/>
            <w:hideMark/>
          </w:tcPr>
          <w:p w:rsidR="00E0792A" w:rsidRPr="00842C8C" w:rsidRDefault="00E0792A" w:rsidP="002A2AAB">
            <w:pPr>
              <w:spacing w:after="0"/>
              <w:jc w:val="center"/>
              <w:rPr>
                <w:rFonts w:ascii="Calibri" w:eastAsia="Times New Roman" w:hAnsi="Calibri" w:cs="Times New Roman"/>
                <w:color w:val="000000"/>
                <w:sz w:val="20"/>
                <w:szCs w:val="20"/>
              </w:rPr>
            </w:pPr>
            <w:r w:rsidRPr="00842C8C">
              <w:rPr>
                <w:rFonts w:ascii="Calibri" w:eastAsia="Times New Roman" w:hAnsi="Calibri" w:cs="Times New Roman"/>
                <w:color w:val="000000"/>
                <w:sz w:val="20"/>
                <w:szCs w:val="20"/>
              </w:rPr>
              <w:t>$34,505,573</w:t>
            </w:r>
          </w:p>
        </w:tc>
        <w:tc>
          <w:tcPr>
            <w:tcW w:w="1452" w:type="dxa"/>
            <w:tcBorders>
              <w:top w:val="nil"/>
              <w:left w:val="nil"/>
              <w:bottom w:val="single" w:sz="4" w:space="0" w:color="auto"/>
              <w:right w:val="single" w:sz="4" w:space="0" w:color="auto"/>
            </w:tcBorders>
            <w:vAlign w:val="center"/>
          </w:tcPr>
          <w:p w:rsidR="00E0792A" w:rsidRPr="00842C8C" w:rsidRDefault="00E0792A" w:rsidP="002A2AAB">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$632,542</w:t>
            </w:r>
          </w:p>
        </w:tc>
        <w:tc>
          <w:tcPr>
            <w:tcW w:w="1450" w:type="dxa"/>
            <w:tcBorders>
              <w:top w:val="nil"/>
              <w:left w:val="nil"/>
              <w:bottom w:val="single" w:sz="4" w:space="0" w:color="auto"/>
              <w:right w:val="single" w:sz="4" w:space="0" w:color="auto"/>
            </w:tcBorders>
            <w:vAlign w:val="center"/>
          </w:tcPr>
          <w:p w:rsidR="00E0792A" w:rsidRPr="00842C8C" w:rsidRDefault="00E0792A" w:rsidP="002A2AAB">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$22,748</w:t>
            </w:r>
          </w:p>
        </w:tc>
        <w:tc>
          <w:tcPr>
            <w:tcW w:w="1431" w:type="dxa"/>
            <w:tcBorders>
              <w:top w:val="nil"/>
              <w:left w:val="nil"/>
              <w:bottom w:val="single" w:sz="4" w:space="0" w:color="auto"/>
              <w:right w:val="single" w:sz="4" w:space="0" w:color="auto"/>
            </w:tcBorders>
            <w:vAlign w:val="center"/>
          </w:tcPr>
          <w:p w:rsidR="00E0792A" w:rsidRPr="00842C8C" w:rsidRDefault="00E0792A" w:rsidP="002A2AAB">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$35,160,863</w:t>
            </w:r>
          </w:p>
        </w:tc>
      </w:tr>
    </w:tbl>
    <w:p w:rsidR="00CA17FE" w:rsidRDefault="00FC68EF" w:rsidP="00CA17FE">
      <w:pPr>
        <w:pStyle w:val="Figurecaption"/>
        <w:spacing w:before="0" w:after="0"/>
      </w:pPr>
      <w:r w:rsidRPr="0019691F">
        <w:rPr>
          <w:b/>
        </w:rPr>
        <w:t>Special pricing arrangements apply</w:t>
      </w:r>
      <w:r w:rsidR="00E25E0C" w:rsidRPr="0019691F">
        <w:rPr>
          <w:b/>
        </w:rPr>
        <w:t xml:space="preserve"> for FCM</w:t>
      </w:r>
      <w:r>
        <w:t xml:space="preserve">. </w:t>
      </w:r>
      <w:r w:rsidR="00CA17FE" w:rsidRPr="00071894">
        <w:t>Source: D</w:t>
      </w:r>
      <w:r w:rsidR="00CA17FE">
        <w:t>HS</w:t>
      </w:r>
      <w:r w:rsidR="00CA17FE" w:rsidRPr="00071894">
        <w:t xml:space="preserve"> database </w:t>
      </w:r>
      <w:r w:rsidR="00CA17FE">
        <w:t xml:space="preserve">using date of supply, which may be slightly different to publicly available Medicare Australia date of processing data, </w:t>
      </w:r>
      <w:r w:rsidR="00CA17FE" w:rsidRPr="00071894">
        <w:t xml:space="preserve">accessed </w:t>
      </w:r>
      <w:r w:rsidR="00CA17FE">
        <w:t xml:space="preserve">November </w:t>
      </w:r>
      <w:r w:rsidR="00CA17FE" w:rsidRPr="00071894">
        <w:t>2016.</w:t>
      </w:r>
    </w:p>
    <w:p w:rsidR="00CA17FE" w:rsidRDefault="00CA17FE" w:rsidP="00CA17FE">
      <w:pPr>
        <w:pStyle w:val="Figurecaption"/>
        <w:spacing w:before="0" w:after="0"/>
      </w:pPr>
    </w:p>
    <w:p w:rsidR="00712F2B" w:rsidRPr="005E22C2" w:rsidRDefault="00712F2B" w:rsidP="00712F2B">
      <w:pPr>
        <w:pStyle w:val="Heading2"/>
      </w:pPr>
      <w:r>
        <w:t xml:space="preserve">Analysis </w:t>
      </w:r>
      <w:r w:rsidRPr="005E22C2">
        <w:t xml:space="preserve">of </w:t>
      </w:r>
      <w:r>
        <w:t>a</w:t>
      </w:r>
      <w:r w:rsidRPr="005E22C2">
        <w:t xml:space="preserve">ctual versus </w:t>
      </w:r>
      <w:r>
        <w:t>p</w:t>
      </w:r>
      <w:r w:rsidRPr="005E22C2">
        <w:t xml:space="preserve">redicted </w:t>
      </w:r>
      <w:r>
        <w:t>u</w:t>
      </w:r>
      <w:r w:rsidRPr="005E22C2">
        <w:t>tilisation</w:t>
      </w:r>
    </w:p>
    <w:p w:rsidR="00FC68EF" w:rsidRDefault="00FC68EF" w:rsidP="00FC68EF">
      <w:pPr>
        <w:autoSpaceDE w:val="0"/>
        <w:autoSpaceDN w:val="0"/>
        <w:adjustRightInd w:val="0"/>
        <w:spacing w:after="0"/>
        <w:rPr>
          <w:rFonts w:cs="Calibri+FPEF"/>
        </w:rPr>
      </w:pPr>
      <w:r w:rsidRPr="00FC68EF">
        <w:rPr>
          <w:rFonts w:cs="Calibri+FPEF"/>
        </w:rPr>
        <w:t xml:space="preserve">This analysis compares the estimates of utilisation agreed between the Sponsor and the Department prior to listing. </w:t>
      </w:r>
      <w:r w:rsidR="00284149">
        <w:rPr>
          <w:rFonts w:cs="Calibri+FPEF"/>
        </w:rPr>
        <w:t xml:space="preserve">IS has not been included </w:t>
      </w:r>
      <w:r w:rsidR="006B5C5A">
        <w:rPr>
          <w:rFonts w:cs="Calibri+FPEF"/>
        </w:rPr>
        <w:t>as the numbers are negligible</w:t>
      </w:r>
      <w:r w:rsidR="00284149">
        <w:rPr>
          <w:rFonts w:cs="Calibri+FPEF"/>
        </w:rPr>
        <w:t xml:space="preserve">. </w:t>
      </w:r>
      <w:r w:rsidRPr="00FC68EF">
        <w:rPr>
          <w:rFonts w:cs="Calibri+FPEF"/>
        </w:rPr>
        <w:t>The actual n</w:t>
      </w:r>
      <w:r w:rsidR="00284149">
        <w:rPr>
          <w:rFonts w:cs="Calibri+FPEF"/>
        </w:rPr>
        <w:t xml:space="preserve">umbers reflect all PBS </w:t>
      </w:r>
      <w:r w:rsidRPr="00FC68EF">
        <w:rPr>
          <w:rFonts w:cs="Calibri+FPEF"/>
        </w:rPr>
        <w:t xml:space="preserve">prescriptions </w:t>
      </w:r>
      <w:r w:rsidR="009830B9">
        <w:rPr>
          <w:rFonts w:cs="Calibri+FPEF"/>
        </w:rPr>
        <w:t>for FCM and IP</w:t>
      </w:r>
      <w:r w:rsidRPr="00FC68EF">
        <w:rPr>
          <w:rFonts w:cs="Calibri+FPEF"/>
        </w:rPr>
        <w:t>.</w:t>
      </w:r>
      <w:r w:rsidR="00284149">
        <w:rPr>
          <w:rFonts w:cs="Calibri+FPEF"/>
        </w:rPr>
        <w:t xml:space="preserve"> </w:t>
      </w:r>
    </w:p>
    <w:p w:rsidR="00FC68EF" w:rsidRDefault="00FC68EF" w:rsidP="00FC68EF">
      <w:pPr>
        <w:autoSpaceDE w:val="0"/>
        <w:autoSpaceDN w:val="0"/>
        <w:adjustRightInd w:val="0"/>
        <w:spacing w:after="0"/>
        <w:rPr>
          <w:rFonts w:cs="Calibri+FPEF"/>
        </w:rPr>
      </w:pPr>
    </w:p>
    <w:p w:rsidR="00FC68EF" w:rsidRDefault="005A09B2" w:rsidP="00FC68EF">
      <w:pPr>
        <w:autoSpaceDE w:val="0"/>
        <w:autoSpaceDN w:val="0"/>
        <w:adjustRightInd w:val="0"/>
        <w:spacing w:after="0"/>
        <w:rPr>
          <w:rFonts w:cs="Calibri+FPEF"/>
          <w:b/>
        </w:rPr>
      </w:pPr>
      <w:r w:rsidRPr="005A09B2">
        <w:rPr>
          <w:rFonts w:cs="Calibri+FPEF"/>
          <w:b/>
        </w:rPr>
        <w:t xml:space="preserve">Table </w:t>
      </w:r>
      <w:r w:rsidR="005E0B7F">
        <w:rPr>
          <w:rFonts w:cs="Calibri+FPEF"/>
          <w:b/>
        </w:rPr>
        <w:t>8</w:t>
      </w:r>
      <w:r w:rsidRPr="005A09B2">
        <w:rPr>
          <w:rFonts w:cs="Calibri+FPEF"/>
          <w:b/>
        </w:rPr>
        <w:t>: Predicted versus actu</w:t>
      </w:r>
      <w:r w:rsidR="00C24FD7">
        <w:rPr>
          <w:rFonts w:cs="Calibri+FPEF"/>
          <w:b/>
        </w:rPr>
        <w:t xml:space="preserve">al numbers of FCM </w:t>
      </w:r>
      <w:r w:rsidR="00B44C33">
        <w:rPr>
          <w:rFonts w:cs="Calibri+FPEF"/>
          <w:b/>
        </w:rPr>
        <w:t xml:space="preserve">and IP </w:t>
      </w:r>
      <w:r w:rsidR="00C24FD7">
        <w:rPr>
          <w:rFonts w:cs="Calibri+FPEF"/>
          <w:b/>
        </w:rPr>
        <w:t>prescriptions (patient episodes of 1,000 mg)</w:t>
      </w:r>
    </w:p>
    <w:tbl>
      <w:tblPr>
        <w:tblStyle w:val="TableGrid"/>
        <w:tblW w:w="5000" w:type="pct"/>
        <w:tblLook w:val="04A0" w:firstRow="1" w:lastRow="0" w:firstColumn="1" w:lastColumn="0" w:noHBand="0" w:noVBand="1"/>
        <w:tblCaption w:val="Predicted versus actual number of FCM and IP prescriptions (patient episodes of 1,000 mg)"/>
        <w:tblDescription w:val="A table comparing the predicted and actual prescriptions of FCM and IP in years one and two."/>
      </w:tblPr>
      <w:tblGrid>
        <w:gridCol w:w="1919"/>
        <w:gridCol w:w="976"/>
        <w:gridCol w:w="978"/>
        <w:gridCol w:w="1813"/>
        <w:gridCol w:w="939"/>
        <w:gridCol w:w="873"/>
        <w:gridCol w:w="1675"/>
      </w:tblGrid>
      <w:tr w:rsidR="003D23A9" w:rsidRPr="00842C8C" w:rsidTr="00E34F9A">
        <w:trPr>
          <w:tblHeader/>
        </w:trPr>
        <w:tc>
          <w:tcPr>
            <w:tcW w:w="1046" w:type="pct"/>
            <w:tcBorders>
              <w:top w:val="nil"/>
              <w:left w:val="nil"/>
              <w:bottom w:val="nil"/>
            </w:tcBorders>
            <w:shd w:val="clear" w:color="auto" w:fill="FFFFFF" w:themeFill="background1"/>
          </w:tcPr>
          <w:p w:rsidR="003D23A9" w:rsidRPr="00842C8C" w:rsidRDefault="003D23A9" w:rsidP="00031DE5">
            <w:pPr>
              <w:jc w:val="center"/>
              <w:rPr>
                <w:b/>
                <w:sz w:val="20"/>
                <w:szCs w:val="20"/>
              </w:rPr>
            </w:pPr>
          </w:p>
        </w:tc>
        <w:tc>
          <w:tcPr>
            <w:tcW w:w="2053" w:type="pct"/>
            <w:gridSpan w:val="3"/>
            <w:shd w:val="clear" w:color="auto" w:fill="BFBFBF" w:themeFill="background1" w:themeFillShade="BF"/>
          </w:tcPr>
          <w:p w:rsidR="003D23A9" w:rsidRPr="00842C8C" w:rsidRDefault="003D23A9" w:rsidP="00031DE5">
            <w:pPr>
              <w:jc w:val="center"/>
              <w:rPr>
                <w:b/>
                <w:sz w:val="20"/>
                <w:szCs w:val="20"/>
              </w:rPr>
            </w:pPr>
            <w:r w:rsidRPr="00842C8C">
              <w:rPr>
                <w:b/>
                <w:sz w:val="20"/>
                <w:szCs w:val="20"/>
              </w:rPr>
              <w:t>Year 1</w:t>
            </w:r>
            <w:r w:rsidRPr="00842C8C">
              <w:rPr>
                <w:b/>
                <w:sz w:val="20"/>
                <w:szCs w:val="20"/>
                <w:vertAlign w:val="superscript"/>
              </w:rPr>
              <w:t>a</w:t>
            </w:r>
          </w:p>
        </w:tc>
        <w:tc>
          <w:tcPr>
            <w:tcW w:w="1901" w:type="pct"/>
            <w:gridSpan w:val="3"/>
            <w:shd w:val="clear" w:color="auto" w:fill="BFBFBF" w:themeFill="background1" w:themeFillShade="BF"/>
          </w:tcPr>
          <w:p w:rsidR="003D23A9" w:rsidRPr="00842C8C" w:rsidRDefault="003D23A9" w:rsidP="00031DE5">
            <w:pPr>
              <w:jc w:val="center"/>
              <w:rPr>
                <w:b/>
                <w:sz w:val="20"/>
                <w:szCs w:val="20"/>
              </w:rPr>
            </w:pPr>
            <w:r w:rsidRPr="00842C8C">
              <w:rPr>
                <w:b/>
                <w:sz w:val="20"/>
                <w:szCs w:val="20"/>
              </w:rPr>
              <w:t>Year 2</w:t>
            </w:r>
            <w:r w:rsidRPr="00842C8C">
              <w:rPr>
                <w:b/>
                <w:sz w:val="20"/>
                <w:szCs w:val="20"/>
                <w:vertAlign w:val="superscript"/>
              </w:rPr>
              <w:t>b</w:t>
            </w:r>
          </w:p>
        </w:tc>
      </w:tr>
      <w:tr w:rsidR="00006115" w:rsidRPr="00842C8C" w:rsidTr="002A2AAB">
        <w:tc>
          <w:tcPr>
            <w:tcW w:w="1046" w:type="pct"/>
            <w:tcBorders>
              <w:top w:val="nil"/>
              <w:left w:val="nil"/>
            </w:tcBorders>
            <w:shd w:val="clear" w:color="auto" w:fill="FFFFFF" w:themeFill="background1"/>
          </w:tcPr>
          <w:p w:rsidR="003D23A9" w:rsidRPr="00842C8C" w:rsidRDefault="003D23A9" w:rsidP="00031DE5">
            <w:pPr>
              <w:rPr>
                <w:sz w:val="20"/>
                <w:szCs w:val="20"/>
              </w:rPr>
            </w:pPr>
          </w:p>
        </w:tc>
        <w:tc>
          <w:tcPr>
            <w:tcW w:w="532" w:type="pct"/>
            <w:shd w:val="clear" w:color="auto" w:fill="BFBFBF" w:themeFill="background1" w:themeFillShade="BF"/>
            <w:vAlign w:val="center"/>
          </w:tcPr>
          <w:p w:rsidR="003D23A9" w:rsidRPr="00C24FD7" w:rsidRDefault="003D23A9" w:rsidP="00C24FD7">
            <w:pPr>
              <w:jc w:val="center"/>
              <w:rPr>
                <w:rFonts w:cs="Arial"/>
                <w:b/>
                <w:sz w:val="20"/>
                <w:szCs w:val="20"/>
              </w:rPr>
            </w:pPr>
            <w:r w:rsidRPr="00C24FD7">
              <w:rPr>
                <w:rFonts w:cs="Arial"/>
                <w:b/>
                <w:sz w:val="20"/>
                <w:szCs w:val="20"/>
              </w:rPr>
              <w:t>FCM</w:t>
            </w:r>
          </w:p>
        </w:tc>
        <w:tc>
          <w:tcPr>
            <w:tcW w:w="533" w:type="pct"/>
            <w:shd w:val="clear" w:color="auto" w:fill="BFBFBF" w:themeFill="background1" w:themeFillShade="BF"/>
            <w:vAlign w:val="center"/>
          </w:tcPr>
          <w:p w:rsidR="003D23A9" w:rsidRPr="00C24FD7" w:rsidRDefault="003D23A9" w:rsidP="003D23A9">
            <w:pPr>
              <w:jc w:val="center"/>
              <w:rPr>
                <w:rFonts w:cs="Arial"/>
                <w:b/>
                <w:sz w:val="20"/>
                <w:szCs w:val="20"/>
              </w:rPr>
            </w:pPr>
            <w:r w:rsidRPr="00C24FD7">
              <w:rPr>
                <w:rFonts w:cs="Arial"/>
                <w:b/>
                <w:sz w:val="20"/>
                <w:szCs w:val="20"/>
              </w:rPr>
              <w:t>IP</w:t>
            </w:r>
          </w:p>
        </w:tc>
        <w:tc>
          <w:tcPr>
            <w:tcW w:w="988" w:type="pct"/>
            <w:shd w:val="clear" w:color="auto" w:fill="BFBFBF" w:themeFill="background1" w:themeFillShade="BF"/>
            <w:vAlign w:val="center"/>
          </w:tcPr>
          <w:p w:rsidR="003D23A9" w:rsidRPr="00C24FD7" w:rsidRDefault="003D23A9" w:rsidP="003D23A9">
            <w:pPr>
              <w:jc w:val="center"/>
              <w:rPr>
                <w:rFonts w:cs="Arial"/>
                <w:b/>
                <w:sz w:val="20"/>
                <w:szCs w:val="20"/>
              </w:rPr>
            </w:pPr>
            <w:r>
              <w:rPr>
                <w:rFonts w:cs="Arial"/>
                <w:b/>
                <w:sz w:val="20"/>
                <w:szCs w:val="20"/>
              </w:rPr>
              <w:t>Total market</w:t>
            </w:r>
            <w:r w:rsidR="006B5C5A">
              <w:rPr>
                <w:rFonts w:cs="Arial"/>
                <w:b/>
                <w:sz w:val="20"/>
                <w:szCs w:val="20"/>
              </w:rPr>
              <w:t xml:space="preserve"> (FCM as % of total market)</w:t>
            </w:r>
          </w:p>
        </w:tc>
        <w:tc>
          <w:tcPr>
            <w:tcW w:w="512" w:type="pct"/>
            <w:shd w:val="clear" w:color="auto" w:fill="BFBFBF" w:themeFill="background1" w:themeFillShade="BF"/>
            <w:vAlign w:val="center"/>
          </w:tcPr>
          <w:p w:rsidR="003D23A9" w:rsidRPr="00562F24" w:rsidRDefault="003D23A9" w:rsidP="003D23A9">
            <w:pPr>
              <w:jc w:val="center"/>
              <w:rPr>
                <w:rFonts w:cs="Arial"/>
                <w:sz w:val="20"/>
                <w:szCs w:val="20"/>
              </w:rPr>
            </w:pPr>
            <w:r w:rsidRPr="00C24FD7">
              <w:rPr>
                <w:rFonts w:cs="Arial"/>
                <w:b/>
                <w:sz w:val="20"/>
                <w:szCs w:val="20"/>
              </w:rPr>
              <w:t>FCM</w:t>
            </w:r>
          </w:p>
        </w:tc>
        <w:tc>
          <w:tcPr>
            <w:tcW w:w="476" w:type="pct"/>
            <w:shd w:val="clear" w:color="auto" w:fill="BFBFBF" w:themeFill="background1" w:themeFillShade="BF"/>
            <w:vAlign w:val="center"/>
          </w:tcPr>
          <w:p w:rsidR="003D23A9" w:rsidRPr="00562F24" w:rsidRDefault="003D23A9" w:rsidP="003D23A9">
            <w:pPr>
              <w:jc w:val="center"/>
              <w:rPr>
                <w:rFonts w:cs="Arial"/>
                <w:sz w:val="20"/>
                <w:szCs w:val="20"/>
              </w:rPr>
            </w:pPr>
            <w:r w:rsidRPr="00C24FD7">
              <w:rPr>
                <w:rFonts w:cs="Arial"/>
                <w:b/>
                <w:sz w:val="20"/>
                <w:szCs w:val="20"/>
              </w:rPr>
              <w:t>IP</w:t>
            </w:r>
          </w:p>
        </w:tc>
        <w:tc>
          <w:tcPr>
            <w:tcW w:w="912" w:type="pct"/>
            <w:shd w:val="clear" w:color="auto" w:fill="BFBFBF" w:themeFill="background1" w:themeFillShade="BF"/>
            <w:vAlign w:val="center"/>
          </w:tcPr>
          <w:p w:rsidR="003D23A9" w:rsidRPr="00C24FD7" w:rsidRDefault="003D23A9" w:rsidP="003D23A9">
            <w:pPr>
              <w:jc w:val="center"/>
              <w:rPr>
                <w:rFonts w:cs="Arial"/>
                <w:b/>
                <w:sz w:val="20"/>
                <w:szCs w:val="20"/>
              </w:rPr>
            </w:pPr>
            <w:r>
              <w:rPr>
                <w:rFonts w:cs="Arial"/>
                <w:b/>
                <w:sz w:val="20"/>
                <w:szCs w:val="20"/>
              </w:rPr>
              <w:t>Total market</w:t>
            </w:r>
            <w:r w:rsidR="006B5C5A">
              <w:rPr>
                <w:rFonts w:cs="Arial"/>
                <w:b/>
                <w:sz w:val="20"/>
                <w:szCs w:val="20"/>
              </w:rPr>
              <w:t xml:space="preserve"> (FCM as % of total market)</w:t>
            </w:r>
          </w:p>
        </w:tc>
      </w:tr>
      <w:tr w:rsidR="00006115" w:rsidRPr="00E0039A" w:rsidTr="002A2AAB">
        <w:tc>
          <w:tcPr>
            <w:tcW w:w="1046" w:type="pct"/>
          </w:tcPr>
          <w:p w:rsidR="003D23A9" w:rsidRPr="00F36F22" w:rsidRDefault="003D23A9" w:rsidP="00031DE5">
            <w:pPr>
              <w:rPr>
                <w:sz w:val="20"/>
                <w:szCs w:val="20"/>
              </w:rPr>
            </w:pPr>
            <w:r w:rsidRPr="00E0039A">
              <w:rPr>
                <w:sz w:val="20"/>
                <w:szCs w:val="20"/>
              </w:rPr>
              <w:t>Predicted</w:t>
            </w:r>
          </w:p>
        </w:tc>
        <w:tc>
          <w:tcPr>
            <w:tcW w:w="532" w:type="pct"/>
            <w:vAlign w:val="center"/>
          </w:tcPr>
          <w:p w:rsidR="003D23A9" w:rsidRPr="00F36F22" w:rsidRDefault="00F36F22" w:rsidP="006B5C5A">
            <w:pPr>
              <w:jc w:val="center"/>
              <w:rPr>
                <w:rFonts w:cs="Arial"/>
                <w:sz w:val="20"/>
                <w:szCs w:val="20"/>
                <w:highlight w:val="black"/>
              </w:rPr>
            </w:pPr>
            <w:r>
              <w:rPr>
                <w:rFonts w:cs="Arial"/>
                <w:noProof/>
                <w:color w:val="000000"/>
                <w:sz w:val="20"/>
                <w:szCs w:val="20"/>
                <w:highlight w:val="black"/>
              </w:rPr>
              <w:t>''''''''''''</w:t>
            </w:r>
          </w:p>
        </w:tc>
        <w:tc>
          <w:tcPr>
            <w:tcW w:w="533" w:type="pct"/>
            <w:vAlign w:val="center"/>
          </w:tcPr>
          <w:p w:rsidR="003D23A9" w:rsidRPr="00F36F22" w:rsidRDefault="00F36F22" w:rsidP="006B5C5A">
            <w:pPr>
              <w:jc w:val="center"/>
              <w:rPr>
                <w:rFonts w:cs="Arial"/>
                <w:sz w:val="20"/>
                <w:szCs w:val="20"/>
                <w:highlight w:val="black"/>
              </w:rPr>
            </w:pPr>
            <w:r>
              <w:rPr>
                <w:rFonts w:cs="Arial"/>
                <w:noProof/>
                <w:color w:val="000000"/>
                <w:sz w:val="20"/>
                <w:szCs w:val="20"/>
                <w:highlight w:val="black"/>
              </w:rPr>
              <w:t>'''''''''''</w:t>
            </w:r>
          </w:p>
        </w:tc>
        <w:tc>
          <w:tcPr>
            <w:tcW w:w="988" w:type="pct"/>
            <w:vAlign w:val="center"/>
          </w:tcPr>
          <w:p w:rsidR="003D23A9" w:rsidRPr="00F36F22" w:rsidRDefault="00F36F22" w:rsidP="006B5C5A">
            <w:pPr>
              <w:jc w:val="center"/>
              <w:rPr>
                <w:rFonts w:cs="Arial"/>
                <w:sz w:val="20"/>
                <w:szCs w:val="20"/>
                <w:highlight w:val="black"/>
              </w:rPr>
            </w:pPr>
            <w:r>
              <w:rPr>
                <w:rFonts w:cs="Arial"/>
                <w:noProof/>
                <w:color w:val="000000"/>
                <w:sz w:val="20"/>
                <w:szCs w:val="20"/>
                <w:highlight w:val="black"/>
              </w:rPr>
              <w:t>'''''''''''''' ''''''''''</w:t>
            </w:r>
          </w:p>
        </w:tc>
        <w:tc>
          <w:tcPr>
            <w:tcW w:w="512" w:type="pct"/>
            <w:vAlign w:val="center"/>
          </w:tcPr>
          <w:p w:rsidR="003D23A9" w:rsidRPr="00F36F22" w:rsidRDefault="00F36F22" w:rsidP="006B5C5A">
            <w:pPr>
              <w:jc w:val="center"/>
              <w:rPr>
                <w:rFonts w:cs="Arial"/>
                <w:sz w:val="20"/>
                <w:szCs w:val="20"/>
                <w:highlight w:val="black"/>
              </w:rPr>
            </w:pPr>
            <w:r>
              <w:rPr>
                <w:rFonts w:cs="Arial"/>
                <w:noProof/>
                <w:color w:val="000000"/>
                <w:sz w:val="20"/>
                <w:szCs w:val="20"/>
                <w:highlight w:val="black"/>
              </w:rPr>
              <w:t>'''''''''''''</w:t>
            </w:r>
          </w:p>
        </w:tc>
        <w:tc>
          <w:tcPr>
            <w:tcW w:w="476" w:type="pct"/>
            <w:vAlign w:val="center"/>
          </w:tcPr>
          <w:p w:rsidR="003D23A9" w:rsidRPr="00F36F22" w:rsidRDefault="00F36F22" w:rsidP="006B5C5A">
            <w:pPr>
              <w:jc w:val="center"/>
              <w:rPr>
                <w:rFonts w:cs="Arial"/>
                <w:sz w:val="20"/>
                <w:szCs w:val="20"/>
                <w:highlight w:val="black"/>
              </w:rPr>
            </w:pPr>
            <w:r>
              <w:rPr>
                <w:rFonts w:cs="Arial"/>
                <w:noProof/>
                <w:color w:val="000000"/>
                <w:sz w:val="20"/>
                <w:szCs w:val="20"/>
                <w:highlight w:val="black"/>
              </w:rPr>
              <w:t>''''''''''</w:t>
            </w:r>
          </w:p>
        </w:tc>
        <w:tc>
          <w:tcPr>
            <w:tcW w:w="912" w:type="pct"/>
            <w:vAlign w:val="center"/>
          </w:tcPr>
          <w:p w:rsidR="003D23A9" w:rsidRPr="00F36F22" w:rsidRDefault="00F36F22" w:rsidP="006B5C5A">
            <w:pPr>
              <w:jc w:val="center"/>
              <w:rPr>
                <w:rFonts w:cs="Arial"/>
                <w:sz w:val="20"/>
                <w:szCs w:val="20"/>
                <w:highlight w:val="black"/>
              </w:rPr>
            </w:pPr>
            <w:r>
              <w:rPr>
                <w:rFonts w:cs="Arial"/>
                <w:noProof/>
                <w:color w:val="000000"/>
                <w:sz w:val="20"/>
                <w:szCs w:val="20"/>
                <w:highlight w:val="black"/>
              </w:rPr>
              <w:t>'''''''''''' '''''''''''</w:t>
            </w:r>
          </w:p>
        </w:tc>
      </w:tr>
      <w:tr w:rsidR="00006115" w:rsidRPr="00E0039A" w:rsidTr="002A2AAB">
        <w:tc>
          <w:tcPr>
            <w:tcW w:w="1046" w:type="pct"/>
          </w:tcPr>
          <w:p w:rsidR="003D23A9" w:rsidRPr="00E0039A" w:rsidRDefault="003D23A9" w:rsidP="00031DE5">
            <w:pPr>
              <w:rPr>
                <w:sz w:val="20"/>
                <w:szCs w:val="20"/>
              </w:rPr>
            </w:pPr>
            <w:r w:rsidRPr="00E0039A">
              <w:rPr>
                <w:sz w:val="20"/>
                <w:szCs w:val="20"/>
              </w:rPr>
              <w:t>Actual</w:t>
            </w:r>
          </w:p>
        </w:tc>
        <w:tc>
          <w:tcPr>
            <w:tcW w:w="532" w:type="pct"/>
            <w:vAlign w:val="center"/>
          </w:tcPr>
          <w:p w:rsidR="003D23A9" w:rsidRPr="00E0039A" w:rsidRDefault="003D23A9" w:rsidP="006B5C5A">
            <w:pPr>
              <w:jc w:val="center"/>
              <w:rPr>
                <w:bCs/>
                <w:color w:val="000000"/>
                <w:sz w:val="20"/>
                <w:szCs w:val="20"/>
              </w:rPr>
            </w:pPr>
            <w:r w:rsidRPr="00E0039A">
              <w:rPr>
                <w:bCs/>
                <w:color w:val="000000"/>
                <w:sz w:val="20"/>
                <w:szCs w:val="20"/>
              </w:rPr>
              <w:t>69,460</w:t>
            </w:r>
          </w:p>
        </w:tc>
        <w:tc>
          <w:tcPr>
            <w:tcW w:w="533" w:type="pct"/>
            <w:vAlign w:val="center"/>
          </w:tcPr>
          <w:p w:rsidR="003D23A9" w:rsidRPr="00E0039A" w:rsidRDefault="003D23A9" w:rsidP="006B5C5A">
            <w:pPr>
              <w:jc w:val="center"/>
              <w:rPr>
                <w:bCs/>
                <w:color w:val="000000"/>
                <w:sz w:val="20"/>
                <w:szCs w:val="20"/>
              </w:rPr>
            </w:pPr>
            <w:r w:rsidRPr="00E0039A">
              <w:rPr>
                <w:bCs/>
                <w:color w:val="000000"/>
                <w:sz w:val="20"/>
                <w:szCs w:val="20"/>
              </w:rPr>
              <w:t>48,727</w:t>
            </w:r>
          </w:p>
        </w:tc>
        <w:tc>
          <w:tcPr>
            <w:tcW w:w="988" w:type="pct"/>
            <w:vAlign w:val="center"/>
          </w:tcPr>
          <w:p w:rsidR="003D23A9" w:rsidRPr="00E0039A" w:rsidRDefault="0061021B" w:rsidP="006B5C5A">
            <w:pPr>
              <w:jc w:val="center"/>
              <w:rPr>
                <w:bCs/>
                <w:color w:val="000000"/>
                <w:sz w:val="20"/>
                <w:szCs w:val="20"/>
              </w:rPr>
            </w:pPr>
            <w:r w:rsidRPr="00E0039A">
              <w:rPr>
                <w:bCs/>
                <w:color w:val="000000"/>
                <w:sz w:val="20"/>
                <w:szCs w:val="20"/>
              </w:rPr>
              <w:t>118,187</w:t>
            </w:r>
            <w:r w:rsidR="006B5C5A" w:rsidRPr="00E0039A">
              <w:rPr>
                <w:bCs/>
                <w:color w:val="000000"/>
                <w:sz w:val="20"/>
                <w:szCs w:val="20"/>
              </w:rPr>
              <w:t xml:space="preserve"> (59%)</w:t>
            </w:r>
          </w:p>
        </w:tc>
        <w:tc>
          <w:tcPr>
            <w:tcW w:w="512" w:type="pct"/>
            <w:vAlign w:val="center"/>
          </w:tcPr>
          <w:p w:rsidR="003D23A9" w:rsidRPr="00E0039A" w:rsidRDefault="003D23A9" w:rsidP="006B5C5A">
            <w:pPr>
              <w:jc w:val="center"/>
              <w:rPr>
                <w:bCs/>
                <w:color w:val="000000"/>
                <w:sz w:val="20"/>
                <w:szCs w:val="20"/>
              </w:rPr>
            </w:pPr>
            <w:r w:rsidRPr="00E0039A">
              <w:rPr>
                <w:bCs/>
                <w:color w:val="000000"/>
                <w:sz w:val="20"/>
                <w:szCs w:val="20"/>
              </w:rPr>
              <w:t>125,887</w:t>
            </w:r>
          </w:p>
        </w:tc>
        <w:tc>
          <w:tcPr>
            <w:tcW w:w="476" w:type="pct"/>
            <w:vAlign w:val="center"/>
          </w:tcPr>
          <w:p w:rsidR="003D23A9" w:rsidRPr="00E0039A" w:rsidRDefault="003D23A9" w:rsidP="006B5C5A">
            <w:pPr>
              <w:jc w:val="center"/>
              <w:rPr>
                <w:bCs/>
                <w:color w:val="000000"/>
                <w:sz w:val="20"/>
                <w:szCs w:val="20"/>
              </w:rPr>
            </w:pPr>
            <w:r w:rsidRPr="00E0039A">
              <w:rPr>
                <w:bCs/>
                <w:color w:val="000000"/>
                <w:sz w:val="20"/>
                <w:szCs w:val="20"/>
              </w:rPr>
              <w:t>41,763</w:t>
            </w:r>
          </w:p>
        </w:tc>
        <w:tc>
          <w:tcPr>
            <w:tcW w:w="912" w:type="pct"/>
            <w:vAlign w:val="center"/>
          </w:tcPr>
          <w:p w:rsidR="003D23A9" w:rsidRPr="00E0039A" w:rsidRDefault="0061021B" w:rsidP="006B5C5A">
            <w:pPr>
              <w:jc w:val="center"/>
              <w:rPr>
                <w:bCs/>
                <w:color w:val="000000"/>
                <w:sz w:val="20"/>
                <w:szCs w:val="20"/>
              </w:rPr>
            </w:pPr>
            <w:r w:rsidRPr="00E0039A">
              <w:rPr>
                <w:bCs/>
                <w:color w:val="000000"/>
                <w:sz w:val="20"/>
                <w:szCs w:val="20"/>
              </w:rPr>
              <w:t>167,650</w:t>
            </w:r>
            <w:r w:rsidR="006B5C5A" w:rsidRPr="00E0039A">
              <w:rPr>
                <w:bCs/>
                <w:color w:val="000000"/>
                <w:sz w:val="20"/>
                <w:szCs w:val="20"/>
              </w:rPr>
              <w:t xml:space="preserve"> (75%)</w:t>
            </w:r>
          </w:p>
        </w:tc>
      </w:tr>
      <w:tr w:rsidR="00006115" w:rsidRPr="00E0039A" w:rsidTr="002A2AAB">
        <w:tc>
          <w:tcPr>
            <w:tcW w:w="1046" w:type="pct"/>
          </w:tcPr>
          <w:p w:rsidR="003D23A9" w:rsidRPr="00F36F22" w:rsidRDefault="00006115" w:rsidP="00031DE5">
            <w:pPr>
              <w:rPr>
                <w:sz w:val="20"/>
                <w:szCs w:val="20"/>
              </w:rPr>
            </w:pPr>
            <w:r w:rsidRPr="00E0039A">
              <w:rPr>
                <w:sz w:val="20"/>
                <w:szCs w:val="20"/>
              </w:rPr>
              <w:t xml:space="preserve">% </w:t>
            </w:r>
            <w:r w:rsidR="003D23A9" w:rsidRPr="00E0039A">
              <w:rPr>
                <w:sz w:val="20"/>
                <w:szCs w:val="20"/>
              </w:rPr>
              <w:t>Difference</w:t>
            </w:r>
            <w:r w:rsidRPr="00E0039A">
              <w:rPr>
                <w:sz w:val="20"/>
                <w:szCs w:val="20"/>
              </w:rPr>
              <w:t xml:space="preserve"> (A-P)/P</w:t>
            </w:r>
          </w:p>
        </w:tc>
        <w:tc>
          <w:tcPr>
            <w:tcW w:w="532" w:type="pct"/>
            <w:vAlign w:val="center"/>
          </w:tcPr>
          <w:p w:rsidR="003D23A9" w:rsidRPr="00F36F22" w:rsidRDefault="00F36F22" w:rsidP="006B5C5A">
            <w:pPr>
              <w:jc w:val="center"/>
              <w:rPr>
                <w:rFonts w:cs="Arial"/>
                <w:sz w:val="20"/>
                <w:szCs w:val="20"/>
                <w:highlight w:val="black"/>
              </w:rPr>
            </w:pPr>
            <w:r>
              <w:rPr>
                <w:rFonts w:cs="Arial"/>
                <w:noProof/>
                <w:color w:val="000000"/>
                <w:sz w:val="20"/>
                <w:szCs w:val="20"/>
                <w:highlight w:val="black"/>
              </w:rPr>
              <w:t>'''''''''</w:t>
            </w:r>
          </w:p>
        </w:tc>
        <w:tc>
          <w:tcPr>
            <w:tcW w:w="533" w:type="pct"/>
          </w:tcPr>
          <w:p w:rsidR="003D23A9" w:rsidRPr="00F36F22" w:rsidRDefault="00F36F22" w:rsidP="006B5C5A">
            <w:pPr>
              <w:jc w:val="center"/>
              <w:rPr>
                <w:rFonts w:cs="Arial"/>
                <w:sz w:val="20"/>
                <w:szCs w:val="20"/>
                <w:highlight w:val="black"/>
              </w:rPr>
            </w:pPr>
            <w:r>
              <w:rPr>
                <w:rFonts w:cs="Arial"/>
                <w:noProof/>
                <w:color w:val="000000"/>
                <w:sz w:val="20"/>
                <w:szCs w:val="20"/>
                <w:highlight w:val="black"/>
              </w:rPr>
              <w:t>'''''''''''''''</w:t>
            </w:r>
          </w:p>
        </w:tc>
        <w:tc>
          <w:tcPr>
            <w:tcW w:w="988" w:type="pct"/>
          </w:tcPr>
          <w:p w:rsidR="003D23A9" w:rsidRPr="00F36F22" w:rsidRDefault="00F36F22" w:rsidP="006B5C5A">
            <w:pPr>
              <w:jc w:val="center"/>
              <w:rPr>
                <w:rFonts w:cs="Arial"/>
                <w:sz w:val="20"/>
                <w:szCs w:val="20"/>
                <w:highlight w:val="black"/>
              </w:rPr>
            </w:pPr>
            <w:r>
              <w:rPr>
                <w:rFonts w:cs="Arial"/>
                <w:noProof/>
                <w:color w:val="000000"/>
                <w:sz w:val="20"/>
                <w:szCs w:val="20"/>
                <w:highlight w:val="black"/>
              </w:rPr>
              <w:t>'''''''''''</w:t>
            </w:r>
          </w:p>
        </w:tc>
        <w:tc>
          <w:tcPr>
            <w:tcW w:w="512" w:type="pct"/>
            <w:vAlign w:val="center"/>
          </w:tcPr>
          <w:p w:rsidR="003D23A9" w:rsidRPr="00F36F22" w:rsidRDefault="00F36F22" w:rsidP="006B5C5A">
            <w:pPr>
              <w:jc w:val="center"/>
              <w:rPr>
                <w:rFonts w:cs="Arial"/>
                <w:sz w:val="20"/>
                <w:szCs w:val="20"/>
                <w:highlight w:val="black"/>
              </w:rPr>
            </w:pPr>
            <w:r>
              <w:rPr>
                <w:rFonts w:cs="Arial"/>
                <w:noProof/>
                <w:color w:val="000000"/>
                <w:sz w:val="20"/>
                <w:szCs w:val="20"/>
                <w:highlight w:val="black"/>
              </w:rPr>
              <w:t>''''''''''''</w:t>
            </w:r>
          </w:p>
        </w:tc>
        <w:tc>
          <w:tcPr>
            <w:tcW w:w="476" w:type="pct"/>
          </w:tcPr>
          <w:p w:rsidR="003D23A9" w:rsidRPr="00F36F22" w:rsidRDefault="00F36F22" w:rsidP="006B5C5A">
            <w:pPr>
              <w:jc w:val="center"/>
              <w:rPr>
                <w:rFonts w:cs="Arial"/>
                <w:sz w:val="20"/>
                <w:szCs w:val="20"/>
                <w:highlight w:val="black"/>
              </w:rPr>
            </w:pPr>
            <w:r>
              <w:rPr>
                <w:rFonts w:cs="Arial"/>
                <w:noProof/>
                <w:color w:val="000000"/>
                <w:sz w:val="20"/>
                <w:szCs w:val="20"/>
                <w:highlight w:val="black"/>
              </w:rPr>
              <w:t>'''''''''''''</w:t>
            </w:r>
          </w:p>
        </w:tc>
        <w:tc>
          <w:tcPr>
            <w:tcW w:w="912" w:type="pct"/>
          </w:tcPr>
          <w:p w:rsidR="003D23A9" w:rsidRPr="00F36F22" w:rsidRDefault="00F36F22" w:rsidP="006B5C5A">
            <w:pPr>
              <w:jc w:val="center"/>
              <w:rPr>
                <w:rFonts w:cs="Arial"/>
                <w:sz w:val="20"/>
                <w:szCs w:val="20"/>
                <w:highlight w:val="black"/>
              </w:rPr>
            </w:pPr>
            <w:r>
              <w:rPr>
                <w:rFonts w:cs="Arial"/>
                <w:noProof/>
                <w:color w:val="000000"/>
                <w:sz w:val="20"/>
                <w:szCs w:val="20"/>
                <w:highlight w:val="black"/>
              </w:rPr>
              <w:t>''''''''''''''</w:t>
            </w:r>
          </w:p>
        </w:tc>
      </w:tr>
    </w:tbl>
    <w:p w:rsidR="00A653F4" w:rsidRPr="00084171" w:rsidRDefault="00A653F4" w:rsidP="00A653F4">
      <w:pPr>
        <w:spacing w:after="0"/>
        <w:rPr>
          <w:sz w:val="20"/>
          <w:szCs w:val="20"/>
          <w:lang w:eastAsia="en-US"/>
        </w:rPr>
      </w:pPr>
      <w:r w:rsidRPr="00084171">
        <w:rPr>
          <w:sz w:val="20"/>
          <w:szCs w:val="20"/>
          <w:vertAlign w:val="superscript"/>
          <w:lang w:eastAsia="en-US"/>
        </w:rPr>
        <w:t>a</w:t>
      </w:r>
      <w:r w:rsidRPr="00084171">
        <w:rPr>
          <w:sz w:val="20"/>
          <w:szCs w:val="20"/>
          <w:lang w:eastAsia="en-US"/>
        </w:rPr>
        <w:t xml:space="preserve"> </w:t>
      </w:r>
      <w:r>
        <w:rPr>
          <w:sz w:val="20"/>
          <w:szCs w:val="20"/>
          <w:lang w:eastAsia="en-US"/>
        </w:rPr>
        <w:t>Year 1:</w:t>
      </w:r>
      <w:r w:rsidRPr="00084171">
        <w:rPr>
          <w:sz w:val="20"/>
          <w:szCs w:val="20"/>
          <w:lang w:eastAsia="en-US"/>
        </w:rPr>
        <w:t xml:space="preserve"> </w:t>
      </w:r>
      <w:r>
        <w:rPr>
          <w:sz w:val="20"/>
          <w:szCs w:val="20"/>
          <w:lang w:eastAsia="en-US"/>
        </w:rPr>
        <w:t>June 2014 to May 2015</w:t>
      </w:r>
    </w:p>
    <w:p w:rsidR="00A653F4" w:rsidRDefault="00A653F4" w:rsidP="00A653F4">
      <w:pPr>
        <w:spacing w:after="0"/>
        <w:rPr>
          <w:sz w:val="20"/>
          <w:szCs w:val="20"/>
          <w:lang w:eastAsia="en-US"/>
        </w:rPr>
      </w:pPr>
      <w:r w:rsidRPr="00084171">
        <w:rPr>
          <w:sz w:val="20"/>
          <w:szCs w:val="20"/>
          <w:vertAlign w:val="superscript"/>
        </w:rPr>
        <w:t>b</w:t>
      </w:r>
      <w:r w:rsidRPr="00084171">
        <w:rPr>
          <w:sz w:val="20"/>
          <w:szCs w:val="20"/>
          <w:lang w:eastAsia="en-US"/>
        </w:rPr>
        <w:t xml:space="preserve"> Year 2: </w:t>
      </w:r>
      <w:r>
        <w:rPr>
          <w:sz w:val="20"/>
          <w:szCs w:val="20"/>
          <w:lang w:eastAsia="en-US"/>
        </w:rPr>
        <w:t>June 2015 to May 2016</w:t>
      </w:r>
    </w:p>
    <w:p w:rsidR="005A09B2" w:rsidRDefault="00FC23BF" w:rsidP="00FC68EF">
      <w:pPr>
        <w:autoSpaceDE w:val="0"/>
        <w:autoSpaceDN w:val="0"/>
        <w:adjustRightInd w:val="0"/>
        <w:spacing w:after="0"/>
        <w:rPr>
          <w:sz w:val="20"/>
          <w:szCs w:val="20"/>
        </w:rPr>
      </w:pPr>
      <w:r w:rsidRPr="00FC23BF">
        <w:rPr>
          <w:sz w:val="20"/>
          <w:szCs w:val="20"/>
        </w:rPr>
        <w:t>Source: Patient data from DHS supplied prescription database accessed November 2016.</w:t>
      </w:r>
    </w:p>
    <w:p w:rsidR="006B5C5A" w:rsidRDefault="006B5C5A" w:rsidP="00FC68EF">
      <w:pPr>
        <w:autoSpaceDE w:val="0"/>
        <w:autoSpaceDN w:val="0"/>
        <w:adjustRightInd w:val="0"/>
        <w:spacing w:after="0"/>
        <w:rPr>
          <w:sz w:val="20"/>
          <w:szCs w:val="20"/>
        </w:rPr>
      </w:pPr>
    </w:p>
    <w:p w:rsidR="006B5C5A" w:rsidRPr="006B5C5A" w:rsidRDefault="003013F0" w:rsidP="00FC68EF">
      <w:pPr>
        <w:autoSpaceDE w:val="0"/>
        <w:autoSpaceDN w:val="0"/>
        <w:adjustRightInd w:val="0"/>
        <w:spacing w:after="0"/>
      </w:pPr>
      <w:r>
        <w:t>It was predicted that there would be a shift in the total market from IP to FCM.</w:t>
      </w:r>
      <w:r w:rsidRPr="003013F0">
        <w:t xml:space="preserve"> </w:t>
      </w:r>
      <w:r>
        <w:t xml:space="preserve">Whilst in year 1 the number of actual prescriptions for FCM was similar to predicted, there was not </w:t>
      </w:r>
      <w:r w:rsidRPr="00E0039A">
        <w:t xml:space="preserve">the anticipated drop in IP prescriptions. The total market was </w:t>
      </w:r>
      <w:r w:rsidR="00762334">
        <w:rPr>
          <w:noProof/>
          <w:color w:val="000000"/>
          <w:highlight w:val="black"/>
        </w:rPr>
        <w:t>'''''''''</w:t>
      </w:r>
      <w:r w:rsidRPr="00E0039A">
        <w:t xml:space="preserve">% higher than predicted. In year 2, the number of prescriptions for FCM was </w:t>
      </w:r>
      <w:r w:rsidR="00F36F22">
        <w:rPr>
          <w:noProof/>
          <w:color w:val="000000"/>
          <w:highlight w:val="black"/>
        </w:rPr>
        <w:t>'''''''''</w:t>
      </w:r>
      <w:r w:rsidRPr="00E0039A">
        <w:t xml:space="preserve">% higher than predicted with the total market being over </w:t>
      </w:r>
      <w:r w:rsidR="00F36F22">
        <w:rPr>
          <w:noProof/>
          <w:color w:val="000000"/>
          <w:highlight w:val="black"/>
        </w:rPr>
        <w:t>''''''''</w:t>
      </w:r>
      <w:r w:rsidRPr="00E0039A">
        <w:t>% higher than e</w:t>
      </w:r>
      <w:r w:rsidR="0000615C" w:rsidRPr="00E0039A">
        <w:t>xpected.</w:t>
      </w:r>
      <w:r>
        <w:t xml:space="preserve"> </w:t>
      </w:r>
    </w:p>
    <w:p w:rsidR="00C24FD7" w:rsidRDefault="00C24FD7" w:rsidP="00FC68EF">
      <w:pPr>
        <w:autoSpaceDE w:val="0"/>
        <w:autoSpaceDN w:val="0"/>
        <w:adjustRightInd w:val="0"/>
        <w:spacing w:after="0"/>
        <w:rPr>
          <w:sz w:val="20"/>
          <w:szCs w:val="20"/>
        </w:rPr>
      </w:pPr>
    </w:p>
    <w:p w:rsidR="00712F2B" w:rsidRPr="00161CFA" w:rsidRDefault="00712F2B" w:rsidP="00161CFA">
      <w:pPr>
        <w:spacing w:line="276" w:lineRule="auto"/>
        <w:rPr>
          <w:b/>
          <w:sz w:val="32"/>
          <w:szCs w:val="32"/>
          <w:highlight w:val="yellow"/>
        </w:rPr>
      </w:pPr>
      <w:r w:rsidRPr="00161CFA">
        <w:rPr>
          <w:b/>
          <w:sz w:val="32"/>
          <w:szCs w:val="32"/>
        </w:rPr>
        <w:t>Discussion</w:t>
      </w:r>
    </w:p>
    <w:p w:rsidR="008A2977" w:rsidRDefault="008A2977" w:rsidP="00CC6D97">
      <w:r>
        <w:t xml:space="preserve">Since the listing of FCM on the PBS, the parenteral iron market has </w:t>
      </w:r>
      <w:r w:rsidR="001C538D">
        <w:t xml:space="preserve">grown </w:t>
      </w:r>
      <w:r>
        <w:t>substantially</w:t>
      </w:r>
      <w:r w:rsidR="00891D70">
        <w:t xml:space="preserve"> (Figure 1)</w:t>
      </w:r>
      <w:r>
        <w:t>. The actual use of FCM has been higher than predicted for a number of reasons</w:t>
      </w:r>
      <w:r w:rsidR="00536647">
        <w:t>:</w:t>
      </w:r>
      <w:r>
        <w:t xml:space="preserve"> </w:t>
      </w:r>
    </w:p>
    <w:p w:rsidR="00536647" w:rsidRDefault="00536647" w:rsidP="000F44ED">
      <w:pPr>
        <w:autoSpaceDE w:val="0"/>
        <w:autoSpaceDN w:val="0"/>
        <w:adjustRightInd w:val="0"/>
        <w:spacing w:after="0"/>
        <w:rPr>
          <w:b/>
          <w:i/>
        </w:rPr>
      </w:pPr>
      <w:r w:rsidRPr="0019691F">
        <w:rPr>
          <w:b/>
          <w:i/>
        </w:rPr>
        <w:t>Baseline parenteral iron market</w:t>
      </w:r>
    </w:p>
    <w:p w:rsidR="0019691F" w:rsidRPr="0019691F" w:rsidRDefault="0019691F" w:rsidP="000F44ED">
      <w:pPr>
        <w:autoSpaceDE w:val="0"/>
        <w:autoSpaceDN w:val="0"/>
        <w:adjustRightInd w:val="0"/>
        <w:spacing w:after="0"/>
        <w:rPr>
          <w:b/>
          <w:i/>
        </w:rPr>
      </w:pPr>
    </w:p>
    <w:p w:rsidR="000F44ED" w:rsidRDefault="000F44ED" w:rsidP="000F44ED">
      <w:pPr>
        <w:autoSpaceDE w:val="0"/>
        <w:autoSpaceDN w:val="0"/>
        <w:adjustRightInd w:val="0"/>
        <w:spacing w:after="0"/>
      </w:pPr>
      <w:r>
        <w:t xml:space="preserve">It is </w:t>
      </w:r>
      <w:r w:rsidR="00933B3A">
        <w:t>very likely</w:t>
      </w:r>
      <w:r>
        <w:t xml:space="preserve"> that the</w:t>
      </w:r>
      <w:r w:rsidR="008A2977">
        <w:t xml:space="preserve"> baseline market for parenteral iron</w:t>
      </w:r>
      <w:r>
        <w:t xml:space="preserve"> was underestimated</w:t>
      </w:r>
      <w:r w:rsidR="005563D9">
        <w:t xml:space="preserve">. </w:t>
      </w:r>
      <w:r w:rsidRPr="000F44ED">
        <w:t>T</w:t>
      </w:r>
      <w:r>
        <w:t>wo</w:t>
      </w:r>
      <w:r w:rsidRPr="000F44ED">
        <w:t xml:space="preserve"> sources</w:t>
      </w:r>
      <w:r>
        <w:t xml:space="preserve"> were used to estimate the baseline market – GPRN data to estimate use of parenteral iron in the </w:t>
      </w:r>
      <w:r w:rsidR="00933B3A">
        <w:t>GP</w:t>
      </w:r>
      <w:r>
        <w:t xml:space="preserve"> setting, and hospital separations with</w:t>
      </w:r>
      <w:r w:rsidR="0000615C">
        <w:t xml:space="preserve"> a principle diagnosis of IDA. </w:t>
      </w:r>
    </w:p>
    <w:p w:rsidR="000F44ED" w:rsidRDefault="000F44ED" w:rsidP="000F44ED">
      <w:pPr>
        <w:autoSpaceDE w:val="0"/>
        <w:autoSpaceDN w:val="0"/>
        <w:adjustRightInd w:val="0"/>
        <w:spacing w:after="0"/>
      </w:pPr>
    </w:p>
    <w:p w:rsidR="000F44ED" w:rsidRPr="00E0039A" w:rsidRDefault="000F44ED" w:rsidP="000F44ED">
      <w:pPr>
        <w:autoSpaceDE w:val="0"/>
        <w:autoSpaceDN w:val="0"/>
        <w:adjustRightInd w:val="0"/>
        <w:spacing w:after="0"/>
      </w:pPr>
      <w:r w:rsidRPr="00E0039A">
        <w:lastRenderedPageBreak/>
        <w:t>The GPRN data gave</w:t>
      </w:r>
      <w:r w:rsidR="0000615C" w:rsidRPr="00E0039A">
        <w:t xml:space="preserve"> a national estimate of </w:t>
      </w:r>
      <w:r w:rsidR="00F36F22">
        <w:rPr>
          <w:noProof/>
          <w:color w:val="000000"/>
          <w:highlight w:val="black"/>
        </w:rPr>
        <w:t>'''''''''''''</w:t>
      </w:r>
      <w:r w:rsidR="0000615C" w:rsidRPr="00E0039A">
        <w:t xml:space="preserve"> </w:t>
      </w:r>
      <w:r w:rsidRPr="00E0039A">
        <w:t xml:space="preserve">GP consultations resulting in a prescription for IP, but only the </w:t>
      </w:r>
      <w:r w:rsidR="00F36F22">
        <w:rPr>
          <w:noProof/>
          <w:color w:val="000000"/>
          <w:highlight w:val="black"/>
        </w:rPr>
        <w:t>'''''''''''</w:t>
      </w:r>
      <w:r w:rsidRPr="00E0039A">
        <w:t xml:space="preserve"> episodes where the exact reason for prescription recorded was ‘iron deficiency anaemia’ were included</w:t>
      </w:r>
      <w:r w:rsidR="00933B3A" w:rsidRPr="00E0039A">
        <w:t xml:space="preserve"> in the submission estimates</w:t>
      </w:r>
      <w:r w:rsidRPr="00E0039A">
        <w:t xml:space="preserve">. </w:t>
      </w:r>
      <w:r w:rsidR="00607A13" w:rsidRPr="00E0039A">
        <w:t>DUSC considered that the number of GP consultations where IP is prescribed could potentially be three times higher than presented in the resubmission, resulting in an underestimate of the baseline market and representing closer to 50% of the distribution across treatment settings.</w:t>
      </w:r>
      <w:r w:rsidR="0049466D" w:rsidRPr="00E0039A">
        <w:t xml:space="preserve"> </w:t>
      </w:r>
      <w:r w:rsidR="00607A13" w:rsidRPr="00E0039A">
        <w:t xml:space="preserve">The final estimates agreed between the Sponsor and the Department used a midpoint of </w:t>
      </w:r>
      <w:r w:rsidR="00F36F22">
        <w:rPr>
          <w:noProof/>
          <w:color w:val="000000"/>
          <w:highlight w:val="black"/>
        </w:rPr>
        <w:t>''''''''''''</w:t>
      </w:r>
      <w:r w:rsidR="00607A13" w:rsidRPr="00E0039A">
        <w:t xml:space="preserve"> episodes</w:t>
      </w:r>
      <w:r w:rsidR="0049466D" w:rsidRPr="00E0039A">
        <w:t xml:space="preserve"> in the GP setting</w:t>
      </w:r>
      <w:r w:rsidR="00607A13" w:rsidRPr="00E0039A">
        <w:t>.</w:t>
      </w:r>
    </w:p>
    <w:p w:rsidR="000F44ED" w:rsidRPr="00E0039A" w:rsidRDefault="000F44ED" w:rsidP="000F44ED">
      <w:pPr>
        <w:autoSpaceDE w:val="0"/>
        <w:autoSpaceDN w:val="0"/>
        <w:adjustRightInd w:val="0"/>
        <w:spacing w:after="0"/>
      </w:pPr>
    </w:p>
    <w:p w:rsidR="00536647" w:rsidRPr="00F36F22" w:rsidRDefault="00F36F22" w:rsidP="000F44ED">
      <w:pPr>
        <w:autoSpaceDE w:val="0"/>
        <w:autoSpaceDN w:val="0"/>
        <w:adjustRightInd w:val="0"/>
        <w:spacing w:after="0"/>
        <w:rPr>
          <w:highlight w:val="black"/>
        </w:rPr>
      </w:pPr>
      <w:r>
        <w:rPr>
          <w:noProof/>
          <w:color w:val="000000"/>
          <w:highlight w:val="black"/>
        </w:rPr>
        <w:t>''''' ''''''' ''''''''' '''' '''''' ''''''''''''''''''''' '''''''' ''''''''''''''''''''' ''''' '''''''''''''''''''' '''' '''''''' '''''' ''''''''' '''''' ''''' ''''''''' '''''''''''''' ''''''''''''''''''''''' ''''''''' '''''''''' '''''' ''''''' ''''''''''''''' '''''''''''''''' '''''''' '''''''''''''' '''''''''''''''''''''' '''''''''''' '''''''''''''''''' ''''''''''''' '''''''''''''''''' '''''''''''''''' '''''''''''''''' ''''''' '''''''''' ''''''''''''''''''''''''' ''''''''''''''''' '''''''''''''''''' '''''''''' ''''''' '''''''''' '''''''''''''''' ''''''''''''''''' ''''''''' ''''''''''''' ''''' ''''''''''''''' ''' '''''' ''''''''''''''' '''' '''''''''''''''''''''''' '''''''''''' ''''''' '''''''''''''''''' ''''''''''''''''''' ''' ''''''' ''''' '''''''''''' ''' '''''''''''''''' ''''''''''''''' '''''''''''''''''' ''''''''''''''''''' '''''''''''''' '''''''' '''''''''''''' ''''''''''''''''''''''''''' '''''''''''''''''' '''''''''''''''''''''</w:t>
      </w:r>
    </w:p>
    <w:p w:rsidR="00536647" w:rsidRDefault="00536647" w:rsidP="000F44ED">
      <w:pPr>
        <w:autoSpaceDE w:val="0"/>
        <w:autoSpaceDN w:val="0"/>
        <w:adjustRightInd w:val="0"/>
        <w:spacing w:after="0"/>
      </w:pPr>
    </w:p>
    <w:p w:rsidR="00536647" w:rsidRPr="0019691F" w:rsidRDefault="00536647" w:rsidP="002A2AAB">
      <w:pPr>
        <w:autoSpaceDE w:val="0"/>
        <w:autoSpaceDN w:val="0"/>
        <w:adjustRightInd w:val="0"/>
        <w:spacing w:after="0"/>
        <w:rPr>
          <w:b/>
          <w:i/>
        </w:rPr>
      </w:pPr>
      <w:r w:rsidRPr="0019691F">
        <w:rPr>
          <w:b/>
          <w:i/>
        </w:rPr>
        <w:t>Market growth</w:t>
      </w:r>
    </w:p>
    <w:p w:rsidR="000F44ED" w:rsidRDefault="000F44ED" w:rsidP="002A2AAB">
      <w:pPr>
        <w:autoSpaceDE w:val="0"/>
        <w:autoSpaceDN w:val="0"/>
        <w:adjustRightInd w:val="0"/>
        <w:spacing w:after="0"/>
      </w:pPr>
    </w:p>
    <w:p w:rsidR="005611C3" w:rsidRPr="00E0039A" w:rsidRDefault="00ED14E0" w:rsidP="005611C3">
      <w:pPr>
        <w:autoSpaceDE w:val="0"/>
        <w:autoSpaceDN w:val="0"/>
        <w:adjustRightInd w:val="0"/>
        <w:spacing w:after="0"/>
      </w:pPr>
      <w:r>
        <w:t xml:space="preserve">The baseline market growth was derived from the average annual growth in PBS prescriptions processed for IP from 2008 to 2012 (8.8%). The submission </w:t>
      </w:r>
      <w:r w:rsidR="006E3CB4">
        <w:t>assumed</w:t>
      </w:r>
      <w:r>
        <w:t xml:space="preserve"> that there would be </w:t>
      </w:r>
      <w:r w:rsidR="006E3CB4">
        <w:t xml:space="preserve">additional growth in the total parenteral iron market </w:t>
      </w:r>
      <w:r w:rsidR="00260366">
        <w:t xml:space="preserve">with availability of </w:t>
      </w:r>
      <w:r w:rsidR="00260366" w:rsidRPr="00E0039A">
        <w:t xml:space="preserve">FCM (an additional </w:t>
      </w:r>
      <w:r w:rsidR="00F36F22">
        <w:rPr>
          <w:noProof/>
          <w:color w:val="000000"/>
          <w:highlight w:val="black"/>
        </w:rPr>
        <w:t>'''''</w:t>
      </w:r>
      <w:r w:rsidR="00260366" w:rsidRPr="00E0039A">
        <w:t xml:space="preserve">% and </w:t>
      </w:r>
      <w:r w:rsidR="00F36F22">
        <w:rPr>
          <w:noProof/>
          <w:color w:val="000000"/>
          <w:highlight w:val="black"/>
        </w:rPr>
        <w:t>'''''</w:t>
      </w:r>
      <w:r w:rsidR="00260366" w:rsidRPr="00E0039A">
        <w:t>% growth in year 1 and year 2 of listing, respectively</w:t>
      </w:r>
      <w:r w:rsidRPr="00E0039A">
        <w:t>)</w:t>
      </w:r>
      <w:r w:rsidR="00260366" w:rsidRPr="00E0039A">
        <w:t xml:space="preserve">. DUSC had agreed that </w:t>
      </w:r>
      <w:r w:rsidR="005358A7" w:rsidRPr="00E0039A">
        <w:t>IDA wa</w:t>
      </w:r>
      <w:r w:rsidR="00536647" w:rsidRPr="00E0039A">
        <w:t xml:space="preserve">s likely to be undertreated due to perceived and actual problems with use of oral and available subsidised parenteral iron. </w:t>
      </w:r>
      <w:r w:rsidRPr="00E0039A">
        <w:t xml:space="preserve">While </w:t>
      </w:r>
      <w:r w:rsidR="00536647" w:rsidRPr="00E0039A">
        <w:t xml:space="preserve">DUSC considered </w:t>
      </w:r>
      <w:r w:rsidR="005358A7" w:rsidRPr="00E0039A">
        <w:t xml:space="preserve">the assumption of additional market growth to be </w:t>
      </w:r>
      <w:r w:rsidR="00536647" w:rsidRPr="00E0039A">
        <w:t>reasonable,</w:t>
      </w:r>
      <w:r w:rsidR="005358A7" w:rsidRPr="00E0039A">
        <w:t xml:space="preserve"> </w:t>
      </w:r>
      <w:r w:rsidRPr="00E0039A">
        <w:t>it was</w:t>
      </w:r>
      <w:r w:rsidR="005358A7" w:rsidRPr="00E0039A">
        <w:t xml:space="preserve"> noted that </w:t>
      </w:r>
      <w:r w:rsidR="00536647" w:rsidRPr="00E0039A">
        <w:t>the exten</w:t>
      </w:r>
      <w:r w:rsidR="005358A7" w:rsidRPr="00E0039A">
        <w:t>t of current underutilisation had</w:t>
      </w:r>
      <w:r w:rsidR="00536647" w:rsidRPr="00E0039A">
        <w:t xml:space="preserve"> not </w:t>
      </w:r>
      <w:r w:rsidR="005358A7" w:rsidRPr="00E0039A">
        <w:t xml:space="preserve">been </w:t>
      </w:r>
      <w:r w:rsidR="00536647" w:rsidRPr="00E0039A">
        <w:t>quantified in the resubmission.</w:t>
      </w:r>
      <w:r w:rsidR="005611C3" w:rsidRPr="00E0039A">
        <w:rPr>
          <w:i/>
        </w:rPr>
        <w:t xml:space="preserve"> </w:t>
      </w:r>
    </w:p>
    <w:p w:rsidR="005A7415" w:rsidRPr="00E0039A" w:rsidRDefault="005A7415" w:rsidP="002A2AAB">
      <w:pPr>
        <w:autoSpaceDE w:val="0"/>
        <w:autoSpaceDN w:val="0"/>
        <w:adjustRightInd w:val="0"/>
        <w:spacing w:after="0"/>
        <w:rPr>
          <w:i/>
        </w:rPr>
      </w:pPr>
    </w:p>
    <w:p w:rsidR="001C538D" w:rsidRPr="00E0039A" w:rsidRDefault="00933B3A" w:rsidP="002A2AAB">
      <w:pPr>
        <w:autoSpaceDE w:val="0"/>
        <w:autoSpaceDN w:val="0"/>
        <w:adjustRightInd w:val="0"/>
        <w:spacing w:after="0"/>
      </w:pPr>
      <w:r w:rsidRPr="00E0039A">
        <w:t xml:space="preserve">Additional market growth has greatly exceeded expectations. </w:t>
      </w:r>
      <w:r w:rsidR="005A7415" w:rsidRPr="00E0039A">
        <w:t xml:space="preserve">The </w:t>
      </w:r>
      <w:r w:rsidRPr="00E0039A">
        <w:t xml:space="preserve">total </w:t>
      </w:r>
      <w:r w:rsidR="005A7415" w:rsidRPr="00E0039A">
        <w:t xml:space="preserve">number of </w:t>
      </w:r>
      <w:r w:rsidRPr="00E0039A">
        <w:t xml:space="preserve">parenteral iron prescriptions in the first year that FCM was available </w:t>
      </w:r>
      <w:r w:rsidR="005611C3" w:rsidRPr="00E0039A">
        <w:t xml:space="preserve">on the PBS </w:t>
      </w:r>
      <w:r w:rsidRPr="00E0039A">
        <w:t xml:space="preserve">(118,187) </w:t>
      </w:r>
      <w:r w:rsidR="005A7415" w:rsidRPr="00E0039A">
        <w:t>was</w:t>
      </w:r>
      <w:r w:rsidRPr="00E0039A">
        <w:t xml:space="preserve"> </w:t>
      </w:r>
      <w:r w:rsidR="00F36F22">
        <w:rPr>
          <w:noProof/>
          <w:color w:val="000000"/>
          <w:highlight w:val="black"/>
        </w:rPr>
        <w:t>'''''</w:t>
      </w:r>
      <w:r w:rsidRPr="00E0039A">
        <w:t xml:space="preserve">% higher than expected </w:t>
      </w:r>
      <w:r w:rsidR="005611C3" w:rsidRPr="00E0039A">
        <w:t>(</w:t>
      </w:r>
      <w:r w:rsidR="00F36F22">
        <w:rPr>
          <w:noProof/>
          <w:color w:val="000000"/>
          <w:highlight w:val="black"/>
        </w:rPr>
        <w:t>'''''''''''''</w:t>
      </w:r>
      <w:r w:rsidR="005611C3" w:rsidRPr="00E0039A">
        <w:t>), but noting that some of this difference is due to an underestimation of the baseline market.</w:t>
      </w:r>
      <w:r w:rsidRPr="00E0039A">
        <w:t xml:space="preserve"> In the second year the parenteral iron market was more than </w:t>
      </w:r>
      <w:r w:rsidR="00F36F22">
        <w:rPr>
          <w:noProof/>
          <w:color w:val="000000"/>
          <w:highlight w:val="black"/>
        </w:rPr>
        <w:t>'''''''</w:t>
      </w:r>
      <w:r w:rsidRPr="00E0039A">
        <w:t xml:space="preserve">% </w:t>
      </w:r>
      <w:r w:rsidR="005611C3" w:rsidRPr="00E0039A">
        <w:t>above</w:t>
      </w:r>
      <w:r w:rsidRPr="00E0039A">
        <w:t xml:space="preserve"> that expected. </w:t>
      </w:r>
      <w:r w:rsidR="005611C3" w:rsidRPr="00E0039A">
        <w:t>One</w:t>
      </w:r>
      <w:r w:rsidR="001C538D" w:rsidRPr="00E0039A">
        <w:t xml:space="preserve"> reason </w:t>
      </w:r>
      <w:r w:rsidR="005563D9" w:rsidRPr="00E0039A">
        <w:t xml:space="preserve">may have been a higher than anticipated unmet clinical need </w:t>
      </w:r>
      <w:r w:rsidR="00874935" w:rsidRPr="00E0039A">
        <w:t xml:space="preserve">in the market </w:t>
      </w:r>
      <w:r w:rsidR="005563D9" w:rsidRPr="00E0039A">
        <w:t>for an alternative iron infusion.</w:t>
      </w:r>
      <w:r w:rsidR="005611C3" w:rsidRPr="00E0039A">
        <w:t xml:space="preserve"> </w:t>
      </w:r>
      <w:r w:rsidR="00E309DA" w:rsidRPr="00E0039A">
        <w:t xml:space="preserve">However, there may also be use of FCM </w:t>
      </w:r>
      <w:r w:rsidR="008B3AD9" w:rsidRPr="00E0039A">
        <w:t xml:space="preserve">in a broader population of patients such as </w:t>
      </w:r>
      <w:r w:rsidR="00E309DA" w:rsidRPr="00E0039A">
        <w:t>for iron deficiency without anaemia, or in patients with symptoms (e.g. fatigue)</w:t>
      </w:r>
      <w:r w:rsidR="008B3AD9" w:rsidRPr="00E0039A">
        <w:t xml:space="preserve"> but without confirmed IDA</w:t>
      </w:r>
      <w:r w:rsidR="00E309DA" w:rsidRPr="00E0039A">
        <w:t xml:space="preserve">. </w:t>
      </w:r>
    </w:p>
    <w:p w:rsidR="001C538D" w:rsidRPr="00E0039A" w:rsidRDefault="001C538D" w:rsidP="002A2AAB">
      <w:pPr>
        <w:autoSpaceDE w:val="0"/>
        <w:autoSpaceDN w:val="0"/>
        <w:adjustRightInd w:val="0"/>
        <w:spacing w:after="0"/>
      </w:pPr>
    </w:p>
    <w:p w:rsidR="00536647" w:rsidRPr="00E0039A" w:rsidRDefault="00726F89" w:rsidP="002A2AAB">
      <w:pPr>
        <w:autoSpaceDE w:val="0"/>
        <w:autoSpaceDN w:val="0"/>
        <w:adjustRightInd w:val="0"/>
        <w:spacing w:after="0"/>
        <w:rPr>
          <w:b/>
          <w:i/>
        </w:rPr>
      </w:pPr>
      <w:r w:rsidRPr="00E0039A">
        <w:rPr>
          <w:b/>
          <w:i/>
        </w:rPr>
        <w:t>Parenteral iron m</w:t>
      </w:r>
      <w:r w:rsidR="00536647" w:rsidRPr="00E0039A">
        <w:rPr>
          <w:b/>
          <w:i/>
        </w:rPr>
        <w:t>arket share</w:t>
      </w:r>
    </w:p>
    <w:p w:rsidR="00C741E7" w:rsidRPr="00E0039A" w:rsidRDefault="00C741E7" w:rsidP="002A2AAB">
      <w:pPr>
        <w:autoSpaceDE w:val="0"/>
        <w:autoSpaceDN w:val="0"/>
        <w:adjustRightInd w:val="0"/>
        <w:spacing w:after="0"/>
      </w:pPr>
    </w:p>
    <w:p w:rsidR="00C741E7" w:rsidRPr="00E0039A" w:rsidRDefault="00C741E7" w:rsidP="002A2AAB">
      <w:pPr>
        <w:autoSpaceDE w:val="0"/>
        <w:autoSpaceDN w:val="0"/>
        <w:adjustRightInd w:val="0"/>
        <w:spacing w:after="0"/>
        <w:rPr>
          <w:i/>
        </w:rPr>
      </w:pPr>
      <w:r w:rsidRPr="00E0039A">
        <w:t xml:space="preserve">The submission </w:t>
      </w:r>
      <w:r w:rsidR="00726F89" w:rsidRPr="00E0039A">
        <w:t xml:space="preserve">had </w:t>
      </w:r>
      <w:r w:rsidRPr="00E0039A">
        <w:t xml:space="preserve">assumed </w:t>
      </w:r>
      <w:r w:rsidR="00726F89" w:rsidRPr="00E0039A">
        <w:t>a</w:t>
      </w:r>
      <w:r w:rsidRPr="00E0039A">
        <w:t xml:space="preserve"> market</w:t>
      </w:r>
      <w:r w:rsidR="005611C3" w:rsidRPr="00E0039A">
        <w:t xml:space="preserve"> </w:t>
      </w:r>
      <w:r w:rsidRPr="00E0039A">
        <w:t xml:space="preserve">share </w:t>
      </w:r>
      <w:r w:rsidR="00726F89" w:rsidRPr="00E0039A">
        <w:t>for</w:t>
      </w:r>
      <w:r w:rsidRPr="00E0039A">
        <w:t xml:space="preserve"> FCM </w:t>
      </w:r>
      <w:r w:rsidR="00726F89" w:rsidRPr="00E0039A">
        <w:t xml:space="preserve">of </w:t>
      </w:r>
      <w:r w:rsidR="00F36F22">
        <w:rPr>
          <w:noProof/>
          <w:color w:val="000000"/>
          <w:highlight w:val="black"/>
        </w:rPr>
        <w:t>'''''</w:t>
      </w:r>
      <w:r w:rsidRPr="00E0039A">
        <w:t xml:space="preserve">% in year 1 increasing to </w:t>
      </w:r>
      <w:r w:rsidR="00F36F22">
        <w:rPr>
          <w:noProof/>
          <w:color w:val="000000"/>
          <w:highlight w:val="black"/>
        </w:rPr>
        <w:t>''''''</w:t>
      </w:r>
      <w:r w:rsidRPr="00E0039A">
        <w:t>% in year 5 of listing. DUSC had considered it likely t</w:t>
      </w:r>
      <w:r w:rsidR="0005437B" w:rsidRPr="00E0039A">
        <w:t>hat uptake of FCM in place of intramuscularly administered</w:t>
      </w:r>
      <w:r w:rsidRPr="00E0039A">
        <w:t xml:space="preserve"> IP would be high and rapid due to actual and perceived problems with </w:t>
      </w:r>
      <w:r w:rsidR="00ED16CC" w:rsidRPr="00E0039A">
        <w:t>IP</w:t>
      </w:r>
      <w:r w:rsidRPr="00E0039A">
        <w:t xml:space="preserve"> (pain, skin stains, risk of anaphylaxis). The GPRN data showed that FCM</w:t>
      </w:r>
      <w:r w:rsidRPr="0019691F">
        <w:t xml:space="preserve"> </w:t>
      </w:r>
      <w:r w:rsidRPr="00E0039A">
        <w:t xml:space="preserve">already </w:t>
      </w:r>
      <w:r w:rsidR="00E72ABE" w:rsidRPr="00E0039A">
        <w:t>had</w:t>
      </w:r>
      <w:r w:rsidRPr="00E0039A">
        <w:t xml:space="preserve"> at least </w:t>
      </w:r>
      <w:r w:rsidR="00F36F22">
        <w:rPr>
          <w:noProof/>
          <w:color w:val="000000"/>
          <w:highlight w:val="black"/>
        </w:rPr>
        <w:t>'''''</w:t>
      </w:r>
      <w:r w:rsidRPr="00E0039A">
        <w:t xml:space="preserve">% of the market before PBS listing. </w:t>
      </w:r>
      <w:r w:rsidR="00131872" w:rsidRPr="00E0039A">
        <w:t xml:space="preserve">The uptake of FCM in the final agreed estimates was </w:t>
      </w:r>
      <w:r w:rsidR="00F36F22">
        <w:rPr>
          <w:noProof/>
          <w:color w:val="000000"/>
          <w:highlight w:val="black"/>
        </w:rPr>
        <w:t>'''''</w:t>
      </w:r>
      <w:r w:rsidR="00131872" w:rsidRPr="00E0039A">
        <w:t>% in year</w:t>
      </w:r>
      <w:r w:rsidR="00726F89" w:rsidRPr="00E0039A">
        <w:t> </w:t>
      </w:r>
      <w:r w:rsidR="00131872" w:rsidRPr="00E0039A">
        <w:t xml:space="preserve">1 increasing to </w:t>
      </w:r>
      <w:r w:rsidR="00F36F22">
        <w:rPr>
          <w:noProof/>
          <w:color w:val="000000"/>
          <w:highlight w:val="black"/>
        </w:rPr>
        <w:t>''''''</w:t>
      </w:r>
      <w:r w:rsidR="00131872" w:rsidRPr="00E0039A">
        <w:t>% by year 5.</w:t>
      </w:r>
    </w:p>
    <w:p w:rsidR="00444A41" w:rsidRPr="00E0039A" w:rsidRDefault="00444A41" w:rsidP="002A2AAB">
      <w:pPr>
        <w:autoSpaceDE w:val="0"/>
        <w:autoSpaceDN w:val="0"/>
        <w:adjustRightInd w:val="0"/>
        <w:spacing w:after="0"/>
        <w:rPr>
          <w:i/>
        </w:rPr>
      </w:pPr>
    </w:p>
    <w:p w:rsidR="00444A41" w:rsidRPr="00E0039A" w:rsidRDefault="00444A41" w:rsidP="002A2AAB">
      <w:pPr>
        <w:autoSpaceDE w:val="0"/>
        <w:autoSpaceDN w:val="0"/>
        <w:adjustRightInd w:val="0"/>
        <w:spacing w:after="0"/>
      </w:pPr>
      <w:r w:rsidRPr="00E0039A">
        <w:lastRenderedPageBreak/>
        <w:t xml:space="preserve">The market share of FCM was 59% in year 1 increasing to 75% in year 2. Although the total use of FCM </w:t>
      </w:r>
      <w:r w:rsidR="00E72ABE" w:rsidRPr="00E0039A">
        <w:t>was</w:t>
      </w:r>
      <w:r w:rsidRPr="00E0039A">
        <w:t xml:space="preserve"> much higher than predicted, the market share </w:t>
      </w:r>
      <w:r w:rsidR="00E72ABE" w:rsidRPr="00E0039A">
        <w:t>was</w:t>
      </w:r>
      <w:r w:rsidRPr="00E0039A">
        <w:t xml:space="preserve"> lower because FCM has added to the market rather than substituting IP to any great extent</w:t>
      </w:r>
      <w:r w:rsidR="005F167E" w:rsidRPr="00E0039A">
        <w:t xml:space="preserve"> (Figure 1)</w:t>
      </w:r>
      <w:r w:rsidRPr="00E0039A">
        <w:t>.</w:t>
      </w:r>
    </w:p>
    <w:p w:rsidR="00216EB4" w:rsidRPr="00E0039A" w:rsidRDefault="00216EB4" w:rsidP="002A2AAB">
      <w:pPr>
        <w:autoSpaceDE w:val="0"/>
        <w:autoSpaceDN w:val="0"/>
        <w:adjustRightInd w:val="0"/>
        <w:spacing w:after="0"/>
      </w:pPr>
    </w:p>
    <w:p w:rsidR="00296172" w:rsidRPr="00E0039A" w:rsidRDefault="005F167E" w:rsidP="0019691F">
      <w:pPr>
        <w:autoSpaceDE w:val="0"/>
        <w:autoSpaceDN w:val="0"/>
        <w:adjustRightInd w:val="0"/>
        <w:spacing w:after="0"/>
        <w:rPr>
          <w:b/>
          <w:i/>
        </w:rPr>
      </w:pPr>
      <w:r w:rsidRPr="00E0039A">
        <w:rPr>
          <w:b/>
          <w:i/>
        </w:rPr>
        <w:t>Dose</w:t>
      </w:r>
    </w:p>
    <w:p w:rsidR="0019691F" w:rsidRPr="00E0039A" w:rsidRDefault="0019691F" w:rsidP="0019691F">
      <w:pPr>
        <w:autoSpaceDE w:val="0"/>
        <w:autoSpaceDN w:val="0"/>
        <w:adjustRightInd w:val="0"/>
        <w:spacing w:after="0"/>
        <w:rPr>
          <w:b/>
          <w:i/>
        </w:rPr>
      </w:pPr>
    </w:p>
    <w:p w:rsidR="0055324D" w:rsidRPr="0055324D" w:rsidRDefault="00216EB4" w:rsidP="0055324D">
      <w:pPr>
        <w:autoSpaceDE w:val="0"/>
        <w:autoSpaceDN w:val="0"/>
        <w:adjustRightInd w:val="0"/>
      </w:pPr>
      <w:r w:rsidRPr="00E0039A">
        <w:t xml:space="preserve">The resubmission reasoned that IV iron is typically administered as a standard dose of 1,000 mg, irrespective of the degree of deficiency present. </w:t>
      </w:r>
      <w:r w:rsidR="005535BF" w:rsidRPr="00E0039A">
        <w:t xml:space="preserve">This was based on </w:t>
      </w:r>
      <w:r w:rsidR="009251C7" w:rsidRPr="00E0039A">
        <w:t xml:space="preserve">a ‘standard dose of IV iron’ question from </w:t>
      </w:r>
      <w:r w:rsidR="006F29E1" w:rsidRPr="00E0039A">
        <w:t xml:space="preserve">a </w:t>
      </w:r>
      <w:r w:rsidR="00CB064A" w:rsidRPr="00E0039A">
        <w:t xml:space="preserve">treatment </w:t>
      </w:r>
      <w:r w:rsidR="005535BF" w:rsidRPr="00E0039A">
        <w:t xml:space="preserve">survey </w:t>
      </w:r>
      <w:r w:rsidR="009251C7" w:rsidRPr="00E0039A">
        <w:t xml:space="preserve">of </w:t>
      </w:r>
      <w:r w:rsidR="00F36F22">
        <w:rPr>
          <w:noProof/>
          <w:color w:val="000000"/>
          <w:highlight w:val="black"/>
        </w:rPr>
        <w:t>''''' ''''''''''''''' ''''''''''''''''''''''' ''''' ''''''''''''''' ''''''''''''''''''''''' ''''''''' ''''' '''''''''''''''''''''''''' '''''' ''''''' '''''''''''''' '''''''' '''''''''''''''' '''''''' '''''''''' '''''''' ''''''' '''''''' ''''''''''''''''' ''''''''''''' '''''''''' ''''' '''' ''''''''''' ''''''</w:t>
      </w:r>
      <w:r w:rsidR="00CB064A" w:rsidRPr="00E0039A">
        <w:t xml:space="preserve">. </w:t>
      </w:r>
      <w:r w:rsidR="006F29E1" w:rsidRPr="00E0039A">
        <w:t>In November 2013, t</w:t>
      </w:r>
      <w:r w:rsidR="009251C7" w:rsidRPr="00E0039A">
        <w:t xml:space="preserve">he PBAC </w:t>
      </w:r>
      <w:r w:rsidR="006F29E1" w:rsidRPr="00E0039A">
        <w:t xml:space="preserve">agreed with </w:t>
      </w:r>
      <w:r w:rsidR="009251C7" w:rsidRPr="00E0039A">
        <w:t>DUSC that</w:t>
      </w:r>
      <w:r w:rsidR="009251C7" w:rsidRPr="00ED16CC">
        <w:t xml:space="preserve"> </w:t>
      </w:r>
      <w:r w:rsidR="006F29E1" w:rsidRPr="00ED16CC">
        <w:t xml:space="preserve">the </w:t>
      </w:r>
      <w:r w:rsidR="009251C7" w:rsidRPr="00ED16CC">
        <w:t>survey should be interpreted with caution due to external and internal validity concerns.</w:t>
      </w:r>
      <w:r w:rsidR="001A0D3C">
        <w:rPr>
          <w:rStyle w:val="FootnoteReference"/>
        </w:rPr>
        <w:footnoteReference w:id="11"/>
      </w:r>
      <w:r w:rsidR="009251C7" w:rsidRPr="00ED16CC">
        <w:t xml:space="preserve"> </w:t>
      </w:r>
      <w:r w:rsidR="00EB1D99" w:rsidRPr="00ED16CC">
        <w:t xml:space="preserve">The survey used to determine the standard dose included haemodialysis patients. </w:t>
      </w:r>
      <w:r w:rsidR="0055324D" w:rsidRPr="00ED16CC">
        <w:t xml:space="preserve">The </w:t>
      </w:r>
      <w:r w:rsidR="0055324D">
        <w:t xml:space="preserve">November 2013 pre-PBAC response acknowledged that </w:t>
      </w:r>
      <w:r w:rsidR="0055324D" w:rsidRPr="0055324D">
        <w:t>some patients with more severe IDA will require a higher dose in routine clinical practice</w:t>
      </w:r>
      <w:r w:rsidR="0055324D">
        <w:t xml:space="preserve"> and proposed a price reduction of </w:t>
      </w:r>
      <w:r w:rsidR="00F36F22">
        <w:rPr>
          <w:noProof/>
          <w:color w:val="000000"/>
          <w:highlight w:val="black"/>
        </w:rPr>
        <w:t>''''''''</w:t>
      </w:r>
      <w:r w:rsidR="0055324D">
        <w:t xml:space="preserve">% so that </w:t>
      </w:r>
      <w:r w:rsidR="0055324D" w:rsidRPr="0055324D">
        <w:t>FCM would deliver cost savings in terms of total treatment costs and be at least cost neutral in the highest dose of 2,000</w:t>
      </w:r>
      <w:r w:rsidR="00ED16CC">
        <w:t xml:space="preserve"> </w:t>
      </w:r>
      <w:r w:rsidR="0055324D" w:rsidRPr="0055324D">
        <w:t xml:space="preserve">mg. </w:t>
      </w:r>
    </w:p>
    <w:p w:rsidR="0055324D" w:rsidRPr="0019691F" w:rsidRDefault="00073CE5" w:rsidP="00073CE5">
      <w:pPr>
        <w:autoSpaceDE w:val="0"/>
        <w:autoSpaceDN w:val="0"/>
        <w:adjustRightInd w:val="0"/>
        <w:rPr>
          <w:i/>
        </w:rPr>
      </w:pPr>
      <w:r>
        <w:t>Whilst the most common number of vials per patient over a 12 month period was two (</w:t>
      </w:r>
      <w:r w:rsidR="0005437B" w:rsidRPr="00A13F12">
        <w:t xml:space="preserve">equalling </w:t>
      </w:r>
      <w:r w:rsidRPr="00A13F12">
        <w:t>1,000 mg</w:t>
      </w:r>
      <w:r w:rsidR="00E72ABE" w:rsidRPr="00A13F12">
        <w:t>; s</w:t>
      </w:r>
      <w:r w:rsidR="0005437B" w:rsidRPr="00A13F12">
        <w:t xml:space="preserve">ee </w:t>
      </w:r>
      <w:r w:rsidR="00560FAC" w:rsidRPr="00A13F12">
        <w:t xml:space="preserve">Table </w:t>
      </w:r>
      <w:r w:rsidR="00825BFB" w:rsidRPr="00A13F12">
        <w:t>5</w:t>
      </w:r>
      <w:r w:rsidR="00560FAC" w:rsidRPr="00A13F12">
        <w:t>)</w:t>
      </w:r>
      <w:r w:rsidRPr="00A13F12">
        <w:t xml:space="preserve">, </w:t>
      </w:r>
      <w:r w:rsidR="0055324D" w:rsidRPr="00A13F12">
        <w:t xml:space="preserve">about 16.7% of patients required </w:t>
      </w:r>
      <w:r w:rsidR="00ED16CC" w:rsidRPr="00A13F12">
        <w:t>three</w:t>
      </w:r>
      <w:r w:rsidR="0055324D" w:rsidRPr="00A13F12">
        <w:t xml:space="preserve"> or </w:t>
      </w:r>
      <w:r w:rsidR="00ED16CC" w:rsidRPr="00A13F12">
        <w:t>four</w:t>
      </w:r>
      <w:r w:rsidR="0055324D" w:rsidRPr="00A13F12">
        <w:t xml:space="preserve"> vials (1</w:t>
      </w:r>
      <w:r w:rsidR="00ED16CC" w:rsidRPr="00A13F12">
        <w:t>,</w:t>
      </w:r>
      <w:r w:rsidR="0055324D" w:rsidRPr="00A13F12">
        <w:t>500-2</w:t>
      </w:r>
      <w:r w:rsidR="00ED16CC" w:rsidRPr="00A13F12">
        <w:t>,</w:t>
      </w:r>
      <w:r w:rsidR="0055324D" w:rsidRPr="00A13F12">
        <w:t>000</w:t>
      </w:r>
      <w:r w:rsidR="00ED16CC" w:rsidRPr="00A13F12">
        <w:t xml:space="preserve"> </w:t>
      </w:r>
      <w:r w:rsidR="0055324D" w:rsidRPr="00A13F12">
        <w:t xml:space="preserve">mg). A smaller proportion (5.4%) required only one vial. Given the higher price of FCM and the requirement for multiple </w:t>
      </w:r>
      <w:r w:rsidR="00ED16CC" w:rsidRPr="00A13F12">
        <w:t>pre</w:t>
      </w:r>
      <w:r w:rsidR="0055324D" w:rsidRPr="00A13F12">
        <w:t>script</w:t>
      </w:r>
      <w:r w:rsidR="00ED16CC" w:rsidRPr="00A13F12">
        <w:t>ion</w:t>
      </w:r>
      <w:r w:rsidR="0055324D" w:rsidRPr="00A13F12">
        <w:t>s to achieve doses above 1</w:t>
      </w:r>
      <w:r w:rsidR="00ED16CC" w:rsidRPr="00A13F12">
        <w:t>,</w:t>
      </w:r>
      <w:r w:rsidR="0055324D" w:rsidRPr="00A13F12">
        <w:t>000</w:t>
      </w:r>
      <w:r w:rsidR="00ED16CC" w:rsidRPr="00A13F12">
        <w:t xml:space="preserve"> </w:t>
      </w:r>
      <w:r w:rsidR="0055324D" w:rsidRPr="00A13F12">
        <w:t>mg compared with IP</w:t>
      </w:r>
      <w:r w:rsidR="00ED16CC" w:rsidRPr="00A13F12">
        <w:t>,</w:t>
      </w:r>
      <w:r w:rsidR="0055324D" w:rsidRPr="00A13F12">
        <w:t xml:space="preserve"> </w:t>
      </w:r>
      <w:r w:rsidR="002E214F" w:rsidRPr="00A13F12">
        <w:t xml:space="preserve">it is possible that cost-neutrality has not been realised. It is recognised that an analysis over the 12 month period may include more than one </w:t>
      </w:r>
      <w:r w:rsidR="00ED16CC" w:rsidRPr="00A13F12">
        <w:t xml:space="preserve">‘episode’ of treatment. </w:t>
      </w:r>
      <w:r w:rsidR="002E214F" w:rsidRPr="00A13F12">
        <w:t>DUSC may wish to advise whether alternative analyses or sources of data</w:t>
      </w:r>
      <w:r w:rsidR="00ED16CC" w:rsidRPr="00A13F12">
        <w:t>,</w:t>
      </w:r>
      <w:r w:rsidR="002E214F" w:rsidRPr="00A13F12">
        <w:t xml:space="preserve"> such as MedicineInsight</w:t>
      </w:r>
      <w:r w:rsidR="00ED16CC" w:rsidRPr="00A13F12">
        <w:t>,</w:t>
      </w:r>
      <w:r w:rsidR="002E214F" w:rsidRPr="00A13F12">
        <w:t xml:space="preserve"> would be helpful to assess the range of doses used in practice. The amount of wastage could potentially also be ascertained if the prescribed dose</w:t>
      </w:r>
      <w:r w:rsidR="0000615C" w:rsidRPr="00A13F12">
        <w:t xml:space="preserve"> has been recorded by the GP.</w:t>
      </w:r>
      <w:r w:rsidR="002E214F">
        <w:rPr>
          <w:i/>
        </w:rPr>
        <w:t xml:space="preserve"> </w:t>
      </w:r>
    </w:p>
    <w:p w:rsidR="005F156F" w:rsidRPr="0019691F" w:rsidRDefault="002E214F" w:rsidP="00073CE5">
      <w:pPr>
        <w:autoSpaceDE w:val="0"/>
        <w:autoSpaceDN w:val="0"/>
        <w:adjustRightInd w:val="0"/>
        <w:rPr>
          <w:color w:val="808080" w:themeColor="background1" w:themeShade="80"/>
        </w:rPr>
      </w:pPr>
      <w:r>
        <w:t>A</w:t>
      </w:r>
      <w:r w:rsidR="00073CE5">
        <w:t xml:space="preserve"> </w:t>
      </w:r>
      <w:r>
        <w:t xml:space="preserve">small </w:t>
      </w:r>
      <w:r w:rsidR="00073CE5">
        <w:t>number of patients receiv</w:t>
      </w:r>
      <w:r>
        <w:t>e</w:t>
      </w:r>
      <w:r w:rsidR="00073CE5">
        <w:t xml:space="preserve"> large quantities</w:t>
      </w:r>
      <w:r w:rsidR="005151C5">
        <w:t xml:space="preserve"> of iron</w:t>
      </w:r>
      <w:r w:rsidR="00073CE5">
        <w:t xml:space="preserve">. </w:t>
      </w:r>
      <w:r w:rsidR="005F167E">
        <w:t>T</w:t>
      </w:r>
      <w:r w:rsidR="00073CE5">
        <w:t xml:space="preserve">here are circumstances where regular doses of iron are required for </w:t>
      </w:r>
      <w:r w:rsidR="00825BFB">
        <w:t>IDA</w:t>
      </w:r>
      <w:r w:rsidR="005F167E">
        <w:t xml:space="preserve">. Figure 2 shows that there are a wide </w:t>
      </w:r>
      <w:r w:rsidR="005F167E" w:rsidRPr="00B85F00">
        <w:t>ra</w:t>
      </w:r>
      <w:r w:rsidR="005F167E">
        <w:t>nge of practitioners</w:t>
      </w:r>
      <w:r w:rsidR="005F167E" w:rsidRPr="00B85F00">
        <w:t xml:space="preserve"> who </w:t>
      </w:r>
      <w:r w:rsidR="005F167E">
        <w:t>prescribe</w:t>
      </w:r>
      <w:r w:rsidR="005F167E" w:rsidRPr="00B85F00">
        <w:t xml:space="preserve"> </w:t>
      </w:r>
      <w:r w:rsidR="005F167E">
        <w:t>IV iron, indicating its use</w:t>
      </w:r>
      <w:r w:rsidR="005F167E" w:rsidRPr="00B85F00">
        <w:t xml:space="preserve"> </w:t>
      </w:r>
      <w:r w:rsidR="005F167E">
        <w:t>across a number of specialities</w:t>
      </w:r>
      <w:r w:rsidR="005F167E" w:rsidRPr="00B85F00">
        <w:t xml:space="preserve">. </w:t>
      </w:r>
      <w:r w:rsidR="0055324D">
        <w:t xml:space="preserve">At the time of the resubmission, there were concerns </w:t>
      </w:r>
      <w:r w:rsidR="0055324D" w:rsidRPr="009251C7">
        <w:t xml:space="preserve">regarding the possible use </w:t>
      </w:r>
      <w:r w:rsidR="005151C5">
        <w:t xml:space="preserve">of FCM </w:t>
      </w:r>
      <w:r w:rsidR="0055324D" w:rsidRPr="009251C7">
        <w:t>in haemodialysis patients, where there is no administrative cost advantage and that there was potential for the 500</w:t>
      </w:r>
      <w:r w:rsidR="0055324D">
        <w:t xml:space="preserve"> </w:t>
      </w:r>
      <w:r w:rsidR="0055324D" w:rsidRPr="009251C7">
        <w:t xml:space="preserve">mg vial to be used for lower </w:t>
      </w:r>
      <w:r w:rsidR="0055324D" w:rsidRPr="006310AB">
        <w:t>doses.</w:t>
      </w:r>
      <w:r w:rsidRPr="006310AB">
        <w:t xml:space="preserve"> </w:t>
      </w:r>
      <w:r w:rsidR="00F36F22">
        <w:rPr>
          <w:noProof/>
          <w:color w:val="000000"/>
          <w:highlight w:val="black"/>
        </w:rPr>
        <w:t>''''''' '''''' ''''''''''''''' ''''''''''''''''''''''''' ''' '''''''''''''''''' ''''' ''''''''''''''''' '''''' '''''''' ''''' '''''' '''''''''''''''''''''''''''' ''' ''''''''' ''' '''''''''' '''' ''''''''' ''''' '''' ''''' ''' '''''' ''''''''''''' ''''''''''''''''' ''''''''''''''' '''''' ''''''''''''''''''''''''' '''''''' '''''' '''''''''''''''' '''''''''''''''''''''' '''''' '''''''''''''''''''' ''''''''''''''''' ''''''' ''''''''' '''' '''''''' ''''''' '''''</w:t>
      </w:r>
      <w:r w:rsidRPr="006310AB">
        <w:t xml:space="preserve"> </w:t>
      </w:r>
    </w:p>
    <w:p w:rsidR="00447F6E" w:rsidRDefault="00447F6E">
      <w:pPr>
        <w:spacing w:line="276" w:lineRule="auto"/>
        <w:rPr>
          <w:b/>
          <w:i/>
        </w:rPr>
      </w:pPr>
      <w:r>
        <w:rPr>
          <w:b/>
          <w:i/>
        </w:rPr>
        <w:br w:type="page"/>
      </w:r>
    </w:p>
    <w:p w:rsidR="00322771" w:rsidRDefault="00322771" w:rsidP="0019691F">
      <w:pPr>
        <w:autoSpaceDE w:val="0"/>
        <w:autoSpaceDN w:val="0"/>
        <w:adjustRightInd w:val="0"/>
        <w:spacing w:after="0"/>
        <w:rPr>
          <w:b/>
          <w:i/>
        </w:rPr>
      </w:pPr>
      <w:r w:rsidRPr="0019691F">
        <w:rPr>
          <w:b/>
          <w:i/>
        </w:rPr>
        <w:lastRenderedPageBreak/>
        <w:t>Distribution across treatment settings</w:t>
      </w:r>
    </w:p>
    <w:p w:rsidR="0019691F" w:rsidRPr="0019691F" w:rsidRDefault="0019691F" w:rsidP="0019691F">
      <w:pPr>
        <w:autoSpaceDE w:val="0"/>
        <w:autoSpaceDN w:val="0"/>
        <w:adjustRightInd w:val="0"/>
        <w:spacing w:after="0"/>
        <w:rPr>
          <w:b/>
          <w:i/>
        </w:rPr>
      </w:pPr>
    </w:p>
    <w:p w:rsidR="005151C5" w:rsidRDefault="00560FAC" w:rsidP="005151C5">
      <w:pPr>
        <w:autoSpaceDE w:val="0"/>
        <w:autoSpaceDN w:val="0"/>
        <w:adjustRightInd w:val="0"/>
      </w:pPr>
      <w:r w:rsidRPr="00560FAC">
        <w:t>The total pharmaceutical costs associated with FCM are higher th</w:t>
      </w:r>
      <w:r>
        <w:t>an those for IP; however the re</w:t>
      </w:r>
      <w:r w:rsidRPr="00560FAC">
        <w:t xml:space="preserve">submission </w:t>
      </w:r>
      <w:r>
        <w:t>predicted</w:t>
      </w:r>
      <w:r w:rsidRPr="00560FAC">
        <w:t xml:space="preserve"> that patients w</w:t>
      </w:r>
      <w:r w:rsidR="008D2E34">
        <w:t>ould</w:t>
      </w:r>
      <w:r w:rsidRPr="00560FAC">
        <w:t xml:space="preserve"> move to lower cost treatment settings reducing the average weighted treatment co</w:t>
      </w:r>
      <w:r w:rsidRPr="00B85F00">
        <w:t xml:space="preserve">st. </w:t>
      </w:r>
    </w:p>
    <w:p w:rsidR="004736E2" w:rsidRDefault="008D2E34" w:rsidP="005151C5">
      <w:pPr>
        <w:autoSpaceDE w:val="0"/>
        <w:autoSpaceDN w:val="0"/>
        <w:adjustRightInd w:val="0"/>
      </w:pPr>
      <w:r>
        <w:t xml:space="preserve">The Sponsor </w:t>
      </w:r>
      <w:r w:rsidR="006C0618">
        <w:t xml:space="preserve">(Pre-PBAC response November 2013 p2) </w:t>
      </w:r>
      <w:r>
        <w:t xml:space="preserve">noted that </w:t>
      </w:r>
      <w:r w:rsidR="005151C5">
        <w:t>shifts</w:t>
      </w:r>
      <w:r>
        <w:t xml:space="preserve"> across settings</w:t>
      </w:r>
      <w:r w:rsidR="005151C5">
        <w:t xml:space="preserve"> depend on a wide range of factors, such as prevailing hospital funding models, the willingness and ability of individual general practitioners and specialists to administer IV iron by slow push injection and the referral practices among IDA patients. Each of these is likely to vary significantly within and between different States, Territories and healthcare settings.</w:t>
      </w:r>
      <w:r>
        <w:t xml:space="preserve"> </w:t>
      </w:r>
      <w:r w:rsidRPr="00B85F00">
        <w:t xml:space="preserve">The PBAC </w:t>
      </w:r>
      <w:r>
        <w:t>agreed</w:t>
      </w:r>
      <w:r w:rsidR="002846F6">
        <w:t>,</w:t>
      </w:r>
      <w:r>
        <w:t xml:space="preserve"> and </w:t>
      </w:r>
      <w:r w:rsidRPr="00B85F00">
        <w:rPr>
          <w:rFonts w:cs="Arial"/>
        </w:rPr>
        <w:t>considered that the uptake and delivery of services would be different across Australia and dependent on factors such as activity-based funding and resource utilisation in hospitals, fees for MBS services, and availability of equipment for infusion and monitoring.</w:t>
      </w:r>
    </w:p>
    <w:p w:rsidR="00560FAC" w:rsidRPr="00A13F12" w:rsidRDefault="003A31D3" w:rsidP="00560FAC">
      <w:pPr>
        <w:autoSpaceDE w:val="0"/>
        <w:autoSpaceDN w:val="0"/>
        <w:adjustRightInd w:val="0"/>
      </w:pPr>
      <w:r w:rsidRPr="00A13F12">
        <w:t>Data is not available to assess use across all settings hence the necessity for the treatment survey (despite limitations) in the resubmission. More recent hospital separation</w:t>
      </w:r>
      <w:r w:rsidR="002846F6" w:rsidRPr="00A13F12">
        <w:t>s</w:t>
      </w:r>
      <w:r w:rsidRPr="00A13F12">
        <w:t xml:space="preserve"> data are not yet available to assess whether the anticipated reduction in public hospital inpatient admissions, and consequential increase in non-admitted patients, has been realised. </w:t>
      </w:r>
      <w:r w:rsidR="002846F6" w:rsidRPr="00A13F12">
        <w:t>The highest rate of growth has been in public hospitals participating in PBS reforms. The number of parenteral iron PBS prescriptions supplied by public hospitals tripled from year one to year two, which may indicate some shift from inpatient to an outpatient or day admitted setting</w:t>
      </w:r>
      <w:r w:rsidR="00585446" w:rsidRPr="00A13F12">
        <w:t xml:space="preserve"> (Figure 3)</w:t>
      </w:r>
      <w:r w:rsidR="002846F6" w:rsidRPr="00A13F12">
        <w:t xml:space="preserve">. However, this cannot be verified from PBS data. Given the magnitude of the increase in the total parenteral market it seems likely that </w:t>
      </w:r>
      <w:r w:rsidR="00A460B8" w:rsidRPr="00A13F12">
        <w:t xml:space="preserve">the use across all settings has grown, rather than there being </w:t>
      </w:r>
      <w:r w:rsidR="008B3AD9" w:rsidRPr="00A13F12">
        <w:t>substantial</w:t>
      </w:r>
      <w:r w:rsidR="00A460B8" w:rsidRPr="00A13F12">
        <w:t xml:space="preserve"> shift between settings. </w:t>
      </w:r>
      <w:r w:rsidR="008B3AD9" w:rsidRPr="00A13F12">
        <w:t xml:space="preserve">The greatest absolute increase in parenteral iron is for FCM prescribed by GPs. </w:t>
      </w:r>
    </w:p>
    <w:p w:rsidR="00A31B51" w:rsidRPr="00A13F12" w:rsidRDefault="00A460B8" w:rsidP="00560FAC">
      <w:pPr>
        <w:autoSpaceDE w:val="0"/>
        <w:autoSpaceDN w:val="0"/>
        <w:adjustRightInd w:val="0"/>
        <w:rPr>
          <w:rFonts w:cs="Arial"/>
        </w:rPr>
      </w:pPr>
      <w:r>
        <w:rPr>
          <w:rFonts w:cs="Arial"/>
        </w:rPr>
        <w:t>DUSC had noted that u</w:t>
      </w:r>
      <w:r w:rsidRPr="00A31B51">
        <w:rPr>
          <w:rFonts w:cs="Arial"/>
        </w:rPr>
        <w:t xml:space="preserve">ptake </w:t>
      </w:r>
      <w:r>
        <w:rPr>
          <w:rFonts w:cs="Arial"/>
        </w:rPr>
        <w:t>in rural and remote settings had</w:t>
      </w:r>
      <w:r w:rsidRPr="00A31B51">
        <w:rPr>
          <w:rFonts w:cs="Arial"/>
        </w:rPr>
        <w:t xml:space="preserve"> not been separately quantified</w:t>
      </w:r>
      <w:r>
        <w:rPr>
          <w:rFonts w:cs="Arial"/>
        </w:rPr>
        <w:t xml:space="preserve"> in the resubmission</w:t>
      </w:r>
      <w:r w:rsidRPr="00A31B51">
        <w:rPr>
          <w:rFonts w:cs="Arial"/>
        </w:rPr>
        <w:t xml:space="preserve">, but </w:t>
      </w:r>
      <w:r>
        <w:rPr>
          <w:rFonts w:cs="Arial"/>
        </w:rPr>
        <w:t xml:space="preserve">considered it </w:t>
      </w:r>
      <w:r w:rsidRPr="00A31B51">
        <w:rPr>
          <w:rFonts w:cs="Arial"/>
        </w:rPr>
        <w:t xml:space="preserve">may be higher than in the general </w:t>
      </w:r>
      <w:r w:rsidRPr="00A13F12">
        <w:rPr>
          <w:rFonts w:cs="Arial"/>
        </w:rPr>
        <w:t xml:space="preserve">population. </w:t>
      </w:r>
      <w:r w:rsidR="00E578AD" w:rsidRPr="00A13F12">
        <w:t>Figure 4 illustrates that the use of FCM has been variable across Australia</w:t>
      </w:r>
      <w:r w:rsidR="00E578AD" w:rsidRPr="00A13F12">
        <w:rPr>
          <w:rFonts w:cs="Arial"/>
        </w:rPr>
        <w:t>.</w:t>
      </w:r>
      <w:r w:rsidR="000E3A34" w:rsidRPr="00A13F12">
        <w:rPr>
          <w:rFonts w:cs="Arial"/>
        </w:rPr>
        <w:t xml:space="preserve"> There appears to be greater quantities supplied in more regional areas than in higher density areas. </w:t>
      </w:r>
    </w:p>
    <w:p w:rsidR="00B042D9" w:rsidRPr="00A13F12" w:rsidRDefault="000E3A34" w:rsidP="00560FAC">
      <w:pPr>
        <w:autoSpaceDE w:val="0"/>
        <w:autoSpaceDN w:val="0"/>
        <w:adjustRightInd w:val="0"/>
        <w:rPr>
          <w:rFonts w:eastAsiaTheme="majorEastAsia" w:cstheme="majorBidi"/>
          <w:b/>
          <w:bCs/>
          <w:sz w:val="32"/>
          <w:szCs w:val="32"/>
        </w:rPr>
      </w:pPr>
      <w:r w:rsidRPr="00A13F12">
        <w:rPr>
          <w:rFonts w:cs="Arial"/>
        </w:rPr>
        <w:t xml:space="preserve">The </w:t>
      </w:r>
      <w:r w:rsidR="00B85F00" w:rsidRPr="00A13F12">
        <w:rPr>
          <w:rFonts w:cs="Arial"/>
        </w:rPr>
        <w:t xml:space="preserve">75% increase in </w:t>
      </w:r>
      <w:r w:rsidR="00FB3DF3" w:rsidRPr="00A13F12">
        <w:rPr>
          <w:rFonts w:cs="Arial"/>
        </w:rPr>
        <w:t xml:space="preserve">supply of FCM via the </w:t>
      </w:r>
      <w:r w:rsidRPr="00A13F12">
        <w:rPr>
          <w:rFonts w:cs="Arial"/>
        </w:rPr>
        <w:t xml:space="preserve">Aboriginal Health Services </w:t>
      </w:r>
      <w:r w:rsidR="00B85F00" w:rsidRPr="00A13F12">
        <w:rPr>
          <w:rFonts w:cs="Arial"/>
        </w:rPr>
        <w:t xml:space="preserve">from the first year to the second </w:t>
      </w:r>
      <w:r w:rsidR="00544C17" w:rsidRPr="00A13F12">
        <w:rPr>
          <w:rFonts w:cs="Arial"/>
        </w:rPr>
        <w:t>may indicate</w:t>
      </w:r>
      <w:r w:rsidR="00FB3DF3" w:rsidRPr="00A13F12">
        <w:rPr>
          <w:rFonts w:cs="Arial"/>
        </w:rPr>
        <w:t xml:space="preserve"> that</w:t>
      </w:r>
      <w:r w:rsidR="00B85F00" w:rsidRPr="00A13F12">
        <w:rPr>
          <w:rFonts w:cs="Arial"/>
        </w:rPr>
        <w:t xml:space="preserve"> uptake is increasing for a population that has a high prevalence of IDA</w:t>
      </w:r>
      <w:r w:rsidR="0000615C" w:rsidRPr="00A13F12">
        <w:rPr>
          <w:rFonts w:cs="Arial"/>
        </w:rPr>
        <w:t>.</w:t>
      </w:r>
      <w:r w:rsidR="00FB3DF3" w:rsidRPr="00A13F12">
        <w:rPr>
          <w:rFonts w:eastAsiaTheme="majorEastAsia" w:cstheme="majorBidi"/>
          <w:b/>
          <w:bCs/>
          <w:sz w:val="32"/>
          <w:szCs w:val="32"/>
        </w:rPr>
        <w:t xml:space="preserve"> </w:t>
      </w:r>
    </w:p>
    <w:p w:rsidR="00544C17" w:rsidRPr="00A13F12" w:rsidRDefault="00544C17" w:rsidP="00560FAC">
      <w:pPr>
        <w:autoSpaceDE w:val="0"/>
        <w:autoSpaceDN w:val="0"/>
        <w:adjustRightInd w:val="0"/>
        <w:rPr>
          <w:rFonts w:eastAsiaTheme="majorEastAsia" w:cstheme="majorBidi"/>
          <w:bCs/>
        </w:rPr>
      </w:pPr>
      <w:r w:rsidRPr="00A13F12">
        <w:rPr>
          <w:rFonts w:eastAsiaTheme="majorEastAsia" w:cstheme="majorBidi"/>
          <w:bCs/>
        </w:rPr>
        <w:t>Overall the actual use of FCM has been higher than predicted due to an underestimate in the size of the baseline market and the unmet clinical need for a new IV iron infusion; the potential use in dialysis patients; and t</w:t>
      </w:r>
      <w:r w:rsidR="006D5A05" w:rsidRPr="00A13F12">
        <w:rPr>
          <w:rFonts w:eastAsiaTheme="majorEastAsia" w:cstheme="majorBidi"/>
          <w:bCs/>
        </w:rPr>
        <w:t xml:space="preserve">he use in a broader population. </w:t>
      </w:r>
    </w:p>
    <w:p w:rsidR="00A13F12" w:rsidRDefault="00A13F12" w:rsidP="00560FAC">
      <w:pPr>
        <w:autoSpaceDE w:val="0"/>
        <w:autoSpaceDN w:val="0"/>
        <w:adjustRightInd w:val="0"/>
        <w:rPr>
          <w:rFonts w:eastAsiaTheme="majorEastAsia" w:cstheme="majorBidi"/>
          <w:bCs/>
        </w:rPr>
      </w:pPr>
      <w:r w:rsidRPr="00A13F12">
        <w:rPr>
          <w:rFonts w:eastAsiaTheme="majorEastAsia" w:cstheme="majorBidi"/>
          <w:b/>
          <w:bCs/>
          <w:sz w:val="32"/>
          <w:szCs w:val="32"/>
        </w:rPr>
        <w:t>DUSC consideration</w:t>
      </w:r>
      <w:r>
        <w:rPr>
          <w:rFonts w:eastAsiaTheme="majorEastAsia" w:cstheme="majorBidi"/>
          <w:bCs/>
        </w:rPr>
        <w:t xml:space="preserve"> </w:t>
      </w:r>
    </w:p>
    <w:p w:rsidR="00DB1221" w:rsidRPr="00A13F12" w:rsidRDefault="00DB1221" w:rsidP="00DB1221">
      <w:pPr>
        <w:autoSpaceDE w:val="0"/>
        <w:autoSpaceDN w:val="0"/>
        <w:adjustRightInd w:val="0"/>
        <w:rPr>
          <w:rFonts w:eastAsiaTheme="majorEastAsia" w:cstheme="majorBidi"/>
          <w:bCs/>
        </w:rPr>
      </w:pPr>
      <w:r w:rsidRPr="00A13F12">
        <w:rPr>
          <w:rFonts w:eastAsiaTheme="majorEastAsia" w:cstheme="majorBidi"/>
          <w:bCs/>
        </w:rPr>
        <w:t>Overall DUSC considered that the use of FCM has been higher than predicted due to a range of factors including:</w:t>
      </w:r>
    </w:p>
    <w:p w:rsidR="00DB1221" w:rsidRPr="00A13F12" w:rsidRDefault="00DB1221" w:rsidP="00DB1221">
      <w:pPr>
        <w:pStyle w:val="ListParagraph"/>
        <w:numPr>
          <w:ilvl w:val="0"/>
          <w:numId w:val="24"/>
        </w:numPr>
        <w:autoSpaceDE w:val="0"/>
        <w:autoSpaceDN w:val="0"/>
        <w:adjustRightInd w:val="0"/>
        <w:rPr>
          <w:rFonts w:eastAsiaTheme="majorEastAsia" w:cstheme="majorBidi"/>
          <w:bCs/>
        </w:rPr>
      </w:pPr>
      <w:r w:rsidRPr="00A13F12">
        <w:rPr>
          <w:rFonts w:eastAsiaTheme="majorEastAsia" w:cstheme="majorBidi"/>
          <w:bCs/>
        </w:rPr>
        <w:t>an underestimate of the size of the baseline treated and untreated IDA populations</w:t>
      </w:r>
      <w:r>
        <w:rPr>
          <w:rFonts w:eastAsiaTheme="majorEastAsia" w:cstheme="majorBidi"/>
          <w:bCs/>
        </w:rPr>
        <w:t>.</w:t>
      </w:r>
    </w:p>
    <w:p w:rsidR="00DB1221" w:rsidRPr="00A13F12" w:rsidRDefault="00DB1221" w:rsidP="00DB1221">
      <w:pPr>
        <w:pStyle w:val="ListParagraph"/>
        <w:numPr>
          <w:ilvl w:val="0"/>
          <w:numId w:val="24"/>
        </w:numPr>
        <w:autoSpaceDE w:val="0"/>
        <w:autoSpaceDN w:val="0"/>
        <w:adjustRightInd w:val="0"/>
        <w:rPr>
          <w:rFonts w:eastAsiaTheme="majorEastAsia" w:cstheme="majorBidi"/>
          <w:bCs/>
        </w:rPr>
      </w:pPr>
      <w:r w:rsidRPr="00A13F12">
        <w:rPr>
          <w:rFonts w:eastAsiaTheme="majorEastAsia" w:cstheme="majorBidi"/>
          <w:bCs/>
        </w:rPr>
        <w:lastRenderedPageBreak/>
        <w:t>a likely shift from the oral market for patients inadequately treated with oral iron due to dose-related gastrointestinal effects or for those people where FCM is preferred due to ease of administration or other factors</w:t>
      </w:r>
      <w:r>
        <w:rPr>
          <w:rFonts w:eastAsiaTheme="majorEastAsia" w:cstheme="majorBidi"/>
          <w:bCs/>
        </w:rPr>
        <w:t>.</w:t>
      </w:r>
    </w:p>
    <w:p w:rsidR="00DB1221" w:rsidRPr="00A13F12" w:rsidRDefault="00DB1221" w:rsidP="00DB1221">
      <w:pPr>
        <w:pStyle w:val="ListParagraph"/>
        <w:numPr>
          <w:ilvl w:val="0"/>
          <w:numId w:val="24"/>
        </w:numPr>
        <w:autoSpaceDE w:val="0"/>
        <w:autoSpaceDN w:val="0"/>
        <w:adjustRightInd w:val="0"/>
        <w:rPr>
          <w:rFonts w:eastAsiaTheme="majorEastAsia" w:cstheme="majorBidi"/>
          <w:bCs/>
        </w:rPr>
      </w:pPr>
      <w:r w:rsidRPr="00A13F12">
        <w:rPr>
          <w:rFonts w:eastAsiaTheme="majorEastAsia" w:cstheme="majorBidi"/>
          <w:bCs/>
        </w:rPr>
        <w:t>higher than expected uptake, which may be influenced a result of increased general awareness of IDA and education around the detection and management of IDA.</w:t>
      </w:r>
    </w:p>
    <w:p w:rsidR="00A13F12" w:rsidRDefault="00A13F12" w:rsidP="00A13F12">
      <w:pPr>
        <w:autoSpaceDE w:val="0"/>
        <w:autoSpaceDN w:val="0"/>
        <w:adjustRightInd w:val="0"/>
        <w:spacing w:after="0"/>
        <w:rPr>
          <w:b/>
          <w:i/>
        </w:rPr>
      </w:pPr>
      <w:r w:rsidRPr="0019691F">
        <w:rPr>
          <w:b/>
          <w:i/>
        </w:rPr>
        <w:t>Market growth</w:t>
      </w:r>
    </w:p>
    <w:p w:rsidR="00A13F12" w:rsidRPr="0019691F" w:rsidRDefault="00A13F12" w:rsidP="00A13F12">
      <w:pPr>
        <w:autoSpaceDE w:val="0"/>
        <w:autoSpaceDN w:val="0"/>
        <w:adjustRightInd w:val="0"/>
        <w:spacing w:after="0"/>
        <w:rPr>
          <w:b/>
          <w:i/>
        </w:rPr>
      </w:pPr>
    </w:p>
    <w:p w:rsidR="00A13F12" w:rsidRDefault="00A13F12" w:rsidP="00560FAC">
      <w:pPr>
        <w:autoSpaceDE w:val="0"/>
        <w:autoSpaceDN w:val="0"/>
        <w:adjustRightInd w:val="0"/>
        <w:rPr>
          <w:rFonts w:eastAsiaTheme="majorEastAsia" w:cstheme="majorBidi"/>
          <w:bCs/>
        </w:rPr>
      </w:pPr>
      <w:r w:rsidRPr="00A13F12">
        <w:rPr>
          <w:rFonts w:eastAsiaTheme="majorEastAsia" w:cstheme="majorBidi"/>
          <w:bCs/>
        </w:rPr>
        <w:t>DUSC discussed the potential reasons for the large growth in the market. A key driver is likely to be uptake in the untreated IDA population</w:t>
      </w:r>
      <w:r w:rsidR="00DB1221">
        <w:rPr>
          <w:rFonts w:eastAsiaTheme="majorEastAsia" w:cstheme="majorBidi"/>
          <w:bCs/>
        </w:rPr>
        <w:t>,</w:t>
      </w:r>
      <w:r w:rsidRPr="00A13F12">
        <w:rPr>
          <w:rFonts w:eastAsiaTheme="majorEastAsia" w:cstheme="majorBidi"/>
          <w:bCs/>
        </w:rPr>
        <w:t xml:space="preserve"> which was not quantified in the submission, but accounted for the market growth assumption to some extent. DUSC also considered that some of the growth may be due to a shift from the oral iron market. A wide range of oral iron formulations are available over the counter and are relatively inexpensive. This shift may be from patients inadequately treated with oral iron due to dose-related gastrointestinal effects, but also from people who prefer FCM due to ease of administration or other factors. DUSC noted that this latter group was not the population expected to use FCM and were not included in the economic model or financial estimates. DUSC also considered that, despite difficulty in determining the length of an episode of treatment, the report (Table 6) indicates that much of the market growth can be attributed to new parenteral iron patients. The sponsor (</w:t>
      </w:r>
      <w:r w:rsidR="00DB1221">
        <w:rPr>
          <w:rFonts w:eastAsiaTheme="majorEastAsia" w:cstheme="majorBidi"/>
          <w:bCs/>
        </w:rPr>
        <w:t>in</w:t>
      </w:r>
      <w:r w:rsidRPr="00A13F12">
        <w:rPr>
          <w:rFonts w:eastAsiaTheme="majorEastAsia" w:cstheme="majorBidi"/>
          <w:bCs/>
        </w:rPr>
        <w:t xml:space="preserve"> the pre-DUSC response) provided an analysis of IMS data demonstrating that the Australian oral iron market was relatively flat through 2008-10, but began to increase following the release of new local guidelines in 2010-11; and both the overall market and rate of growth have continued to increase since the PBS listing of FCM in June 2014. DUSC noted that the use of oral iron prior to FCM cannot be ascertained from available data.</w:t>
      </w:r>
    </w:p>
    <w:p w:rsidR="00A13F12" w:rsidRDefault="00A13F12" w:rsidP="00560FAC">
      <w:pPr>
        <w:autoSpaceDE w:val="0"/>
        <w:autoSpaceDN w:val="0"/>
        <w:adjustRightInd w:val="0"/>
        <w:rPr>
          <w:rFonts w:eastAsiaTheme="majorEastAsia" w:cstheme="majorBidi"/>
          <w:bCs/>
        </w:rPr>
      </w:pPr>
      <w:r w:rsidRPr="00A13F12">
        <w:rPr>
          <w:rFonts w:eastAsiaTheme="majorEastAsia" w:cstheme="majorBidi"/>
          <w:bCs/>
        </w:rPr>
        <w:t>DUSC noted increased education for health professionals and awareness of appropriate use of blood products and management of IDA may also influence rates of prescribing of iron.</w:t>
      </w:r>
      <w:r w:rsidR="00DB1221">
        <w:rPr>
          <w:rFonts w:eastAsiaTheme="majorEastAsia" w:cstheme="majorBidi"/>
          <w:bCs/>
        </w:rPr>
        <w:t xml:space="preserve"> </w:t>
      </w:r>
      <w:r w:rsidR="00DB1221">
        <w:t xml:space="preserve">In the pre-DUSC response, the sponsor noted that NPS MedicineWise and </w:t>
      </w:r>
      <w:r w:rsidR="00DB1221" w:rsidRPr="008F51F9">
        <w:t xml:space="preserve">the National Blood Authority of Australia updated their </w:t>
      </w:r>
      <w:r w:rsidR="00DB1221">
        <w:t>guidelines for the management of IDA and the use of iron products</w:t>
      </w:r>
      <w:r w:rsidR="00DB1221" w:rsidRPr="008F51F9">
        <w:t xml:space="preserve">. </w:t>
      </w:r>
      <w:r w:rsidR="00DB1221">
        <w:t>V</w:t>
      </w:r>
      <w:r w:rsidR="00DB1221" w:rsidRPr="008F51F9">
        <w:t>arious Commonwealth and State/Territory</w:t>
      </w:r>
      <w:r w:rsidR="00DB1221">
        <w:t xml:space="preserve"> g</w:t>
      </w:r>
      <w:r w:rsidR="00DB1221" w:rsidRPr="008F51F9">
        <w:t xml:space="preserve">overnment initiatives </w:t>
      </w:r>
      <w:r w:rsidR="00DB1221">
        <w:t>also</w:t>
      </w:r>
      <w:r w:rsidR="00DB1221" w:rsidRPr="008F51F9">
        <w:t xml:space="preserve"> dr</w:t>
      </w:r>
      <w:r w:rsidR="00DB1221">
        <w:t>o</w:t>
      </w:r>
      <w:r w:rsidR="00DB1221" w:rsidRPr="008F51F9">
        <w:t xml:space="preserve">ve uptake of these </w:t>
      </w:r>
      <w:r w:rsidR="00DB1221">
        <w:t>guidelines. In addition, t</w:t>
      </w:r>
      <w:r w:rsidR="00DB1221" w:rsidRPr="00BE069C">
        <w:t>he National Heart Foundation’s guidelines on heart failure management were updated in 2011 and incorporated the need to identify and treat iron deficiency.</w:t>
      </w:r>
    </w:p>
    <w:p w:rsidR="00A13F12" w:rsidRDefault="00A13F12" w:rsidP="00A13F12">
      <w:pPr>
        <w:autoSpaceDE w:val="0"/>
        <w:autoSpaceDN w:val="0"/>
        <w:adjustRightInd w:val="0"/>
        <w:spacing w:after="0"/>
        <w:rPr>
          <w:b/>
          <w:i/>
        </w:rPr>
      </w:pPr>
      <w:r>
        <w:rPr>
          <w:b/>
          <w:i/>
        </w:rPr>
        <w:t>Parenteral iron m</w:t>
      </w:r>
      <w:r w:rsidRPr="0019691F">
        <w:rPr>
          <w:b/>
          <w:i/>
        </w:rPr>
        <w:t>arket share</w:t>
      </w:r>
    </w:p>
    <w:p w:rsidR="00A13F12" w:rsidRPr="0019691F" w:rsidRDefault="00A13F12" w:rsidP="00A13F12">
      <w:pPr>
        <w:autoSpaceDE w:val="0"/>
        <w:autoSpaceDN w:val="0"/>
        <w:adjustRightInd w:val="0"/>
        <w:spacing w:after="0"/>
        <w:rPr>
          <w:b/>
          <w:i/>
        </w:rPr>
      </w:pPr>
    </w:p>
    <w:p w:rsidR="00A13F12" w:rsidRDefault="00A13F12" w:rsidP="00560FAC">
      <w:pPr>
        <w:autoSpaceDE w:val="0"/>
        <w:autoSpaceDN w:val="0"/>
        <w:adjustRightInd w:val="0"/>
        <w:rPr>
          <w:rFonts w:eastAsiaTheme="majorEastAsia" w:cstheme="majorBidi"/>
          <w:bCs/>
        </w:rPr>
      </w:pPr>
      <w:r w:rsidRPr="00A13F12">
        <w:rPr>
          <w:rFonts w:eastAsiaTheme="majorEastAsia" w:cstheme="majorBidi"/>
          <w:bCs/>
        </w:rPr>
        <w:t xml:space="preserve">DUSC noted there has been no substantial shift </w:t>
      </w:r>
      <w:r w:rsidR="00DB1221">
        <w:rPr>
          <w:rFonts w:eastAsiaTheme="majorEastAsia" w:cstheme="majorBidi"/>
          <w:bCs/>
        </w:rPr>
        <w:t xml:space="preserve">to FCM </w:t>
      </w:r>
      <w:r w:rsidRPr="00A13F12">
        <w:rPr>
          <w:rFonts w:eastAsiaTheme="majorEastAsia" w:cstheme="majorBidi"/>
          <w:bCs/>
        </w:rPr>
        <w:t>from the IP market</w:t>
      </w:r>
      <w:r w:rsidR="00DB1221">
        <w:rPr>
          <w:rFonts w:eastAsiaTheme="majorEastAsia" w:cstheme="majorBidi"/>
          <w:bCs/>
        </w:rPr>
        <w:t>, as FCM has added to the market rather than substituting IP to any great extent</w:t>
      </w:r>
      <w:r w:rsidRPr="00A13F12">
        <w:rPr>
          <w:rFonts w:eastAsiaTheme="majorEastAsia" w:cstheme="majorBidi"/>
          <w:bCs/>
        </w:rPr>
        <w:t>.</w:t>
      </w:r>
      <w:r w:rsidR="00DB1221">
        <w:rPr>
          <w:rFonts w:eastAsiaTheme="majorEastAsia" w:cstheme="majorBidi"/>
          <w:bCs/>
        </w:rPr>
        <w:t xml:space="preserve"> </w:t>
      </w:r>
      <w:r w:rsidR="00DB1221" w:rsidRPr="006C181B">
        <w:t>In the pre-DUSC response, the sponsor</w:t>
      </w:r>
      <w:r w:rsidR="00DB1221">
        <w:t xml:space="preserve"> considered that PBS use of IP stabilising at a lower level likely represents the prevalent haemodialysis population.  </w:t>
      </w:r>
      <w:r w:rsidR="00DB1221">
        <w:rPr>
          <w:i/>
        </w:rPr>
        <w:t xml:space="preserve"> </w:t>
      </w:r>
    </w:p>
    <w:p w:rsidR="00A13F12" w:rsidRDefault="00A13F12" w:rsidP="00A13F12">
      <w:pPr>
        <w:autoSpaceDE w:val="0"/>
        <w:autoSpaceDN w:val="0"/>
        <w:adjustRightInd w:val="0"/>
        <w:spacing w:after="0"/>
        <w:rPr>
          <w:b/>
          <w:i/>
        </w:rPr>
      </w:pPr>
      <w:r w:rsidRPr="0019691F">
        <w:rPr>
          <w:b/>
          <w:i/>
        </w:rPr>
        <w:t>Dose</w:t>
      </w:r>
    </w:p>
    <w:p w:rsidR="00A13F12" w:rsidRDefault="00A13F12" w:rsidP="00A13F12">
      <w:pPr>
        <w:autoSpaceDE w:val="0"/>
        <w:autoSpaceDN w:val="0"/>
        <w:adjustRightInd w:val="0"/>
        <w:spacing w:after="0"/>
        <w:rPr>
          <w:b/>
          <w:i/>
        </w:rPr>
      </w:pPr>
    </w:p>
    <w:p w:rsidR="00A13F12" w:rsidRDefault="00A13F12" w:rsidP="00560FAC">
      <w:pPr>
        <w:autoSpaceDE w:val="0"/>
        <w:autoSpaceDN w:val="0"/>
        <w:adjustRightInd w:val="0"/>
        <w:rPr>
          <w:rFonts w:eastAsiaTheme="majorEastAsia" w:cstheme="majorBidi"/>
          <w:bCs/>
        </w:rPr>
      </w:pPr>
      <w:r w:rsidRPr="00A13F12">
        <w:rPr>
          <w:rFonts w:eastAsiaTheme="majorEastAsia" w:cstheme="majorBidi"/>
          <w:bCs/>
        </w:rPr>
        <w:t>A small number of patients receive</w:t>
      </w:r>
      <w:r w:rsidR="00DB1221">
        <w:rPr>
          <w:rFonts w:eastAsiaTheme="majorEastAsia" w:cstheme="majorBidi"/>
          <w:bCs/>
        </w:rPr>
        <w:t>d</w:t>
      </w:r>
      <w:r w:rsidRPr="00A13F12">
        <w:rPr>
          <w:rFonts w:eastAsiaTheme="majorEastAsia" w:cstheme="majorBidi"/>
          <w:bCs/>
        </w:rPr>
        <w:t xml:space="preserve"> large quantities of iron. There are circumstances where regular doses of iron are required for IDA. DUSC noted that the majority of people </w:t>
      </w:r>
      <w:r w:rsidR="00DB1221">
        <w:rPr>
          <w:rFonts w:eastAsiaTheme="majorEastAsia" w:cstheme="majorBidi"/>
          <w:bCs/>
        </w:rPr>
        <w:t>received</w:t>
      </w:r>
      <w:r w:rsidR="00DB1221" w:rsidRPr="00A13F12">
        <w:rPr>
          <w:rFonts w:eastAsiaTheme="majorEastAsia" w:cstheme="majorBidi"/>
          <w:bCs/>
        </w:rPr>
        <w:t xml:space="preserve"> </w:t>
      </w:r>
      <w:r w:rsidRPr="00A13F12">
        <w:rPr>
          <w:rFonts w:eastAsiaTheme="majorEastAsia" w:cstheme="majorBidi"/>
          <w:bCs/>
        </w:rPr>
        <w:t>one prescription of two vials (1,000 mg).</w:t>
      </w:r>
    </w:p>
    <w:p w:rsidR="00A13F12" w:rsidRDefault="00A13F12" w:rsidP="00560FAC">
      <w:pPr>
        <w:autoSpaceDE w:val="0"/>
        <w:autoSpaceDN w:val="0"/>
        <w:adjustRightInd w:val="0"/>
        <w:rPr>
          <w:rFonts w:eastAsiaTheme="majorEastAsia" w:cstheme="majorBidi"/>
          <w:bCs/>
        </w:rPr>
      </w:pPr>
      <w:r w:rsidRPr="00A13F12">
        <w:rPr>
          <w:rFonts w:eastAsiaTheme="majorEastAsia" w:cstheme="majorBidi"/>
          <w:bCs/>
        </w:rPr>
        <w:lastRenderedPageBreak/>
        <w:t>Figure 2 shows that there are a wide range of practitioners who prescribe IV iron, indicating its use across a number of specialities. DUSC noted the large array of prescribers who are supplying FCM to patients.</w:t>
      </w:r>
    </w:p>
    <w:p w:rsidR="00A13F12" w:rsidRDefault="00A13F12" w:rsidP="00A13F12">
      <w:pPr>
        <w:autoSpaceDE w:val="0"/>
        <w:autoSpaceDN w:val="0"/>
        <w:adjustRightInd w:val="0"/>
        <w:spacing w:after="0"/>
        <w:rPr>
          <w:b/>
          <w:i/>
        </w:rPr>
      </w:pPr>
      <w:r w:rsidRPr="0019691F">
        <w:rPr>
          <w:b/>
          <w:i/>
        </w:rPr>
        <w:t>Distribution across treatment settings</w:t>
      </w:r>
    </w:p>
    <w:p w:rsidR="00A13F12" w:rsidRDefault="00A13F12" w:rsidP="00A13F12">
      <w:pPr>
        <w:autoSpaceDE w:val="0"/>
        <w:autoSpaceDN w:val="0"/>
        <w:adjustRightInd w:val="0"/>
        <w:spacing w:after="0"/>
        <w:rPr>
          <w:b/>
          <w:i/>
        </w:rPr>
      </w:pPr>
    </w:p>
    <w:p w:rsidR="00A13F12" w:rsidRDefault="00A13F12" w:rsidP="00A13F12">
      <w:pPr>
        <w:autoSpaceDE w:val="0"/>
        <w:autoSpaceDN w:val="0"/>
        <w:adjustRightInd w:val="0"/>
        <w:spacing w:after="0"/>
        <w:rPr>
          <w:rFonts w:eastAsiaTheme="majorEastAsia" w:cstheme="majorBidi"/>
          <w:bCs/>
        </w:rPr>
      </w:pPr>
      <w:r w:rsidRPr="00A13F12">
        <w:rPr>
          <w:rFonts w:eastAsiaTheme="majorEastAsia" w:cstheme="majorBidi"/>
          <w:bCs/>
        </w:rPr>
        <w:t xml:space="preserve">DUSC noted that the proportion of parenteral iron prescribing by GPs has not changed greatly (62% in year before FCM was listed increasing to 66% in second year of listing). </w:t>
      </w:r>
    </w:p>
    <w:p w:rsidR="00A13F12" w:rsidRPr="00A13F12" w:rsidRDefault="00A13F12" w:rsidP="00A13F12">
      <w:pPr>
        <w:autoSpaceDE w:val="0"/>
        <w:autoSpaceDN w:val="0"/>
        <w:adjustRightInd w:val="0"/>
        <w:spacing w:after="0"/>
        <w:rPr>
          <w:b/>
          <w:i/>
        </w:rPr>
      </w:pPr>
    </w:p>
    <w:p w:rsidR="00A13F12" w:rsidRDefault="00A13F12" w:rsidP="00A13F12">
      <w:pPr>
        <w:autoSpaceDE w:val="0"/>
        <w:autoSpaceDN w:val="0"/>
        <w:adjustRightInd w:val="0"/>
        <w:rPr>
          <w:rFonts w:eastAsiaTheme="majorEastAsia" w:cstheme="majorBidi"/>
          <w:bCs/>
        </w:rPr>
      </w:pPr>
      <w:r w:rsidRPr="00A13F12">
        <w:rPr>
          <w:rFonts w:eastAsiaTheme="majorEastAsia" w:cstheme="majorBidi"/>
          <w:bCs/>
        </w:rPr>
        <w:t>DUSC noted that savings across the overall healthcare setting cannot be determined due to data limitations. Since FCM has been available on the PBS for 24 months, prescribers and nurses are now more familiar with FCM and its administration, which may further increase its use in community settings.</w:t>
      </w:r>
    </w:p>
    <w:p w:rsidR="00A13F12" w:rsidRPr="00A13F12" w:rsidRDefault="00A13F12" w:rsidP="00A13F12">
      <w:pPr>
        <w:autoSpaceDE w:val="0"/>
        <w:autoSpaceDN w:val="0"/>
        <w:adjustRightInd w:val="0"/>
        <w:rPr>
          <w:rFonts w:eastAsiaTheme="majorEastAsia" w:cstheme="majorBidi"/>
          <w:bCs/>
        </w:rPr>
      </w:pPr>
      <w:r w:rsidRPr="00A13F12">
        <w:rPr>
          <w:rFonts w:eastAsiaTheme="majorEastAsia" w:cstheme="majorBidi"/>
          <w:bCs/>
        </w:rPr>
        <w:t>DUSC noted that uptake of FCM has been variable across Australia (Figure 4).</w:t>
      </w:r>
      <w:r>
        <w:rPr>
          <w:rFonts w:eastAsiaTheme="majorEastAsia" w:cstheme="majorBidi"/>
          <w:bCs/>
        </w:rPr>
        <w:t xml:space="preserve"> </w:t>
      </w:r>
      <w:r w:rsidRPr="00A13F12">
        <w:rPr>
          <w:rFonts w:eastAsiaTheme="majorEastAsia" w:cstheme="majorBidi"/>
          <w:bCs/>
        </w:rPr>
        <w:t>DUSC noted that the increased use in various regions of Australia may reflect educational activities undertaken in those areas and infusion programs/clinics that are underway. It was also promising to see increased use by the Aboriginal Health Services and in areas they are located in.</w:t>
      </w:r>
    </w:p>
    <w:p w:rsidR="00712F2B" w:rsidRDefault="005E466C" w:rsidP="00712F2B">
      <w:pPr>
        <w:pStyle w:val="Heading1"/>
      </w:pPr>
      <w:r>
        <w:t>DUSC actions</w:t>
      </w:r>
    </w:p>
    <w:p w:rsidR="005E466C" w:rsidRDefault="005E466C" w:rsidP="00F722A9">
      <w:r>
        <w:t>DUSC requested that the report</w:t>
      </w:r>
      <w:r w:rsidR="00494F8C">
        <w:t>, stakeholder response and DUSC minutes</w:t>
      </w:r>
      <w:r>
        <w:t xml:space="preserve"> be</w:t>
      </w:r>
      <w:r w:rsidR="00F722A9">
        <w:t xml:space="preserve"> provided to the </w:t>
      </w:r>
      <w:r>
        <w:t>PBAC</w:t>
      </w:r>
      <w:r w:rsidR="00F722A9">
        <w:t>.</w:t>
      </w:r>
    </w:p>
    <w:p w:rsidR="005E466C" w:rsidRDefault="005E466C" w:rsidP="005E466C">
      <w:pPr>
        <w:pStyle w:val="Heading1"/>
      </w:pPr>
      <w:r w:rsidRPr="005E466C">
        <w:t xml:space="preserve">Context for analysis </w:t>
      </w:r>
    </w:p>
    <w:p w:rsidR="00E81AB2" w:rsidRDefault="00E81AB2" w:rsidP="00E81AB2">
      <w:r>
        <w:t>The DUSC is a Sub Committee of the Pharmaceutical Benefits Advisory Committee (PBAC). The DUSC assesses estimates on projected usage and financial cost of medicines.</w:t>
      </w:r>
    </w:p>
    <w:p w:rsidR="00E81AB2" w:rsidRDefault="00E81AB2" w:rsidP="00E81AB2">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E81AB2" w:rsidRDefault="00E81AB2" w:rsidP="00E81AB2">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E81AB2" w:rsidRDefault="00E81AB2" w:rsidP="00E81AB2">
      <w:r>
        <w:t>The utilisation analysis report was provided to the pharmaceutical sponsors of each drug and comments on the report were provided to DUSC prior to its consideration of the analysis.</w:t>
      </w:r>
    </w:p>
    <w:p w:rsidR="005E466C" w:rsidRDefault="005E466C" w:rsidP="005E466C">
      <w:pPr>
        <w:pStyle w:val="Heading1"/>
      </w:pPr>
      <w:r w:rsidRPr="00BA0962">
        <w:lastRenderedPageBreak/>
        <w:t>Sponsor comments</w:t>
      </w:r>
    </w:p>
    <w:p w:rsidR="00BA0962" w:rsidRDefault="00BA0962" w:rsidP="00BA0962">
      <w:r>
        <w:t xml:space="preserve">Vifor strongly believes that the majority of use of FCM in the PBS setting has been clinically appropriate and cost effective and that the major reasons for any observed differences between estimated and actual real world use are related to naïve underestimation of the baseline patient population and the extent of true clinical need, rather than use beyond the intended treatment setting.  </w:t>
      </w:r>
    </w:p>
    <w:p w:rsidR="00BA0962" w:rsidRDefault="00BA0962" w:rsidP="005125D0">
      <w:pPr>
        <w:spacing w:after="0"/>
      </w:pPr>
      <w:r>
        <w:t xml:space="preserve">There is no evidence currently available indicating that FCM is being used to any significant extent within inappropriate patient populations (haemodialysis or mild to moderate iron deficiency) or at inefficient dose levels (&lt;500 mg or &gt; 1,000 mg).  Moreover, while evidence regarding an anticipated shift in patients away from hospital inpatient settings is pending, prescribing patterns for FCM certainly indicate that it is being used primarily in a GP &amp; community setting, as predicted and intended.   </w:t>
      </w:r>
    </w:p>
    <w:p w:rsidR="0023145D" w:rsidRDefault="0023145D" w:rsidP="005125D0">
      <w:pPr>
        <w:spacing w:after="0"/>
        <w:rPr>
          <w:rFonts w:eastAsiaTheme="majorEastAsia" w:cstheme="majorBidi"/>
          <w:b/>
          <w:bCs/>
          <w:sz w:val="32"/>
          <w:szCs w:val="32"/>
        </w:rPr>
      </w:pPr>
    </w:p>
    <w:p w:rsidR="005E466C" w:rsidRPr="005E466C" w:rsidRDefault="005E466C" w:rsidP="005E466C">
      <w:pPr>
        <w:rPr>
          <w:rFonts w:eastAsiaTheme="majorEastAsia" w:cstheme="majorBidi"/>
          <w:b/>
          <w:bCs/>
          <w:sz w:val="32"/>
          <w:szCs w:val="32"/>
        </w:rPr>
      </w:pPr>
      <w:r w:rsidRPr="005E466C">
        <w:rPr>
          <w:rFonts w:eastAsiaTheme="majorEastAsia" w:cstheme="majorBidi"/>
          <w:b/>
          <w:bCs/>
          <w:sz w:val="32"/>
          <w:szCs w:val="32"/>
        </w:rPr>
        <w:t xml:space="preserve">Disclaimer </w:t>
      </w:r>
    </w:p>
    <w:p w:rsidR="00E81AB2" w:rsidRDefault="00E81AB2" w:rsidP="00E81AB2">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E81AB2" w:rsidRDefault="00E81AB2" w:rsidP="00E81AB2">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E81AB2" w:rsidRDefault="00E81AB2" w:rsidP="00E81AB2">
      <w:r>
        <w:t xml:space="preserve">To the extent provided by law, DoH makes no warranties or representations as to accuracy or completeness of information contained in this report. </w:t>
      </w:r>
    </w:p>
    <w:p w:rsidR="00E81AB2" w:rsidRDefault="00E81AB2" w:rsidP="00E81AB2">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FE645A" w:rsidRDefault="00FE645A">
      <w:pPr>
        <w:spacing w:line="276" w:lineRule="auto"/>
      </w:pPr>
      <w:r>
        <w:br w:type="page"/>
      </w:r>
    </w:p>
    <w:p w:rsidR="009A537C" w:rsidRPr="009A537C" w:rsidRDefault="0000615C" w:rsidP="009A537C">
      <w:pPr>
        <w:rPr>
          <w:b/>
          <w:sz w:val="28"/>
        </w:rPr>
      </w:pPr>
      <w:r>
        <w:rPr>
          <w:b/>
          <w:sz w:val="28"/>
        </w:rPr>
        <w:lastRenderedPageBreak/>
        <w:t xml:space="preserve">Appendix A: </w:t>
      </w:r>
      <w:r w:rsidR="004C0D04">
        <w:rPr>
          <w:b/>
          <w:sz w:val="28"/>
        </w:rPr>
        <w:t>Dosage of FCM</w:t>
      </w:r>
    </w:p>
    <w:p w:rsidR="004C0D04" w:rsidRDefault="004C0D04" w:rsidP="004C0D04">
      <w:pPr>
        <w:pStyle w:val="Tabletitle"/>
        <w:rPr>
          <w:b w:val="0"/>
        </w:rPr>
      </w:pPr>
      <w:r w:rsidRPr="003260A6">
        <w:rPr>
          <w:b w:val="0"/>
        </w:rPr>
        <w:t xml:space="preserve">There are two methods for determining the cumulative dose, the Ganzoni Method and the Simplified Method. Caution is recommended with the Simplified Method since it is based on experience in a single trial in adults with median </w:t>
      </w:r>
      <w:r w:rsidR="002C4BC6">
        <w:rPr>
          <w:b w:val="0"/>
        </w:rPr>
        <w:t>haemoglobin (</w:t>
      </w:r>
      <w:r w:rsidRPr="003260A6">
        <w:rPr>
          <w:b w:val="0"/>
        </w:rPr>
        <w:t>Hb</w:t>
      </w:r>
      <w:r w:rsidR="002C4BC6">
        <w:rPr>
          <w:b w:val="0"/>
        </w:rPr>
        <w:t>)</w:t>
      </w:r>
      <w:r w:rsidR="000034F0">
        <w:rPr>
          <w:b w:val="0"/>
        </w:rPr>
        <w:t xml:space="preserve"> 104 g/L (range 61</w:t>
      </w:r>
      <w:r w:rsidR="000034F0">
        <w:rPr>
          <w:b w:val="0"/>
        </w:rPr>
        <w:noBreakHyphen/>
      </w:r>
      <w:r w:rsidRPr="003260A6">
        <w:rPr>
          <w:b w:val="0"/>
        </w:rPr>
        <w:t>146 g/L) and body wei</w:t>
      </w:r>
      <w:r>
        <w:rPr>
          <w:b w:val="0"/>
        </w:rPr>
        <w:t>ght ≥35 kg</w:t>
      </w:r>
      <w:r w:rsidRPr="003260A6">
        <w:rPr>
          <w:b w:val="0"/>
        </w:rPr>
        <w:t>. Patients should be closely monitored when large single doses of F</w:t>
      </w:r>
      <w:r>
        <w:rPr>
          <w:b w:val="0"/>
        </w:rPr>
        <w:t xml:space="preserve">CM </w:t>
      </w:r>
      <w:r w:rsidR="002C4BC6">
        <w:rPr>
          <w:b w:val="0"/>
        </w:rPr>
        <w:t>(&gt;</w:t>
      </w:r>
      <w:r w:rsidRPr="003260A6">
        <w:rPr>
          <w:b w:val="0"/>
        </w:rPr>
        <w:t>200</w:t>
      </w:r>
      <w:r w:rsidR="002C4BC6">
        <w:rPr>
          <w:b w:val="0"/>
        </w:rPr>
        <w:t> </w:t>
      </w:r>
      <w:r w:rsidRPr="003260A6">
        <w:rPr>
          <w:b w:val="0"/>
        </w:rPr>
        <w:t>mg iron) are administered since the safety data are limited.</w:t>
      </w:r>
    </w:p>
    <w:p w:rsidR="004C0D04" w:rsidRPr="003260A6" w:rsidRDefault="004C0D04" w:rsidP="004C0D04">
      <w:pPr>
        <w:pStyle w:val="Tabletitle"/>
        <w:rPr>
          <w:b w:val="0"/>
        </w:rPr>
      </w:pPr>
      <w:r w:rsidRPr="003260A6">
        <w:rPr>
          <w:b w:val="0"/>
        </w:rPr>
        <w:t xml:space="preserve">Post repletion, regular assessments should be done to ensure that iron levels are corrected and maintained. </w:t>
      </w:r>
    </w:p>
    <w:p w:rsidR="004C0D04" w:rsidRPr="003260A6" w:rsidRDefault="004C0D04" w:rsidP="004C0D04">
      <w:pPr>
        <w:pStyle w:val="Tabletitle"/>
        <w:rPr>
          <w:b w:val="0"/>
          <w:u w:val="single"/>
        </w:rPr>
      </w:pPr>
      <w:r w:rsidRPr="003260A6">
        <w:rPr>
          <w:b w:val="0"/>
          <w:u w:val="single"/>
        </w:rPr>
        <w:t xml:space="preserve">Ganzoni Method </w:t>
      </w:r>
    </w:p>
    <w:p w:rsidR="004C0D04" w:rsidRDefault="004C0D04" w:rsidP="004C0D04">
      <w:pPr>
        <w:pStyle w:val="Tabletitle"/>
        <w:rPr>
          <w:b w:val="0"/>
        </w:rPr>
      </w:pPr>
      <w:r>
        <w:rPr>
          <w:b w:val="0"/>
        </w:rPr>
        <w:t>Cumulative iron dose = body w</w:t>
      </w:r>
      <w:r w:rsidRPr="003260A6">
        <w:rPr>
          <w:b w:val="0"/>
        </w:rPr>
        <w:t xml:space="preserve">eight </w:t>
      </w:r>
      <w:r>
        <w:rPr>
          <w:b w:val="0"/>
        </w:rPr>
        <w:t xml:space="preserve">in </w:t>
      </w:r>
      <w:r w:rsidRPr="003260A6">
        <w:rPr>
          <w:b w:val="0"/>
        </w:rPr>
        <w:t>k</w:t>
      </w:r>
      <w:r>
        <w:rPr>
          <w:b w:val="0"/>
        </w:rPr>
        <w:t>g x (t</w:t>
      </w:r>
      <w:r w:rsidRPr="003260A6">
        <w:rPr>
          <w:b w:val="0"/>
        </w:rPr>
        <w:t>arget Hb –</w:t>
      </w:r>
      <w:r>
        <w:rPr>
          <w:b w:val="0"/>
        </w:rPr>
        <w:t xml:space="preserve"> actual Hb g/L) x 0.24 + i</w:t>
      </w:r>
      <w:r w:rsidRPr="003260A6">
        <w:rPr>
          <w:b w:val="0"/>
        </w:rPr>
        <w:t xml:space="preserve">ron </w:t>
      </w:r>
      <w:r>
        <w:rPr>
          <w:b w:val="0"/>
        </w:rPr>
        <w:t>s</w:t>
      </w:r>
      <w:r w:rsidRPr="003260A6">
        <w:rPr>
          <w:b w:val="0"/>
        </w:rPr>
        <w:t xml:space="preserve">tores </w:t>
      </w:r>
      <w:r>
        <w:rPr>
          <w:b w:val="0"/>
        </w:rPr>
        <w:t xml:space="preserve">in </w:t>
      </w:r>
      <w:r w:rsidRPr="003260A6">
        <w:rPr>
          <w:b w:val="0"/>
        </w:rPr>
        <w:t>mg</w:t>
      </w:r>
      <w:r>
        <w:rPr>
          <w:b w:val="0"/>
        </w:rPr>
        <w:t>. W</w:t>
      </w:r>
      <w:r w:rsidRPr="003260A6">
        <w:rPr>
          <w:b w:val="0"/>
        </w:rPr>
        <w:t>here</w:t>
      </w:r>
      <w:r>
        <w:rPr>
          <w:b w:val="0"/>
        </w:rPr>
        <w:t>:</w:t>
      </w:r>
      <w:r w:rsidRPr="003260A6">
        <w:rPr>
          <w:b w:val="0"/>
        </w:rPr>
        <w:t xml:space="preserve"> </w:t>
      </w:r>
    </w:p>
    <w:p w:rsidR="004C0D04" w:rsidRDefault="004C0D04" w:rsidP="004C0D04">
      <w:pPr>
        <w:pStyle w:val="Tabletitle"/>
        <w:numPr>
          <w:ilvl w:val="0"/>
          <w:numId w:val="4"/>
        </w:numPr>
        <w:spacing w:before="0"/>
        <w:rPr>
          <w:b w:val="0"/>
        </w:rPr>
      </w:pPr>
      <w:r>
        <w:rPr>
          <w:b w:val="0"/>
        </w:rPr>
        <w:t>t</w:t>
      </w:r>
      <w:r w:rsidRPr="003260A6">
        <w:rPr>
          <w:b w:val="0"/>
        </w:rPr>
        <w:t xml:space="preserve">arget Hb = 130 g/L for body weight and </w:t>
      </w:r>
    </w:p>
    <w:p w:rsidR="004C0D04" w:rsidRDefault="004C0D04" w:rsidP="004C0D04">
      <w:pPr>
        <w:pStyle w:val="Tabletitle"/>
        <w:numPr>
          <w:ilvl w:val="0"/>
          <w:numId w:val="4"/>
        </w:numPr>
        <w:spacing w:before="0"/>
        <w:rPr>
          <w:b w:val="0"/>
        </w:rPr>
      </w:pPr>
      <w:r>
        <w:rPr>
          <w:b w:val="0"/>
        </w:rPr>
        <w:t>i</w:t>
      </w:r>
      <w:r w:rsidRPr="003260A6">
        <w:rPr>
          <w:b w:val="0"/>
        </w:rPr>
        <w:t xml:space="preserve">ron </w:t>
      </w:r>
      <w:r>
        <w:rPr>
          <w:b w:val="0"/>
        </w:rPr>
        <w:t>s</w:t>
      </w:r>
      <w:r w:rsidRPr="003260A6">
        <w:rPr>
          <w:b w:val="0"/>
        </w:rPr>
        <w:t xml:space="preserve">tores = 15 mg/kg body weight for body weight. Round down to nearest 100 mg if body weight ≤66 kg and round up to </w:t>
      </w:r>
      <w:r>
        <w:rPr>
          <w:b w:val="0"/>
        </w:rPr>
        <w:t>nearest 100 mg if body weight &gt;</w:t>
      </w:r>
      <w:r w:rsidRPr="003260A6">
        <w:rPr>
          <w:b w:val="0"/>
        </w:rPr>
        <w:t>66 kg.</w:t>
      </w:r>
    </w:p>
    <w:p w:rsidR="004C0D04" w:rsidRDefault="004C0D04" w:rsidP="004C0D04">
      <w:pPr>
        <w:pStyle w:val="Tabletitle"/>
        <w:spacing w:before="0"/>
        <w:rPr>
          <w:b w:val="0"/>
        </w:rPr>
      </w:pPr>
    </w:p>
    <w:p w:rsidR="004C0D04" w:rsidRDefault="004C0D04" w:rsidP="004C0D04">
      <w:pPr>
        <w:pStyle w:val="Tabletitle"/>
        <w:spacing w:before="0"/>
        <w:rPr>
          <w:b w:val="0"/>
        </w:rPr>
      </w:pPr>
      <w:r w:rsidRPr="001152CB">
        <w:rPr>
          <w:b w:val="0"/>
          <w:u w:val="single"/>
        </w:rPr>
        <w:t>Simplified Method</w:t>
      </w:r>
      <w:r>
        <w:t xml:space="preserve"> </w:t>
      </w:r>
      <w:r w:rsidRPr="001152CB">
        <w:rPr>
          <w:b w:val="0"/>
        </w:rPr>
        <w:t>(for patients of body weight ≥ 35 kg)</w:t>
      </w:r>
    </w:p>
    <w:p w:rsidR="004C0D04" w:rsidRDefault="004C0D04" w:rsidP="004C0D04">
      <w:pPr>
        <w:pStyle w:val="Tabletitle"/>
        <w:spacing w:before="0"/>
        <w:rPr>
          <w:b w:val="0"/>
        </w:rPr>
      </w:pPr>
    </w:p>
    <w:p w:rsidR="004C0D04" w:rsidRDefault="004C0D04" w:rsidP="004C0D04">
      <w:pPr>
        <w:pStyle w:val="Tabletitle"/>
        <w:spacing w:before="0"/>
        <w:rPr>
          <w:b w:val="0"/>
        </w:rPr>
      </w:pPr>
      <w:r w:rsidRPr="00860D17">
        <w:t xml:space="preserve">Table </w:t>
      </w:r>
      <w:r w:rsidR="003F7BA7">
        <w:t>9</w:t>
      </w:r>
      <w:r w:rsidRPr="00860D17">
        <w:t>:</w:t>
      </w:r>
      <w:r>
        <w:t xml:space="preserve"> </w:t>
      </w:r>
      <w:r w:rsidRPr="001152CB">
        <w:t>The cumulative iron dose using the Simplified Method</w:t>
      </w:r>
    </w:p>
    <w:tbl>
      <w:tblPr>
        <w:tblStyle w:val="TableGrid"/>
        <w:tblW w:w="0" w:type="auto"/>
        <w:tblLook w:val="04A0" w:firstRow="1" w:lastRow="0" w:firstColumn="1" w:lastColumn="0" w:noHBand="0" w:noVBand="1"/>
        <w:tblCaption w:val="The cumulative iron dose using the simplified method"/>
        <w:tblDescription w:val="A brief table showing the target haemoglobin levels depending on body weight"/>
      </w:tblPr>
      <w:tblGrid>
        <w:gridCol w:w="3057"/>
        <w:gridCol w:w="3058"/>
        <w:gridCol w:w="3058"/>
      </w:tblGrid>
      <w:tr w:rsidR="004C0D04" w:rsidTr="00E34F9A">
        <w:trPr>
          <w:tblHeader/>
        </w:trPr>
        <w:tc>
          <w:tcPr>
            <w:tcW w:w="3057" w:type="dxa"/>
            <w:shd w:val="clear" w:color="auto" w:fill="BFBFBF" w:themeFill="background1" w:themeFillShade="BF"/>
          </w:tcPr>
          <w:p w:rsidR="004C0D04" w:rsidRPr="001152CB" w:rsidRDefault="004C0D04" w:rsidP="004F2A00">
            <w:pPr>
              <w:pStyle w:val="Tabletitle"/>
              <w:spacing w:before="0"/>
              <w:jc w:val="center"/>
              <w:rPr>
                <w:sz w:val="20"/>
                <w:szCs w:val="20"/>
              </w:rPr>
            </w:pPr>
            <w:r w:rsidRPr="001152CB">
              <w:rPr>
                <w:sz w:val="20"/>
                <w:szCs w:val="20"/>
              </w:rPr>
              <w:t>Hb g/L</w:t>
            </w:r>
          </w:p>
        </w:tc>
        <w:tc>
          <w:tcPr>
            <w:tcW w:w="3058" w:type="dxa"/>
            <w:shd w:val="clear" w:color="auto" w:fill="BFBFBF" w:themeFill="background1" w:themeFillShade="BF"/>
          </w:tcPr>
          <w:p w:rsidR="004C0D04" w:rsidRPr="001152CB" w:rsidRDefault="004C0D04" w:rsidP="004F2A00">
            <w:pPr>
              <w:pStyle w:val="Tabletitle"/>
              <w:spacing w:before="0"/>
              <w:jc w:val="center"/>
              <w:rPr>
                <w:sz w:val="20"/>
                <w:szCs w:val="20"/>
              </w:rPr>
            </w:pPr>
            <w:r w:rsidRPr="001152CB">
              <w:rPr>
                <w:sz w:val="20"/>
                <w:szCs w:val="20"/>
              </w:rPr>
              <w:t>Body weight 35 to &lt; 70 kg</w:t>
            </w:r>
          </w:p>
        </w:tc>
        <w:tc>
          <w:tcPr>
            <w:tcW w:w="3058" w:type="dxa"/>
            <w:shd w:val="clear" w:color="auto" w:fill="BFBFBF" w:themeFill="background1" w:themeFillShade="BF"/>
          </w:tcPr>
          <w:p w:rsidR="004C0D04" w:rsidRPr="001152CB" w:rsidRDefault="004C0D04" w:rsidP="004F2A00">
            <w:pPr>
              <w:pStyle w:val="Tabletitle"/>
              <w:spacing w:before="0"/>
              <w:jc w:val="center"/>
              <w:rPr>
                <w:sz w:val="20"/>
                <w:szCs w:val="20"/>
              </w:rPr>
            </w:pPr>
            <w:r w:rsidRPr="001152CB">
              <w:rPr>
                <w:sz w:val="20"/>
                <w:szCs w:val="20"/>
              </w:rPr>
              <w:t>Body weight ≥70 kg</w:t>
            </w:r>
          </w:p>
        </w:tc>
      </w:tr>
      <w:tr w:rsidR="004C0D04" w:rsidTr="004F2A00">
        <w:tc>
          <w:tcPr>
            <w:tcW w:w="3057" w:type="dxa"/>
          </w:tcPr>
          <w:p w:rsidR="004C0D04" w:rsidRPr="001152CB" w:rsidRDefault="004C0D04" w:rsidP="004F2A00">
            <w:pPr>
              <w:pStyle w:val="Tabletitle"/>
              <w:spacing w:before="0"/>
              <w:jc w:val="center"/>
              <w:rPr>
                <w:b w:val="0"/>
                <w:sz w:val="20"/>
                <w:szCs w:val="20"/>
              </w:rPr>
            </w:pPr>
            <w:r w:rsidRPr="001152CB">
              <w:rPr>
                <w:b w:val="0"/>
                <w:sz w:val="20"/>
                <w:szCs w:val="20"/>
              </w:rPr>
              <w:t>&lt;100</w:t>
            </w:r>
          </w:p>
        </w:tc>
        <w:tc>
          <w:tcPr>
            <w:tcW w:w="3058" w:type="dxa"/>
          </w:tcPr>
          <w:p w:rsidR="004C0D04" w:rsidRPr="001152CB" w:rsidRDefault="004C0D04" w:rsidP="004F2A00">
            <w:pPr>
              <w:pStyle w:val="Tabletitle"/>
              <w:spacing w:before="0"/>
              <w:jc w:val="center"/>
              <w:rPr>
                <w:b w:val="0"/>
                <w:sz w:val="20"/>
                <w:szCs w:val="20"/>
              </w:rPr>
            </w:pPr>
            <w:r w:rsidRPr="001152CB">
              <w:rPr>
                <w:b w:val="0"/>
                <w:sz w:val="20"/>
                <w:szCs w:val="20"/>
              </w:rPr>
              <w:t>1,500 mg</w:t>
            </w:r>
          </w:p>
        </w:tc>
        <w:tc>
          <w:tcPr>
            <w:tcW w:w="3058" w:type="dxa"/>
          </w:tcPr>
          <w:p w:rsidR="004C0D04" w:rsidRPr="001152CB" w:rsidRDefault="004C0D04" w:rsidP="004F2A00">
            <w:pPr>
              <w:pStyle w:val="Tabletitle"/>
              <w:spacing w:before="0"/>
              <w:jc w:val="center"/>
              <w:rPr>
                <w:b w:val="0"/>
                <w:sz w:val="20"/>
                <w:szCs w:val="20"/>
              </w:rPr>
            </w:pPr>
            <w:r w:rsidRPr="001152CB">
              <w:rPr>
                <w:b w:val="0"/>
                <w:sz w:val="20"/>
                <w:szCs w:val="20"/>
              </w:rPr>
              <w:t>2,000 mg</w:t>
            </w:r>
          </w:p>
        </w:tc>
      </w:tr>
      <w:tr w:rsidR="004C0D04" w:rsidTr="004F2A00">
        <w:tc>
          <w:tcPr>
            <w:tcW w:w="3057" w:type="dxa"/>
          </w:tcPr>
          <w:p w:rsidR="004C0D04" w:rsidRPr="001152CB" w:rsidRDefault="004C0D04" w:rsidP="004F2A00">
            <w:pPr>
              <w:pStyle w:val="Tabletitle"/>
              <w:spacing w:before="0"/>
              <w:jc w:val="center"/>
              <w:rPr>
                <w:b w:val="0"/>
                <w:sz w:val="20"/>
                <w:szCs w:val="20"/>
              </w:rPr>
            </w:pPr>
            <w:r w:rsidRPr="001152CB">
              <w:rPr>
                <w:b w:val="0"/>
                <w:sz w:val="20"/>
                <w:szCs w:val="20"/>
              </w:rPr>
              <w:t>≥100</w:t>
            </w:r>
          </w:p>
        </w:tc>
        <w:tc>
          <w:tcPr>
            <w:tcW w:w="3058" w:type="dxa"/>
          </w:tcPr>
          <w:p w:rsidR="004C0D04" w:rsidRPr="001152CB" w:rsidRDefault="004C0D04" w:rsidP="004F2A00">
            <w:pPr>
              <w:pStyle w:val="Tabletitle"/>
              <w:spacing w:before="0"/>
              <w:jc w:val="center"/>
              <w:rPr>
                <w:b w:val="0"/>
                <w:sz w:val="20"/>
                <w:szCs w:val="20"/>
              </w:rPr>
            </w:pPr>
            <w:r w:rsidRPr="001152CB">
              <w:rPr>
                <w:b w:val="0"/>
                <w:sz w:val="20"/>
                <w:szCs w:val="20"/>
              </w:rPr>
              <w:t>1,000 mg</w:t>
            </w:r>
          </w:p>
        </w:tc>
        <w:tc>
          <w:tcPr>
            <w:tcW w:w="3058" w:type="dxa"/>
          </w:tcPr>
          <w:p w:rsidR="004C0D04" w:rsidRPr="001152CB" w:rsidRDefault="004C0D04" w:rsidP="004F2A00">
            <w:pPr>
              <w:pStyle w:val="Tabletitle"/>
              <w:spacing w:before="0"/>
              <w:jc w:val="center"/>
              <w:rPr>
                <w:b w:val="0"/>
                <w:sz w:val="20"/>
                <w:szCs w:val="20"/>
              </w:rPr>
            </w:pPr>
            <w:r w:rsidRPr="001152CB">
              <w:rPr>
                <w:b w:val="0"/>
                <w:sz w:val="20"/>
                <w:szCs w:val="20"/>
              </w:rPr>
              <w:t>1,500 mg</w:t>
            </w:r>
          </w:p>
        </w:tc>
      </w:tr>
    </w:tbl>
    <w:p w:rsidR="009C017C" w:rsidRDefault="009C017C" w:rsidP="004C0D04">
      <w:pPr>
        <w:sectPr w:rsidR="009C017C" w:rsidSect="00CA17FE">
          <w:pgSz w:w="11906" w:h="16838"/>
          <w:pgMar w:top="1644" w:right="1361" w:bottom="1644" w:left="1588" w:header="709" w:footer="709" w:gutter="0"/>
          <w:cols w:space="708"/>
          <w:docGrid w:linePitch="360"/>
        </w:sectPr>
      </w:pPr>
    </w:p>
    <w:p w:rsidR="009C017C" w:rsidRPr="00077860" w:rsidRDefault="0000615C" w:rsidP="009C017C">
      <w:pPr>
        <w:rPr>
          <w:sz w:val="28"/>
        </w:rPr>
      </w:pPr>
      <w:r w:rsidRPr="00077860">
        <w:rPr>
          <w:b/>
          <w:sz w:val="28"/>
        </w:rPr>
        <w:lastRenderedPageBreak/>
        <w:t xml:space="preserve">Appendix B: </w:t>
      </w:r>
      <w:r w:rsidR="004C0D04" w:rsidRPr="00077860">
        <w:rPr>
          <w:b/>
          <w:sz w:val="28"/>
        </w:rPr>
        <w:t>Base case financial estimates</w:t>
      </w:r>
      <w:r w:rsidR="009C017C" w:rsidRPr="00077860">
        <w:rPr>
          <w:b/>
          <w:sz w:val="28"/>
        </w:rPr>
        <w:t xml:space="preserve"> from November 2013 resubmission</w:t>
      </w:r>
      <w:r w:rsidR="000A6CF9" w:rsidRPr="00077860">
        <w:rPr>
          <w:b/>
          <w:sz w:val="28"/>
        </w:rPr>
        <w:t xml:space="preserve"> (</w:t>
      </w:r>
      <w:r w:rsidR="00E578AD" w:rsidRPr="00077860">
        <w:rPr>
          <w:b/>
          <w:sz w:val="28"/>
        </w:rPr>
        <w:t xml:space="preserve">final </w:t>
      </w:r>
      <w:r w:rsidR="000A6CF9" w:rsidRPr="00077860">
        <w:rPr>
          <w:b/>
          <w:sz w:val="28"/>
        </w:rPr>
        <w:t>agreed estimates in brackets)</w:t>
      </w:r>
    </w:p>
    <w:tbl>
      <w:tblPr>
        <w:tblStyle w:val="TableGrid"/>
        <w:tblpPr w:leftFromText="180" w:rightFromText="180" w:vertAnchor="page" w:horzAnchor="page" w:tblpX="1131" w:tblpY="2261"/>
        <w:tblW w:w="14121" w:type="dxa"/>
        <w:tblLayout w:type="fixed"/>
        <w:tblLook w:val="04A0" w:firstRow="1" w:lastRow="0" w:firstColumn="1" w:lastColumn="0" w:noHBand="0" w:noVBand="1"/>
        <w:tblCaption w:val="Base case financial estimates from November 2013 resubmission (with final agreed estimates in brackets)"/>
        <w:tblDescription w:val="A table outlining the estimated extent of use, estimated cost to the PBS, estimated changes in use/cost of other drugs and the net financial impact of listing on the PBS/RPBS"/>
      </w:tblPr>
      <w:tblGrid>
        <w:gridCol w:w="471"/>
        <w:gridCol w:w="1338"/>
        <w:gridCol w:w="1560"/>
        <w:gridCol w:w="1559"/>
        <w:gridCol w:w="1559"/>
        <w:gridCol w:w="1701"/>
        <w:gridCol w:w="1701"/>
        <w:gridCol w:w="4232"/>
      </w:tblGrid>
      <w:tr w:rsidR="009C017C" w:rsidRPr="00077860" w:rsidTr="00E34F9A">
        <w:trPr>
          <w:trHeight w:val="118"/>
          <w:tblHeader/>
        </w:trPr>
        <w:tc>
          <w:tcPr>
            <w:tcW w:w="471" w:type="dxa"/>
            <w:vAlign w:val="center"/>
          </w:tcPr>
          <w:p w:rsidR="009C017C" w:rsidRPr="00077860" w:rsidRDefault="009C017C" w:rsidP="009C017C">
            <w:pPr>
              <w:rPr>
                <w:rFonts w:ascii="Calibri" w:eastAsia="Times New Roman" w:hAnsi="Calibri" w:cs="Times New Roman"/>
                <w:snapToGrid w:val="0"/>
                <w:color w:val="000000"/>
                <w:sz w:val="20"/>
                <w:szCs w:val="20"/>
                <w:lang w:eastAsia="en-US"/>
              </w:rPr>
            </w:pPr>
          </w:p>
        </w:tc>
        <w:tc>
          <w:tcPr>
            <w:tcW w:w="1338" w:type="dxa"/>
            <w:vAlign w:val="center"/>
          </w:tcPr>
          <w:p w:rsidR="009C017C" w:rsidRPr="00077860" w:rsidRDefault="009C017C" w:rsidP="009C017C">
            <w:pPr>
              <w:rPr>
                <w:rFonts w:ascii="Calibri" w:eastAsia="Times New Roman" w:hAnsi="Calibri" w:cs="Times New Roman"/>
                <w:snapToGrid w:val="0"/>
                <w:color w:val="000000"/>
                <w:sz w:val="20"/>
                <w:szCs w:val="20"/>
                <w:lang w:eastAsia="en-US"/>
              </w:rPr>
            </w:pPr>
          </w:p>
        </w:tc>
        <w:tc>
          <w:tcPr>
            <w:tcW w:w="1560" w:type="dxa"/>
            <w:vAlign w:val="center"/>
          </w:tcPr>
          <w:p w:rsidR="009C017C" w:rsidRPr="00077860" w:rsidRDefault="009C017C" w:rsidP="009C017C">
            <w:pPr>
              <w:rPr>
                <w:rFonts w:ascii="Calibri" w:eastAsia="Times New Roman" w:hAnsi="Calibri" w:cs="Times New Roman"/>
                <w:b/>
                <w:snapToGrid w:val="0"/>
                <w:color w:val="000000"/>
                <w:sz w:val="20"/>
                <w:szCs w:val="20"/>
                <w:lang w:eastAsia="en-US"/>
              </w:rPr>
            </w:pPr>
            <w:r w:rsidRPr="00077860">
              <w:rPr>
                <w:rFonts w:ascii="Calibri" w:eastAsia="Times New Roman" w:hAnsi="Calibri" w:cs="Times New Roman"/>
                <w:b/>
                <w:snapToGrid w:val="0"/>
                <w:color w:val="000000"/>
                <w:sz w:val="20"/>
                <w:szCs w:val="20"/>
                <w:lang w:eastAsia="en-US"/>
              </w:rPr>
              <w:t>Year 1</w:t>
            </w:r>
          </w:p>
        </w:tc>
        <w:tc>
          <w:tcPr>
            <w:tcW w:w="1559" w:type="dxa"/>
            <w:vAlign w:val="center"/>
          </w:tcPr>
          <w:p w:rsidR="009C017C" w:rsidRPr="00077860" w:rsidRDefault="009C017C" w:rsidP="009C017C">
            <w:pPr>
              <w:rPr>
                <w:rFonts w:ascii="Calibri" w:eastAsia="Times New Roman" w:hAnsi="Calibri" w:cs="Times New Roman"/>
                <w:b/>
                <w:snapToGrid w:val="0"/>
                <w:color w:val="000000"/>
                <w:sz w:val="20"/>
                <w:szCs w:val="20"/>
                <w:lang w:eastAsia="en-US"/>
              </w:rPr>
            </w:pPr>
            <w:r w:rsidRPr="00077860">
              <w:rPr>
                <w:rFonts w:ascii="Calibri" w:eastAsia="Times New Roman" w:hAnsi="Calibri" w:cs="Times New Roman"/>
                <w:b/>
                <w:snapToGrid w:val="0"/>
                <w:color w:val="000000"/>
                <w:sz w:val="20"/>
                <w:szCs w:val="20"/>
                <w:lang w:eastAsia="en-US"/>
              </w:rPr>
              <w:t>Year 2</w:t>
            </w:r>
          </w:p>
        </w:tc>
        <w:tc>
          <w:tcPr>
            <w:tcW w:w="1559" w:type="dxa"/>
            <w:vAlign w:val="center"/>
          </w:tcPr>
          <w:p w:rsidR="009C017C" w:rsidRPr="00077860" w:rsidRDefault="009C017C" w:rsidP="009C017C">
            <w:pPr>
              <w:rPr>
                <w:rFonts w:ascii="Calibri" w:eastAsia="Times New Roman" w:hAnsi="Calibri" w:cs="Times New Roman"/>
                <w:b/>
                <w:snapToGrid w:val="0"/>
                <w:color w:val="000000"/>
                <w:sz w:val="20"/>
                <w:szCs w:val="20"/>
                <w:lang w:eastAsia="en-US"/>
              </w:rPr>
            </w:pPr>
            <w:r w:rsidRPr="00077860">
              <w:rPr>
                <w:rFonts w:ascii="Calibri" w:eastAsia="Times New Roman" w:hAnsi="Calibri" w:cs="Times New Roman"/>
                <w:b/>
                <w:snapToGrid w:val="0"/>
                <w:color w:val="000000"/>
                <w:sz w:val="20"/>
                <w:szCs w:val="20"/>
                <w:lang w:eastAsia="en-US"/>
              </w:rPr>
              <w:t>Year 3</w:t>
            </w:r>
          </w:p>
        </w:tc>
        <w:tc>
          <w:tcPr>
            <w:tcW w:w="1701" w:type="dxa"/>
            <w:vAlign w:val="center"/>
          </w:tcPr>
          <w:p w:rsidR="009C017C" w:rsidRPr="00077860" w:rsidRDefault="009C017C" w:rsidP="009C017C">
            <w:pPr>
              <w:rPr>
                <w:rFonts w:ascii="Calibri" w:eastAsia="Times New Roman" w:hAnsi="Calibri" w:cs="Times New Roman"/>
                <w:b/>
                <w:snapToGrid w:val="0"/>
                <w:color w:val="000000"/>
                <w:sz w:val="20"/>
                <w:szCs w:val="20"/>
                <w:lang w:eastAsia="en-US"/>
              </w:rPr>
            </w:pPr>
            <w:r w:rsidRPr="00077860">
              <w:rPr>
                <w:rFonts w:ascii="Calibri" w:eastAsia="Times New Roman" w:hAnsi="Calibri" w:cs="Times New Roman"/>
                <w:b/>
                <w:snapToGrid w:val="0"/>
                <w:color w:val="000000"/>
                <w:sz w:val="20"/>
                <w:szCs w:val="20"/>
                <w:lang w:eastAsia="en-US"/>
              </w:rPr>
              <w:t>Year 4</w:t>
            </w:r>
          </w:p>
        </w:tc>
        <w:tc>
          <w:tcPr>
            <w:tcW w:w="1701" w:type="dxa"/>
            <w:vAlign w:val="center"/>
          </w:tcPr>
          <w:p w:rsidR="009C017C" w:rsidRPr="00077860" w:rsidRDefault="009C017C" w:rsidP="009C017C">
            <w:pPr>
              <w:rPr>
                <w:rFonts w:ascii="Calibri" w:eastAsia="Times New Roman" w:hAnsi="Calibri" w:cs="Times New Roman"/>
                <w:b/>
                <w:snapToGrid w:val="0"/>
                <w:color w:val="000000"/>
                <w:sz w:val="20"/>
                <w:szCs w:val="20"/>
                <w:lang w:eastAsia="en-US"/>
              </w:rPr>
            </w:pPr>
            <w:r w:rsidRPr="00077860">
              <w:rPr>
                <w:rFonts w:ascii="Calibri" w:eastAsia="Times New Roman" w:hAnsi="Calibri" w:cs="Times New Roman"/>
                <w:b/>
                <w:snapToGrid w:val="0"/>
                <w:color w:val="000000"/>
                <w:sz w:val="20"/>
                <w:szCs w:val="20"/>
                <w:lang w:eastAsia="en-US"/>
              </w:rPr>
              <w:t>Year 5</w:t>
            </w:r>
          </w:p>
        </w:tc>
        <w:tc>
          <w:tcPr>
            <w:tcW w:w="4232" w:type="dxa"/>
            <w:vAlign w:val="center"/>
          </w:tcPr>
          <w:p w:rsidR="009C017C" w:rsidRPr="00077860" w:rsidRDefault="009C017C" w:rsidP="009C017C">
            <w:pPr>
              <w:rPr>
                <w:rFonts w:ascii="Calibri" w:eastAsia="Times New Roman" w:hAnsi="Calibri" w:cs="Times New Roman"/>
                <w:b/>
                <w:snapToGrid w:val="0"/>
                <w:color w:val="000000"/>
                <w:sz w:val="20"/>
                <w:szCs w:val="20"/>
                <w:lang w:eastAsia="en-US"/>
              </w:rPr>
            </w:pPr>
            <w:r w:rsidRPr="00077860">
              <w:rPr>
                <w:rFonts w:ascii="Calibri" w:eastAsia="Times New Roman" w:hAnsi="Calibri" w:cs="Times New Roman"/>
                <w:b/>
                <w:snapToGrid w:val="0"/>
                <w:color w:val="000000"/>
                <w:sz w:val="20"/>
                <w:szCs w:val="20"/>
                <w:lang w:eastAsia="en-US"/>
              </w:rPr>
              <w:t>Sources/Assumptions</w:t>
            </w:r>
          </w:p>
        </w:tc>
      </w:tr>
      <w:tr w:rsidR="009C017C" w:rsidRPr="00077860" w:rsidTr="00B562FF">
        <w:trPr>
          <w:trHeight w:val="118"/>
        </w:trPr>
        <w:tc>
          <w:tcPr>
            <w:tcW w:w="471" w:type="dxa"/>
            <w:vAlign w:val="center"/>
          </w:tcPr>
          <w:p w:rsidR="009C017C" w:rsidRPr="00077860" w:rsidRDefault="009C017C" w:rsidP="009C017C">
            <w:pPr>
              <w:rPr>
                <w:rFonts w:ascii="Calibri" w:eastAsia="Times New Roman" w:hAnsi="Calibri" w:cs="Times New Roman"/>
                <w:snapToGrid w:val="0"/>
                <w:color w:val="000000"/>
                <w:sz w:val="20"/>
                <w:szCs w:val="20"/>
                <w:lang w:eastAsia="en-US"/>
              </w:rPr>
            </w:pPr>
          </w:p>
        </w:tc>
        <w:tc>
          <w:tcPr>
            <w:tcW w:w="13650" w:type="dxa"/>
            <w:gridSpan w:val="7"/>
            <w:shd w:val="clear" w:color="auto" w:fill="BFBFBF" w:themeFill="background1" w:themeFillShade="BF"/>
            <w:vAlign w:val="center"/>
          </w:tcPr>
          <w:p w:rsidR="009C017C" w:rsidRPr="00077860" w:rsidRDefault="009C017C" w:rsidP="009C017C">
            <w:pPr>
              <w:rPr>
                <w:rFonts w:ascii="Calibri" w:eastAsia="Times New Roman" w:hAnsi="Calibri" w:cs="Times New Roman"/>
                <w:b/>
                <w:snapToGrid w:val="0"/>
                <w:color w:val="000000"/>
                <w:sz w:val="20"/>
                <w:szCs w:val="20"/>
                <w:lang w:eastAsia="en-US"/>
              </w:rPr>
            </w:pPr>
            <w:r w:rsidRPr="00077860">
              <w:rPr>
                <w:rFonts w:ascii="Calibri" w:eastAsia="Times New Roman" w:hAnsi="Calibri" w:cs="Times New Roman"/>
                <w:b/>
                <w:snapToGrid w:val="0"/>
                <w:color w:val="000000"/>
                <w:sz w:val="20"/>
                <w:szCs w:val="20"/>
                <w:lang w:eastAsia="en-US"/>
              </w:rPr>
              <w:t>Estimated extent of use</w:t>
            </w:r>
          </w:p>
        </w:tc>
      </w:tr>
      <w:tr w:rsidR="009C017C" w:rsidRPr="00077860" w:rsidTr="00B562FF">
        <w:trPr>
          <w:trHeight w:val="1270"/>
        </w:trPr>
        <w:tc>
          <w:tcPr>
            <w:tcW w:w="471"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1</w:t>
            </w:r>
          </w:p>
        </w:tc>
        <w:tc>
          <w:tcPr>
            <w:tcW w:w="1338"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 xml:space="preserve">Total patient episodes </w:t>
            </w:r>
          </w:p>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1</w:t>
            </w:r>
            <w:r w:rsidR="00E578AD" w:rsidRPr="00D70606">
              <w:rPr>
                <w:rFonts w:ascii="Calibri" w:eastAsia="Times New Roman" w:hAnsi="Calibri" w:cs="Times New Roman"/>
                <w:snapToGrid w:val="0"/>
                <w:color w:val="000000"/>
                <w:sz w:val="20"/>
                <w:szCs w:val="20"/>
                <w:lang w:eastAsia="en-US"/>
              </w:rPr>
              <w:t>,</w:t>
            </w:r>
            <w:r w:rsidRPr="00D70606">
              <w:rPr>
                <w:rFonts w:ascii="Calibri" w:eastAsia="Times New Roman" w:hAnsi="Calibri" w:cs="Times New Roman"/>
                <w:snapToGrid w:val="0"/>
                <w:color w:val="000000"/>
                <w:sz w:val="20"/>
                <w:szCs w:val="20"/>
                <w:lang w:eastAsia="en-US"/>
              </w:rPr>
              <w:t xml:space="preserve">000 mg iron </w:t>
            </w:r>
            <w:r w:rsidRPr="00D70606">
              <w:rPr>
                <w:rFonts w:ascii="Calibri" w:eastAsia="Times New Roman" w:hAnsi="Calibri" w:cs="Times New Roman"/>
                <w:b/>
                <w:snapToGrid w:val="0"/>
                <w:color w:val="000000"/>
                <w:sz w:val="20"/>
                <w:szCs w:val="20"/>
                <w:lang w:eastAsia="en-US"/>
              </w:rPr>
              <w:t>without</w:t>
            </w:r>
            <w:r w:rsidRPr="00D70606">
              <w:rPr>
                <w:rFonts w:ascii="Calibri" w:eastAsia="Times New Roman" w:hAnsi="Calibri" w:cs="Times New Roman"/>
                <w:snapToGrid w:val="0"/>
                <w:color w:val="000000"/>
                <w:sz w:val="20"/>
                <w:szCs w:val="20"/>
                <w:lang w:eastAsia="en-US"/>
              </w:rPr>
              <w:t xml:space="preserve"> FCM listing</w:t>
            </w:r>
          </w:p>
        </w:tc>
        <w:tc>
          <w:tcPr>
            <w:tcW w:w="1560"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4232"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 xml:space="preserve">Baseline </w:t>
            </w:r>
            <w:r w:rsidR="00F36F22">
              <w:rPr>
                <w:rFonts w:ascii="Calibri" w:eastAsia="Times New Roman" w:hAnsi="Calibri" w:cs="Times New Roman"/>
                <w:noProof/>
                <w:snapToGrid w:val="0"/>
                <w:color w:val="000000"/>
                <w:sz w:val="20"/>
                <w:szCs w:val="20"/>
                <w:highlight w:val="black"/>
                <w:lang w:eastAsia="en-US"/>
              </w:rPr>
              <w:t>'''''''''''''</w:t>
            </w:r>
            <w:r w:rsidRPr="00D70606">
              <w:rPr>
                <w:rFonts w:ascii="Calibri" w:eastAsia="Times New Roman" w:hAnsi="Calibri" w:cs="Times New Roman"/>
                <w:snapToGrid w:val="0"/>
                <w:color w:val="000000"/>
                <w:sz w:val="20"/>
                <w:szCs w:val="20"/>
                <w:lang w:eastAsia="en-US"/>
              </w:rPr>
              <w:t xml:space="preserve"> episodes sum of :</w:t>
            </w:r>
          </w:p>
          <w:p w:rsidR="009C017C" w:rsidRPr="00D70606" w:rsidRDefault="009C017C" w:rsidP="009C017C">
            <w:pPr>
              <w:numPr>
                <w:ilvl w:val="0"/>
                <w:numId w:val="5"/>
              </w:numPr>
              <w:ind w:left="113" w:hanging="142"/>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31,790 hospital separations with principle diagnosis IDA</w:t>
            </w:r>
          </w:p>
          <w:p w:rsidR="009C017C" w:rsidRPr="00D70606" w:rsidRDefault="00F36F22" w:rsidP="009C017C">
            <w:pPr>
              <w:numPr>
                <w:ilvl w:val="0"/>
                <w:numId w:val="5"/>
              </w:numPr>
              <w:ind w:left="113" w:hanging="142"/>
              <w:rPr>
                <w:rFonts w:ascii="Calibri" w:eastAsia="Times New Roman" w:hAnsi="Calibri" w:cs="Times New Roman"/>
                <w:snapToGrid w:val="0"/>
                <w:color w:val="000000"/>
                <w:sz w:val="20"/>
                <w:szCs w:val="20"/>
                <w:lang w:eastAsia="en-US"/>
              </w:rPr>
            </w:pPr>
            <w:r>
              <w:rPr>
                <w:rFonts w:ascii="Calibri" w:eastAsia="Times New Roman" w:hAnsi="Calibri" w:cs="Times New Roman"/>
                <w:noProof/>
                <w:snapToGrid w:val="0"/>
                <w:color w:val="000000"/>
                <w:sz w:val="20"/>
                <w:szCs w:val="20"/>
                <w:highlight w:val="black"/>
                <w:lang w:eastAsia="en-US"/>
              </w:rPr>
              <w:t>'''''''''''</w:t>
            </w:r>
            <w:r w:rsidR="009C017C" w:rsidRPr="00D70606">
              <w:rPr>
                <w:rFonts w:ascii="Calibri" w:eastAsia="Times New Roman" w:hAnsi="Calibri" w:cs="Times New Roman"/>
                <w:snapToGrid w:val="0"/>
                <w:color w:val="000000"/>
                <w:sz w:val="20"/>
                <w:szCs w:val="20"/>
                <w:lang w:eastAsia="en-US"/>
              </w:rPr>
              <w:t xml:space="preserve"> additional (</w:t>
            </w:r>
            <w:r>
              <w:rPr>
                <w:rFonts w:ascii="Calibri" w:eastAsia="Times New Roman" w:hAnsi="Calibri" w:cs="Times New Roman"/>
                <w:noProof/>
                <w:snapToGrid w:val="0"/>
                <w:color w:val="000000"/>
                <w:sz w:val="20"/>
                <w:szCs w:val="20"/>
                <w:highlight w:val="black"/>
                <w:lang w:eastAsia="en-US"/>
              </w:rPr>
              <w:t>'''''</w:t>
            </w:r>
            <w:r w:rsidR="009C017C" w:rsidRPr="00D70606">
              <w:rPr>
                <w:rFonts w:ascii="Calibri" w:eastAsia="Times New Roman" w:hAnsi="Calibri" w:cs="Times New Roman"/>
                <w:snapToGrid w:val="0"/>
                <w:color w:val="000000"/>
                <w:sz w:val="20"/>
                <w:szCs w:val="20"/>
                <w:lang w:eastAsia="en-US"/>
              </w:rPr>
              <w:t xml:space="preserve">%) not formally admitted (clinician survey) </w:t>
            </w:r>
          </w:p>
          <w:p w:rsidR="009C017C" w:rsidRPr="00D70606" w:rsidRDefault="00F36F22" w:rsidP="009C017C">
            <w:pPr>
              <w:numPr>
                <w:ilvl w:val="0"/>
                <w:numId w:val="5"/>
              </w:numPr>
              <w:ind w:left="113" w:hanging="142"/>
              <w:rPr>
                <w:rFonts w:ascii="Calibri" w:eastAsia="Times New Roman" w:hAnsi="Calibri" w:cs="Times New Roman"/>
                <w:snapToGrid w:val="0"/>
                <w:color w:val="000000"/>
                <w:sz w:val="20"/>
                <w:szCs w:val="20"/>
                <w:lang w:eastAsia="en-US"/>
              </w:rPr>
            </w:pPr>
            <w:r>
              <w:rPr>
                <w:rFonts w:ascii="Calibri" w:eastAsia="Times New Roman" w:hAnsi="Calibri" w:cs="Times New Roman"/>
                <w:noProof/>
                <w:snapToGrid w:val="0"/>
                <w:color w:val="000000"/>
                <w:sz w:val="20"/>
                <w:szCs w:val="20"/>
                <w:highlight w:val="black"/>
                <w:lang w:eastAsia="en-US"/>
              </w:rPr>
              <w:t>''''''''''''</w:t>
            </w:r>
            <w:r w:rsidR="009C017C" w:rsidRPr="00D70606">
              <w:rPr>
                <w:rFonts w:ascii="Calibri" w:eastAsia="Times New Roman" w:hAnsi="Calibri" w:cs="Times New Roman"/>
                <w:snapToGrid w:val="0"/>
                <w:color w:val="000000"/>
                <w:sz w:val="20"/>
                <w:szCs w:val="20"/>
                <w:lang w:eastAsia="en-US"/>
              </w:rPr>
              <w:t xml:space="preserve"> GP episodes (GPRN database)</w:t>
            </w:r>
          </w:p>
          <w:p w:rsidR="009C017C" w:rsidRPr="00D70606" w:rsidRDefault="009C017C" w:rsidP="009C017C">
            <w:pPr>
              <w:numPr>
                <w:ilvl w:val="0"/>
                <w:numId w:val="5"/>
              </w:numPr>
              <w:ind w:left="113" w:hanging="142"/>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9% growth (Medicare IP data)</w:t>
            </w:r>
          </w:p>
        </w:tc>
      </w:tr>
      <w:tr w:rsidR="009C017C" w:rsidRPr="00077860" w:rsidTr="00B562FF">
        <w:trPr>
          <w:trHeight w:val="118"/>
        </w:trPr>
        <w:tc>
          <w:tcPr>
            <w:tcW w:w="471" w:type="dxa"/>
            <w:vAlign w:val="center"/>
          </w:tcPr>
          <w:p w:rsidR="009C017C" w:rsidRPr="00077860" w:rsidRDefault="009C017C" w:rsidP="009C017C">
            <w:pPr>
              <w:rPr>
                <w:rFonts w:ascii="Calibri" w:eastAsia="Times New Roman" w:hAnsi="Calibri" w:cs="Times New Roman"/>
                <w:snapToGrid w:val="0"/>
                <w:color w:val="000000"/>
                <w:sz w:val="20"/>
                <w:szCs w:val="20"/>
                <w:lang w:eastAsia="en-US"/>
              </w:rPr>
            </w:pPr>
            <w:r w:rsidRPr="00077860">
              <w:rPr>
                <w:rFonts w:ascii="Calibri" w:eastAsia="Times New Roman" w:hAnsi="Calibri" w:cs="Times New Roman"/>
                <w:snapToGrid w:val="0"/>
                <w:color w:val="000000"/>
                <w:sz w:val="20"/>
                <w:szCs w:val="20"/>
                <w:lang w:eastAsia="en-US"/>
              </w:rPr>
              <w:t>2</w:t>
            </w:r>
          </w:p>
        </w:tc>
        <w:tc>
          <w:tcPr>
            <w:tcW w:w="1338"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 xml:space="preserve">Total patient episodes </w:t>
            </w:r>
          </w:p>
          <w:p w:rsidR="009C017C" w:rsidRPr="00D70606" w:rsidRDefault="0000615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1000 mg iron</w:t>
            </w:r>
            <w:r w:rsidR="009C017C" w:rsidRPr="00D70606">
              <w:rPr>
                <w:rFonts w:ascii="Calibri" w:eastAsia="Times New Roman" w:hAnsi="Calibri" w:cs="Times New Roman"/>
                <w:snapToGrid w:val="0"/>
                <w:color w:val="000000"/>
                <w:sz w:val="20"/>
                <w:szCs w:val="20"/>
                <w:lang w:eastAsia="en-US"/>
              </w:rPr>
              <w:t xml:space="preserve"> </w:t>
            </w:r>
            <w:r w:rsidR="009C017C" w:rsidRPr="00D70606">
              <w:rPr>
                <w:rFonts w:ascii="Calibri" w:eastAsia="Times New Roman" w:hAnsi="Calibri" w:cs="Times New Roman"/>
                <w:b/>
                <w:snapToGrid w:val="0"/>
                <w:color w:val="000000"/>
                <w:sz w:val="20"/>
                <w:szCs w:val="20"/>
                <w:lang w:eastAsia="en-US"/>
              </w:rPr>
              <w:t>with</w:t>
            </w:r>
            <w:r w:rsidR="009C017C" w:rsidRPr="00D70606">
              <w:rPr>
                <w:rFonts w:ascii="Calibri" w:eastAsia="Times New Roman" w:hAnsi="Calibri" w:cs="Times New Roman"/>
                <w:snapToGrid w:val="0"/>
                <w:color w:val="000000"/>
                <w:sz w:val="20"/>
                <w:szCs w:val="20"/>
                <w:lang w:eastAsia="en-US"/>
              </w:rPr>
              <w:t xml:space="preserve"> FCM listing</w:t>
            </w:r>
          </w:p>
        </w:tc>
        <w:tc>
          <w:tcPr>
            <w:tcW w:w="1560"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4232"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 xml:space="preserve">Baseline </w:t>
            </w:r>
            <w:r w:rsidR="00F36F22">
              <w:rPr>
                <w:rFonts w:ascii="Calibri" w:eastAsia="Times New Roman" w:hAnsi="Calibri" w:cs="Times New Roman"/>
                <w:noProof/>
                <w:snapToGrid w:val="0"/>
                <w:color w:val="000000"/>
                <w:sz w:val="20"/>
                <w:szCs w:val="20"/>
                <w:highlight w:val="black"/>
                <w:lang w:eastAsia="en-US"/>
              </w:rPr>
              <w:t>''''''''''''</w:t>
            </w:r>
            <w:r w:rsidRPr="00D70606">
              <w:rPr>
                <w:rFonts w:ascii="Calibri" w:eastAsia="Times New Roman" w:hAnsi="Calibri" w:cs="Times New Roman"/>
                <w:snapToGrid w:val="0"/>
                <w:color w:val="000000"/>
                <w:sz w:val="20"/>
                <w:szCs w:val="20"/>
                <w:lang w:eastAsia="en-US"/>
              </w:rPr>
              <w:t xml:space="preserve"> episodes as above and additional market growth assumption of </w:t>
            </w:r>
            <w:r w:rsidR="00F36F22">
              <w:rPr>
                <w:rFonts w:ascii="Calibri" w:eastAsia="Times New Roman" w:hAnsi="Calibri" w:cs="Times New Roman"/>
                <w:noProof/>
                <w:snapToGrid w:val="0"/>
                <w:color w:val="000000"/>
                <w:sz w:val="20"/>
                <w:szCs w:val="20"/>
                <w:highlight w:val="black"/>
                <w:lang w:eastAsia="en-US"/>
              </w:rPr>
              <w:t>''''''</w:t>
            </w:r>
            <w:r w:rsidRPr="00D70606">
              <w:rPr>
                <w:rFonts w:ascii="Calibri" w:eastAsia="Times New Roman" w:hAnsi="Calibri" w:cs="Times New Roman"/>
                <w:snapToGrid w:val="0"/>
                <w:color w:val="000000"/>
                <w:sz w:val="20"/>
                <w:szCs w:val="20"/>
                <w:lang w:eastAsia="en-US"/>
              </w:rPr>
              <w:t xml:space="preserve">% Y1, </w:t>
            </w:r>
            <w:r w:rsidR="00F36F22">
              <w:rPr>
                <w:rFonts w:ascii="Calibri" w:eastAsia="Times New Roman" w:hAnsi="Calibri" w:cs="Times New Roman"/>
                <w:noProof/>
                <w:snapToGrid w:val="0"/>
                <w:color w:val="000000"/>
                <w:sz w:val="20"/>
                <w:szCs w:val="20"/>
                <w:highlight w:val="black"/>
                <w:lang w:eastAsia="en-US"/>
              </w:rPr>
              <w:t>'''''</w:t>
            </w:r>
            <w:r w:rsidRPr="00D70606">
              <w:rPr>
                <w:rFonts w:ascii="Calibri" w:eastAsia="Times New Roman" w:hAnsi="Calibri" w:cs="Times New Roman"/>
                <w:snapToGrid w:val="0"/>
                <w:color w:val="000000"/>
                <w:sz w:val="20"/>
                <w:szCs w:val="20"/>
                <w:lang w:eastAsia="en-US"/>
              </w:rPr>
              <w:t xml:space="preserve">% Y2 &amp; 3, and </w:t>
            </w:r>
            <w:r w:rsidR="00F36F22">
              <w:rPr>
                <w:rFonts w:ascii="Calibri" w:eastAsia="Times New Roman" w:hAnsi="Calibri" w:cs="Times New Roman"/>
                <w:noProof/>
                <w:snapToGrid w:val="0"/>
                <w:color w:val="000000"/>
                <w:sz w:val="20"/>
                <w:szCs w:val="20"/>
                <w:highlight w:val="black"/>
                <w:lang w:eastAsia="en-US"/>
              </w:rPr>
              <w:t>'''''</w:t>
            </w:r>
            <w:r w:rsidRPr="00D70606">
              <w:rPr>
                <w:rFonts w:ascii="Calibri" w:eastAsia="Times New Roman" w:hAnsi="Calibri" w:cs="Times New Roman"/>
                <w:snapToGrid w:val="0"/>
                <w:color w:val="000000"/>
                <w:sz w:val="20"/>
                <w:szCs w:val="20"/>
                <w:lang w:eastAsia="en-US"/>
              </w:rPr>
              <w:t>% Y4 &amp;Y5 as access to FCM overcomes previous ‘blockages in clinical access to IV iron’</w:t>
            </w:r>
          </w:p>
        </w:tc>
      </w:tr>
      <w:tr w:rsidR="009C017C" w:rsidRPr="00077860" w:rsidTr="00B562FF">
        <w:trPr>
          <w:trHeight w:val="118"/>
        </w:trPr>
        <w:tc>
          <w:tcPr>
            <w:tcW w:w="471" w:type="dxa"/>
            <w:vAlign w:val="center"/>
          </w:tcPr>
          <w:p w:rsidR="009C017C" w:rsidRPr="00077860" w:rsidRDefault="009C017C" w:rsidP="009C017C">
            <w:pPr>
              <w:rPr>
                <w:rFonts w:ascii="Calibri" w:eastAsia="Times New Roman" w:hAnsi="Calibri" w:cs="Times New Roman"/>
                <w:snapToGrid w:val="0"/>
                <w:color w:val="000000"/>
                <w:sz w:val="20"/>
                <w:szCs w:val="20"/>
                <w:lang w:eastAsia="en-US"/>
              </w:rPr>
            </w:pPr>
            <w:r w:rsidRPr="00077860">
              <w:rPr>
                <w:rFonts w:ascii="Calibri" w:eastAsia="Times New Roman" w:hAnsi="Calibri" w:cs="Times New Roman"/>
                <w:snapToGrid w:val="0"/>
                <w:color w:val="000000"/>
                <w:sz w:val="20"/>
                <w:szCs w:val="20"/>
                <w:lang w:eastAsia="en-US"/>
              </w:rPr>
              <w:t>3</w:t>
            </w:r>
          </w:p>
        </w:tc>
        <w:tc>
          <w:tcPr>
            <w:tcW w:w="1338"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FCM market share</w:t>
            </w:r>
          </w:p>
        </w:tc>
        <w:tc>
          <w:tcPr>
            <w:tcW w:w="1560"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4232"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 xml:space="preserve">Submission assumption </w:t>
            </w:r>
          </w:p>
        </w:tc>
      </w:tr>
      <w:tr w:rsidR="009C017C" w:rsidRPr="00077860" w:rsidTr="00B562FF">
        <w:trPr>
          <w:trHeight w:val="118"/>
        </w:trPr>
        <w:tc>
          <w:tcPr>
            <w:tcW w:w="471" w:type="dxa"/>
            <w:vAlign w:val="center"/>
          </w:tcPr>
          <w:p w:rsidR="009C017C" w:rsidRPr="00077860" w:rsidRDefault="009C017C" w:rsidP="009C017C">
            <w:pPr>
              <w:rPr>
                <w:rFonts w:ascii="Calibri" w:eastAsia="Times New Roman" w:hAnsi="Calibri" w:cs="Times New Roman"/>
                <w:snapToGrid w:val="0"/>
                <w:color w:val="000000"/>
                <w:sz w:val="20"/>
                <w:szCs w:val="20"/>
                <w:lang w:eastAsia="en-US"/>
              </w:rPr>
            </w:pPr>
            <w:r w:rsidRPr="00077860">
              <w:rPr>
                <w:rFonts w:ascii="Calibri" w:eastAsia="Times New Roman" w:hAnsi="Calibri" w:cs="Times New Roman"/>
                <w:snapToGrid w:val="0"/>
                <w:color w:val="000000"/>
                <w:sz w:val="20"/>
                <w:szCs w:val="20"/>
                <w:lang w:eastAsia="en-US"/>
              </w:rPr>
              <w:t>4</w:t>
            </w:r>
          </w:p>
        </w:tc>
        <w:tc>
          <w:tcPr>
            <w:tcW w:w="1338"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FCM patient episodes</w:t>
            </w:r>
          </w:p>
        </w:tc>
        <w:tc>
          <w:tcPr>
            <w:tcW w:w="1560"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xml:space="preserve"> ''''''''''''' '''''''''''''''''</w:t>
            </w:r>
          </w:p>
        </w:tc>
        <w:tc>
          <w:tcPr>
            <w:tcW w:w="1701"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xml:space="preserve"> '''''''''''' '''''''''''''''''</w:t>
            </w:r>
          </w:p>
        </w:tc>
        <w:tc>
          <w:tcPr>
            <w:tcW w:w="1701"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xml:space="preserve"> '''''''''''''' ''''''''''''''''''</w:t>
            </w:r>
          </w:p>
        </w:tc>
        <w:tc>
          <w:tcPr>
            <w:tcW w:w="4232"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 xml:space="preserve">Row 2 * Row 3 </w:t>
            </w:r>
          </w:p>
        </w:tc>
      </w:tr>
      <w:tr w:rsidR="009C017C" w:rsidRPr="00077860" w:rsidTr="00B562FF">
        <w:trPr>
          <w:trHeight w:val="118"/>
        </w:trPr>
        <w:tc>
          <w:tcPr>
            <w:tcW w:w="471" w:type="dxa"/>
            <w:shd w:val="clear" w:color="auto" w:fill="BFBFBF" w:themeFill="background1" w:themeFillShade="BF"/>
            <w:vAlign w:val="center"/>
          </w:tcPr>
          <w:p w:rsidR="009C017C" w:rsidRPr="00077860" w:rsidRDefault="009C017C" w:rsidP="009C017C">
            <w:pPr>
              <w:rPr>
                <w:rFonts w:ascii="Calibri" w:eastAsia="Times New Roman" w:hAnsi="Calibri" w:cs="Times New Roman"/>
                <w:b/>
                <w:snapToGrid w:val="0"/>
                <w:color w:val="000000"/>
                <w:sz w:val="20"/>
                <w:szCs w:val="20"/>
                <w:lang w:eastAsia="en-US"/>
              </w:rPr>
            </w:pPr>
          </w:p>
        </w:tc>
        <w:tc>
          <w:tcPr>
            <w:tcW w:w="9418" w:type="dxa"/>
            <w:gridSpan w:val="6"/>
            <w:shd w:val="clear" w:color="auto" w:fill="BFBFBF" w:themeFill="background1" w:themeFillShade="BF"/>
            <w:vAlign w:val="center"/>
          </w:tcPr>
          <w:p w:rsidR="009C017C" w:rsidRPr="00D70606" w:rsidRDefault="009C017C" w:rsidP="009C017C">
            <w:pPr>
              <w:rPr>
                <w:rFonts w:ascii="Calibri" w:eastAsia="Times New Roman" w:hAnsi="Calibri" w:cs="Times New Roman"/>
                <w:b/>
                <w:snapToGrid w:val="0"/>
                <w:color w:val="000000"/>
                <w:sz w:val="20"/>
                <w:szCs w:val="20"/>
                <w:lang w:eastAsia="en-US"/>
              </w:rPr>
            </w:pPr>
            <w:r w:rsidRPr="00D70606">
              <w:rPr>
                <w:rFonts w:ascii="Calibri" w:eastAsia="Times New Roman" w:hAnsi="Calibri" w:cs="Times New Roman"/>
                <w:b/>
                <w:snapToGrid w:val="0"/>
                <w:color w:val="000000"/>
                <w:sz w:val="20"/>
                <w:szCs w:val="20"/>
                <w:lang w:eastAsia="en-US"/>
              </w:rPr>
              <w:t>Estimated cost to the PBS for FCM</w:t>
            </w:r>
          </w:p>
        </w:tc>
        <w:tc>
          <w:tcPr>
            <w:tcW w:w="4232" w:type="dxa"/>
            <w:shd w:val="clear" w:color="auto" w:fill="BFBFBF" w:themeFill="background1" w:themeFillShade="BF"/>
            <w:vAlign w:val="center"/>
          </w:tcPr>
          <w:p w:rsidR="009C017C" w:rsidRPr="00D70606" w:rsidRDefault="009C017C" w:rsidP="009C017C">
            <w:pPr>
              <w:rPr>
                <w:rFonts w:ascii="Calibri" w:eastAsia="Times New Roman" w:hAnsi="Calibri" w:cs="Times New Roman"/>
                <w:b/>
                <w:snapToGrid w:val="0"/>
                <w:color w:val="000000"/>
                <w:sz w:val="20"/>
                <w:szCs w:val="20"/>
                <w:lang w:eastAsia="en-US"/>
              </w:rPr>
            </w:pPr>
          </w:p>
        </w:tc>
      </w:tr>
      <w:tr w:rsidR="009C017C" w:rsidRPr="00077860" w:rsidTr="00B562FF">
        <w:trPr>
          <w:trHeight w:val="118"/>
        </w:trPr>
        <w:tc>
          <w:tcPr>
            <w:tcW w:w="471" w:type="dxa"/>
            <w:vAlign w:val="center"/>
          </w:tcPr>
          <w:p w:rsidR="009C017C" w:rsidRPr="00077860" w:rsidRDefault="009C017C" w:rsidP="009C017C">
            <w:pPr>
              <w:rPr>
                <w:rFonts w:ascii="Calibri" w:eastAsia="Times New Roman" w:hAnsi="Calibri" w:cs="Times New Roman"/>
                <w:snapToGrid w:val="0"/>
                <w:color w:val="000000"/>
                <w:sz w:val="20"/>
                <w:szCs w:val="20"/>
                <w:lang w:eastAsia="en-US"/>
              </w:rPr>
            </w:pPr>
            <w:r w:rsidRPr="00077860">
              <w:rPr>
                <w:rFonts w:ascii="Calibri" w:eastAsia="Times New Roman" w:hAnsi="Calibri" w:cs="Times New Roman"/>
                <w:snapToGrid w:val="0"/>
                <w:color w:val="000000"/>
                <w:sz w:val="20"/>
                <w:szCs w:val="20"/>
                <w:lang w:eastAsia="en-US"/>
              </w:rPr>
              <w:t>5</w:t>
            </w:r>
          </w:p>
        </w:tc>
        <w:tc>
          <w:tcPr>
            <w:tcW w:w="1338" w:type="dxa"/>
            <w:vAlign w:val="center"/>
          </w:tcPr>
          <w:p w:rsidR="009C017C" w:rsidRPr="00D70606" w:rsidRDefault="009C017C" w:rsidP="00E578AD">
            <w:pPr>
              <w:jc w:val="cente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Total cost of FCM (DPMQ)</w:t>
            </w:r>
          </w:p>
        </w:tc>
        <w:tc>
          <w:tcPr>
            <w:tcW w:w="1560"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4232"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Row 4 * DPMQ 1</w:t>
            </w:r>
            <w:r w:rsidR="00825BFB" w:rsidRPr="00D70606">
              <w:rPr>
                <w:rFonts w:ascii="Calibri" w:eastAsia="Times New Roman" w:hAnsi="Calibri" w:cs="Times New Roman"/>
                <w:snapToGrid w:val="0"/>
                <w:color w:val="000000"/>
                <w:sz w:val="20"/>
                <w:szCs w:val="20"/>
                <w:lang w:eastAsia="en-US"/>
              </w:rPr>
              <w:t>,</w:t>
            </w:r>
            <w:r w:rsidRPr="00D70606">
              <w:rPr>
                <w:rFonts w:ascii="Calibri" w:eastAsia="Times New Roman" w:hAnsi="Calibri" w:cs="Times New Roman"/>
                <w:snapToGrid w:val="0"/>
                <w:color w:val="000000"/>
                <w:sz w:val="20"/>
                <w:szCs w:val="20"/>
                <w:lang w:eastAsia="en-US"/>
              </w:rPr>
              <w:t>000 mg FCM ($</w:t>
            </w:r>
            <w:r w:rsidR="00F36F22">
              <w:rPr>
                <w:rFonts w:ascii="Calibri" w:eastAsia="Times New Roman" w:hAnsi="Calibri" w:cs="Times New Roman"/>
                <w:noProof/>
                <w:snapToGrid w:val="0"/>
                <w:color w:val="000000"/>
                <w:sz w:val="20"/>
                <w:szCs w:val="20"/>
                <w:highlight w:val="black"/>
                <w:lang w:eastAsia="en-US"/>
              </w:rPr>
              <w:t>''''''''''''''</w:t>
            </w:r>
            <w:r w:rsidRPr="00D70606">
              <w:rPr>
                <w:rFonts w:ascii="Calibri" w:eastAsia="Times New Roman" w:hAnsi="Calibri" w:cs="Times New Roman"/>
                <w:snapToGrid w:val="0"/>
                <w:color w:val="000000"/>
                <w:sz w:val="20"/>
                <w:szCs w:val="20"/>
                <w:lang w:eastAsia="en-US"/>
              </w:rPr>
              <w:t>)</w:t>
            </w:r>
          </w:p>
          <w:p w:rsidR="009C017C" w:rsidRPr="00F36F22" w:rsidRDefault="00F36F22" w:rsidP="009C017C">
            <w:pPr>
              <w:rPr>
                <w:rFonts w:ascii="Calibri" w:eastAsia="Times New Roman" w:hAnsi="Calibri" w:cs="Times New Roman"/>
                <w:i/>
                <w:snapToGrid w:val="0"/>
                <w:color w:val="FF0000"/>
                <w:sz w:val="20"/>
                <w:szCs w:val="20"/>
                <w:highlight w:val="black"/>
                <w:lang w:eastAsia="en-US"/>
              </w:rPr>
            </w:pPr>
            <w:r>
              <w:rPr>
                <w:rFonts w:ascii="Calibri" w:eastAsia="Times New Roman" w:hAnsi="Calibri" w:cs="Times New Roman"/>
                <w:i/>
                <w:noProof/>
                <w:snapToGrid w:val="0"/>
                <w:color w:val="000000"/>
                <w:sz w:val="20"/>
                <w:szCs w:val="20"/>
                <w:highlight w:val="black"/>
                <w:lang w:eastAsia="en-US"/>
              </w:rPr>
              <w:t>'''''''''''' ''''' '''''''''''''''' '''''''''' ''''''''' '''''''''''' ''''''''''''''''</w:t>
            </w:r>
          </w:p>
          <w:p w:rsidR="009C017C" w:rsidRPr="00D70606" w:rsidRDefault="009C017C" w:rsidP="009C017C">
            <w:pPr>
              <w:rPr>
                <w:rFonts w:ascii="Calibri" w:eastAsia="Times New Roman" w:hAnsi="Calibri" w:cs="Times New Roman"/>
                <w:snapToGrid w:val="0"/>
                <w:color w:val="000000"/>
                <w:sz w:val="20"/>
                <w:szCs w:val="20"/>
                <w:lang w:eastAsia="en-US"/>
              </w:rPr>
            </w:pPr>
          </w:p>
        </w:tc>
      </w:tr>
      <w:tr w:rsidR="009C017C" w:rsidRPr="00077860" w:rsidTr="00B562FF">
        <w:trPr>
          <w:trHeight w:val="118"/>
        </w:trPr>
        <w:tc>
          <w:tcPr>
            <w:tcW w:w="471" w:type="dxa"/>
            <w:vAlign w:val="center"/>
          </w:tcPr>
          <w:p w:rsidR="009C017C" w:rsidRPr="00077860" w:rsidRDefault="009C017C" w:rsidP="009C017C">
            <w:pPr>
              <w:rPr>
                <w:rFonts w:ascii="Calibri" w:eastAsia="Times New Roman" w:hAnsi="Calibri" w:cs="Times New Roman"/>
                <w:snapToGrid w:val="0"/>
                <w:color w:val="000000"/>
                <w:sz w:val="20"/>
                <w:szCs w:val="20"/>
                <w:lang w:eastAsia="en-US"/>
              </w:rPr>
            </w:pPr>
            <w:r w:rsidRPr="00077860">
              <w:rPr>
                <w:rFonts w:ascii="Calibri" w:eastAsia="Times New Roman" w:hAnsi="Calibri" w:cs="Times New Roman"/>
                <w:snapToGrid w:val="0"/>
                <w:color w:val="000000"/>
                <w:sz w:val="20"/>
                <w:szCs w:val="20"/>
                <w:lang w:eastAsia="en-US"/>
              </w:rPr>
              <w:t>6</w:t>
            </w:r>
          </w:p>
        </w:tc>
        <w:tc>
          <w:tcPr>
            <w:tcW w:w="1338" w:type="dxa"/>
            <w:vAlign w:val="center"/>
          </w:tcPr>
          <w:p w:rsidR="009C017C" w:rsidRPr="00D70606" w:rsidRDefault="009C017C" w:rsidP="00E578AD">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Net cost minus co-payment</w:t>
            </w:r>
          </w:p>
        </w:tc>
        <w:tc>
          <w:tcPr>
            <w:tcW w:w="1560"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4232"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Patient co-payment based on 2012 IP Medicare data</w:t>
            </w:r>
          </w:p>
          <w:p w:rsidR="009C017C" w:rsidRPr="00F36F22" w:rsidRDefault="00F36F22" w:rsidP="009C017C">
            <w:pPr>
              <w:rPr>
                <w:rFonts w:ascii="Calibri" w:eastAsia="Times New Roman" w:hAnsi="Calibri" w:cs="Times New Roman"/>
                <w:i/>
                <w:snapToGrid w:val="0"/>
                <w:color w:val="FF0000"/>
                <w:sz w:val="20"/>
                <w:szCs w:val="20"/>
                <w:highlight w:val="black"/>
                <w:lang w:eastAsia="en-US"/>
              </w:rPr>
            </w:pPr>
            <w:r>
              <w:rPr>
                <w:rFonts w:ascii="Calibri" w:eastAsia="Times New Roman" w:hAnsi="Calibri" w:cs="Times New Roman"/>
                <w:i/>
                <w:noProof/>
                <w:snapToGrid w:val="0"/>
                <w:color w:val="000000"/>
                <w:sz w:val="20"/>
                <w:szCs w:val="20"/>
                <w:highlight w:val="black"/>
                <w:lang w:eastAsia="en-US"/>
              </w:rPr>
              <w:t>'''''''''''''' ''''' '''''''''''''''''' ''''''''' '''''''''' '''''''''''' ''''''''''''''''</w:t>
            </w:r>
          </w:p>
        </w:tc>
      </w:tr>
      <w:tr w:rsidR="009C017C" w:rsidRPr="00077860" w:rsidTr="00B562FF">
        <w:trPr>
          <w:trHeight w:val="118"/>
        </w:trPr>
        <w:tc>
          <w:tcPr>
            <w:tcW w:w="471" w:type="dxa"/>
            <w:shd w:val="clear" w:color="auto" w:fill="BFBFBF" w:themeFill="background1" w:themeFillShade="BF"/>
            <w:vAlign w:val="center"/>
          </w:tcPr>
          <w:p w:rsidR="009C017C" w:rsidRPr="00077860" w:rsidRDefault="009C017C" w:rsidP="009C017C">
            <w:pPr>
              <w:rPr>
                <w:rFonts w:ascii="Calibri" w:eastAsia="Times New Roman" w:hAnsi="Calibri" w:cs="Times New Roman"/>
                <w:b/>
                <w:snapToGrid w:val="0"/>
                <w:color w:val="000000"/>
                <w:sz w:val="20"/>
                <w:szCs w:val="20"/>
                <w:lang w:eastAsia="en-US"/>
              </w:rPr>
            </w:pPr>
          </w:p>
        </w:tc>
        <w:tc>
          <w:tcPr>
            <w:tcW w:w="9418" w:type="dxa"/>
            <w:gridSpan w:val="6"/>
            <w:shd w:val="clear" w:color="auto" w:fill="BFBFBF" w:themeFill="background1" w:themeFillShade="BF"/>
            <w:vAlign w:val="center"/>
          </w:tcPr>
          <w:p w:rsidR="009C017C" w:rsidRPr="00077860" w:rsidRDefault="009C017C" w:rsidP="009C017C">
            <w:pPr>
              <w:rPr>
                <w:rFonts w:ascii="Calibri" w:eastAsia="Times New Roman" w:hAnsi="Calibri" w:cs="Times New Roman"/>
                <w:b/>
                <w:snapToGrid w:val="0"/>
                <w:color w:val="000000"/>
                <w:sz w:val="20"/>
                <w:szCs w:val="20"/>
                <w:lang w:eastAsia="en-US"/>
              </w:rPr>
            </w:pPr>
            <w:r w:rsidRPr="00077860">
              <w:rPr>
                <w:rFonts w:ascii="Calibri" w:eastAsia="Times New Roman" w:hAnsi="Calibri" w:cs="Times New Roman"/>
                <w:b/>
                <w:snapToGrid w:val="0"/>
                <w:color w:val="000000"/>
                <w:sz w:val="20"/>
                <w:szCs w:val="20"/>
                <w:lang w:eastAsia="en-US"/>
              </w:rPr>
              <w:t>Estimated changes in use and cost of other drugs</w:t>
            </w:r>
          </w:p>
        </w:tc>
        <w:tc>
          <w:tcPr>
            <w:tcW w:w="4232" w:type="dxa"/>
            <w:shd w:val="clear" w:color="auto" w:fill="BFBFBF" w:themeFill="background1" w:themeFillShade="BF"/>
            <w:vAlign w:val="center"/>
          </w:tcPr>
          <w:p w:rsidR="009C017C" w:rsidRPr="00077860" w:rsidRDefault="009C017C" w:rsidP="009C017C">
            <w:pPr>
              <w:rPr>
                <w:rFonts w:ascii="Calibri" w:eastAsia="Times New Roman" w:hAnsi="Calibri" w:cs="Times New Roman"/>
                <w:b/>
                <w:snapToGrid w:val="0"/>
                <w:color w:val="000000"/>
                <w:sz w:val="20"/>
                <w:szCs w:val="20"/>
                <w:lang w:eastAsia="en-US"/>
              </w:rPr>
            </w:pPr>
          </w:p>
        </w:tc>
      </w:tr>
      <w:tr w:rsidR="009C017C" w:rsidRPr="00077860" w:rsidTr="00B562FF">
        <w:trPr>
          <w:trHeight w:val="118"/>
        </w:trPr>
        <w:tc>
          <w:tcPr>
            <w:tcW w:w="471" w:type="dxa"/>
            <w:vAlign w:val="center"/>
          </w:tcPr>
          <w:p w:rsidR="009C017C" w:rsidRPr="00077860" w:rsidRDefault="009C017C" w:rsidP="009C017C">
            <w:pPr>
              <w:rPr>
                <w:rFonts w:ascii="Calibri" w:eastAsia="Times New Roman" w:hAnsi="Calibri" w:cs="Times New Roman"/>
                <w:snapToGrid w:val="0"/>
                <w:color w:val="000000"/>
                <w:sz w:val="20"/>
                <w:szCs w:val="20"/>
                <w:lang w:eastAsia="en-US"/>
              </w:rPr>
            </w:pPr>
            <w:r w:rsidRPr="00077860">
              <w:rPr>
                <w:rFonts w:ascii="Calibri" w:eastAsia="Times New Roman" w:hAnsi="Calibri" w:cs="Times New Roman"/>
                <w:snapToGrid w:val="0"/>
                <w:color w:val="000000"/>
                <w:sz w:val="20"/>
                <w:szCs w:val="20"/>
                <w:lang w:eastAsia="en-US"/>
              </w:rPr>
              <w:t>7</w:t>
            </w:r>
          </w:p>
        </w:tc>
        <w:tc>
          <w:tcPr>
            <w:tcW w:w="1338"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Difference in episodes of IP without &amp; with FCM</w:t>
            </w:r>
          </w:p>
        </w:tc>
        <w:tc>
          <w:tcPr>
            <w:tcW w:w="1560"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E578AD"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w:t>
            </w:r>
          </w:p>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xml:space="preserve"> ''''''''''''''''''</w:t>
            </w:r>
          </w:p>
        </w:tc>
        <w:tc>
          <w:tcPr>
            <w:tcW w:w="1559"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xml:space="preserve">'' '''''''''''''' </w:t>
            </w:r>
          </w:p>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xml:space="preserve">'''''''''''''''''' </w:t>
            </w:r>
          </w:p>
        </w:tc>
        <w:tc>
          <w:tcPr>
            <w:tcW w:w="1701"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xml:space="preserve">'' '''''''''''' </w:t>
            </w:r>
          </w:p>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w:t>
            </w:r>
          </w:p>
        </w:tc>
        <w:tc>
          <w:tcPr>
            <w:tcW w:w="1701"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xml:space="preserve">'' ''''''''''''' </w:t>
            </w:r>
          </w:p>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w:t>
            </w:r>
          </w:p>
        </w:tc>
        <w:tc>
          <w:tcPr>
            <w:tcW w:w="4232" w:type="dxa"/>
            <w:vAlign w:val="center"/>
          </w:tcPr>
          <w:p w:rsidR="009C017C" w:rsidRPr="00077860" w:rsidRDefault="009C017C" w:rsidP="009C017C">
            <w:pPr>
              <w:rPr>
                <w:rFonts w:ascii="Calibri" w:eastAsia="Times New Roman" w:hAnsi="Calibri" w:cs="Times New Roman"/>
                <w:snapToGrid w:val="0"/>
                <w:color w:val="000000"/>
                <w:sz w:val="20"/>
                <w:szCs w:val="20"/>
                <w:lang w:eastAsia="en-US"/>
              </w:rPr>
            </w:pPr>
            <w:r w:rsidRPr="00077860">
              <w:rPr>
                <w:rFonts w:ascii="Calibri" w:eastAsia="Times New Roman" w:hAnsi="Calibri" w:cs="Times New Roman"/>
                <w:snapToGrid w:val="0"/>
                <w:color w:val="000000"/>
                <w:sz w:val="20"/>
                <w:szCs w:val="20"/>
                <w:lang w:eastAsia="en-US"/>
              </w:rPr>
              <w:t>Row 2* (1-Row 3) – Row 1</w:t>
            </w:r>
          </w:p>
        </w:tc>
      </w:tr>
      <w:tr w:rsidR="009C017C" w:rsidRPr="00077860" w:rsidTr="00B562FF">
        <w:trPr>
          <w:trHeight w:val="1207"/>
        </w:trPr>
        <w:tc>
          <w:tcPr>
            <w:tcW w:w="471" w:type="dxa"/>
            <w:vAlign w:val="center"/>
          </w:tcPr>
          <w:p w:rsidR="009C017C" w:rsidRPr="00077860" w:rsidRDefault="009C017C" w:rsidP="009C017C">
            <w:pPr>
              <w:rPr>
                <w:rFonts w:ascii="Calibri" w:eastAsia="Times New Roman" w:hAnsi="Calibri" w:cs="Times New Roman"/>
                <w:snapToGrid w:val="0"/>
                <w:color w:val="000000"/>
                <w:sz w:val="20"/>
                <w:szCs w:val="20"/>
                <w:lang w:eastAsia="en-US"/>
              </w:rPr>
            </w:pPr>
            <w:r w:rsidRPr="00077860">
              <w:rPr>
                <w:rFonts w:ascii="Calibri" w:eastAsia="Times New Roman" w:hAnsi="Calibri" w:cs="Times New Roman"/>
                <w:snapToGrid w:val="0"/>
                <w:color w:val="000000"/>
                <w:sz w:val="20"/>
                <w:szCs w:val="20"/>
                <w:lang w:eastAsia="en-US"/>
              </w:rPr>
              <w:lastRenderedPageBreak/>
              <w:t>8</w:t>
            </w:r>
          </w:p>
        </w:tc>
        <w:tc>
          <w:tcPr>
            <w:tcW w:w="1338"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Net decrease IP costs minus co-payment</w:t>
            </w:r>
          </w:p>
        </w:tc>
        <w:tc>
          <w:tcPr>
            <w:tcW w:w="1560"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xml:space="preserve">''''''''''''''''''''''' </w:t>
            </w:r>
          </w:p>
          <w:p w:rsidR="009C017C" w:rsidRPr="00F36F22" w:rsidRDefault="00F36F22" w:rsidP="00E578AD">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w:t>
            </w:r>
          </w:p>
        </w:tc>
        <w:tc>
          <w:tcPr>
            <w:tcW w:w="4232" w:type="dxa"/>
            <w:vAlign w:val="center"/>
          </w:tcPr>
          <w:p w:rsidR="009C017C" w:rsidRPr="00077860" w:rsidRDefault="009C017C" w:rsidP="009C017C">
            <w:pPr>
              <w:rPr>
                <w:rFonts w:ascii="Calibri" w:eastAsia="Times New Roman" w:hAnsi="Calibri" w:cs="Times New Roman"/>
                <w:snapToGrid w:val="0"/>
                <w:color w:val="000000"/>
                <w:sz w:val="20"/>
                <w:szCs w:val="20"/>
                <w:lang w:eastAsia="en-US"/>
              </w:rPr>
            </w:pPr>
            <w:r w:rsidRPr="00077860">
              <w:rPr>
                <w:rFonts w:ascii="Calibri" w:eastAsia="Times New Roman" w:hAnsi="Calibri" w:cs="Times New Roman"/>
                <w:snapToGrid w:val="0"/>
                <w:color w:val="000000"/>
                <w:sz w:val="20"/>
                <w:szCs w:val="20"/>
                <w:lang w:eastAsia="en-US"/>
              </w:rPr>
              <w:t>Row 7 *(DPMQ 1000 mg IP ($68.02) – average co-payment ($17.69))</w:t>
            </w:r>
          </w:p>
          <w:p w:rsidR="009C017C" w:rsidRPr="00077860" w:rsidRDefault="009C017C" w:rsidP="00E578AD">
            <w:pPr>
              <w:rPr>
                <w:rFonts w:ascii="Calibri" w:eastAsia="Times New Roman" w:hAnsi="Calibri" w:cs="Times New Roman"/>
                <w:i/>
                <w:snapToGrid w:val="0"/>
                <w:color w:val="FF0000"/>
                <w:sz w:val="20"/>
                <w:szCs w:val="20"/>
                <w:lang w:eastAsia="en-US"/>
              </w:rPr>
            </w:pPr>
            <w:r w:rsidRPr="00077860">
              <w:rPr>
                <w:rFonts w:ascii="Calibri" w:eastAsia="Times New Roman" w:hAnsi="Calibri" w:cs="Times New Roman"/>
                <w:snapToGrid w:val="0"/>
                <w:color w:val="000000"/>
                <w:sz w:val="20"/>
                <w:szCs w:val="20"/>
                <w:lang w:eastAsia="en-US"/>
              </w:rPr>
              <w:t xml:space="preserve">Patient co-payment based on Medicare data for IP in 2012 </w:t>
            </w:r>
          </w:p>
        </w:tc>
      </w:tr>
      <w:tr w:rsidR="009C017C" w:rsidRPr="00077860" w:rsidTr="00B562FF">
        <w:trPr>
          <w:trHeight w:val="118"/>
        </w:trPr>
        <w:tc>
          <w:tcPr>
            <w:tcW w:w="471" w:type="dxa"/>
            <w:shd w:val="clear" w:color="auto" w:fill="BFBFBF" w:themeFill="background1" w:themeFillShade="BF"/>
            <w:vAlign w:val="center"/>
          </w:tcPr>
          <w:p w:rsidR="009C017C" w:rsidRPr="00077860" w:rsidRDefault="009C017C" w:rsidP="009C017C">
            <w:pPr>
              <w:rPr>
                <w:rFonts w:ascii="Calibri" w:eastAsia="Times New Roman" w:hAnsi="Calibri" w:cs="Times New Roman"/>
                <w:snapToGrid w:val="0"/>
                <w:color w:val="000000"/>
                <w:sz w:val="20"/>
                <w:szCs w:val="20"/>
                <w:lang w:eastAsia="en-US"/>
              </w:rPr>
            </w:pPr>
          </w:p>
        </w:tc>
        <w:tc>
          <w:tcPr>
            <w:tcW w:w="13650" w:type="dxa"/>
            <w:gridSpan w:val="7"/>
            <w:shd w:val="clear" w:color="auto" w:fill="BFBFBF" w:themeFill="background1" w:themeFillShade="BF"/>
            <w:vAlign w:val="center"/>
          </w:tcPr>
          <w:p w:rsidR="009C017C" w:rsidRPr="00077860" w:rsidRDefault="009C017C" w:rsidP="009C017C">
            <w:pPr>
              <w:rPr>
                <w:rFonts w:ascii="Calibri" w:eastAsia="Times New Roman" w:hAnsi="Calibri" w:cs="Times New Roman"/>
                <w:b/>
                <w:snapToGrid w:val="0"/>
                <w:color w:val="000000"/>
                <w:sz w:val="20"/>
                <w:szCs w:val="20"/>
                <w:lang w:eastAsia="en-US"/>
              </w:rPr>
            </w:pPr>
            <w:r w:rsidRPr="00077860">
              <w:rPr>
                <w:rFonts w:ascii="Calibri" w:eastAsia="Times New Roman" w:hAnsi="Calibri" w:cs="Times New Roman"/>
                <w:b/>
                <w:snapToGrid w:val="0"/>
                <w:color w:val="000000"/>
                <w:sz w:val="20"/>
                <w:szCs w:val="20"/>
                <w:lang w:eastAsia="en-US"/>
              </w:rPr>
              <w:t>Net financial impact of listing on the PBS/RPBS</w:t>
            </w:r>
          </w:p>
        </w:tc>
      </w:tr>
      <w:tr w:rsidR="009C017C" w:rsidRPr="00D70606" w:rsidTr="00B562FF">
        <w:trPr>
          <w:trHeight w:val="604"/>
        </w:trPr>
        <w:tc>
          <w:tcPr>
            <w:tcW w:w="471" w:type="dxa"/>
            <w:vAlign w:val="center"/>
          </w:tcPr>
          <w:p w:rsidR="009C017C" w:rsidRPr="00D70606" w:rsidRDefault="009C017C" w:rsidP="009C017C">
            <w:pPr>
              <w:rPr>
                <w:rFonts w:ascii="Calibri" w:eastAsia="Times New Roman" w:hAnsi="Calibri" w:cs="Times New Roman"/>
                <w:snapToGrid w:val="0"/>
                <w:color w:val="000000"/>
                <w:sz w:val="20"/>
                <w:szCs w:val="20"/>
                <w:lang w:eastAsia="en-US"/>
              </w:rPr>
            </w:pPr>
            <w:r w:rsidRPr="00D70606">
              <w:rPr>
                <w:rFonts w:ascii="Calibri" w:eastAsia="Times New Roman" w:hAnsi="Calibri" w:cs="Times New Roman"/>
                <w:snapToGrid w:val="0"/>
                <w:color w:val="000000"/>
                <w:sz w:val="20"/>
                <w:szCs w:val="20"/>
                <w:lang w:eastAsia="en-US"/>
              </w:rPr>
              <w:t>9</w:t>
            </w:r>
          </w:p>
        </w:tc>
        <w:tc>
          <w:tcPr>
            <w:tcW w:w="1338" w:type="dxa"/>
            <w:shd w:val="clear" w:color="auto" w:fill="auto"/>
            <w:vAlign w:val="center"/>
          </w:tcPr>
          <w:p w:rsidR="009C017C" w:rsidRPr="00D70606" w:rsidRDefault="009C017C" w:rsidP="009C017C">
            <w:pPr>
              <w:rPr>
                <w:rFonts w:ascii="Calibri" w:eastAsia="Times New Roman" w:hAnsi="Calibri" w:cs="Times New Roman"/>
                <w:b/>
                <w:snapToGrid w:val="0"/>
                <w:color w:val="000000"/>
                <w:sz w:val="20"/>
                <w:szCs w:val="20"/>
                <w:lang w:eastAsia="en-US"/>
              </w:rPr>
            </w:pPr>
            <w:r w:rsidRPr="00D70606">
              <w:rPr>
                <w:rFonts w:ascii="Calibri" w:eastAsia="Times New Roman" w:hAnsi="Calibri" w:cs="Times New Roman"/>
                <w:b/>
                <w:snapToGrid w:val="0"/>
                <w:color w:val="000000"/>
                <w:sz w:val="20"/>
                <w:szCs w:val="20"/>
                <w:lang w:eastAsia="en-US"/>
              </w:rPr>
              <w:t>Net cost to PBS</w:t>
            </w:r>
          </w:p>
        </w:tc>
        <w:tc>
          <w:tcPr>
            <w:tcW w:w="1560" w:type="dxa"/>
            <w:shd w:val="clear" w:color="auto" w:fill="auto"/>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559"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1701" w:type="dxa"/>
            <w:vAlign w:val="center"/>
          </w:tcPr>
          <w:p w:rsidR="009C017C" w:rsidRPr="00F36F22" w:rsidRDefault="00F36F22" w:rsidP="009C017C">
            <w:pPr>
              <w:rPr>
                <w:rFonts w:ascii="Calibri" w:eastAsia="Times New Roman" w:hAnsi="Calibri" w:cs="Times New Roman"/>
                <w:snapToGrid w:val="0"/>
                <w:color w:val="000000"/>
                <w:sz w:val="20"/>
                <w:szCs w:val="20"/>
                <w:highlight w:val="black"/>
                <w:lang w:eastAsia="en-US"/>
              </w:rPr>
            </w:pPr>
            <w:r>
              <w:rPr>
                <w:rFonts w:ascii="Calibri" w:eastAsia="Times New Roman" w:hAnsi="Calibri" w:cs="Times New Roman"/>
                <w:noProof/>
                <w:snapToGrid w:val="0"/>
                <w:color w:val="000000"/>
                <w:sz w:val="20"/>
                <w:szCs w:val="20"/>
                <w:highlight w:val="black"/>
                <w:lang w:eastAsia="en-US"/>
              </w:rPr>
              <w:t>'''''''''''''''''''''' ''''''''''''''''''''''''</w:t>
            </w:r>
          </w:p>
        </w:tc>
        <w:tc>
          <w:tcPr>
            <w:tcW w:w="4232" w:type="dxa"/>
            <w:vAlign w:val="center"/>
          </w:tcPr>
          <w:p w:rsidR="009C017C" w:rsidRPr="00D70606" w:rsidRDefault="009C017C" w:rsidP="009C017C">
            <w:pPr>
              <w:rPr>
                <w:rFonts w:ascii="Calibri" w:eastAsia="Times New Roman" w:hAnsi="Calibri" w:cs="Times New Roman"/>
                <w:i/>
                <w:snapToGrid w:val="0"/>
                <w:color w:val="FF0000"/>
                <w:sz w:val="20"/>
                <w:szCs w:val="20"/>
                <w:lang w:eastAsia="en-US"/>
              </w:rPr>
            </w:pPr>
            <w:r w:rsidRPr="00D70606">
              <w:rPr>
                <w:rFonts w:ascii="Calibri" w:eastAsia="Times New Roman" w:hAnsi="Calibri" w:cs="Times New Roman"/>
                <w:snapToGrid w:val="0"/>
                <w:color w:val="000000"/>
                <w:sz w:val="20"/>
                <w:szCs w:val="20"/>
                <w:lang w:eastAsia="en-US"/>
              </w:rPr>
              <w:t xml:space="preserve">Row 6-Row 8 </w:t>
            </w:r>
            <w:r w:rsidR="00F36F22">
              <w:rPr>
                <w:rFonts w:ascii="Calibri" w:eastAsia="Times New Roman" w:hAnsi="Calibri" w:cs="Times New Roman"/>
                <w:i/>
                <w:noProof/>
                <w:snapToGrid w:val="0"/>
                <w:color w:val="000000"/>
                <w:sz w:val="20"/>
                <w:szCs w:val="20"/>
                <w:highlight w:val="black"/>
                <w:lang w:eastAsia="en-US"/>
              </w:rPr>
              <w:t>'''''''''''''''''' ''''''''''</w:t>
            </w:r>
          </w:p>
        </w:tc>
      </w:tr>
    </w:tbl>
    <w:p w:rsidR="004C0D04" w:rsidRPr="00D70606" w:rsidRDefault="004C0D04" w:rsidP="004C0D04">
      <w:pPr>
        <w:widowControl w:val="0"/>
        <w:spacing w:after="0"/>
        <w:rPr>
          <w:rFonts w:eastAsia="Times New Roman" w:cs="Times New Roman"/>
          <w:snapToGrid w:val="0"/>
          <w:color w:val="000000"/>
          <w:sz w:val="20"/>
          <w:szCs w:val="20"/>
          <w:lang w:eastAsia="en-US"/>
        </w:rPr>
      </w:pPr>
      <w:r w:rsidRPr="00D70606">
        <w:rPr>
          <w:rFonts w:eastAsia="Times New Roman" w:cs="Times New Roman"/>
          <w:snapToGrid w:val="0"/>
          <w:color w:val="000000"/>
          <w:sz w:val="20"/>
          <w:szCs w:val="20"/>
          <w:lang w:eastAsia="en-US"/>
        </w:rPr>
        <w:t xml:space="preserve">Source: DUSC advice October 2013 p4. Final agreed estimates in brackets. </w:t>
      </w:r>
      <w:r w:rsidR="00F36F22">
        <w:rPr>
          <w:rFonts w:eastAsia="Times New Roman" w:cs="Times New Roman"/>
          <w:noProof/>
          <w:snapToGrid w:val="0"/>
          <w:color w:val="000000"/>
          <w:sz w:val="20"/>
          <w:szCs w:val="20"/>
          <w:highlight w:val="black"/>
          <w:lang w:eastAsia="en-US"/>
        </w:rPr>
        <w:t>'''''''''''''' ''''''''''''' ''''''''''''''''''''''''''' ''''''''''</w:t>
      </w:r>
      <w:r w:rsidRPr="00D70606">
        <w:rPr>
          <w:rFonts w:eastAsia="Times New Roman" w:cs="Times New Roman"/>
          <w:snapToGrid w:val="0"/>
          <w:color w:val="000000"/>
          <w:sz w:val="20"/>
          <w:szCs w:val="20"/>
          <w:lang w:eastAsia="en-US"/>
        </w:rPr>
        <w:t>.</w:t>
      </w:r>
    </w:p>
    <w:p w:rsidR="004C0D04" w:rsidRDefault="004C0D04" w:rsidP="004C0D04">
      <w:pPr>
        <w:widowControl w:val="0"/>
        <w:spacing w:after="0"/>
        <w:rPr>
          <w:rFonts w:eastAsia="Times New Roman" w:cs="Times New Roman"/>
          <w:snapToGrid w:val="0"/>
          <w:color w:val="000000"/>
          <w:lang w:eastAsia="en-US"/>
        </w:rPr>
      </w:pPr>
      <w:r w:rsidRPr="00D70606">
        <w:rPr>
          <w:rFonts w:eastAsia="Times New Roman" w:cs="Times New Roman"/>
          <w:snapToGrid w:val="0"/>
          <w:color w:val="000000"/>
          <w:sz w:val="20"/>
          <w:szCs w:val="20"/>
          <w:lang w:eastAsia="en-US"/>
        </w:rPr>
        <w:t>FCM: ferric carboxymaltose, IDA: iron deficiency anaemia, IP: iron polymaltose</w:t>
      </w:r>
    </w:p>
    <w:p w:rsidR="004C0D04" w:rsidRPr="009A537C" w:rsidRDefault="004C0D04" w:rsidP="004C0D04">
      <w:pPr>
        <w:rPr>
          <w:b/>
          <w:sz w:val="28"/>
        </w:rPr>
      </w:pPr>
    </w:p>
    <w:p w:rsidR="002E5F54" w:rsidRDefault="002E5F54">
      <w:pPr>
        <w:spacing w:line="276" w:lineRule="auto"/>
        <w:rPr>
          <w:b/>
          <w:sz w:val="28"/>
          <w:szCs w:val="28"/>
          <w:lang w:eastAsia="en-US"/>
        </w:rPr>
      </w:pPr>
      <w:r>
        <w:rPr>
          <w:b/>
          <w:sz w:val="28"/>
          <w:szCs w:val="28"/>
          <w:lang w:eastAsia="en-US"/>
        </w:rPr>
        <w:br w:type="page"/>
      </w:r>
    </w:p>
    <w:p w:rsidR="009C017C" w:rsidRDefault="009C017C" w:rsidP="002E5F54">
      <w:pPr>
        <w:rPr>
          <w:b/>
          <w:sz w:val="28"/>
        </w:rPr>
        <w:sectPr w:rsidR="009C017C" w:rsidSect="009C017C">
          <w:pgSz w:w="16838" w:h="11906" w:orient="landscape"/>
          <w:pgMar w:top="1588" w:right="1644" w:bottom="1361" w:left="1644" w:header="709" w:footer="709" w:gutter="0"/>
          <w:cols w:space="708"/>
          <w:docGrid w:linePitch="360"/>
        </w:sectPr>
      </w:pPr>
    </w:p>
    <w:p w:rsidR="002E5F54" w:rsidRPr="002A2AAB" w:rsidRDefault="0000615C" w:rsidP="002E5F54">
      <w:r>
        <w:rPr>
          <w:b/>
          <w:sz w:val="28"/>
        </w:rPr>
        <w:lastRenderedPageBreak/>
        <w:t xml:space="preserve">Appendix C: </w:t>
      </w:r>
      <w:r w:rsidR="002E5F54">
        <w:rPr>
          <w:b/>
          <w:sz w:val="28"/>
        </w:rPr>
        <w:t>Number of prescriptions for FCM, IP and IS by setting</w:t>
      </w:r>
    </w:p>
    <w:p w:rsidR="002E5F54" w:rsidRPr="002A2AAB" w:rsidRDefault="002E5F54" w:rsidP="002E5F54">
      <w:pPr>
        <w:spacing w:after="0"/>
      </w:pPr>
      <w:r>
        <w:rPr>
          <w:noProof/>
        </w:rPr>
        <w:drawing>
          <wp:inline distT="0" distB="0" distL="0" distR="0" wp14:anchorId="1A3676A5" wp14:editId="05DF2685">
            <wp:extent cx="5687695" cy="3969841"/>
            <wp:effectExtent l="0" t="0" r="27305" b="12065"/>
            <wp:docPr id="6" name="Chart 6" descr="Two columns showing the number of prescriptions by year and setting" title="Number of prescriptions for FCM, IP and IS by sett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E5F54" w:rsidRDefault="002E5F54" w:rsidP="002E5F54">
      <w:pPr>
        <w:spacing w:after="0"/>
        <w:rPr>
          <w:b/>
        </w:rPr>
      </w:pPr>
      <w:r>
        <w:rPr>
          <w:b/>
        </w:rPr>
        <w:t xml:space="preserve">Figure </w:t>
      </w:r>
      <w:r w:rsidR="005E0B7F">
        <w:rPr>
          <w:b/>
        </w:rPr>
        <w:t>5</w:t>
      </w:r>
      <w:r>
        <w:rPr>
          <w:b/>
        </w:rPr>
        <w:t>: Number of FCM prescriptions by setting and listing year</w:t>
      </w:r>
    </w:p>
    <w:p w:rsidR="002E5F54" w:rsidRDefault="002E5F54" w:rsidP="002E5F54">
      <w:pPr>
        <w:pStyle w:val="Figurecaption"/>
        <w:spacing w:before="0" w:after="0"/>
      </w:pPr>
      <w:r>
        <w:t xml:space="preserve">FCM PBS-listed 1 June 2014. </w:t>
      </w:r>
      <w:r w:rsidRPr="00071894">
        <w:t>Source: D</w:t>
      </w:r>
      <w:r>
        <w:t>HS</w:t>
      </w:r>
      <w:r w:rsidRPr="00071894">
        <w:t xml:space="preserve"> database accessed </w:t>
      </w:r>
      <w:r>
        <w:t xml:space="preserve">November </w:t>
      </w:r>
      <w:r w:rsidRPr="00071894">
        <w:t>2016.</w:t>
      </w:r>
    </w:p>
    <w:p w:rsidR="002E5F54" w:rsidRDefault="002E5F54" w:rsidP="002E5F54">
      <w:pPr>
        <w:rPr>
          <w:b/>
        </w:rPr>
      </w:pPr>
    </w:p>
    <w:p w:rsidR="002E5F54" w:rsidRDefault="002E5F54" w:rsidP="002E5F54">
      <w:pPr>
        <w:spacing w:after="0"/>
        <w:rPr>
          <w:b/>
        </w:rPr>
      </w:pPr>
      <w:r>
        <w:rPr>
          <w:noProof/>
        </w:rPr>
        <w:lastRenderedPageBreak/>
        <w:drawing>
          <wp:inline distT="0" distB="0" distL="0" distR="0" wp14:anchorId="5B22C9C4" wp14:editId="02D6F4B3">
            <wp:extent cx="5688419" cy="4082902"/>
            <wp:effectExtent l="0" t="0" r="26670" b="13335"/>
            <wp:docPr id="8" name="Chart 8" descr="Three columns showing the number of scripts in each year of listing by setting" title="Number of IP prescriptions by setting and listing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E5F54" w:rsidRDefault="002E5F54" w:rsidP="002E5F54">
      <w:pPr>
        <w:spacing w:after="0"/>
        <w:rPr>
          <w:b/>
        </w:rPr>
      </w:pPr>
      <w:r>
        <w:rPr>
          <w:b/>
        </w:rPr>
        <w:t xml:space="preserve">Figure </w:t>
      </w:r>
      <w:r w:rsidR="005E0B7F">
        <w:rPr>
          <w:b/>
        </w:rPr>
        <w:t>6</w:t>
      </w:r>
      <w:r>
        <w:rPr>
          <w:b/>
        </w:rPr>
        <w:t>: Number of IP prescriptions by setting and listing year</w:t>
      </w:r>
    </w:p>
    <w:p w:rsidR="002E5F54" w:rsidRDefault="002E5F54" w:rsidP="002E5F54">
      <w:pPr>
        <w:pStyle w:val="Figurecaption"/>
        <w:spacing w:before="0" w:after="0"/>
      </w:pPr>
      <w:r>
        <w:t xml:space="preserve">FCM PBS-listed 1 June 2014. </w:t>
      </w:r>
      <w:r w:rsidRPr="00071894">
        <w:t>Source: D</w:t>
      </w:r>
      <w:r>
        <w:t>HS</w:t>
      </w:r>
      <w:r w:rsidRPr="00071894">
        <w:t xml:space="preserve"> database accessed </w:t>
      </w:r>
      <w:r>
        <w:t xml:space="preserve">November </w:t>
      </w:r>
      <w:r w:rsidRPr="00071894">
        <w:t>2016.</w:t>
      </w:r>
    </w:p>
    <w:p w:rsidR="002E5F54" w:rsidRDefault="002E5F54" w:rsidP="002E5F54">
      <w:pPr>
        <w:pStyle w:val="Figurecaption"/>
        <w:spacing w:before="0" w:after="0"/>
      </w:pPr>
    </w:p>
    <w:p w:rsidR="002E5F54" w:rsidRPr="002A2AAB" w:rsidRDefault="002E5F54" w:rsidP="002E5F54">
      <w:pPr>
        <w:pStyle w:val="Figurecaption"/>
        <w:spacing w:before="0" w:after="0"/>
        <w:rPr>
          <w:sz w:val="24"/>
          <w:szCs w:val="24"/>
        </w:rPr>
      </w:pPr>
      <w:r>
        <w:rPr>
          <w:sz w:val="24"/>
          <w:szCs w:val="24"/>
        </w:rPr>
        <w:t xml:space="preserve">The number of prescriptions dispensed by private hospitals has decreased in the two years after FCM was listed. </w:t>
      </w:r>
    </w:p>
    <w:p w:rsidR="002E5F54" w:rsidRDefault="002E5F54" w:rsidP="002E5F54">
      <w:pPr>
        <w:pStyle w:val="Figurecaption"/>
        <w:spacing w:before="0" w:after="0"/>
      </w:pPr>
      <w:r>
        <w:rPr>
          <w:noProof/>
          <w:lang w:eastAsia="en-AU"/>
        </w:rPr>
        <w:lastRenderedPageBreak/>
        <w:drawing>
          <wp:inline distT="0" distB="0" distL="0" distR="0" wp14:anchorId="70E3856D" wp14:editId="4A727883">
            <wp:extent cx="5687695" cy="4216551"/>
            <wp:effectExtent l="0" t="0" r="27305" b="12700"/>
            <wp:docPr id="9" name="Chart 9" descr="Three columns showing the number of scripts in each year of listing by setting" title="Number of IS prescriptions by setting and listing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E5F54" w:rsidRDefault="002E5F54" w:rsidP="002E5F54">
      <w:pPr>
        <w:spacing w:after="0"/>
        <w:rPr>
          <w:b/>
        </w:rPr>
      </w:pPr>
      <w:r>
        <w:rPr>
          <w:b/>
        </w:rPr>
        <w:t xml:space="preserve">Figure </w:t>
      </w:r>
      <w:r w:rsidR="005E0B7F">
        <w:rPr>
          <w:b/>
        </w:rPr>
        <w:t>7</w:t>
      </w:r>
      <w:r>
        <w:rPr>
          <w:b/>
        </w:rPr>
        <w:t>: Number of IS prescriptions by setting and listing year</w:t>
      </w:r>
    </w:p>
    <w:p w:rsidR="002E5F54" w:rsidRDefault="002E5F54" w:rsidP="002E5F54">
      <w:pPr>
        <w:pStyle w:val="Figurecaption"/>
        <w:spacing w:before="0" w:after="0"/>
      </w:pPr>
      <w:r>
        <w:t xml:space="preserve">FCM PBS-listed 1 June 2014. </w:t>
      </w:r>
      <w:r w:rsidRPr="00071894">
        <w:t>Source: D</w:t>
      </w:r>
      <w:r>
        <w:t>HS</w:t>
      </w:r>
      <w:r w:rsidRPr="00071894">
        <w:t xml:space="preserve"> database accessed </w:t>
      </w:r>
      <w:r>
        <w:t xml:space="preserve">November </w:t>
      </w:r>
      <w:r w:rsidRPr="00071894">
        <w:t>2016.</w:t>
      </w:r>
    </w:p>
    <w:p w:rsidR="005F0017" w:rsidRDefault="005F0017">
      <w:pPr>
        <w:spacing w:line="276" w:lineRule="auto"/>
        <w:rPr>
          <w:b/>
          <w:sz w:val="28"/>
          <w:szCs w:val="28"/>
          <w:lang w:eastAsia="en-US"/>
        </w:rPr>
      </w:pPr>
    </w:p>
    <w:sectPr w:rsidR="005F0017" w:rsidSect="009C017C">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334" w:rsidRDefault="00762334" w:rsidP="00A35800">
      <w:r>
        <w:separator/>
      </w:r>
    </w:p>
  </w:endnote>
  <w:endnote w:type="continuationSeparator" w:id="0">
    <w:p w:rsidR="00762334" w:rsidRDefault="00762334"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libri+FPE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9A" w:rsidRDefault="00E0039A"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E0039A" w:rsidRDefault="00E0039A"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E0039A" w:rsidRPr="000E72C6" w:rsidRDefault="00E0039A" w:rsidP="000E72C6">
            <w:pPr>
              <w:pStyle w:val="Footer"/>
              <w:jc w:val="center"/>
              <w:rPr>
                <w:i/>
                <w:sz w:val="20"/>
              </w:rPr>
            </w:pPr>
            <w:r>
              <w:rPr>
                <w:i/>
                <w:sz w:val="20"/>
              </w:rPr>
              <w:t>Public Release Document, February 2017 DUSC Meeting</w:t>
            </w:r>
          </w:p>
          <w:p w:rsidR="00E0039A" w:rsidRDefault="00E0039A"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762334">
              <w:rPr>
                <w:bCs/>
                <w:i/>
                <w:noProof/>
                <w:sz w:val="20"/>
              </w:rPr>
              <w:t>17</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762334">
              <w:rPr>
                <w:bCs/>
                <w:i/>
                <w:noProof/>
                <w:sz w:val="20"/>
              </w:rPr>
              <w:t>29</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9A" w:rsidRDefault="00E0039A" w:rsidP="007A5733">
    <w:pPr>
      <w:pStyle w:val="Footer"/>
      <w:jc w:val="center"/>
      <w:rPr>
        <w:rStyle w:val="PageNumber"/>
      </w:rPr>
    </w:pPr>
    <w:r>
      <w:rPr>
        <w:rStyle w:val="PageNumber"/>
      </w:rPr>
      <w:t>Committee-in-Confidence</w:t>
    </w:r>
  </w:p>
  <w:p w:rsidR="00E0039A" w:rsidRDefault="00E0039A"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334" w:rsidRDefault="00762334" w:rsidP="00A35800">
      <w:r>
        <w:separator/>
      </w:r>
    </w:p>
  </w:footnote>
  <w:footnote w:type="continuationSeparator" w:id="0">
    <w:p w:rsidR="00762334" w:rsidRDefault="00762334" w:rsidP="00A35800">
      <w:r>
        <w:continuationSeparator/>
      </w:r>
    </w:p>
  </w:footnote>
  <w:footnote w:id="1">
    <w:p w:rsidR="00E0039A" w:rsidRDefault="00E0039A" w:rsidP="00292120">
      <w:pPr>
        <w:pStyle w:val="FootnoteText"/>
      </w:pPr>
      <w:r>
        <w:rPr>
          <w:rStyle w:val="FootnoteReference"/>
        </w:rPr>
        <w:footnoteRef/>
      </w:r>
      <w:r>
        <w:t xml:space="preserve"> Ferinject (ferric carboxymaltose), </w:t>
      </w:r>
      <w:r>
        <w:rPr>
          <w:szCs w:val="18"/>
        </w:rPr>
        <w:t xml:space="preserve">Australian Approved Product Information. Melbourne: Vifor Pharma Pty Ltd. Approved 5 April 2011, updated 1 July 2016. Available from </w:t>
      </w:r>
      <w:hyperlink r:id="rId1" w:history="1">
        <w:r w:rsidRPr="00D3482A">
          <w:rPr>
            <w:rStyle w:val="Hyperlink"/>
            <w:szCs w:val="18"/>
          </w:rPr>
          <w:t>https://www.tga.gov.au/product-information-pi.</w:t>
        </w:r>
      </w:hyperlink>
      <w:r>
        <w:rPr>
          <w:szCs w:val="18"/>
        </w:rPr>
        <w:t xml:space="preserve"> </w:t>
      </w:r>
    </w:p>
  </w:footnote>
  <w:footnote w:id="2">
    <w:p w:rsidR="00E0039A" w:rsidRDefault="00E0039A" w:rsidP="00F96A18">
      <w:pPr>
        <w:pStyle w:val="FootnoteText"/>
      </w:pPr>
      <w:r>
        <w:rPr>
          <w:rStyle w:val="FootnoteReference"/>
        </w:rPr>
        <w:footnoteRef/>
      </w:r>
      <w:r>
        <w:t xml:space="preserve"> Pasricha SRS, Flecknoe-Brown SC, Allen KJ, Gibson PR, McMahon LP, Olnyk JK et al. Diagnosis and management of iron deficiency anaemia: a clinical update. Med J Aust 2010; 193 (9): 525-532. Available at: </w:t>
      </w:r>
      <w:hyperlink r:id="rId2" w:history="1">
        <w:r w:rsidRPr="002F02D7">
          <w:rPr>
            <w:rStyle w:val="Hyperlink"/>
          </w:rPr>
          <w:t>https://www.mja.com.au/system/files/issues/193_09_011110/pas10224_fm.pdf</w:t>
        </w:r>
      </w:hyperlink>
      <w:r>
        <w:t xml:space="preserve"> Accessed 9 November 2016. </w:t>
      </w:r>
    </w:p>
  </w:footnote>
  <w:footnote w:id="3">
    <w:p w:rsidR="00E0039A" w:rsidRDefault="00E0039A" w:rsidP="00F96A18">
      <w:pPr>
        <w:pStyle w:val="FootnoteText"/>
      </w:pPr>
      <w:r>
        <w:rPr>
          <w:rStyle w:val="FootnoteReference"/>
        </w:rPr>
        <w:footnoteRef/>
      </w:r>
      <w:r>
        <w:t xml:space="preserve"> NPS MedicineWise, 1 October 2010. Available at: </w:t>
      </w:r>
      <w:hyperlink r:id="rId3" w:history="1">
        <w:r w:rsidRPr="002F02D7">
          <w:rPr>
            <w:rStyle w:val="Hyperlink"/>
          </w:rPr>
          <w:t>http://www.nps.org.au/publications/health-professional/nps-news/2010/iron-anaemia</w:t>
        </w:r>
      </w:hyperlink>
      <w:r>
        <w:t>. Accessed 9 November 2016.</w:t>
      </w:r>
    </w:p>
  </w:footnote>
  <w:footnote w:id="4">
    <w:p w:rsidR="00E0039A" w:rsidRDefault="00E0039A">
      <w:pPr>
        <w:pStyle w:val="FootnoteText"/>
      </w:pPr>
      <w:r>
        <w:rPr>
          <w:rStyle w:val="FootnoteReference"/>
        </w:rPr>
        <w:footnoteRef/>
      </w:r>
      <w:r>
        <w:t xml:space="preserve"> Pasricha SR. Should we screen for iron deficiency anaemia? A review of the evidence and recent recommendations. Journal of Royal College of Pathologists of Australasia 2012; 44 (2): 139-147.</w:t>
      </w:r>
    </w:p>
  </w:footnote>
  <w:footnote w:id="5">
    <w:p w:rsidR="00E0039A" w:rsidRDefault="00E0039A">
      <w:pPr>
        <w:pStyle w:val="FootnoteText"/>
      </w:pPr>
      <w:r>
        <w:rPr>
          <w:rStyle w:val="FootnoteReference"/>
        </w:rPr>
        <w:footnoteRef/>
      </w:r>
      <w:r>
        <w:t xml:space="preserve"> Electronic Therapeutic Guidelines. Iron deficiency. Therapeutic Guidelines Ltd (eTG July 2016 Edition). Published March 2016. Accessed 9 November 2016.</w:t>
      </w:r>
    </w:p>
  </w:footnote>
  <w:footnote w:id="6">
    <w:p w:rsidR="00E0039A" w:rsidRDefault="00E0039A">
      <w:pPr>
        <w:pStyle w:val="FootnoteText"/>
      </w:pPr>
      <w:r>
        <w:rPr>
          <w:rStyle w:val="FootnoteReference"/>
        </w:rPr>
        <w:footnoteRef/>
      </w:r>
      <w:r>
        <w:t xml:space="preserve"> Baird-Gunning J and Bromley J. Correcting iron deficiency. NPS MedicineWise Australian Prescriber 2016; 39: 193-199. </w:t>
      </w:r>
      <w:r w:rsidRPr="004C0D04">
        <w:t>DOI: 10.18773/austprescr.2016.069</w:t>
      </w:r>
      <w:r>
        <w:t xml:space="preserve"> Accessed 9 December 2016.</w:t>
      </w:r>
    </w:p>
  </w:footnote>
  <w:footnote w:id="7">
    <w:p w:rsidR="00E0039A" w:rsidRDefault="00E0039A">
      <w:pPr>
        <w:pStyle w:val="FootnoteText"/>
      </w:pPr>
      <w:r>
        <w:rPr>
          <w:rStyle w:val="FootnoteReference"/>
        </w:rPr>
        <w:footnoteRef/>
      </w:r>
      <w:r>
        <w:t xml:space="preserve"> NPS MedicineWise Radar. Ferric carboxymaltose (Ferinject) for iron-deficiency anaemia 2014. Available at: </w:t>
      </w:r>
      <w:hyperlink r:id="rId4" w:history="1">
        <w:r w:rsidRPr="00E02A1E">
          <w:rPr>
            <w:rStyle w:val="Hyperlink"/>
          </w:rPr>
          <w:t>https://www.nps.org.au/radar/articles/ferric-carboxymaltose-ferinject-for-iron-deficiency-anaemia</w:t>
        </w:r>
      </w:hyperlink>
      <w:r>
        <w:t xml:space="preserve"> Accessed 11 November 2016.</w:t>
      </w:r>
    </w:p>
  </w:footnote>
  <w:footnote w:id="8">
    <w:p w:rsidR="00E0039A" w:rsidRDefault="00E0039A" w:rsidP="00292120">
      <w:pPr>
        <w:pStyle w:val="FootnoteText"/>
      </w:pPr>
      <w:r>
        <w:rPr>
          <w:rStyle w:val="FootnoteReference"/>
        </w:rPr>
        <w:footnoteRef/>
      </w:r>
      <w:r>
        <w:t xml:space="preserve"> Ferrum H (iron polymaltose), </w:t>
      </w:r>
      <w:r>
        <w:rPr>
          <w:szCs w:val="18"/>
        </w:rPr>
        <w:t xml:space="preserve">Australian Approved Product Information. Melbourne: Vifor Pharma Pty Ltd. Approved 27 May 1999, updated 2 June 2015. Available from </w:t>
      </w:r>
      <w:hyperlink r:id="rId5" w:history="1">
        <w:r w:rsidRPr="00D3482A">
          <w:rPr>
            <w:rStyle w:val="Hyperlink"/>
            <w:szCs w:val="18"/>
          </w:rPr>
          <w:t>https://www.tga.gov.au/product-information-pi.</w:t>
        </w:r>
      </w:hyperlink>
    </w:p>
  </w:footnote>
  <w:footnote w:id="9">
    <w:p w:rsidR="00E0039A" w:rsidRDefault="00E0039A" w:rsidP="00292120">
      <w:pPr>
        <w:pStyle w:val="FootnoteText"/>
      </w:pPr>
      <w:r>
        <w:rPr>
          <w:rStyle w:val="FootnoteReference"/>
        </w:rPr>
        <w:footnoteRef/>
      </w:r>
      <w:r>
        <w:t xml:space="preserve"> Wilt TJ, MacDonald R, Ouelette J, Tacklind J, Khawaja I. Rutks I et al. Treatment for Restless Legs Syndrome: Comparative effectiveness review. AHRQ Publication 2012; 86. </w:t>
      </w:r>
    </w:p>
  </w:footnote>
  <w:footnote w:id="10">
    <w:p w:rsidR="00E0039A" w:rsidRPr="00BC5AE2" w:rsidRDefault="00E0039A" w:rsidP="00712F2B">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6" w:history="1">
        <w:r>
          <w:rPr>
            <w:rStyle w:val="Hyperlink"/>
            <w:sz w:val="20"/>
          </w:rPr>
          <w:t>http://www.medicareaustralia.gov.au/provider/pbs/stats.jsp</w:t>
        </w:r>
      </w:hyperlink>
      <w:r>
        <w:rPr>
          <w:sz w:val="20"/>
        </w:rPr>
        <w:t>&gt;.</w:t>
      </w:r>
    </w:p>
  </w:footnote>
  <w:footnote w:id="11">
    <w:p w:rsidR="00E0039A" w:rsidRDefault="00E0039A">
      <w:pPr>
        <w:pStyle w:val="FootnoteText"/>
      </w:pPr>
      <w:r>
        <w:rPr>
          <w:rStyle w:val="FootnoteReference"/>
        </w:rPr>
        <w:footnoteRef/>
      </w:r>
      <w:r>
        <w:t xml:space="preserve"> </w:t>
      </w:r>
      <w:r w:rsidRPr="001A0D3C">
        <w:t xml:space="preserve">The Pharmaceutical Benefits Advisory Committee Public Summary Document for ferric carboxymaltose November 2013. Available at </w:t>
      </w:r>
      <w:hyperlink r:id="rId7" w:history="1">
        <w:r w:rsidRPr="001A0D3C">
          <w:rPr>
            <w:rStyle w:val="Hyperlink"/>
          </w:rPr>
          <w:t>http://www.pbs.gov.au/info/industry/listing/elements/pbac-meetings/psd/2013-11/ferric-carboxymaltose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9A" w:rsidRDefault="00E00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9A" w:rsidRDefault="00E00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9A" w:rsidRDefault="00E00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25E0"/>
    <w:multiLevelType w:val="hybridMultilevel"/>
    <w:tmpl w:val="7286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D3676C"/>
    <w:multiLevelType w:val="hybridMultilevel"/>
    <w:tmpl w:val="F078E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E652CE4"/>
    <w:multiLevelType w:val="hybridMultilevel"/>
    <w:tmpl w:val="9C9A6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9A1EBD"/>
    <w:multiLevelType w:val="hybridMultilevel"/>
    <w:tmpl w:val="E91A43B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22763BCD"/>
    <w:multiLevelType w:val="hybridMultilevel"/>
    <w:tmpl w:val="B376357C"/>
    <w:lvl w:ilvl="0" w:tplc="1E4491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7C01961"/>
    <w:multiLevelType w:val="hybridMultilevel"/>
    <w:tmpl w:val="61C64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BA35189"/>
    <w:multiLevelType w:val="hybridMultilevel"/>
    <w:tmpl w:val="10A62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3C5901"/>
    <w:multiLevelType w:val="hybridMultilevel"/>
    <w:tmpl w:val="FA82F86C"/>
    <w:lvl w:ilvl="0" w:tplc="27E6FB00">
      <w:start w:val="20"/>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32133D6"/>
    <w:multiLevelType w:val="hybridMultilevel"/>
    <w:tmpl w:val="E452D394"/>
    <w:lvl w:ilvl="0" w:tplc="214A8F2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9DD18AE"/>
    <w:multiLevelType w:val="hybridMultilevel"/>
    <w:tmpl w:val="DD9AE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EC53E7D"/>
    <w:multiLevelType w:val="hybridMultilevel"/>
    <w:tmpl w:val="54CA53B6"/>
    <w:lvl w:ilvl="0" w:tplc="1E4491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9BC5196"/>
    <w:multiLevelType w:val="multilevel"/>
    <w:tmpl w:val="67AEDE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B0E5FB0"/>
    <w:multiLevelType w:val="hybridMultilevel"/>
    <w:tmpl w:val="53FEC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B367BB6"/>
    <w:multiLevelType w:val="hybridMultilevel"/>
    <w:tmpl w:val="B630C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DAB301B"/>
    <w:multiLevelType w:val="hybridMultilevel"/>
    <w:tmpl w:val="DB746C54"/>
    <w:lvl w:ilvl="0" w:tplc="1E4491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FDF4884"/>
    <w:multiLevelType w:val="hybridMultilevel"/>
    <w:tmpl w:val="7E26E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61C91789"/>
    <w:multiLevelType w:val="hybridMultilevel"/>
    <w:tmpl w:val="91480C7C"/>
    <w:lvl w:ilvl="0" w:tplc="1E4491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9AE1328"/>
    <w:multiLevelType w:val="hybridMultilevel"/>
    <w:tmpl w:val="524A5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28947B7"/>
    <w:multiLevelType w:val="hybridMultilevel"/>
    <w:tmpl w:val="0A024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E210537"/>
    <w:multiLevelType w:val="hybridMultilevel"/>
    <w:tmpl w:val="7BA04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6"/>
  </w:num>
  <w:num w:numId="4">
    <w:abstractNumId w:val="0"/>
  </w:num>
  <w:num w:numId="5">
    <w:abstractNumId w:val="9"/>
  </w:num>
  <w:num w:numId="6">
    <w:abstractNumId w:val="5"/>
  </w:num>
  <w:num w:numId="7">
    <w:abstractNumId w:val="13"/>
  </w:num>
  <w:num w:numId="8">
    <w:abstractNumId w:val="1"/>
  </w:num>
  <w:num w:numId="9">
    <w:abstractNumId w:val="12"/>
  </w:num>
  <w:num w:numId="10">
    <w:abstractNumId w:val="15"/>
  </w:num>
  <w:num w:numId="11">
    <w:abstractNumId w:val="19"/>
  </w:num>
  <w:num w:numId="12">
    <w:abstractNumId w:val="22"/>
  </w:num>
  <w:num w:numId="13">
    <w:abstractNumId w:val="18"/>
  </w:num>
  <w:num w:numId="14">
    <w:abstractNumId w:val="11"/>
  </w:num>
  <w:num w:numId="15">
    <w:abstractNumId w:val="3"/>
  </w:num>
  <w:num w:numId="16">
    <w:abstractNumId w:val="2"/>
  </w:num>
  <w:num w:numId="17">
    <w:abstractNumId w:val="4"/>
  </w:num>
  <w:num w:numId="18">
    <w:abstractNumId w:val="14"/>
  </w:num>
  <w:num w:numId="19">
    <w:abstractNumId w:val="16"/>
  </w:num>
  <w:num w:numId="20">
    <w:abstractNumId w:val="7"/>
  </w:num>
  <w:num w:numId="21">
    <w:abstractNumId w:val="8"/>
  </w:num>
  <w:num w:numId="22">
    <w:abstractNumId w:val="21"/>
  </w:num>
  <w:num w:numId="23">
    <w:abstractNumId w:val="1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2B29"/>
    <w:rsid w:val="000034F0"/>
    <w:rsid w:val="0000402E"/>
    <w:rsid w:val="00005D78"/>
    <w:rsid w:val="00006115"/>
    <w:rsid w:val="0000615C"/>
    <w:rsid w:val="00006551"/>
    <w:rsid w:val="00007E85"/>
    <w:rsid w:val="00013465"/>
    <w:rsid w:val="000141CE"/>
    <w:rsid w:val="00015BF6"/>
    <w:rsid w:val="000226B3"/>
    <w:rsid w:val="000240E3"/>
    <w:rsid w:val="00024549"/>
    <w:rsid w:val="00031DE5"/>
    <w:rsid w:val="00032F07"/>
    <w:rsid w:val="000333D7"/>
    <w:rsid w:val="00033469"/>
    <w:rsid w:val="0003456F"/>
    <w:rsid w:val="00036CE9"/>
    <w:rsid w:val="00036E83"/>
    <w:rsid w:val="000403B9"/>
    <w:rsid w:val="00044448"/>
    <w:rsid w:val="000445D7"/>
    <w:rsid w:val="000515CB"/>
    <w:rsid w:val="00053283"/>
    <w:rsid w:val="000533F4"/>
    <w:rsid w:val="0005437B"/>
    <w:rsid w:val="000544B6"/>
    <w:rsid w:val="000604AF"/>
    <w:rsid w:val="00063DA2"/>
    <w:rsid w:val="00065162"/>
    <w:rsid w:val="00065A57"/>
    <w:rsid w:val="00067C5F"/>
    <w:rsid w:val="0007183F"/>
    <w:rsid w:val="00072A7C"/>
    <w:rsid w:val="00073CE5"/>
    <w:rsid w:val="00077860"/>
    <w:rsid w:val="00080395"/>
    <w:rsid w:val="00086C11"/>
    <w:rsid w:val="00087CB1"/>
    <w:rsid w:val="000904A6"/>
    <w:rsid w:val="00094DCF"/>
    <w:rsid w:val="000A0FA8"/>
    <w:rsid w:val="000A1196"/>
    <w:rsid w:val="000A2CAF"/>
    <w:rsid w:val="000A3615"/>
    <w:rsid w:val="000A6CF9"/>
    <w:rsid w:val="000A6CFD"/>
    <w:rsid w:val="000A7000"/>
    <w:rsid w:val="000A780E"/>
    <w:rsid w:val="000B0982"/>
    <w:rsid w:val="000B333D"/>
    <w:rsid w:val="000B6681"/>
    <w:rsid w:val="000B796C"/>
    <w:rsid w:val="000C1AAA"/>
    <w:rsid w:val="000C46BB"/>
    <w:rsid w:val="000C4D9D"/>
    <w:rsid w:val="000C7C4B"/>
    <w:rsid w:val="000C7D8B"/>
    <w:rsid w:val="000D1B91"/>
    <w:rsid w:val="000D4E10"/>
    <w:rsid w:val="000D68CD"/>
    <w:rsid w:val="000E378C"/>
    <w:rsid w:val="000E3A34"/>
    <w:rsid w:val="000E485D"/>
    <w:rsid w:val="000E72C6"/>
    <w:rsid w:val="000E7C2E"/>
    <w:rsid w:val="000F0BEB"/>
    <w:rsid w:val="000F1893"/>
    <w:rsid w:val="000F240B"/>
    <w:rsid w:val="000F2F51"/>
    <w:rsid w:val="000F44ED"/>
    <w:rsid w:val="001020C7"/>
    <w:rsid w:val="001067CF"/>
    <w:rsid w:val="0011385E"/>
    <w:rsid w:val="00113CF8"/>
    <w:rsid w:val="00113D74"/>
    <w:rsid w:val="001152CB"/>
    <w:rsid w:val="00117C5C"/>
    <w:rsid w:val="001235FE"/>
    <w:rsid w:val="00123E7E"/>
    <w:rsid w:val="00127ABC"/>
    <w:rsid w:val="00130E59"/>
    <w:rsid w:val="001310AE"/>
    <w:rsid w:val="00131872"/>
    <w:rsid w:val="00135445"/>
    <w:rsid w:val="001372C4"/>
    <w:rsid w:val="00137697"/>
    <w:rsid w:val="00137B05"/>
    <w:rsid w:val="0014033A"/>
    <w:rsid w:val="0014074A"/>
    <w:rsid w:val="001420B3"/>
    <w:rsid w:val="00144CC1"/>
    <w:rsid w:val="001460C4"/>
    <w:rsid w:val="0015691C"/>
    <w:rsid w:val="00160D9A"/>
    <w:rsid w:val="00161CFA"/>
    <w:rsid w:val="001621F7"/>
    <w:rsid w:val="001624D7"/>
    <w:rsid w:val="00164DCD"/>
    <w:rsid w:val="00177457"/>
    <w:rsid w:val="00177B86"/>
    <w:rsid w:val="0018126A"/>
    <w:rsid w:val="00182585"/>
    <w:rsid w:val="00184EFA"/>
    <w:rsid w:val="00186044"/>
    <w:rsid w:val="00191182"/>
    <w:rsid w:val="0019664D"/>
    <w:rsid w:val="0019691F"/>
    <w:rsid w:val="001A0D3C"/>
    <w:rsid w:val="001A2867"/>
    <w:rsid w:val="001A6103"/>
    <w:rsid w:val="001B32E7"/>
    <w:rsid w:val="001B5D37"/>
    <w:rsid w:val="001B7BEB"/>
    <w:rsid w:val="001C2940"/>
    <w:rsid w:val="001C4016"/>
    <w:rsid w:val="001C538D"/>
    <w:rsid w:val="001C548D"/>
    <w:rsid w:val="001C6A5D"/>
    <w:rsid w:val="001D191E"/>
    <w:rsid w:val="001D339A"/>
    <w:rsid w:val="001D5317"/>
    <w:rsid w:val="001E086E"/>
    <w:rsid w:val="001E31A6"/>
    <w:rsid w:val="001E3A02"/>
    <w:rsid w:val="001E42C7"/>
    <w:rsid w:val="001E4CAB"/>
    <w:rsid w:val="001E5327"/>
    <w:rsid w:val="001F2F3E"/>
    <w:rsid w:val="001F4906"/>
    <w:rsid w:val="001F7C4A"/>
    <w:rsid w:val="00201920"/>
    <w:rsid w:val="002032DB"/>
    <w:rsid w:val="0020578A"/>
    <w:rsid w:val="00207631"/>
    <w:rsid w:val="00212230"/>
    <w:rsid w:val="00213718"/>
    <w:rsid w:val="00214013"/>
    <w:rsid w:val="00216EB4"/>
    <w:rsid w:val="00220FC1"/>
    <w:rsid w:val="00222E9A"/>
    <w:rsid w:val="00223816"/>
    <w:rsid w:val="0022617A"/>
    <w:rsid w:val="002269B0"/>
    <w:rsid w:val="00226E51"/>
    <w:rsid w:val="00227251"/>
    <w:rsid w:val="0023145D"/>
    <w:rsid w:val="0023179D"/>
    <w:rsid w:val="00235528"/>
    <w:rsid w:val="002369B0"/>
    <w:rsid w:val="002370B4"/>
    <w:rsid w:val="00242E60"/>
    <w:rsid w:val="0024393A"/>
    <w:rsid w:val="002445C0"/>
    <w:rsid w:val="00247ABD"/>
    <w:rsid w:val="00251D38"/>
    <w:rsid w:val="0025389D"/>
    <w:rsid w:val="00254A70"/>
    <w:rsid w:val="00254E02"/>
    <w:rsid w:val="00260366"/>
    <w:rsid w:val="0026265F"/>
    <w:rsid w:val="00275BBC"/>
    <w:rsid w:val="0028034F"/>
    <w:rsid w:val="002831E3"/>
    <w:rsid w:val="00284149"/>
    <w:rsid w:val="002846F6"/>
    <w:rsid w:val="00286C3A"/>
    <w:rsid w:val="00286C71"/>
    <w:rsid w:val="00291636"/>
    <w:rsid w:val="00292120"/>
    <w:rsid w:val="002930F5"/>
    <w:rsid w:val="00294FEF"/>
    <w:rsid w:val="00296172"/>
    <w:rsid w:val="002A062C"/>
    <w:rsid w:val="002A06B7"/>
    <w:rsid w:val="002A09B9"/>
    <w:rsid w:val="002A1B90"/>
    <w:rsid w:val="002A2640"/>
    <w:rsid w:val="002A2AAB"/>
    <w:rsid w:val="002B2E9B"/>
    <w:rsid w:val="002B31DA"/>
    <w:rsid w:val="002B486E"/>
    <w:rsid w:val="002C0070"/>
    <w:rsid w:val="002C1EE4"/>
    <w:rsid w:val="002C4BC6"/>
    <w:rsid w:val="002C6E0C"/>
    <w:rsid w:val="002C6EA3"/>
    <w:rsid w:val="002D144A"/>
    <w:rsid w:val="002D2AC1"/>
    <w:rsid w:val="002D6BA4"/>
    <w:rsid w:val="002E18F0"/>
    <w:rsid w:val="002E19A3"/>
    <w:rsid w:val="002E212B"/>
    <w:rsid w:val="002E214F"/>
    <w:rsid w:val="002E3337"/>
    <w:rsid w:val="002E5AEE"/>
    <w:rsid w:val="002E5F54"/>
    <w:rsid w:val="002E6D03"/>
    <w:rsid w:val="002F1ACD"/>
    <w:rsid w:val="002F3DD1"/>
    <w:rsid w:val="002F49A8"/>
    <w:rsid w:val="002F5E66"/>
    <w:rsid w:val="002F61CA"/>
    <w:rsid w:val="0030010D"/>
    <w:rsid w:val="003013F0"/>
    <w:rsid w:val="00302B4A"/>
    <w:rsid w:val="0031324A"/>
    <w:rsid w:val="00320C96"/>
    <w:rsid w:val="00322771"/>
    <w:rsid w:val="003260A6"/>
    <w:rsid w:val="0033504C"/>
    <w:rsid w:val="00336816"/>
    <w:rsid w:val="003370D0"/>
    <w:rsid w:val="00337355"/>
    <w:rsid w:val="003402E4"/>
    <w:rsid w:val="00340F95"/>
    <w:rsid w:val="003531ED"/>
    <w:rsid w:val="003576A7"/>
    <w:rsid w:val="00360B9A"/>
    <w:rsid w:val="00372EA8"/>
    <w:rsid w:val="003810D9"/>
    <w:rsid w:val="00383FB1"/>
    <w:rsid w:val="00386F04"/>
    <w:rsid w:val="003875F8"/>
    <w:rsid w:val="0039017F"/>
    <w:rsid w:val="00390629"/>
    <w:rsid w:val="00394AEE"/>
    <w:rsid w:val="00395D6F"/>
    <w:rsid w:val="00396594"/>
    <w:rsid w:val="003A31D3"/>
    <w:rsid w:val="003A61C7"/>
    <w:rsid w:val="003A7199"/>
    <w:rsid w:val="003A7D73"/>
    <w:rsid w:val="003B01D3"/>
    <w:rsid w:val="003B1B1A"/>
    <w:rsid w:val="003B35DF"/>
    <w:rsid w:val="003C0FED"/>
    <w:rsid w:val="003C2D98"/>
    <w:rsid w:val="003C3CFC"/>
    <w:rsid w:val="003D23A9"/>
    <w:rsid w:val="003D3A96"/>
    <w:rsid w:val="003D3B9C"/>
    <w:rsid w:val="003E5DFD"/>
    <w:rsid w:val="003F163C"/>
    <w:rsid w:val="003F60EF"/>
    <w:rsid w:val="003F66E1"/>
    <w:rsid w:val="003F7BA7"/>
    <w:rsid w:val="00401EAF"/>
    <w:rsid w:val="00403846"/>
    <w:rsid w:val="00404F03"/>
    <w:rsid w:val="00412051"/>
    <w:rsid w:val="00417329"/>
    <w:rsid w:val="00423B94"/>
    <w:rsid w:val="00423E11"/>
    <w:rsid w:val="00437A75"/>
    <w:rsid w:val="00444A41"/>
    <w:rsid w:val="00447F6E"/>
    <w:rsid w:val="00451ADE"/>
    <w:rsid w:val="00452046"/>
    <w:rsid w:val="00460A38"/>
    <w:rsid w:val="00463731"/>
    <w:rsid w:val="00463B80"/>
    <w:rsid w:val="0046400A"/>
    <w:rsid w:val="004672D3"/>
    <w:rsid w:val="00467B25"/>
    <w:rsid w:val="00471CA2"/>
    <w:rsid w:val="004736E2"/>
    <w:rsid w:val="0047404B"/>
    <w:rsid w:val="004766B1"/>
    <w:rsid w:val="00480B9F"/>
    <w:rsid w:val="00481108"/>
    <w:rsid w:val="00484D71"/>
    <w:rsid w:val="00485F60"/>
    <w:rsid w:val="00486DA0"/>
    <w:rsid w:val="0048715B"/>
    <w:rsid w:val="0049042B"/>
    <w:rsid w:val="0049466D"/>
    <w:rsid w:val="00494A19"/>
    <w:rsid w:val="00494F8C"/>
    <w:rsid w:val="00495473"/>
    <w:rsid w:val="004962FA"/>
    <w:rsid w:val="004A40DF"/>
    <w:rsid w:val="004A458E"/>
    <w:rsid w:val="004B23E7"/>
    <w:rsid w:val="004B306F"/>
    <w:rsid w:val="004B7F8B"/>
    <w:rsid w:val="004C0D04"/>
    <w:rsid w:val="004C3186"/>
    <w:rsid w:val="004C5042"/>
    <w:rsid w:val="004C6F43"/>
    <w:rsid w:val="004D2A0B"/>
    <w:rsid w:val="004E4422"/>
    <w:rsid w:val="004E5803"/>
    <w:rsid w:val="004F2A00"/>
    <w:rsid w:val="004F335B"/>
    <w:rsid w:val="004F6413"/>
    <w:rsid w:val="00503998"/>
    <w:rsid w:val="0050623B"/>
    <w:rsid w:val="005103A7"/>
    <w:rsid w:val="00510D4C"/>
    <w:rsid w:val="005125D0"/>
    <w:rsid w:val="005137DD"/>
    <w:rsid w:val="00514645"/>
    <w:rsid w:val="005151C5"/>
    <w:rsid w:val="00516734"/>
    <w:rsid w:val="00520754"/>
    <w:rsid w:val="00523181"/>
    <w:rsid w:val="0052360F"/>
    <w:rsid w:val="00523E32"/>
    <w:rsid w:val="00524D13"/>
    <w:rsid w:val="00527DE1"/>
    <w:rsid w:val="00531C78"/>
    <w:rsid w:val="005336B0"/>
    <w:rsid w:val="005339F6"/>
    <w:rsid w:val="00533F41"/>
    <w:rsid w:val="005358A7"/>
    <w:rsid w:val="005363D7"/>
    <w:rsid w:val="00536647"/>
    <w:rsid w:val="00541AEB"/>
    <w:rsid w:val="00542B55"/>
    <w:rsid w:val="00544C17"/>
    <w:rsid w:val="0054627E"/>
    <w:rsid w:val="0055093D"/>
    <w:rsid w:val="005526B1"/>
    <w:rsid w:val="0055324D"/>
    <w:rsid w:val="005535BF"/>
    <w:rsid w:val="00553B32"/>
    <w:rsid w:val="00554D5C"/>
    <w:rsid w:val="005563D9"/>
    <w:rsid w:val="00560FAC"/>
    <w:rsid w:val="005611C3"/>
    <w:rsid w:val="00562633"/>
    <w:rsid w:val="00562A8D"/>
    <w:rsid w:val="00562F24"/>
    <w:rsid w:val="00563407"/>
    <w:rsid w:val="005634AC"/>
    <w:rsid w:val="005654C2"/>
    <w:rsid w:val="00566C59"/>
    <w:rsid w:val="005763FC"/>
    <w:rsid w:val="00576B18"/>
    <w:rsid w:val="00585446"/>
    <w:rsid w:val="0058553C"/>
    <w:rsid w:val="00587724"/>
    <w:rsid w:val="00591512"/>
    <w:rsid w:val="005A09B2"/>
    <w:rsid w:val="005A41DD"/>
    <w:rsid w:val="005A6157"/>
    <w:rsid w:val="005A7415"/>
    <w:rsid w:val="005B0EC0"/>
    <w:rsid w:val="005B2D91"/>
    <w:rsid w:val="005B48B4"/>
    <w:rsid w:val="005C6661"/>
    <w:rsid w:val="005C6E3B"/>
    <w:rsid w:val="005D474B"/>
    <w:rsid w:val="005D7D7A"/>
    <w:rsid w:val="005E085C"/>
    <w:rsid w:val="005E0B7F"/>
    <w:rsid w:val="005E147D"/>
    <w:rsid w:val="005E22C2"/>
    <w:rsid w:val="005E3939"/>
    <w:rsid w:val="005E466C"/>
    <w:rsid w:val="005E57BB"/>
    <w:rsid w:val="005F0017"/>
    <w:rsid w:val="005F156F"/>
    <w:rsid w:val="005F167E"/>
    <w:rsid w:val="005F57A4"/>
    <w:rsid w:val="005F5FBB"/>
    <w:rsid w:val="006014F1"/>
    <w:rsid w:val="00601A23"/>
    <w:rsid w:val="00603AA2"/>
    <w:rsid w:val="00606DF0"/>
    <w:rsid w:val="00607A13"/>
    <w:rsid w:val="0061021B"/>
    <w:rsid w:val="0061357B"/>
    <w:rsid w:val="00613FD5"/>
    <w:rsid w:val="00614A7D"/>
    <w:rsid w:val="006225A1"/>
    <w:rsid w:val="006310AB"/>
    <w:rsid w:val="0063631C"/>
    <w:rsid w:val="0063757B"/>
    <w:rsid w:val="006377CE"/>
    <w:rsid w:val="00641230"/>
    <w:rsid w:val="0064239B"/>
    <w:rsid w:val="00647E7E"/>
    <w:rsid w:val="006537D9"/>
    <w:rsid w:val="0065560F"/>
    <w:rsid w:val="0065696D"/>
    <w:rsid w:val="006572EA"/>
    <w:rsid w:val="006627C5"/>
    <w:rsid w:val="00663C8A"/>
    <w:rsid w:val="00664A48"/>
    <w:rsid w:val="00665DEF"/>
    <w:rsid w:val="0067048D"/>
    <w:rsid w:val="00675BB1"/>
    <w:rsid w:val="006762DD"/>
    <w:rsid w:val="00676CDD"/>
    <w:rsid w:val="00676FE8"/>
    <w:rsid w:val="006775F1"/>
    <w:rsid w:val="00684B9A"/>
    <w:rsid w:val="00692AA7"/>
    <w:rsid w:val="0069310A"/>
    <w:rsid w:val="0069469C"/>
    <w:rsid w:val="0069550B"/>
    <w:rsid w:val="00696220"/>
    <w:rsid w:val="0069774E"/>
    <w:rsid w:val="00697FEC"/>
    <w:rsid w:val="006A13C4"/>
    <w:rsid w:val="006A175F"/>
    <w:rsid w:val="006A2AB5"/>
    <w:rsid w:val="006A400A"/>
    <w:rsid w:val="006A44F5"/>
    <w:rsid w:val="006B3D21"/>
    <w:rsid w:val="006B4537"/>
    <w:rsid w:val="006B5C5A"/>
    <w:rsid w:val="006B5F85"/>
    <w:rsid w:val="006B6929"/>
    <w:rsid w:val="006B709B"/>
    <w:rsid w:val="006C0618"/>
    <w:rsid w:val="006C4345"/>
    <w:rsid w:val="006C444D"/>
    <w:rsid w:val="006C54AF"/>
    <w:rsid w:val="006C5869"/>
    <w:rsid w:val="006C78A7"/>
    <w:rsid w:val="006D2F59"/>
    <w:rsid w:val="006D5A05"/>
    <w:rsid w:val="006D76AF"/>
    <w:rsid w:val="006D7EDB"/>
    <w:rsid w:val="006E0181"/>
    <w:rsid w:val="006E141C"/>
    <w:rsid w:val="006E1FFA"/>
    <w:rsid w:val="006E3CB4"/>
    <w:rsid w:val="006E73CE"/>
    <w:rsid w:val="006F29E1"/>
    <w:rsid w:val="00700970"/>
    <w:rsid w:val="00700C0E"/>
    <w:rsid w:val="00704FE4"/>
    <w:rsid w:val="00705DAD"/>
    <w:rsid w:val="00712283"/>
    <w:rsid w:val="00712918"/>
    <w:rsid w:val="00712EDA"/>
    <w:rsid w:val="00712F2B"/>
    <w:rsid w:val="00716568"/>
    <w:rsid w:val="007206AD"/>
    <w:rsid w:val="00720D58"/>
    <w:rsid w:val="00720F80"/>
    <w:rsid w:val="00723D6D"/>
    <w:rsid w:val="007247B9"/>
    <w:rsid w:val="007268E2"/>
    <w:rsid w:val="00726F89"/>
    <w:rsid w:val="00727D85"/>
    <w:rsid w:val="007346C7"/>
    <w:rsid w:val="00734891"/>
    <w:rsid w:val="00736041"/>
    <w:rsid w:val="007408C7"/>
    <w:rsid w:val="007465DA"/>
    <w:rsid w:val="00747DD4"/>
    <w:rsid w:val="00752C7F"/>
    <w:rsid w:val="00756EFA"/>
    <w:rsid w:val="00762334"/>
    <w:rsid w:val="007654CF"/>
    <w:rsid w:val="007671FE"/>
    <w:rsid w:val="007733A5"/>
    <w:rsid w:val="00775387"/>
    <w:rsid w:val="00776598"/>
    <w:rsid w:val="00787986"/>
    <w:rsid w:val="00792948"/>
    <w:rsid w:val="00793C38"/>
    <w:rsid w:val="007947C0"/>
    <w:rsid w:val="00796E84"/>
    <w:rsid w:val="007A2966"/>
    <w:rsid w:val="007A3ADE"/>
    <w:rsid w:val="007A5733"/>
    <w:rsid w:val="007A5774"/>
    <w:rsid w:val="007B5E25"/>
    <w:rsid w:val="007B7498"/>
    <w:rsid w:val="007C71F2"/>
    <w:rsid w:val="007D15E5"/>
    <w:rsid w:val="007D638D"/>
    <w:rsid w:val="007F3C66"/>
    <w:rsid w:val="007F78CE"/>
    <w:rsid w:val="00801E74"/>
    <w:rsid w:val="00802A66"/>
    <w:rsid w:val="0080485E"/>
    <w:rsid w:val="00805249"/>
    <w:rsid w:val="008142B4"/>
    <w:rsid w:val="008151B8"/>
    <w:rsid w:val="00825BFB"/>
    <w:rsid w:val="00826631"/>
    <w:rsid w:val="00831AAF"/>
    <w:rsid w:val="00832324"/>
    <w:rsid w:val="00835337"/>
    <w:rsid w:val="0083559A"/>
    <w:rsid w:val="00842C8C"/>
    <w:rsid w:val="00846DCD"/>
    <w:rsid w:val="008476DE"/>
    <w:rsid w:val="00851D85"/>
    <w:rsid w:val="00852375"/>
    <w:rsid w:val="00854FB1"/>
    <w:rsid w:val="008579A7"/>
    <w:rsid w:val="0086057A"/>
    <w:rsid w:val="00860B55"/>
    <w:rsid w:val="00860CCB"/>
    <w:rsid w:val="00860D17"/>
    <w:rsid w:val="0086269D"/>
    <w:rsid w:val="00862FAE"/>
    <w:rsid w:val="00865A72"/>
    <w:rsid w:val="00870782"/>
    <w:rsid w:val="008740A3"/>
    <w:rsid w:val="00874935"/>
    <w:rsid w:val="00874E97"/>
    <w:rsid w:val="0088365E"/>
    <w:rsid w:val="00883875"/>
    <w:rsid w:val="00887FE1"/>
    <w:rsid w:val="0089020C"/>
    <w:rsid w:val="00891D70"/>
    <w:rsid w:val="0089297B"/>
    <w:rsid w:val="00896BC2"/>
    <w:rsid w:val="008A2977"/>
    <w:rsid w:val="008A425D"/>
    <w:rsid w:val="008B0477"/>
    <w:rsid w:val="008B3AD9"/>
    <w:rsid w:val="008B49BA"/>
    <w:rsid w:val="008C36CA"/>
    <w:rsid w:val="008C72D4"/>
    <w:rsid w:val="008D2E34"/>
    <w:rsid w:val="008E0C2D"/>
    <w:rsid w:val="008E0F2C"/>
    <w:rsid w:val="008E3F8C"/>
    <w:rsid w:val="008F1974"/>
    <w:rsid w:val="008F3996"/>
    <w:rsid w:val="008F45D7"/>
    <w:rsid w:val="008F65D0"/>
    <w:rsid w:val="00902476"/>
    <w:rsid w:val="00902FD0"/>
    <w:rsid w:val="009043E3"/>
    <w:rsid w:val="009044F7"/>
    <w:rsid w:val="009053D3"/>
    <w:rsid w:val="0090691F"/>
    <w:rsid w:val="00912DF9"/>
    <w:rsid w:val="00922C95"/>
    <w:rsid w:val="00923333"/>
    <w:rsid w:val="009251C7"/>
    <w:rsid w:val="0093111F"/>
    <w:rsid w:val="00932F68"/>
    <w:rsid w:val="00933060"/>
    <w:rsid w:val="00933B3A"/>
    <w:rsid w:val="00935689"/>
    <w:rsid w:val="00935773"/>
    <w:rsid w:val="00941463"/>
    <w:rsid w:val="00941A21"/>
    <w:rsid w:val="00944867"/>
    <w:rsid w:val="00947211"/>
    <w:rsid w:val="00952A0F"/>
    <w:rsid w:val="0095303B"/>
    <w:rsid w:val="0096177B"/>
    <w:rsid w:val="009630DF"/>
    <w:rsid w:val="0096631A"/>
    <w:rsid w:val="009663B6"/>
    <w:rsid w:val="00970B80"/>
    <w:rsid w:val="00974A47"/>
    <w:rsid w:val="00974AF9"/>
    <w:rsid w:val="00974BE1"/>
    <w:rsid w:val="00980286"/>
    <w:rsid w:val="009828B1"/>
    <w:rsid w:val="009830B9"/>
    <w:rsid w:val="00990DCF"/>
    <w:rsid w:val="00991F4C"/>
    <w:rsid w:val="00993B34"/>
    <w:rsid w:val="00993ED3"/>
    <w:rsid w:val="009A4CD6"/>
    <w:rsid w:val="009A537C"/>
    <w:rsid w:val="009A6C24"/>
    <w:rsid w:val="009B60CC"/>
    <w:rsid w:val="009B756F"/>
    <w:rsid w:val="009C017C"/>
    <w:rsid w:val="009C0886"/>
    <w:rsid w:val="009C19EE"/>
    <w:rsid w:val="009C28D0"/>
    <w:rsid w:val="009C2DB4"/>
    <w:rsid w:val="009C2FE7"/>
    <w:rsid w:val="009C35F2"/>
    <w:rsid w:val="009C4626"/>
    <w:rsid w:val="009C53F6"/>
    <w:rsid w:val="009C7243"/>
    <w:rsid w:val="009C7782"/>
    <w:rsid w:val="009D1ED5"/>
    <w:rsid w:val="009D4C13"/>
    <w:rsid w:val="009D5182"/>
    <w:rsid w:val="009E21A7"/>
    <w:rsid w:val="009F0C85"/>
    <w:rsid w:val="009F561D"/>
    <w:rsid w:val="009F68B2"/>
    <w:rsid w:val="00A01726"/>
    <w:rsid w:val="00A06DE3"/>
    <w:rsid w:val="00A103ED"/>
    <w:rsid w:val="00A10C62"/>
    <w:rsid w:val="00A13C60"/>
    <w:rsid w:val="00A13F12"/>
    <w:rsid w:val="00A250C4"/>
    <w:rsid w:val="00A31B51"/>
    <w:rsid w:val="00A341A3"/>
    <w:rsid w:val="00A3444A"/>
    <w:rsid w:val="00A34F1D"/>
    <w:rsid w:val="00A35800"/>
    <w:rsid w:val="00A460B8"/>
    <w:rsid w:val="00A46E46"/>
    <w:rsid w:val="00A510B9"/>
    <w:rsid w:val="00A52918"/>
    <w:rsid w:val="00A547B3"/>
    <w:rsid w:val="00A617F0"/>
    <w:rsid w:val="00A63279"/>
    <w:rsid w:val="00A6385F"/>
    <w:rsid w:val="00A653F4"/>
    <w:rsid w:val="00A65FFD"/>
    <w:rsid w:val="00A70E82"/>
    <w:rsid w:val="00A71206"/>
    <w:rsid w:val="00A7297F"/>
    <w:rsid w:val="00A72F06"/>
    <w:rsid w:val="00A73B50"/>
    <w:rsid w:val="00A77CF4"/>
    <w:rsid w:val="00A83545"/>
    <w:rsid w:val="00A84CAD"/>
    <w:rsid w:val="00A90E50"/>
    <w:rsid w:val="00A949CE"/>
    <w:rsid w:val="00A95FA5"/>
    <w:rsid w:val="00A96D92"/>
    <w:rsid w:val="00AA153B"/>
    <w:rsid w:val="00AA4090"/>
    <w:rsid w:val="00AA4F11"/>
    <w:rsid w:val="00AA5764"/>
    <w:rsid w:val="00AB1851"/>
    <w:rsid w:val="00AB3733"/>
    <w:rsid w:val="00AB7897"/>
    <w:rsid w:val="00AC148F"/>
    <w:rsid w:val="00AC40F0"/>
    <w:rsid w:val="00AC5054"/>
    <w:rsid w:val="00AC53B7"/>
    <w:rsid w:val="00AD28E3"/>
    <w:rsid w:val="00AD3080"/>
    <w:rsid w:val="00AE0B02"/>
    <w:rsid w:val="00AE4BAC"/>
    <w:rsid w:val="00AF2B34"/>
    <w:rsid w:val="00AF63E0"/>
    <w:rsid w:val="00AF7A7D"/>
    <w:rsid w:val="00B034FC"/>
    <w:rsid w:val="00B03625"/>
    <w:rsid w:val="00B042D9"/>
    <w:rsid w:val="00B05310"/>
    <w:rsid w:val="00B057BE"/>
    <w:rsid w:val="00B070FE"/>
    <w:rsid w:val="00B072E7"/>
    <w:rsid w:val="00B0781F"/>
    <w:rsid w:val="00B10A0B"/>
    <w:rsid w:val="00B11884"/>
    <w:rsid w:val="00B14F36"/>
    <w:rsid w:val="00B23988"/>
    <w:rsid w:val="00B24213"/>
    <w:rsid w:val="00B30D85"/>
    <w:rsid w:val="00B35A4A"/>
    <w:rsid w:val="00B44C33"/>
    <w:rsid w:val="00B4692D"/>
    <w:rsid w:val="00B50053"/>
    <w:rsid w:val="00B562FF"/>
    <w:rsid w:val="00B62ABF"/>
    <w:rsid w:val="00B63FD7"/>
    <w:rsid w:val="00B65DD6"/>
    <w:rsid w:val="00B7093A"/>
    <w:rsid w:val="00B71D8A"/>
    <w:rsid w:val="00B72174"/>
    <w:rsid w:val="00B72959"/>
    <w:rsid w:val="00B73020"/>
    <w:rsid w:val="00B816D9"/>
    <w:rsid w:val="00B85F00"/>
    <w:rsid w:val="00B860BE"/>
    <w:rsid w:val="00B87577"/>
    <w:rsid w:val="00B87BED"/>
    <w:rsid w:val="00B90BC8"/>
    <w:rsid w:val="00B9120F"/>
    <w:rsid w:val="00B9216C"/>
    <w:rsid w:val="00B924A4"/>
    <w:rsid w:val="00B948EB"/>
    <w:rsid w:val="00BA0962"/>
    <w:rsid w:val="00BA3278"/>
    <w:rsid w:val="00BB0D1A"/>
    <w:rsid w:val="00BB1D3B"/>
    <w:rsid w:val="00BB6AE5"/>
    <w:rsid w:val="00BB76C3"/>
    <w:rsid w:val="00BC13A5"/>
    <w:rsid w:val="00BC1612"/>
    <w:rsid w:val="00BC35ED"/>
    <w:rsid w:val="00BC3A91"/>
    <w:rsid w:val="00BD1004"/>
    <w:rsid w:val="00BD30AE"/>
    <w:rsid w:val="00BE205A"/>
    <w:rsid w:val="00BE3802"/>
    <w:rsid w:val="00BE3F50"/>
    <w:rsid w:val="00BE7CF8"/>
    <w:rsid w:val="00BF238E"/>
    <w:rsid w:val="00BF2F4A"/>
    <w:rsid w:val="00BF544D"/>
    <w:rsid w:val="00BF5DAB"/>
    <w:rsid w:val="00BF77D3"/>
    <w:rsid w:val="00C0076F"/>
    <w:rsid w:val="00C01AE3"/>
    <w:rsid w:val="00C0301C"/>
    <w:rsid w:val="00C050B6"/>
    <w:rsid w:val="00C06617"/>
    <w:rsid w:val="00C10F12"/>
    <w:rsid w:val="00C11655"/>
    <w:rsid w:val="00C245EA"/>
    <w:rsid w:val="00C24FD7"/>
    <w:rsid w:val="00C256F6"/>
    <w:rsid w:val="00C3097E"/>
    <w:rsid w:val="00C33F45"/>
    <w:rsid w:val="00C33F4E"/>
    <w:rsid w:val="00C35ECC"/>
    <w:rsid w:val="00C361A8"/>
    <w:rsid w:val="00C41246"/>
    <w:rsid w:val="00C45E5F"/>
    <w:rsid w:val="00C46291"/>
    <w:rsid w:val="00C53804"/>
    <w:rsid w:val="00C624B2"/>
    <w:rsid w:val="00C63412"/>
    <w:rsid w:val="00C675B6"/>
    <w:rsid w:val="00C714D0"/>
    <w:rsid w:val="00C74067"/>
    <w:rsid w:val="00C741E7"/>
    <w:rsid w:val="00C90EF4"/>
    <w:rsid w:val="00C9195C"/>
    <w:rsid w:val="00C9314A"/>
    <w:rsid w:val="00C95881"/>
    <w:rsid w:val="00C96733"/>
    <w:rsid w:val="00C973E5"/>
    <w:rsid w:val="00CA015A"/>
    <w:rsid w:val="00CA0363"/>
    <w:rsid w:val="00CA0B2F"/>
    <w:rsid w:val="00CA17FE"/>
    <w:rsid w:val="00CB064A"/>
    <w:rsid w:val="00CB1F6B"/>
    <w:rsid w:val="00CB4107"/>
    <w:rsid w:val="00CC1AA3"/>
    <w:rsid w:val="00CC389E"/>
    <w:rsid w:val="00CC6D97"/>
    <w:rsid w:val="00CC7856"/>
    <w:rsid w:val="00CD02E3"/>
    <w:rsid w:val="00CD4486"/>
    <w:rsid w:val="00CD6016"/>
    <w:rsid w:val="00CD7CB9"/>
    <w:rsid w:val="00CD7F4B"/>
    <w:rsid w:val="00CE48F2"/>
    <w:rsid w:val="00CF5E22"/>
    <w:rsid w:val="00CF7AC1"/>
    <w:rsid w:val="00D02898"/>
    <w:rsid w:val="00D03252"/>
    <w:rsid w:val="00D067D7"/>
    <w:rsid w:val="00D06A44"/>
    <w:rsid w:val="00D14C32"/>
    <w:rsid w:val="00D151EB"/>
    <w:rsid w:val="00D22680"/>
    <w:rsid w:val="00D235F4"/>
    <w:rsid w:val="00D25426"/>
    <w:rsid w:val="00D300E0"/>
    <w:rsid w:val="00D34318"/>
    <w:rsid w:val="00D35D4F"/>
    <w:rsid w:val="00D374CD"/>
    <w:rsid w:val="00D37559"/>
    <w:rsid w:val="00D42FD4"/>
    <w:rsid w:val="00D5315E"/>
    <w:rsid w:val="00D539DD"/>
    <w:rsid w:val="00D556A5"/>
    <w:rsid w:val="00D62611"/>
    <w:rsid w:val="00D64805"/>
    <w:rsid w:val="00D650CE"/>
    <w:rsid w:val="00D70606"/>
    <w:rsid w:val="00D708CD"/>
    <w:rsid w:val="00D71719"/>
    <w:rsid w:val="00D776DA"/>
    <w:rsid w:val="00D77F8D"/>
    <w:rsid w:val="00D831F6"/>
    <w:rsid w:val="00D8758B"/>
    <w:rsid w:val="00D942B3"/>
    <w:rsid w:val="00D94863"/>
    <w:rsid w:val="00D97565"/>
    <w:rsid w:val="00DA0A16"/>
    <w:rsid w:val="00DA307C"/>
    <w:rsid w:val="00DA35C6"/>
    <w:rsid w:val="00DA5804"/>
    <w:rsid w:val="00DA7D09"/>
    <w:rsid w:val="00DB1221"/>
    <w:rsid w:val="00DB7B61"/>
    <w:rsid w:val="00DC2630"/>
    <w:rsid w:val="00DC31CC"/>
    <w:rsid w:val="00DC49E9"/>
    <w:rsid w:val="00DC4DF6"/>
    <w:rsid w:val="00DC55E4"/>
    <w:rsid w:val="00DC7D71"/>
    <w:rsid w:val="00DD188C"/>
    <w:rsid w:val="00DD29A3"/>
    <w:rsid w:val="00DD3DA3"/>
    <w:rsid w:val="00DD48EE"/>
    <w:rsid w:val="00DD6106"/>
    <w:rsid w:val="00DE0B96"/>
    <w:rsid w:val="00DE10B9"/>
    <w:rsid w:val="00DE5C41"/>
    <w:rsid w:val="00DF0593"/>
    <w:rsid w:val="00DF0B13"/>
    <w:rsid w:val="00DF2EB8"/>
    <w:rsid w:val="00DF371E"/>
    <w:rsid w:val="00DF4A94"/>
    <w:rsid w:val="00DF560A"/>
    <w:rsid w:val="00DF6003"/>
    <w:rsid w:val="00DF7CA5"/>
    <w:rsid w:val="00E00095"/>
    <w:rsid w:val="00E0039A"/>
    <w:rsid w:val="00E066C3"/>
    <w:rsid w:val="00E07876"/>
    <w:rsid w:val="00E0792A"/>
    <w:rsid w:val="00E10D8C"/>
    <w:rsid w:val="00E10DFD"/>
    <w:rsid w:val="00E12BF1"/>
    <w:rsid w:val="00E1353A"/>
    <w:rsid w:val="00E1564B"/>
    <w:rsid w:val="00E20299"/>
    <w:rsid w:val="00E208A0"/>
    <w:rsid w:val="00E25B49"/>
    <w:rsid w:val="00E25E0C"/>
    <w:rsid w:val="00E309DA"/>
    <w:rsid w:val="00E34F9A"/>
    <w:rsid w:val="00E371EA"/>
    <w:rsid w:val="00E3728B"/>
    <w:rsid w:val="00E376B1"/>
    <w:rsid w:val="00E40E06"/>
    <w:rsid w:val="00E414FA"/>
    <w:rsid w:val="00E46AAF"/>
    <w:rsid w:val="00E47ECF"/>
    <w:rsid w:val="00E50ECC"/>
    <w:rsid w:val="00E53283"/>
    <w:rsid w:val="00E53C98"/>
    <w:rsid w:val="00E578AD"/>
    <w:rsid w:val="00E63DD2"/>
    <w:rsid w:val="00E63E31"/>
    <w:rsid w:val="00E64429"/>
    <w:rsid w:val="00E677DD"/>
    <w:rsid w:val="00E714FC"/>
    <w:rsid w:val="00E72ABE"/>
    <w:rsid w:val="00E7594B"/>
    <w:rsid w:val="00E7615A"/>
    <w:rsid w:val="00E814C3"/>
    <w:rsid w:val="00E81AB2"/>
    <w:rsid w:val="00E8557C"/>
    <w:rsid w:val="00E85714"/>
    <w:rsid w:val="00E87563"/>
    <w:rsid w:val="00E87957"/>
    <w:rsid w:val="00E91220"/>
    <w:rsid w:val="00E929CA"/>
    <w:rsid w:val="00E96D69"/>
    <w:rsid w:val="00EA077D"/>
    <w:rsid w:val="00EA395E"/>
    <w:rsid w:val="00EA4685"/>
    <w:rsid w:val="00EA7004"/>
    <w:rsid w:val="00EB1D99"/>
    <w:rsid w:val="00EB4688"/>
    <w:rsid w:val="00EB56CB"/>
    <w:rsid w:val="00EB6C07"/>
    <w:rsid w:val="00EB705A"/>
    <w:rsid w:val="00EC0221"/>
    <w:rsid w:val="00EC028D"/>
    <w:rsid w:val="00EC24FF"/>
    <w:rsid w:val="00ED1132"/>
    <w:rsid w:val="00ED14E0"/>
    <w:rsid w:val="00ED16CC"/>
    <w:rsid w:val="00ED3661"/>
    <w:rsid w:val="00ED633B"/>
    <w:rsid w:val="00ED6CE8"/>
    <w:rsid w:val="00EE331A"/>
    <w:rsid w:val="00EE478C"/>
    <w:rsid w:val="00EE5C40"/>
    <w:rsid w:val="00EF336F"/>
    <w:rsid w:val="00F02B61"/>
    <w:rsid w:val="00F101A2"/>
    <w:rsid w:val="00F1132C"/>
    <w:rsid w:val="00F13E50"/>
    <w:rsid w:val="00F143CA"/>
    <w:rsid w:val="00F15DD5"/>
    <w:rsid w:val="00F15EA5"/>
    <w:rsid w:val="00F17D4B"/>
    <w:rsid w:val="00F21CBB"/>
    <w:rsid w:val="00F23139"/>
    <w:rsid w:val="00F260A9"/>
    <w:rsid w:val="00F2615A"/>
    <w:rsid w:val="00F302AC"/>
    <w:rsid w:val="00F36F22"/>
    <w:rsid w:val="00F40B0F"/>
    <w:rsid w:val="00F42DE1"/>
    <w:rsid w:val="00F524D8"/>
    <w:rsid w:val="00F60AC7"/>
    <w:rsid w:val="00F66CD5"/>
    <w:rsid w:val="00F677D2"/>
    <w:rsid w:val="00F67A9A"/>
    <w:rsid w:val="00F70C3B"/>
    <w:rsid w:val="00F70F4E"/>
    <w:rsid w:val="00F722A9"/>
    <w:rsid w:val="00F724C7"/>
    <w:rsid w:val="00F73113"/>
    <w:rsid w:val="00F75FC4"/>
    <w:rsid w:val="00F85981"/>
    <w:rsid w:val="00F87263"/>
    <w:rsid w:val="00F93725"/>
    <w:rsid w:val="00F94023"/>
    <w:rsid w:val="00F96A18"/>
    <w:rsid w:val="00FA2C88"/>
    <w:rsid w:val="00FA3710"/>
    <w:rsid w:val="00FA4890"/>
    <w:rsid w:val="00FA6103"/>
    <w:rsid w:val="00FA6EDE"/>
    <w:rsid w:val="00FB3DF3"/>
    <w:rsid w:val="00FB730E"/>
    <w:rsid w:val="00FB77FA"/>
    <w:rsid w:val="00FC0C14"/>
    <w:rsid w:val="00FC23BF"/>
    <w:rsid w:val="00FC3C70"/>
    <w:rsid w:val="00FC4A73"/>
    <w:rsid w:val="00FC559C"/>
    <w:rsid w:val="00FC5910"/>
    <w:rsid w:val="00FC68EF"/>
    <w:rsid w:val="00FC7808"/>
    <w:rsid w:val="00FC7F0D"/>
    <w:rsid w:val="00FD4582"/>
    <w:rsid w:val="00FE4ED7"/>
    <w:rsid w:val="00FE645A"/>
    <w:rsid w:val="00FE76D2"/>
    <w:rsid w:val="00FF032A"/>
    <w:rsid w:val="00FF0FE8"/>
    <w:rsid w:val="00FF4580"/>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NormalWeb">
    <w:name w:val="Normal (Web)"/>
    <w:basedOn w:val="Normal"/>
    <w:uiPriority w:val="99"/>
    <w:unhideWhenUsed/>
    <w:rsid w:val="00CC7856"/>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qFormat/>
    <w:rsid w:val="0052360F"/>
    <w:pPr>
      <w:widowControl w:val="0"/>
      <w:spacing w:after="0"/>
      <w:jc w:val="center"/>
    </w:pPr>
    <w:rPr>
      <w:rFonts w:ascii="Arial" w:eastAsia="Times New Roman" w:hAnsi="Arial" w:cs="Times New Roman"/>
      <w:b/>
      <w:snapToGrid w:val="0"/>
      <w:sz w:val="20"/>
      <w:szCs w:val="20"/>
      <w:lang w:eastAsia="en-US"/>
    </w:rPr>
  </w:style>
  <w:style w:type="character" w:customStyle="1" w:styleId="BodyTextChar">
    <w:name w:val="Body Text Char"/>
    <w:basedOn w:val="DefaultParagraphFont"/>
    <w:link w:val="BodyText"/>
    <w:rsid w:val="0052360F"/>
    <w:rPr>
      <w:rFonts w:ascii="Arial" w:eastAsia="Times New Roman" w:hAnsi="Arial" w:cs="Times New Roman"/>
      <w:b/>
      <w:snapToGrid w:val="0"/>
      <w:sz w:val="20"/>
      <w:szCs w:val="20"/>
      <w:lang w:eastAsia="en-US"/>
    </w:rPr>
  </w:style>
  <w:style w:type="table" w:customStyle="1" w:styleId="TableGrid1">
    <w:name w:val="Table Grid1"/>
    <w:basedOn w:val="TableNormal"/>
    <w:next w:val="TableGrid"/>
    <w:uiPriority w:val="59"/>
    <w:rsid w:val="00566C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0477"/>
    <w:rPr>
      <w:color w:val="800080" w:themeColor="followedHyperlink"/>
      <w:u w:val="single"/>
    </w:rPr>
  </w:style>
  <w:style w:type="paragraph" w:styleId="Revision">
    <w:name w:val="Revision"/>
    <w:hidden/>
    <w:uiPriority w:val="99"/>
    <w:semiHidden/>
    <w:rsid w:val="00F524D8"/>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NormalWeb">
    <w:name w:val="Normal (Web)"/>
    <w:basedOn w:val="Normal"/>
    <w:uiPriority w:val="99"/>
    <w:unhideWhenUsed/>
    <w:rsid w:val="00CC7856"/>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qFormat/>
    <w:rsid w:val="0052360F"/>
    <w:pPr>
      <w:widowControl w:val="0"/>
      <w:spacing w:after="0"/>
      <w:jc w:val="center"/>
    </w:pPr>
    <w:rPr>
      <w:rFonts w:ascii="Arial" w:eastAsia="Times New Roman" w:hAnsi="Arial" w:cs="Times New Roman"/>
      <w:b/>
      <w:snapToGrid w:val="0"/>
      <w:sz w:val="20"/>
      <w:szCs w:val="20"/>
      <w:lang w:eastAsia="en-US"/>
    </w:rPr>
  </w:style>
  <w:style w:type="character" w:customStyle="1" w:styleId="BodyTextChar">
    <w:name w:val="Body Text Char"/>
    <w:basedOn w:val="DefaultParagraphFont"/>
    <w:link w:val="BodyText"/>
    <w:rsid w:val="0052360F"/>
    <w:rPr>
      <w:rFonts w:ascii="Arial" w:eastAsia="Times New Roman" w:hAnsi="Arial" w:cs="Times New Roman"/>
      <w:b/>
      <w:snapToGrid w:val="0"/>
      <w:sz w:val="20"/>
      <w:szCs w:val="20"/>
      <w:lang w:eastAsia="en-US"/>
    </w:rPr>
  </w:style>
  <w:style w:type="table" w:customStyle="1" w:styleId="TableGrid1">
    <w:name w:val="Table Grid1"/>
    <w:basedOn w:val="TableNormal"/>
    <w:next w:val="TableGrid"/>
    <w:uiPriority w:val="59"/>
    <w:rsid w:val="00566C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0477"/>
    <w:rPr>
      <w:color w:val="800080" w:themeColor="followedHyperlink"/>
      <w:u w:val="single"/>
    </w:rPr>
  </w:style>
  <w:style w:type="paragraph" w:styleId="Revision">
    <w:name w:val="Revision"/>
    <w:hidden/>
    <w:uiPriority w:val="99"/>
    <w:semiHidden/>
    <w:rsid w:val="00F524D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9029">
      <w:bodyDiv w:val="1"/>
      <w:marLeft w:val="0"/>
      <w:marRight w:val="0"/>
      <w:marTop w:val="0"/>
      <w:marBottom w:val="0"/>
      <w:divBdr>
        <w:top w:val="none" w:sz="0" w:space="0" w:color="auto"/>
        <w:left w:val="none" w:sz="0" w:space="0" w:color="auto"/>
        <w:bottom w:val="none" w:sz="0" w:space="0" w:color="auto"/>
        <w:right w:val="none" w:sz="0" w:space="0" w:color="auto"/>
      </w:divBdr>
    </w:div>
    <w:div w:id="73742877">
      <w:bodyDiv w:val="1"/>
      <w:marLeft w:val="0"/>
      <w:marRight w:val="0"/>
      <w:marTop w:val="0"/>
      <w:marBottom w:val="0"/>
      <w:divBdr>
        <w:top w:val="none" w:sz="0" w:space="0" w:color="auto"/>
        <w:left w:val="none" w:sz="0" w:space="0" w:color="auto"/>
        <w:bottom w:val="none" w:sz="0" w:space="0" w:color="auto"/>
        <w:right w:val="none" w:sz="0" w:space="0" w:color="auto"/>
      </w:divBdr>
    </w:div>
    <w:div w:id="209731369">
      <w:bodyDiv w:val="1"/>
      <w:marLeft w:val="0"/>
      <w:marRight w:val="0"/>
      <w:marTop w:val="0"/>
      <w:marBottom w:val="0"/>
      <w:divBdr>
        <w:top w:val="none" w:sz="0" w:space="0" w:color="auto"/>
        <w:left w:val="none" w:sz="0" w:space="0" w:color="auto"/>
        <w:bottom w:val="none" w:sz="0" w:space="0" w:color="auto"/>
        <w:right w:val="none" w:sz="0" w:space="0" w:color="auto"/>
      </w:divBdr>
      <w:divsChild>
        <w:div w:id="145829938">
          <w:marLeft w:val="0"/>
          <w:marRight w:val="0"/>
          <w:marTop w:val="0"/>
          <w:marBottom w:val="0"/>
          <w:divBdr>
            <w:top w:val="none" w:sz="0" w:space="0" w:color="auto"/>
            <w:left w:val="none" w:sz="0" w:space="0" w:color="auto"/>
            <w:bottom w:val="none" w:sz="0" w:space="0" w:color="auto"/>
            <w:right w:val="none" w:sz="0" w:space="0" w:color="auto"/>
          </w:divBdr>
          <w:divsChild>
            <w:div w:id="860975412">
              <w:marLeft w:val="0"/>
              <w:marRight w:val="0"/>
              <w:marTop w:val="0"/>
              <w:marBottom w:val="0"/>
              <w:divBdr>
                <w:top w:val="none" w:sz="0" w:space="0" w:color="auto"/>
                <w:left w:val="none" w:sz="0" w:space="0" w:color="auto"/>
                <w:bottom w:val="none" w:sz="0" w:space="0" w:color="auto"/>
                <w:right w:val="none" w:sz="0" w:space="0" w:color="auto"/>
              </w:divBdr>
              <w:divsChild>
                <w:div w:id="667287897">
                  <w:marLeft w:val="0"/>
                  <w:marRight w:val="0"/>
                  <w:marTop w:val="0"/>
                  <w:marBottom w:val="0"/>
                  <w:divBdr>
                    <w:top w:val="none" w:sz="0" w:space="0" w:color="auto"/>
                    <w:left w:val="none" w:sz="0" w:space="0" w:color="auto"/>
                    <w:bottom w:val="none" w:sz="0" w:space="0" w:color="auto"/>
                    <w:right w:val="none" w:sz="0" w:space="0" w:color="auto"/>
                  </w:divBdr>
                  <w:divsChild>
                    <w:div w:id="178804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685890">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88448436">
      <w:bodyDiv w:val="1"/>
      <w:marLeft w:val="0"/>
      <w:marRight w:val="0"/>
      <w:marTop w:val="0"/>
      <w:marBottom w:val="0"/>
      <w:divBdr>
        <w:top w:val="none" w:sz="0" w:space="0" w:color="auto"/>
        <w:left w:val="none" w:sz="0" w:space="0" w:color="auto"/>
        <w:bottom w:val="none" w:sz="0" w:space="0" w:color="auto"/>
        <w:right w:val="none" w:sz="0" w:space="0" w:color="auto"/>
      </w:divBdr>
    </w:div>
    <w:div w:id="554464127">
      <w:bodyDiv w:val="1"/>
      <w:marLeft w:val="0"/>
      <w:marRight w:val="0"/>
      <w:marTop w:val="0"/>
      <w:marBottom w:val="0"/>
      <w:divBdr>
        <w:top w:val="none" w:sz="0" w:space="0" w:color="auto"/>
        <w:left w:val="none" w:sz="0" w:space="0" w:color="auto"/>
        <w:bottom w:val="none" w:sz="0" w:space="0" w:color="auto"/>
        <w:right w:val="none" w:sz="0" w:space="0" w:color="auto"/>
      </w:divBdr>
    </w:div>
    <w:div w:id="558325206">
      <w:bodyDiv w:val="1"/>
      <w:marLeft w:val="0"/>
      <w:marRight w:val="0"/>
      <w:marTop w:val="0"/>
      <w:marBottom w:val="0"/>
      <w:divBdr>
        <w:top w:val="none" w:sz="0" w:space="0" w:color="auto"/>
        <w:left w:val="none" w:sz="0" w:space="0" w:color="auto"/>
        <w:bottom w:val="none" w:sz="0" w:space="0" w:color="auto"/>
        <w:right w:val="none" w:sz="0" w:space="0" w:color="auto"/>
      </w:divBdr>
    </w:div>
    <w:div w:id="566494110">
      <w:bodyDiv w:val="1"/>
      <w:marLeft w:val="0"/>
      <w:marRight w:val="0"/>
      <w:marTop w:val="0"/>
      <w:marBottom w:val="0"/>
      <w:divBdr>
        <w:top w:val="none" w:sz="0" w:space="0" w:color="auto"/>
        <w:left w:val="none" w:sz="0" w:space="0" w:color="auto"/>
        <w:bottom w:val="none" w:sz="0" w:space="0" w:color="auto"/>
        <w:right w:val="none" w:sz="0" w:space="0" w:color="auto"/>
      </w:divBdr>
    </w:div>
    <w:div w:id="691541215">
      <w:bodyDiv w:val="1"/>
      <w:marLeft w:val="0"/>
      <w:marRight w:val="0"/>
      <w:marTop w:val="0"/>
      <w:marBottom w:val="0"/>
      <w:divBdr>
        <w:top w:val="none" w:sz="0" w:space="0" w:color="auto"/>
        <w:left w:val="none" w:sz="0" w:space="0" w:color="auto"/>
        <w:bottom w:val="none" w:sz="0" w:space="0" w:color="auto"/>
        <w:right w:val="none" w:sz="0" w:space="0" w:color="auto"/>
      </w:divBdr>
    </w:div>
    <w:div w:id="728110018">
      <w:bodyDiv w:val="1"/>
      <w:marLeft w:val="0"/>
      <w:marRight w:val="0"/>
      <w:marTop w:val="0"/>
      <w:marBottom w:val="0"/>
      <w:divBdr>
        <w:top w:val="none" w:sz="0" w:space="0" w:color="auto"/>
        <w:left w:val="none" w:sz="0" w:space="0" w:color="auto"/>
        <w:bottom w:val="none" w:sz="0" w:space="0" w:color="auto"/>
        <w:right w:val="none" w:sz="0" w:space="0" w:color="auto"/>
      </w:divBdr>
    </w:div>
    <w:div w:id="913972216">
      <w:bodyDiv w:val="1"/>
      <w:marLeft w:val="0"/>
      <w:marRight w:val="0"/>
      <w:marTop w:val="0"/>
      <w:marBottom w:val="0"/>
      <w:divBdr>
        <w:top w:val="none" w:sz="0" w:space="0" w:color="auto"/>
        <w:left w:val="none" w:sz="0" w:space="0" w:color="auto"/>
        <w:bottom w:val="none" w:sz="0" w:space="0" w:color="auto"/>
        <w:right w:val="none" w:sz="0" w:space="0" w:color="auto"/>
      </w:divBdr>
    </w:div>
    <w:div w:id="939486942">
      <w:bodyDiv w:val="1"/>
      <w:marLeft w:val="0"/>
      <w:marRight w:val="0"/>
      <w:marTop w:val="0"/>
      <w:marBottom w:val="0"/>
      <w:divBdr>
        <w:top w:val="none" w:sz="0" w:space="0" w:color="auto"/>
        <w:left w:val="none" w:sz="0" w:space="0" w:color="auto"/>
        <w:bottom w:val="none" w:sz="0" w:space="0" w:color="auto"/>
        <w:right w:val="none" w:sz="0" w:space="0" w:color="auto"/>
      </w:divBdr>
    </w:div>
    <w:div w:id="980378357">
      <w:bodyDiv w:val="1"/>
      <w:marLeft w:val="0"/>
      <w:marRight w:val="0"/>
      <w:marTop w:val="0"/>
      <w:marBottom w:val="0"/>
      <w:divBdr>
        <w:top w:val="none" w:sz="0" w:space="0" w:color="auto"/>
        <w:left w:val="none" w:sz="0" w:space="0" w:color="auto"/>
        <w:bottom w:val="none" w:sz="0" w:space="0" w:color="auto"/>
        <w:right w:val="none" w:sz="0" w:space="0" w:color="auto"/>
      </w:divBdr>
    </w:div>
    <w:div w:id="1002126924">
      <w:bodyDiv w:val="1"/>
      <w:marLeft w:val="0"/>
      <w:marRight w:val="0"/>
      <w:marTop w:val="0"/>
      <w:marBottom w:val="0"/>
      <w:divBdr>
        <w:top w:val="none" w:sz="0" w:space="0" w:color="auto"/>
        <w:left w:val="none" w:sz="0" w:space="0" w:color="auto"/>
        <w:bottom w:val="none" w:sz="0" w:space="0" w:color="auto"/>
        <w:right w:val="none" w:sz="0" w:space="0" w:color="auto"/>
      </w:divBdr>
    </w:div>
    <w:div w:id="1050880654">
      <w:bodyDiv w:val="1"/>
      <w:marLeft w:val="0"/>
      <w:marRight w:val="0"/>
      <w:marTop w:val="0"/>
      <w:marBottom w:val="0"/>
      <w:divBdr>
        <w:top w:val="none" w:sz="0" w:space="0" w:color="auto"/>
        <w:left w:val="none" w:sz="0" w:space="0" w:color="auto"/>
        <w:bottom w:val="none" w:sz="0" w:space="0" w:color="auto"/>
        <w:right w:val="none" w:sz="0" w:space="0" w:color="auto"/>
      </w:divBdr>
    </w:div>
    <w:div w:id="1074011810">
      <w:bodyDiv w:val="1"/>
      <w:marLeft w:val="0"/>
      <w:marRight w:val="0"/>
      <w:marTop w:val="0"/>
      <w:marBottom w:val="0"/>
      <w:divBdr>
        <w:top w:val="none" w:sz="0" w:space="0" w:color="auto"/>
        <w:left w:val="none" w:sz="0" w:space="0" w:color="auto"/>
        <w:bottom w:val="none" w:sz="0" w:space="0" w:color="auto"/>
        <w:right w:val="none" w:sz="0" w:space="0" w:color="auto"/>
      </w:divBdr>
    </w:div>
    <w:div w:id="107605378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23690364">
      <w:bodyDiv w:val="1"/>
      <w:marLeft w:val="0"/>
      <w:marRight w:val="0"/>
      <w:marTop w:val="0"/>
      <w:marBottom w:val="0"/>
      <w:divBdr>
        <w:top w:val="none" w:sz="0" w:space="0" w:color="auto"/>
        <w:left w:val="none" w:sz="0" w:space="0" w:color="auto"/>
        <w:bottom w:val="none" w:sz="0" w:space="0" w:color="auto"/>
        <w:right w:val="none" w:sz="0" w:space="0" w:color="auto"/>
      </w:divBdr>
    </w:div>
    <w:div w:id="1253198710">
      <w:bodyDiv w:val="1"/>
      <w:marLeft w:val="0"/>
      <w:marRight w:val="0"/>
      <w:marTop w:val="0"/>
      <w:marBottom w:val="0"/>
      <w:divBdr>
        <w:top w:val="none" w:sz="0" w:space="0" w:color="auto"/>
        <w:left w:val="none" w:sz="0" w:space="0" w:color="auto"/>
        <w:bottom w:val="none" w:sz="0" w:space="0" w:color="auto"/>
        <w:right w:val="none" w:sz="0" w:space="0" w:color="auto"/>
      </w:divBdr>
    </w:div>
    <w:div w:id="1342512927">
      <w:bodyDiv w:val="1"/>
      <w:marLeft w:val="0"/>
      <w:marRight w:val="0"/>
      <w:marTop w:val="0"/>
      <w:marBottom w:val="0"/>
      <w:divBdr>
        <w:top w:val="none" w:sz="0" w:space="0" w:color="auto"/>
        <w:left w:val="none" w:sz="0" w:space="0" w:color="auto"/>
        <w:bottom w:val="none" w:sz="0" w:space="0" w:color="auto"/>
        <w:right w:val="none" w:sz="0" w:space="0" w:color="auto"/>
      </w:divBdr>
    </w:div>
    <w:div w:id="1403018450">
      <w:bodyDiv w:val="1"/>
      <w:marLeft w:val="0"/>
      <w:marRight w:val="0"/>
      <w:marTop w:val="0"/>
      <w:marBottom w:val="0"/>
      <w:divBdr>
        <w:top w:val="none" w:sz="0" w:space="0" w:color="auto"/>
        <w:left w:val="none" w:sz="0" w:space="0" w:color="auto"/>
        <w:bottom w:val="none" w:sz="0" w:space="0" w:color="auto"/>
        <w:right w:val="none" w:sz="0" w:space="0" w:color="auto"/>
      </w:divBdr>
    </w:div>
    <w:div w:id="1457523801">
      <w:bodyDiv w:val="1"/>
      <w:marLeft w:val="0"/>
      <w:marRight w:val="0"/>
      <w:marTop w:val="0"/>
      <w:marBottom w:val="0"/>
      <w:divBdr>
        <w:top w:val="none" w:sz="0" w:space="0" w:color="auto"/>
        <w:left w:val="none" w:sz="0" w:space="0" w:color="auto"/>
        <w:bottom w:val="none" w:sz="0" w:space="0" w:color="auto"/>
        <w:right w:val="none" w:sz="0" w:space="0" w:color="auto"/>
      </w:divBdr>
      <w:divsChild>
        <w:div w:id="1784031717">
          <w:marLeft w:val="0"/>
          <w:marRight w:val="0"/>
          <w:marTop w:val="0"/>
          <w:marBottom w:val="0"/>
          <w:divBdr>
            <w:top w:val="none" w:sz="0" w:space="0" w:color="auto"/>
            <w:left w:val="none" w:sz="0" w:space="0" w:color="auto"/>
            <w:bottom w:val="none" w:sz="0" w:space="0" w:color="auto"/>
            <w:right w:val="none" w:sz="0" w:space="0" w:color="auto"/>
          </w:divBdr>
          <w:divsChild>
            <w:div w:id="196620461">
              <w:marLeft w:val="0"/>
              <w:marRight w:val="0"/>
              <w:marTop w:val="0"/>
              <w:marBottom w:val="0"/>
              <w:divBdr>
                <w:top w:val="none" w:sz="0" w:space="0" w:color="auto"/>
                <w:left w:val="none" w:sz="0" w:space="0" w:color="auto"/>
                <w:bottom w:val="none" w:sz="0" w:space="0" w:color="auto"/>
                <w:right w:val="none" w:sz="0" w:space="0" w:color="auto"/>
              </w:divBdr>
              <w:divsChild>
                <w:div w:id="1585725124">
                  <w:marLeft w:val="0"/>
                  <w:marRight w:val="0"/>
                  <w:marTop w:val="0"/>
                  <w:marBottom w:val="0"/>
                  <w:divBdr>
                    <w:top w:val="none" w:sz="0" w:space="0" w:color="auto"/>
                    <w:left w:val="none" w:sz="0" w:space="0" w:color="auto"/>
                    <w:bottom w:val="none" w:sz="0" w:space="0" w:color="auto"/>
                    <w:right w:val="none" w:sz="0" w:space="0" w:color="auto"/>
                  </w:divBdr>
                  <w:divsChild>
                    <w:div w:id="9776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570400">
      <w:bodyDiv w:val="1"/>
      <w:marLeft w:val="0"/>
      <w:marRight w:val="0"/>
      <w:marTop w:val="0"/>
      <w:marBottom w:val="0"/>
      <w:divBdr>
        <w:top w:val="none" w:sz="0" w:space="0" w:color="auto"/>
        <w:left w:val="none" w:sz="0" w:space="0" w:color="auto"/>
        <w:bottom w:val="none" w:sz="0" w:space="0" w:color="auto"/>
        <w:right w:val="none" w:sz="0" w:space="0" w:color="auto"/>
      </w:divBdr>
    </w:div>
    <w:div w:id="1468356469">
      <w:bodyDiv w:val="1"/>
      <w:marLeft w:val="0"/>
      <w:marRight w:val="0"/>
      <w:marTop w:val="0"/>
      <w:marBottom w:val="0"/>
      <w:divBdr>
        <w:top w:val="none" w:sz="0" w:space="0" w:color="auto"/>
        <w:left w:val="none" w:sz="0" w:space="0" w:color="auto"/>
        <w:bottom w:val="none" w:sz="0" w:space="0" w:color="auto"/>
        <w:right w:val="none" w:sz="0" w:space="0" w:color="auto"/>
      </w:divBdr>
    </w:div>
    <w:div w:id="1649819372">
      <w:bodyDiv w:val="1"/>
      <w:marLeft w:val="0"/>
      <w:marRight w:val="0"/>
      <w:marTop w:val="0"/>
      <w:marBottom w:val="0"/>
      <w:divBdr>
        <w:top w:val="none" w:sz="0" w:space="0" w:color="auto"/>
        <w:left w:val="none" w:sz="0" w:space="0" w:color="auto"/>
        <w:bottom w:val="none" w:sz="0" w:space="0" w:color="auto"/>
        <w:right w:val="none" w:sz="0" w:space="0" w:color="auto"/>
      </w:divBdr>
      <w:divsChild>
        <w:div w:id="1481730745">
          <w:marLeft w:val="0"/>
          <w:marRight w:val="0"/>
          <w:marTop w:val="0"/>
          <w:marBottom w:val="0"/>
          <w:divBdr>
            <w:top w:val="none" w:sz="0" w:space="0" w:color="auto"/>
            <w:left w:val="none" w:sz="0" w:space="0" w:color="auto"/>
            <w:bottom w:val="none" w:sz="0" w:space="0" w:color="auto"/>
            <w:right w:val="none" w:sz="0" w:space="0" w:color="auto"/>
          </w:divBdr>
          <w:divsChild>
            <w:div w:id="1977685282">
              <w:marLeft w:val="0"/>
              <w:marRight w:val="0"/>
              <w:marTop w:val="0"/>
              <w:marBottom w:val="0"/>
              <w:divBdr>
                <w:top w:val="none" w:sz="0" w:space="0" w:color="auto"/>
                <w:left w:val="none" w:sz="0" w:space="0" w:color="auto"/>
                <w:bottom w:val="none" w:sz="0" w:space="0" w:color="auto"/>
                <w:right w:val="none" w:sz="0" w:space="0" w:color="auto"/>
              </w:divBdr>
              <w:divsChild>
                <w:div w:id="1885290080">
                  <w:marLeft w:val="0"/>
                  <w:marRight w:val="0"/>
                  <w:marTop w:val="0"/>
                  <w:marBottom w:val="0"/>
                  <w:divBdr>
                    <w:top w:val="none" w:sz="0" w:space="0" w:color="auto"/>
                    <w:left w:val="none" w:sz="0" w:space="0" w:color="auto"/>
                    <w:bottom w:val="none" w:sz="0" w:space="0" w:color="auto"/>
                    <w:right w:val="none" w:sz="0" w:space="0" w:color="auto"/>
                  </w:divBdr>
                  <w:divsChild>
                    <w:div w:id="65681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11448">
      <w:bodyDiv w:val="1"/>
      <w:marLeft w:val="0"/>
      <w:marRight w:val="0"/>
      <w:marTop w:val="0"/>
      <w:marBottom w:val="0"/>
      <w:divBdr>
        <w:top w:val="none" w:sz="0" w:space="0" w:color="auto"/>
        <w:left w:val="none" w:sz="0" w:space="0" w:color="auto"/>
        <w:bottom w:val="none" w:sz="0" w:space="0" w:color="auto"/>
        <w:right w:val="none" w:sz="0" w:space="0" w:color="auto"/>
      </w:divBdr>
    </w:div>
    <w:div w:id="1749769726">
      <w:bodyDiv w:val="1"/>
      <w:marLeft w:val="0"/>
      <w:marRight w:val="0"/>
      <w:marTop w:val="0"/>
      <w:marBottom w:val="0"/>
      <w:divBdr>
        <w:top w:val="none" w:sz="0" w:space="0" w:color="auto"/>
        <w:left w:val="none" w:sz="0" w:space="0" w:color="auto"/>
        <w:bottom w:val="none" w:sz="0" w:space="0" w:color="auto"/>
        <w:right w:val="none" w:sz="0" w:space="0" w:color="auto"/>
      </w:divBdr>
    </w:div>
    <w:div w:id="1777602256">
      <w:bodyDiv w:val="1"/>
      <w:marLeft w:val="0"/>
      <w:marRight w:val="0"/>
      <w:marTop w:val="0"/>
      <w:marBottom w:val="0"/>
      <w:divBdr>
        <w:top w:val="none" w:sz="0" w:space="0" w:color="auto"/>
        <w:left w:val="none" w:sz="0" w:space="0" w:color="auto"/>
        <w:bottom w:val="none" w:sz="0" w:space="0" w:color="auto"/>
        <w:right w:val="none" w:sz="0" w:space="0" w:color="auto"/>
      </w:divBdr>
    </w:div>
    <w:div w:id="1801603614">
      <w:bodyDiv w:val="1"/>
      <w:marLeft w:val="0"/>
      <w:marRight w:val="0"/>
      <w:marTop w:val="0"/>
      <w:marBottom w:val="0"/>
      <w:divBdr>
        <w:top w:val="none" w:sz="0" w:space="0" w:color="auto"/>
        <w:left w:val="none" w:sz="0" w:space="0" w:color="auto"/>
        <w:bottom w:val="none" w:sz="0" w:space="0" w:color="auto"/>
        <w:right w:val="none" w:sz="0" w:space="0" w:color="auto"/>
      </w:divBdr>
      <w:divsChild>
        <w:div w:id="1895776286">
          <w:marLeft w:val="0"/>
          <w:marRight w:val="0"/>
          <w:marTop w:val="0"/>
          <w:marBottom w:val="0"/>
          <w:divBdr>
            <w:top w:val="none" w:sz="0" w:space="0" w:color="auto"/>
            <w:left w:val="none" w:sz="0" w:space="0" w:color="auto"/>
            <w:bottom w:val="none" w:sz="0" w:space="0" w:color="auto"/>
            <w:right w:val="none" w:sz="0" w:space="0" w:color="auto"/>
          </w:divBdr>
          <w:divsChild>
            <w:div w:id="1099834220">
              <w:marLeft w:val="0"/>
              <w:marRight w:val="0"/>
              <w:marTop w:val="0"/>
              <w:marBottom w:val="0"/>
              <w:divBdr>
                <w:top w:val="none" w:sz="0" w:space="0" w:color="auto"/>
                <w:left w:val="none" w:sz="0" w:space="0" w:color="auto"/>
                <w:bottom w:val="none" w:sz="0" w:space="0" w:color="auto"/>
                <w:right w:val="none" w:sz="0" w:space="0" w:color="auto"/>
              </w:divBdr>
              <w:divsChild>
                <w:div w:id="2007786218">
                  <w:marLeft w:val="0"/>
                  <w:marRight w:val="0"/>
                  <w:marTop w:val="0"/>
                  <w:marBottom w:val="0"/>
                  <w:divBdr>
                    <w:top w:val="none" w:sz="0" w:space="0" w:color="auto"/>
                    <w:left w:val="none" w:sz="0" w:space="0" w:color="auto"/>
                    <w:bottom w:val="none" w:sz="0" w:space="0" w:color="auto"/>
                    <w:right w:val="none" w:sz="0" w:space="0" w:color="auto"/>
                  </w:divBdr>
                  <w:divsChild>
                    <w:div w:id="8129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78593">
      <w:bodyDiv w:val="1"/>
      <w:marLeft w:val="0"/>
      <w:marRight w:val="0"/>
      <w:marTop w:val="0"/>
      <w:marBottom w:val="0"/>
      <w:divBdr>
        <w:top w:val="none" w:sz="0" w:space="0" w:color="auto"/>
        <w:left w:val="none" w:sz="0" w:space="0" w:color="auto"/>
        <w:bottom w:val="none" w:sz="0" w:space="0" w:color="auto"/>
        <w:right w:val="none" w:sz="0" w:space="0" w:color="auto"/>
      </w:divBdr>
    </w:div>
    <w:div w:id="1843625683">
      <w:bodyDiv w:val="1"/>
      <w:marLeft w:val="0"/>
      <w:marRight w:val="0"/>
      <w:marTop w:val="0"/>
      <w:marBottom w:val="0"/>
      <w:divBdr>
        <w:top w:val="none" w:sz="0" w:space="0" w:color="auto"/>
        <w:left w:val="none" w:sz="0" w:space="0" w:color="auto"/>
        <w:bottom w:val="none" w:sz="0" w:space="0" w:color="auto"/>
        <w:right w:val="none" w:sz="0" w:space="0" w:color="auto"/>
      </w:divBdr>
    </w:div>
    <w:div w:id="1947687701">
      <w:bodyDiv w:val="1"/>
      <w:marLeft w:val="0"/>
      <w:marRight w:val="0"/>
      <w:marTop w:val="0"/>
      <w:marBottom w:val="0"/>
      <w:divBdr>
        <w:top w:val="none" w:sz="0" w:space="0" w:color="auto"/>
        <w:left w:val="none" w:sz="0" w:space="0" w:color="auto"/>
        <w:bottom w:val="none" w:sz="0" w:space="0" w:color="auto"/>
        <w:right w:val="none" w:sz="0" w:space="0" w:color="auto"/>
      </w:divBdr>
      <w:divsChild>
        <w:div w:id="693118431">
          <w:marLeft w:val="0"/>
          <w:marRight w:val="0"/>
          <w:marTop w:val="0"/>
          <w:marBottom w:val="0"/>
          <w:divBdr>
            <w:top w:val="none" w:sz="0" w:space="0" w:color="auto"/>
            <w:left w:val="none" w:sz="0" w:space="0" w:color="auto"/>
            <w:bottom w:val="none" w:sz="0" w:space="0" w:color="auto"/>
            <w:right w:val="none" w:sz="0" w:space="0" w:color="auto"/>
          </w:divBdr>
          <w:divsChild>
            <w:div w:id="335691845">
              <w:marLeft w:val="0"/>
              <w:marRight w:val="0"/>
              <w:marTop w:val="0"/>
              <w:marBottom w:val="0"/>
              <w:divBdr>
                <w:top w:val="none" w:sz="0" w:space="0" w:color="auto"/>
                <w:left w:val="none" w:sz="0" w:space="0" w:color="auto"/>
                <w:bottom w:val="none" w:sz="0" w:space="0" w:color="auto"/>
                <w:right w:val="none" w:sz="0" w:space="0" w:color="auto"/>
              </w:divBdr>
              <w:divsChild>
                <w:div w:id="1892420039">
                  <w:marLeft w:val="0"/>
                  <w:marRight w:val="0"/>
                  <w:marTop w:val="0"/>
                  <w:marBottom w:val="0"/>
                  <w:divBdr>
                    <w:top w:val="none" w:sz="0" w:space="0" w:color="auto"/>
                    <w:left w:val="none" w:sz="0" w:space="0" w:color="auto"/>
                    <w:bottom w:val="none" w:sz="0" w:space="0" w:color="auto"/>
                    <w:right w:val="none" w:sz="0" w:space="0" w:color="auto"/>
                  </w:divBdr>
                  <w:divsChild>
                    <w:div w:id="13502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22547">
      <w:bodyDiv w:val="1"/>
      <w:marLeft w:val="0"/>
      <w:marRight w:val="0"/>
      <w:marTop w:val="0"/>
      <w:marBottom w:val="0"/>
      <w:divBdr>
        <w:top w:val="none" w:sz="0" w:space="0" w:color="auto"/>
        <w:left w:val="none" w:sz="0" w:space="0" w:color="auto"/>
        <w:bottom w:val="none" w:sz="0" w:space="0" w:color="auto"/>
        <w:right w:val="none" w:sz="0" w:space="0" w:color="auto"/>
      </w:divBdr>
    </w:div>
    <w:div w:id="202836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ps.org.au/publications/health-professional/nps-news/2010/iron-anaemia" TargetMode="External"/><Relationship Id="rId7" Type="http://schemas.openxmlformats.org/officeDocument/2006/relationships/hyperlink" Target="http://www.pbs.gov.au/info/industry/listing/elements/pbac-meetings/psd/2013-11/ferric-carboxymaltose" TargetMode="External"/><Relationship Id="rId2" Type="http://schemas.openxmlformats.org/officeDocument/2006/relationships/hyperlink" Target="https://www.mja.com.au/system/files/issues/193_09_011110/pas10224_fm.pdf" TargetMode="External"/><Relationship Id="rId1" Type="http://schemas.openxmlformats.org/officeDocument/2006/relationships/hyperlink" Target="https://www.tga.gov.au/product-information-pi." TargetMode="External"/><Relationship Id="rId6" Type="http://schemas.openxmlformats.org/officeDocument/2006/relationships/hyperlink" Target="http://www.medicareaustralia.gov.au/provider/pbs/stats.jsp" TargetMode="External"/><Relationship Id="rId5" Type="http://schemas.openxmlformats.org/officeDocument/2006/relationships/hyperlink" Target="https://www.tga.gov.au/product-information-pi." TargetMode="External"/><Relationship Id="rId4" Type="http://schemas.openxmlformats.org/officeDocument/2006/relationships/hyperlink" Target="https://www.nps.org.au/radar/articles/ferric-carboxymaltose-ferinject-for-iron-deficiency-anaemi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7%20Feb\Ferric%20carboxymaltose\Data\Prue's%20versions\D986_SETT_PRSC_LOC_ALLDRUGS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7%20Feb\Ferric%20carboxymaltose\Data\Prue's%20versions\D986_SETT_PRSC_LOC_ALLDRUGS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7%20Feb\Ferric%20carboxymaltose\Data\Prue's%20versions\D986_SETT_PRSC_LOC_ALLDRUGS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7%20Feb\Ferric%20carboxymaltose\Data\Prue's%20versions\D986_SETT_PRSC_LOC_ALLDRUGS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7%20Feb\Ferric%20carboxymaltose\Data\Prue's%20versions\D986_SETT_PRSC_LOC_ALLDRUGS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[D986_SETT_PRSC_LOC_ALLDRUGS2.xlsx]Presc_type!PivotTable2</c:name>
    <c:fmtId val="6"/>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s>
    <c:plotArea>
      <c:layout/>
      <c:barChart>
        <c:barDir val="col"/>
        <c:grouping val="stacked"/>
        <c:varyColors val="0"/>
        <c:ser>
          <c:idx val="0"/>
          <c:order val="0"/>
          <c:tx>
            <c:strRef>
              <c:f>Presc_type!$B$3:$B$4</c:f>
              <c:strCache>
                <c:ptCount val="1"/>
                <c:pt idx="0">
                  <c:v>GP</c:v>
                </c:pt>
              </c:strCache>
            </c:strRef>
          </c:tx>
          <c:invertIfNegative val="0"/>
          <c:cat>
            <c:strRef>
              <c:f>Presc_type!$A$5:$A$8</c:f>
              <c:strCache>
                <c:ptCount val="3"/>
                <c:pt idx="0">
                  <c:v>Year prior to FCM listing</c:v>
                </c:pt>
                <c:pt idx="1">
                  <c:v>June 2014 to May 2015</c:v>
                </c:pt>
                <c:pt idx="2">
                  <c:v>June 2015 to May 2016</c:v>
                </c:pt>
              </c:strCache>
            </c:strRef>
          </c:cat>
          <c:val>
            <c:numRef>
              <c:f>Presc_type!$B$5:$B$8</c:f>
              <c:numCache>
                <c:formatCode>General</c:formatCode>
                <c:ptCount val="3"/>
                <c:pt idx="0">
                  <c:v>42971</c:v>
                </c:pt>
                <c:pt idx="1">
                  <c:v>74916</c:v>
                </c:pt>
                <c:pt idx="2">
                  <c:v>110483</c:v>
                </c:pt>
              </c:numCache>
            </c:numRef>
          </c:val>
        </c:ser>
        <c:ser>
          <c:idx val="1"/>
          <c:order val="1"/>
          <c:tx>
            <c:strRef>
              <c:f>Presc_type!$C$3:$C$4</c:f>
              <c:strCache>
                <c:ptCount val="1"/>
                <c:pt idx="0">
                  <c:v>Gastroenterologist and hepatologist</c:v>
                </c:pt>
              </c:strCache>
            </c:strRef>
          </c:tx>
          <c:invertIfNegative val="0"/>
          <c:cat>
            <c:strRef>
              <c:f>Presc_type!$A$5:$A$8</c:f>
              <c:strCache>
                <c:ptCount val="3"/>
                <c:pt idx="0">
                  <c:v>Year prior to FCM listing</c:v>
                </c:pt>
                <c:pt idx="1">
                  <c:v>June 2014 to May 2015</c:v>
                </c:pt>
                <c:pt idx="2">
                  <c:v>June 2015 to May 2016</c:v>
                </c:pt>
              </c:strCache>
            </c:strRef>
          </c:cat>
          <c:val>
            <c:numRef>
              <c:f>Presc_type!$C$5:$C$8</c:f>
              <c:numCache>
                <c:formatCode>General</c:formatCode>
                <c:ptCount val="3"/>
                <c:pt idx="0">
                  <c:v>7475</c:v>
                </c:pt>
                <c:pt idx="1">
                  <c:v>12602</c:v>
                </c:pt>
                <c:pt idx="2">
                  <c:v>16449</c:v>
                </c:pt>
              </c:numCache>
            </c:numRef>
          </c:val>
        </c:ser>
        <c:ser>
          <c:idx val="2"/>
          <c:order val="2"/>
          <c:tx>
            <c:strRef>
              <c:f>Presc_type!$D$3:$D$4</c:f>
              <c:strCache>
                <c:ptCount val="1"/>
                <c:pt idx="0">
                  <c:v>Nephrologist</c:v>
                </c:pt>
              </c:strCache>
            </c:strRef>
          </c:tx>
          <c:invertIfNegative val="0"/>
          <c:cat>
            <c:strRef>
              <c:f>Presc_type!$A$5:$A$8</c:f>
              <c:strCache>
                <c:ptCount val="3"/>
                <c:pt idx="0">
                  <c:v>Year prior to FCM listing</c:v>
                </c:pt>
                <c:pt idx="1">
                  <c:v>June 2014 to May 2015</c:v>
                </c:pt>
                <c:pt idx="2">
                  <c:v>June 2015 to May 2016</c:v>
                </c:pt>
              </c:strCache>
            </c:strRef>
          </c:cat>
          <c:val>
            <c:numRef>
              <c:f>Presc_type!$D$5:$D$8</c:f>
              <c:numCache>
                <c:formatCode>General</c:formatCode>
                <c:ptCount val="3"/>
                <c:pt idx="0">
                  <c:v>5893</c:v>
                </c:pt>
                <c:pt idx="1">
                  <c:v>6828</c:v>
                </c:pt>
                <c:pt idx="2">
                  <c:v>8478</c:v>
                </c:pt>
              </c:numCache>
            </c:numRef>
          </c:val>
        </c:ser>
        <c:ser>
          <c:idx val="3"/>
          <c:order val="3"/>
          <c:tx>
            <c:strRef>
              <c:f>Presc_type!$E$3:$E$4</c:f>
              <c:strCache>
                <c:ptCount val="1"/>
                <c:pt idx="0">
                  <c:v>Haematologist</c:v>
                </c:pt>
              </c:strCache>
            </c:strRef>
          </c:tx>
          <c:invertIfNegative val="0"/>
          <c:cat>
            <c:strRef>
              <c:f>Presc_type!$A$5:$A$8</c:f>
              <c:strCache>
                <c:ptCount val="3"/>
                <c:pt idx="0">
                  <c:v>Year prior to FCM listing</c:v>
                </c:pt>
                <c:pt idx="1">
                  <c:v>June 2014 to May 2015</c:v>
                </c:pt>
                <c:pt idx="2">
                  <c:v>June 2015 to May 2016</c:v>
                </c:pt>
              </c:strCache>
            </c:strRef>
          </c:cat>
          <c:val>
            <c:numRef>
              <c:f>Presc_type!$E$5:$E$8</c:f>
              <c:numCache>
                <c:formatCode>General</c:formatCode>
                <c:ptCount val="3"/>
                <c:pt idx="0">
                  <c:v>2050</c:v>
                </c:pt>
                <c:pt idx="1">
                  <c:v>5561</c:v>
                </c:pt>
                <c:pt idx="2">
                  <c:v>7876</c:v>
                </c:pt>
              </c:numCache>
            </c:numRef>
          </c:val>
        </c:ser>
        <c:ser>
          <c:idx val="4"/>
          <c:order val="4"/>
          <c:tx>
            <c:strRef>
              <c:f>Presc_type!$F$3:$F$4</c:f>
              <c:strCache>
                <c:ptCount val="1"/>
                <c:pt idx="0">
                  <c:v>Internal medicine</c:v>
                </c:pt>
              </c:strCache>
            </c:strRef>
          </c:tx>
          <c:invertIfNegative val="0"/>
          <c:cat>
            <c:strRef>
              <c:f>Presc_type!$A$5:$A$8</c:f>
              <c:strCache>
                <c:ptCount val="3"/>
                <c:pt idx="0">
                  <c:v>Year prior to FCM listing</c:v>
                </c:pt>
                <c:pt idx="1">
                  <c:v>June 2014 to May 2015</c:v>
                </c:pt>
                <c:pt idx="2">
                  <c:v>June 2015 to May 2016</c:v>
                </c:pt>
              </c:strCache>
            </c:strRef>
          </c:cat>
          <c:val>
            <c:numRef>
              <c:f>Presc_type!$F$5:$F$8</c:f>
              <c:numCache>
                <c:formatCode>General</c:formatCode>
                <c:ptCount val="3"/>
                <c:pt idx="0">
                  <c:v>3786</c:v>
                </c:pt>
                <c:pt idx="1">
                  <c:v>5329</c:v>
                </c:pt>
                <c:pt idx="2">
                  <c:v>6176</c:v>
                </c:pt>
              </c:numCache>
            </c:numRef>
          </c:val>
        </c:ser>
        <c:ser>
          <c:idx val="5"/>
          <c:order val="5"/>
          <c:tx>
            <c:strRef>
              <c:f>Presc_type!$G$3:$G$4</c:f>
              <c:strCache>
                <c:ptCount val="1"/>
                <c:pt idx="0">
                  <c:v>Pathologist</c:v>
                </c:pt>
              </c:strCache>
            </c:strRef>
          </c:tx>
          <c:invertIfNegative val="0"/>
          <c:cat>
            <c:strRef>
              <c:f>Presc_type!$A$5:$A$8</c:f>
              <c:strCache>
                <c:ptCount val="3"/>
                <c:pt idx="0">
                  <c:v>Year prior to FCM listing</c:v>
                </c:pt>
                <c:pt idx="1">
                  <c:v>June 2014 to May 2015</c:v>
                </c:pt>
                <c:pt idx="2">
                  <c:v>June 2015 to May 2016</c:v>
                </c:pt>
              </c:strCache>
            </c:strRef>
          </c:cat>
          <c:val>
            <c:numRef>
              <c:f>Presc_type!$G$5:$G$8</c:f>
              <c:numCache>
                <c:formatCode>General</c:formatCode>
                <c:ptCount val="3"/>
                <c:pt idx="0">
                  <c:v>3109</c:v>
                </c:pt>
                <c:pt idx="1">
                  <c:v>2932</c:v>
                </c:pt>
                <c:pt idx="2">
                  <c:v>2959</c:v>
                </c:pt>
              </c:numCache>
            </c:numRef>
          </c:val>
        </c:ser>
        <c:ser>
          <c:idx val="6"/>
          <c:order val="6"/>
          <c:tx>
            <c:strRef>
              <c:f>Presc_type!$H$3:$H$4</c:f>
              <c:strCache>
                <c:ptCount val="1"/>
                <c:pt idx="0">
                  <c:v>Obstetrician and gynaecologist</c:v>
                </c:pt>
              </c:strCache>
            </c:strRef>
          </c:tx>
          <c:invertIfNegative val="0"/>
          <c:cat>
            <c:strRef>
              <c:f>Presc_type!$A$5:$A$8</c:f>
              <c:strCache>
                <c:ptCount val="3"/>
                <c:pt idx="0">
                  <c:v>Year prior to FCM listing</c:v>
                </c:pt>
                <c:pt idx="1">
                  <c:v>June 2014 to May 2015</c:v>
                </c:pt>
                <c:pt idx="2">
                  <c:v>June 2015 to May 2016</c:v>
                </c:pt>
              </c:strCache>
            </c:strRef>
          </c:cat>
          <c:val>
            <c:numRef>
              <c:f>Presc_type!$H$5:$H$8</c:f>
              <c:numCache>
                <c:formatCode>General</c:formatCode>
                <c:ptCount val="3"/>
                <c:pt idx="0">
                  <c:v>651</c:v>
                </c:pt>
                <c:pt idx="1">
                  <c:v>1959</c:v>
                </c:pt>
                <c:pt idx="2">
                  <c:v>3708</c:v>
                </c:pt>
              </c:numCache>
            </c:numRef>
          </c:val>
        </c:ser>
        <c:ser>
          <c:idx val="7"/>
          <c:order val="7"/>
          <c:tx>
            <c:strRef>
              <c:f>Presc_type!$I$3:$I$4</c:f>
              <c:strCache>
                <c:ptCount val="1"/>
                <c:pt idx="0">
                  <c:v>Surgeon</c:v>
                </c:pt>
              </c:strCache>
            </c:strRef>
          </c:tx>
          <c:invertIfNegative val="0"/>
          <c:cat>
            <c:strRef>
              <c:f>Presc_type!$A$5:$A$8</c:f>
              <c:strCache>
                <c:ptCount val="3"/>
                <c:pt idx="0">
                  <c:v>Year prior to FCM listing</c:v>
                </c:pt>
                <c:pt idx="1">
                  <c:v>June 2014 to May 2015</c:v>
                </c:pt>
                <c:pt idx="2">
                  <c:v>June 2015 to May 2016</c:v>
                </c:pt>
              </c:strCache>
            </c:strRef>
          </c:cat>
          <c:val>
            <c:numRef>
              <c:f>Presc_type!$I$5:$I$8</c:f>
              <c:numCache>
                <c:formatCode>General</c:formatCode>
                <c:ptCount val="3"/>
                <c:pt idx="0">
                  <c:v>881</c:v>
                </c:pt>
                <c:pt idx="1">
                  <c:v>1211</c:v>
                </c:pt>
                <c:pt idx="2">
                  <c:v>1844</c:v>
                </c:pt>
              </c:numCache>
            </c:numRef>
          </c:val>
        </c:ser>
        <c:ser>
          <c:idx val="8"/>
          <c:order val="8"/>
          <c:tx>
            <c:strRef>
              <c:f>Presc_type!$J$3:$J$4</c:f>
              <c:strCache>
                <c:ptCount val="1"/>
                <c:pt idx="0">
                  <c:v>Cardiologist</c:v>
                </c:pt>
              </c:strCache>
            </c:strRef>
          </c:tx>
          <c:invertIfNegative val="0"/>
          <c:cat>
            <c:strRef>
              <c:f>Presc_type!$A$5:$A$8</c:f>
              <c:strCache>
                <c:ptCount val="3"/>
                <c:pt idx="0">
                  <c:v>Year prior to FCM listing</c:v>
                </c:pt>
                <c:pt idx="1">
                  <c:v>June 2014 to May 2015</c:v>
                </c:pt>
                <c:pt idx="2">
                  <c:v>June 2015 to May 2016</c:v>
                </c:pt>
              </c:strCache>
            </c:strRef>
          </c:cat>
          <c:val>
            <c:numRef>
              <c:f>Presc_type!$J$5:$J$8</c:f>
              <c:numCache>
                <c:formatCode>General</c:formatCode>
                <c:ptCount val="3"/>
                <c:pt idx="0">
                  <c:v>626</c:v>
                </c:pt>
                <c:pt idx="1">
                  <c:v>1098</c:v>
                </c:pt>
                <c:pt idx="2">
                  <c:v>1584</c:v>
                </c:pt>
              </c:numCache>
            </c:numRef>
          </c:val>
        </c:ser>
        <c:ser>
          <c:idx val="9"/>
          <c:order val="9"/>
          <c:tx>
            <c:strRef>
              <c:f>Presc_type!$K$3:$K$4</c:f>
              <c:strCache>
                <c:ptCount val="1"/>
                <c:pt idx="0">
                  <c:v>Other</c:v>
                </c:pt>
              </c:strCache>
            </c:strRef>
          </c:tx>
          <c:invertIfNegative val="0"/>
          <c:cat>
            <c:strRef>
              <c:f>Presc_type!$A$5:$A$8</c:f>
              <c:strCache>
                <c:ptCount val="3"/>
                <c:pt idx="0">
                  <c:v>Year prior to FCM listing</c:v>
                </c:pt>
                <c:pt idx="1">
                  <c:v>June 2014 to May 2015</c:v>
                </c:pt>
                <c:pt idx="2">
                  <c:v>June 2015 to May 2016</c:v>
                </c:pt>
              </c:strCache>
            </c:strRef>
          </c:cat>
          <c:val>
            <c:numRef>
              <c:f>Presc_type!$K$5:$K$8</c:f>
              <c:numCache>
                <c:formatCode>General</c:formatCode>
                <c:ptCount val="3"/>
                <c:pt idx="0">
                  <c:v>503</c:v>
                </c:pt>
                <c:pt idx="1">
                  <c:v>841</c:v>
                </c:pt>
                <c:pt idx="2">
                  <c:v>1310</c:v>
                </c:pt>
              </c:numCache>
            </c:numRef>
          </c:val>
        </c:ser>
        <c:ser>
          <c:idx val="10"/>
          <c:order val="10"/>
          <c:tx>
            <c:strRef>
              <c:f>Presc_type!$L$3:$L$4</c:f>
              <c:strCache>
                <c:ptCount val="1"/>
                <c:pt idx="0">
                  <c:v>Oncologist</c:v>
                </c:pt>
              </c:strCache>
            </c:strRef>
          </c:tx>
          <c:invertIfNegative val="0"/>
          <c:cat>
            <c:strRef>
              <c:f>Presc_type!$A$5:$A$8</c:f>
              <c:strCache>
                <c:ptCount val="3"/>
                <c:pt idx="0">
                  <c:v>Year prior to FCM listing</c:v>
                </c:pt>
                <c:pt idx="1">
                  <c:v>June 2014 to May 2015</c:v>
                </c:pt>
                <c:pt idx="2">
                  <c:v>June 2015 to May 2016</c:v>
                </c:pt>
              </c:strCache>
            </c:strRef>
          </c:cat>
          <c:val>
            <c:numRef>
              <c:f>Presc_type!$L$5:$L$8</c:f>
              <c:numCache>
                <c:formatCode>General</c:formatCode>
                <c:ptCount val="3"/>
                <c:pt idx="0">
                  <c:v>403</c:v>
                </c:pt>
                <c:pt idx="1">
                  <c:v>913</c:v>
                </c:pt>
                <c:pt idx="2">
                  <c:v>1222</c:v>
                </c:pt>
              </c:numCache>
            </c:numRef>
          </c:val>
        </c:ser>
        <c:ser>
          <c:idx val="11"/>
          <c:order val="11"/>
          <c:tx>
            <c:strRef>
              <c:f>Presc_type!$M$3:$M$4</c:f>
              <c:strCache>
                <c:ptCount val="1"/>
                <c:pt idx="0">
                  <c:v>Anaesthetist</c:v>
                </c:pt>
              </c:strCache>
            </c:strRef>
          </c:tx>
          <c:invertIfNegative val="0"/>
          <c:cat>
            <c:strRef>
              <c:f>Presc_type!$A$5:$A$8</c:f>
              <c:strCache>
                <c:ptCount val="3"/>
                <c:pt idx="0">
                  <c:v>Year prior to FCM listing</c:v>
                </c:pt>
                <c:pt idx="1">
                  <c:v>June 2014 to May 2015</c:v>
                </c:pt>
                <c:pt idx="2">
                  <c:v>June 2015 to May 2016</c:v>
                </c:pt>
              </c:strCache>
            </c:strRef>
          </c:cat>
          <c:val>
            <c:numRef>
              <c:f>Presc_type!$M$5:$M$8</c:f>
              <c:numCache>
                <c:formatCode>General</c:formatCode>
                <c:ptCount val="3"/>
                <c:pt idx="0">
                  <c:v>71</c:v>
                </c:pt>
                <c:pt idx="1">
                  <c:v>509</c:v>
                </c:pt>
                <c:pt idx="2">
                  <c:v>1069</c:v>
                </c:pt>
              </c:numCache>
            </c:numRef>
          </c:val>
        </c:ser>
        <c:ser>
          <c:idx val="12"/>
          <c:order val="12"/>
          <c:tx>
            <c:strRef>
              <c:f>Presc_type!$N$3:$N$4</c:f>
              <c:strCache>
                <c:ptCount val="1"/>
                <c:pt idx="0">
                  <c:v>Geriatrician</c:v>
                </c:pt>
              </c:strCache>
            </c:strRef>
          </c:tx>
          <c:invertIfNegative val="0"/>
          <c:cat>
            <c:strRef>
              <c:f>Presc_type!$A$5:$A$8</c:f>
              <c:strCache>
                <c:ptCount val="3"/>
                <c:pt idx="0">
                  <c:v>Year prior to FCM listing</c:v>
                </c:pt>
                <c:pt idx="1">
                  <c:v>June 2014 to May 2015</c:v>
                </c:pt>
                <c:pt idx="2">
                  <c:v>June 2015 to May 2016</c:v>
                </c:pt>
              </c:strCache>
            </c:strRef>
          </c:cat>
          <c:val>
            <c:numRef>
              <c:f>Presc_type!$N$5:$N$8</c:f>
              <c:numCache>
                <c:formatCode>General</c:formatCode>
                <c:ptCount val="3"/>
                <c:pt idx="0">
                  <c:v>297</c:v>
                </c:pt>
                <c:pt idx="1">
                  <c:v>461</c:v>
                </c:pt>
                <c:pt idx="2">
                  <c:v>649</c:v>
                </c:pt>
              </c:numCache>
            </c:numRef>
          </c:val>
        </c:ser>
        <c:ser>
          <c:idx val="13"/>
          <c:order val="13"/>
          <c:tx>
            <c:strRef>
              <c:f>Presc_type!$O$3:$O$4</c:f>
              <c:strCache>
                <c:ptCount val="1"/>
                <c:pt idx="0">
                  <c:v>Respiratory and sleep medicine</c:v>
                </c:pt>
              </c:strCache>
            </c:strRef>
          </c:tx>
          <c:invertIfNegative val="0"/>
          <c:cat>
            <c:strRef>
              <c:f>Presc_type!$A$5:$A$8</c:f>
              <c:strCache>
                <c:ptCount val="3"/>
                <c:pt idx="0">
                  <c:v>Year prior to FCM listing</c:v>
                </c:pt>
                <c:pt idx="1">
                  <c:v>June 2014 to May 2015</c:v>
                </c:pt>
                <c:pt idx="2">
                  <c:v>June 2015 to May 2016</c:v>
                </c:pt>
              </c:strCache>
            </c:strRef>
          </c:cat>
          <c:val>
            <c:numRef>
              <c:f>Presc_type!$O$5:$O$8</c:f>
              <c:numCache>
                <c:formatCode>General</c:formatCode>
                <c:ptCount val="3"/>
                <c:pt idx="0">
                  <c:v>280</c:v>
                </c:pt>
                <c:pt idx="1">
                  <c:v>321</c:v>
                </c:pt>
                <c:pt idx="2">
                  <c:v>382</c:v>
                </c:pt>
              </c:numCache>
            </c:numRef>
          </c:val>
        </c:ser>
        <c:ser>
          <c:idx val="14"/>
          <c:order val="14"/>
          <c:tx>
            <c:strRef>
              <c:f>Presc_type!$P$3:$P$4</c:f>
              <c:strCache>
                <c:ptCount val="1"/>
                <c:pt idx="0">
                  <c:v>Intensive care</c:v>
                </c:pt>
              </c:strCache>
            </c:strRef>
          </c:tx>
          <c:invertIfNegative val="0"/>
          <c:cat>
            <c:strRef>
              <c:f>Presc_type!$A$5:$A$8</c:f>
              <c:strCache>
                <c:ptCount val="3"/>
                <c:pt idx="0">
                  <c:v>Year prior to FCM listing</c:v>
                </c:pt>
                <c:pt idx="1">
                  <c:v>June 2014 to May 2015</c:v>
                </c:pt>
                <c:pt idx="2">
                  <c:v>June 2015 to May 2016</c:v>
                </c:pt>
              </c:strCache>
            </c:strRef>
          </c:cat>
          <c:val>
            <c:numRef>
              <c:f>Presc_type!$P$5:$P$8</c:f>
              <c:numCache>
                <c:formatCode>General</c:formatCode>
                <c:ptCount val="3"/>
                <c:pt idx="0">
                  <c:v>180</c:v>
                </c:pt>
                <c:pt idx="1">
                  <c:v>295</c:v>
                </c:pt>
                <c:pt idx="2">
                  <c:v>462</c:v>
                </c:pt>
              </c:numCache>
            </c:numRef>
          </c:val>
        </c:ser>
        <c:ser>
          <c:idx val="15"/>
          <c:order val="15"/>
          <c:tx>
            <c:strRef>
              <c:f>Presc_type!$Q$3:$Q$4</c:f>
              <c:strCache>
                <c:ptCount val="1"/>
                <c:pt idx="0">
                  <c:v>Endocrinologist</c:v>
                </c:pt>
              </c:strCache>
            </c:strRef>
          </c:tx>
          <c:invertIfNegative val="0"/>
          <c:cat>
            <c:strRef>
              <c:f>Presc_type!$A$5:$A$8</c:f>
              <c:strCache>
                <c:ptCount val="3"/>
                <c:pt idx="0">
                  <c:v>Year prior to FCM listing</c:v>
                </c:pt>
                <c:pt idx="1">
                  <c:v>June 2014 to May 2015</c:v>
                </c:pt>
                <c:pt idx="2">
                  <c:v>June 2015 to May 2016</c:v>
                </c:pt>
              </c:strCache>
            </c:strRef>
          </c:cat>
          <c:val>
            <c:numRef>
              <c:f>Presc_type!$Q$5:$Q$8</c:f>
              <c:numCache>
                <c:formatCode>General</c:formatCode>
                <c:ptCount val="3"/>
                <c:pt idx="0">
                  <c:v>141</c:v>
                </c:pt>
                <c:pt idx="1">
                  <c:v>262</c:v>
                </c:pt>
                <c:pt idx="2">
                  <c:v>418</c:v>
                </c:pt>
              </c:numCache>
            </c:numRef>
          </c:val>
        </c:ser>
        <c:ser>
          <c:idx val="16"/>
          <c:order val="16"/>
          <c:tx>
            <c:strRef>
              <c:f>Presc_type!$R$3:$R$4</c:f>
              <c:strCache>
                <c:ptCount val="1"/>
                <c:pt idx="0">
                  <c:v>Nurse practitioner</c:v>
                </c:pt>
              </c:strCache>
            </c:strRef>
          </c:tx>
          <c:invertIfNegative val="0"/>
          <c:cat>
            <c:strRef>
              <c:f>Presc_type!$A$5:$A$8</c:f>
              <c:strCache>
                <c:ptCount val="3"/>
                <c:pt idx="0">
                  <c:v>Year prior to FCM listing</c:v>
                </c:pt>
                <c:pt idx="1">
                  <c:v>June 2014 to May 2015</c:v>
                </c:pt>
                <c:pt idx="2">
                  <c:v>June 2015 to May 2016</c:v>
                </c:pt>
              </c:strCache>
            </c:strRef>
          </c:cat>
          <c:val>
            <c:numRef>
              <c:f>Presc_type!$R$5:$R$8</c:f>
              <c:numCache>
                <c:formatCode>General</c:formatCode>
                <c:ptCount val="3"/>
                <c:pt idx="0">
                  <c:v>30</c:v>
                </c:pt>
                <c:pt idx="1">
                  <c:v>243</c:v>
                </c:pt>
                <c:pt idx="2">
                  <c:v>267</c:v>
                </c:pt>
              </c:numCache>
            </c:numRef>
          </c:val>
        </c:ser>
        <c:ser>
          <c:idx val="17"/>
          <c:order val="17"/>
          <c:tx>
            <c:strRef>
              <c:f>Presc_type!$S$3:$S$4</c:f>
              <c:strCache>
                <c:ptCount val="1"/>
                <c:pt idx="0">
                  <c:v>Rheumatologist</c:v>
                </c:pt>
              </c:strCache>
            </c:strRef>
          </c:tx>
          <c:invertIfNegative val="0"/>
          <c:cat>
            <c:strRef>
              <c:f>Presc_type!$A$5:$A$8</c:f>
              <c:strCache>
                <c:ptCount val="3"/>
                <c:pt idx="0">
                  <c:v>Year prior to FCM listing</c:v>
                </c:pt>
                <c:pt idx="1">
                  <c:v>June 2014 to May 2015</c:v>
                </c:pt>
                <c:pt idx="2">
                  <c:v>June 2015 to May 2016</c:v>
                </c:pt>
              </c:strCache>
            </c:strRef>
          </c:cat>
          <c:val>
            <c:numRef>
              <c:f>Presc_type!$S$5:$S$8</c:f>
              <c:numCache>
                <c:formatCode>General</c:formatCode>
                <c:ptCount val="3"/>
                <c:pt idx="0">
                  <c:v>131</c:v>
                </c:pt>
                <c:pt idx="1">
                  <c:v>166</c:v>
                </c:pt>
                <c:pt idx="2">
                  <c:v>230</c:v>
                </c:pt>
              </c:numCache>
            </c:numRef>
          </c:val>
        </c:ser>
        <c:ser>
          <c:idx val="18"/>
          <c:order val="18"/>
          <c:tx>
            <c:strRef>
              <c:f>Presc_type!$T$3:$T$4</c:f>
              <c:strCache>
                <c:ptCount val="1"/>
                <c:pt idx="0">
                  <c:v>Palliative medicine</c:v>
                </c:pt>
              </c:strCache>
            </c:strRef>
          </c:tx>
          <c:invertIfNegative val="0"/>
          <c:cat>
            <c:strRef>
              <c:f>Presc_type!$A$5:$A$8</c:f>
              <c:strCache>
                <c:ptCount val="3"/>
                <c:pt idx="0">
                  <c:v>Year prior to FCM listing</c:v>
                </c:pt>
                <c:pt idx="1">
                  <c:v>June 2014 to May 2015</c:v>
                </c:pt>
                <c:pt idx="2">
                  <c:v>June 2015 to May 2016</c:v>
                </c:pt>
              </c:strCache>
            </c:strRef>
          </c:cat>
          <c:val>
            <c:numRef>
              <c:f>Presc_type!$T$5:$T$8</c:f>
              <c:numCache>
                <c:formatCode>General</c:formatCode>
                <c:ptCount val="3"/>
                <c:pt idx="0">
                  <c:v>38</c:v>
                </c:pt>
                <c:pt idx="1">
                  <c:v>149</c:v>
                </c:pt>
                <c:pt idx="2">
                  <c:v>189</c:v>
                </c:pt>
              </c:numCache>
            </c:numRef>
          </c:val>
        </c:ser>
        <c:dLbls>
          <c:showLegendKey val="0"/>
          <c:showVal val="0"/>
          <c:showCatName val="0"/>
          <c:showSerName val="0"/>
          <c:showPercent val="0"/>
          <c:showBubbleSize val="0"/>
        </c:dLbls>
        <c:gapWidth val="150"/>
        <c:overlap val="100"/>
        <c:axId val="564692096"/>
        <c:axId val="564694016"/>
      </c:barChart>
      <c:catAx>
        <c:axId val="564692096"/>
        <c:scaling>
          <c:orientation val="minMax"/>
        </c:scaling>
        <c:delete val="0"/>
        <c:axPos val="b"/>
        <c:title>
          <c:tx>
            <c:rich>
              <a:bodyPr/>
              <a:lstStyle/>
              <a:p>
                <a:pPr>
                  <a:defRPr/>
                </a:pPr>
                <a:r>
                  <a:rPr lang="en-AU"/>
                  <a:t>Listing year</a:t>
                </a:r>
              </a:p>
            </c:rich>
          </c:tx>
          <c:layout/>
          <c:overlay val="0"/>
        </c:title>
        <c:majorTickMark val="out"/>
        <c:minorTickMark val="none"/>
        <c:tickLblPos val="nextTo"/>
        <c:crossAx val="564694016"/>
        <c:crosses val="autoZero"/>
        <c:auto val="1"/>
        <c:lblAlgn val="ctr"/>
        <c:lblOffset val="100"/>
        <c:noMultiLvlLbl val="0"/>
      </c:catAx>
      <c:valAx>
        <c:axId val="564694016"/>
        <c:scaling>
          <c:orientation val="minMax"/>
        </c:scaling>
        <c:delete val="0"/>
        <c:axPos val="l"/>
        <c:majorGridlines/>
        <c:title>
          <c:tx>
            <c:rich>
              <a:bodyPr rot="-5400000" vert="horz"/>
              <a:lstStyle/>
              <a:p>
                <a:pPr>
                  <a:defRPr/>
                </a:pPr>
                <a:r>
                  <a:rPr lang="en-AU"/>
                  <a:t>Number of prescriptions</a:t>
                </a:r>
              </a:p>
            </c:rich>
          </c:tx>
          <c:layout/>
          <c:overlay val="0"/>
        </c:title>
        <c:numFmt formatCode="#,##0" sourceLinked="0"/>
        <c:majorTickMark val="out"/>
        <c:minorTickMark val="none"/>
        <c:tickLblPos val="nextTo"/>
        <c:crossAx val="564692096"/>
        <c:crosses val="autoZero"/>
        <c:crossBetween val="between"/>
      </c:valAx>
    </c:plotArea>
    <c:legend>
      <c:legendPos val="r"/>
      <c:layout>
        <c:manualLayout>
          <c:xMode val="edge"/>
          <c:yMode val="edge"/>
          <c:x val="0.74308164235376095"/>
          <c:y val="3.2224814666314064E-2"/>
          <c:w val="0.24791948250563167"/>
          <c:h val="0.85712351029252443"/>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[D986_SETT_PRSC_LOC_ALLDRUGS2.xlsx]Setting_all!PivotTable3</c:name>
    <c:fmtId val="5"/>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s>
    <c:plotArea>
      <c:layout/>
      <c:barChart>
        <c:barDir val="col"/>
        <c:grouping val="stacked"/>
        <c:varyColors val="0"/>
        <c:ser>
          <c:idx val="0"/>
          <c:order val="0"/>
          <c:tx>
            <c:strRef>
              <c:f>Setting_all!$B$3:$B$4</c:f>
              <c:strCache>
                <c:ptCount val="1"/>
                <c:pt idx="0">
                  <c:v>COMMUNITY PHARMACY</c:v>
                </c:pt>
              </c:strCache>
            </c:strRef>
          </c:tx>
          <c:invertIfNegative val="0"/>
          <c:cat>
            <c:strRef>
              <c:f>Setting_all!$A$5:$A$8</c:f>
              <c:strCache>
                <c:ptCount val="3"/>
                <c:pt idx="0">
                  <c:v>Year prior to FCM listing</c:v>
                </c:pt>
                <c:pt idx="1">
                  <c:v>June 2014 to May 2015</c:v>
                </c:pt>
                <c:pt idx="2">
                  <c:v>June 2015 to May 2016</c:v>
                </c:pt>
              </c:strCache>
            </c:strRef>
          </c:cat>
          <c:val>
            <c:numRef>
              <c:f>Setting_all!$B$5:$B$8</c:f>
              <c:numCache>
                <c:formatCode>General</c:formatCode>
                <c:ptCount val="3"/>
                <c:pt idx="0">
                  <c:v>50530</c:v>
                </c:pt>
                <c:pt idx="1">
                  <c:v>82099</c:v>
                </c:pt>
                <c:pt idx="2">
                  <c:v>117012</c:v>
                </c:pt>
              </c:numCache>
            </c:numRef>
          </c:val>
        </c:ser>
        <c:ser>
          <c:idx val="1"/>
          <c:order val="1"/>
          <c:tx>
            <c:strRef>
              <c:f>Setting_all!$C$3:$C$4</c:f>
              <c:strCache>
                <c:ptCount val="1"/>
                <c:pt idx="0">
                  <c:v>DISPENSING DOCTOR</c:v>
                </c:pt>
              </c:strCache>
            </c:strRef>
          </c:tx>
          <c:invertIfNegative val="0"/>
          <c:cat>
            <c:strRef>
              <c:f>Setting_all!$A$5:$A$8</c:f>
              <c:strCache>
                <c:ptCount val="3"/>
                <c:pt idx="0">
                  <c:v>Year prior to FCM listing</c:v>
                </c:pt>
                <c:pt idx="1">
                  <c:v>June 2014 to May 2015</c:v>
                </c:pt>
                <c:pt idx="2">
                  <c:v>June 2015 to May 2016</c:v>
                </c:pt>
              </c:strCache>
            </c:strRef>
          </c:cat>
          <c:val>
            <c:numRef>
              <c:f>Setting_all!$C$5:$C$8</c:f>
              <c:numCache>
                <c:formatCode>General</c:formatCode>
                <c:ptCount val="3"/>
                <c:pt idx="0">
                  <c:v>37</c:v>
                </c:pt>
                <c:pt idx="1">
                  <c:v>24</c:v>
                </c:pt>
                <c:pt idx="2">
                  <c:v>37</c:v>
                </c:pt>
              </c:numCache>
            </c:numRef>
          </c:val>
        </c:ser>
        <c:ser>
          <c:idx val="2"/>
          <c:order val="2"/>
          <c:tx>
            <c:strRef>
              <c:f>Setting_all!$D$3:$D$4</c:f>
              <c:strCache>
                <c:ptCount val="1"/>
                <c:pt idx="0">
                  <c:v>FRIENDLY SOCIETY</c:v>
                </c:pt>
              </c:strCache>
            </c:strRef>
          </c:tx>
          <c:invertIfNegative val="0"/>
          <c:cat>
            <c:strRef>
              <c:f>Setting_all!$A$5:$A$8</c:f>
              <c:strCache>
                <c:ptCount val="3"/>
                <c:pt idx="0">
                  <c:v>Year prior to FCM listing</c:v>
                </c:pt>
                <c:pt idx="1">
                  <c:v>June 2014 to May 2015</c:v>
                </c:pt>
                <c:pt idx="2">
                  <c:v>June 2015 to May 2016</c:v>
                </c:pt>
              </c:strCache>
            </c:strRef>
          </c:cat>
          <c:val>
            <c:numRef>
              <c:f>Setting_all!$D$5:$D$8</c:f>
              <c:numCache>
                <c:formatCode>General</c:formatCode>
                <c:ptCount val="3"/>
                <c:pt idx="0">
                  <c:v>1340</c:v>
                </c:pt>
                <c:pt idx="1">
                  <c:v>1973</c:v>
                </c:pt>
                <c:pt idx="2">
                  <c:v>2707</c:v>
                </c:pt>
              </c:numCache>
            </c:numRef>
          </c:val>
        </c:ser>
        <c:ser>
          <c:idx val="3"/>
          <c:order val="3"/>
          <c:tx>
            <c:strRef>
              <c:f>Setting_all!$E$3:$E$4</c:f>
              <c:strCache>
                <c:ptCount val="1"/>
                <c:pt idx="0">
                  <c:v>PRIVATE HOSPITAL</c:v>
                </c:pt>
              </c:strCache>
            </c:strRef>
          </c:tx>
          <c:invertIfNegative val="0"/>
          <c:cat>
            <c:strRef>
              <c:f>Setting_all!$A$5:$A$8</c:f>
              <c:strCache>
                <c:ptCount val="3"/>
                <c:pt idx="0">
                  <c:v>Year prior to FCM listing</c:v>
                </c:pt>
                <c:pt idx="1">
                  <c:v>June 2014 to May 2015</c:v>
                </c:pt>
                <c:pt idx="2">
                  <c:v>June 2015 to May 2016</c:v>
                </c:pt>
              </c:strCache>
            </c:strRef>
          </c:cat>
          <c:val>
            <c:numRef>
              <c:f>Setting_all!$E$5:$E$8</c:f>
              <c:numCache>
                <c:formatCode>General</c:formatCode>
                <c:ptCount val="3"/>
                <c:pt idx="0">
                  <c:v>11256</c:v>
                </c:pt>
                <c:pt idx="1">
                  <c:v>14753</c:v>
                </c:pt>
                <c:pt idx="2">
                  <c:v>17794</c:v>
                </c:pt>
              </c:numCache>
            </c:numRef>
          </c:val>
        </c:ser>
        <c:ser>
          <c:idx val="4"/>
          <c:order val="4"/>
          <c:tx>
            <c:strRef>
              <c:f>Setting_all!$F$3:$F$4</c:f>
              <c:strCache>
                <c:ptCount val="1"/>
                <c:pt idx="0">
                  <c:v>PUBLIC HOSPITAL - REFORMS</c:v>
                </c:pt>
              </c:strCache>
            </c:strRef>
          </c:tx>
          <c:invertIfNegative val="0"/>
          <c:cat>
            <c:strRef>
              <c:f>Setting_all!$A$5:$A$8</c:f>
              <c:strCache>
                <c:ptCount val="3"/>
                <c:pt idx="0">
                  <c:v>Year prior to FCM listing</c:v>
                </c:pt>
                <c:pt idx="1">
                  <c:v>June 2014 to May 2015</c:v>
                </c:pt>
                <c:pt idx="2">
                  <c:v>June 2015 to May 2016</c:v>
                </c:pt>
              </c:strCache>
            </c:strRef>
          </c:cat>
          <c:val>
            <c:numRef>
              <c:f>Setting_all!$F$5:$F$8</c:f>
              <c:numCache>
                <c:formatCode>General</c:formatCode>
                <c:ptCount val="3"/>
                <c:pt idx="0">
                  <c:v>6456</c:v>
                </c:pt>
                <c:pt idx="1">
                  <c:v>18324</c:v>
                </c:pt>
                <c:pt idx="2">
                  <c:v>29504</c:v>
                </c:pt>
              </c:numCache>
            </c:numRef>
          </c:val>
        </c:ser>
        <c:dLbls>
          <c:showLegendKey val="0"/>
          <c:showVal val="0"/>
          <c:showCatName val="0"/>
          <c:showSerName val="0"/>
          <c:showPercent val="0"/>
          <c:showBubbleSize val="0"/>
        </c:dLbls>
        <c:gapWidth val="150"/>
        <c:overlap val="100"/>
        <c:axId val="564975872"/>
        <c:axId val="564978048"/>
      </c:barChart>
      <c:catAx>
        <c:axId val="564975872"/>
        <c:scaling>
          <c:orientation val="minMax"/>
        </c:scaling>
        <c:delete val="0"/>
        <c:axPos val="b"/>
        <c:title>
          <c:tx>
            <c:rich>
              <a:bodyPr/>
              <a:lstStyle/>
              <a:p>
                <a:pPr>
                  <a:defRPr/>
                </a:pPr>
                <a:r>
                  <a:rPr lang="en-AU"/>
                  <a:t>Listing year</a:t>
                </a:r>
              </a:p>
            </c:rich>
          </c:tx>
          <c:layout/>
          <c:overlay val="0"/>
        </c:title>
        <c:majorTickMark val="out"/>
        <c:minorTickMark val="none"/>
        <c:tickLblPos val="nextTo"/>
        <c:crossAx val="564978048"/>
        <c:crosses val="autoZero"/>
        <c:auto val="1"/>
        <c:lblAlgn val="ctr"/>
        <c:lblOffset val="100"/>
        <c:noMultiLvlLbl val="0"/>
      </c:catAx>
      <c:valAx>
        <c:axId val="564978048"/>
        <c:scaling>
          <c:orientation val="minMax"/>
        </c:scaling>
        <c:delete val="0"/>
        <c:axPos val="l"/>
        <c:majorGridlines/>
        <c:title>
          <c:tx>
            <c:rich>
              <a:bodyPr rot="-5400000" vert="horz"/>
              <a:lstStyle/>
              <a:p>
                <a:pPr>
                  <a:defRPr/>
                </a:pPr>
                <a:r>
                  <a:rPr lang="en-AU"/>
                  <a:t>Number of prescriptions</a:t>
                </a:r>
              </a:p>
            </c:rich>
          </c:tx>
          <c:layout/>
          <c:overlay val="0"/>
        </c:title>
        <c:numFmt formatCode="#,##0" sourceLinked="0"/>
        <c:majorTickMark val="out"/>
        <c:minorTickMark val="none"/>
        <c:tickLblPos val="nextTo"/>
        <c:crossAx val="564975872"/>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[D986_SETT_PRSC_LOC_ALLDRUGS2.xlsx]Setting_FCM!PivotTable4</c:name>
    <c:fmtId val="5"/>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s>
    <c:plotArea>
      <c:layout/>
      <c:barChart>
        <c:barDir val="col"/>
        <c:grouping val="stacked"/>
        <c:varyColors val="0"/>
        <c:ser>
          <c:idx val="0"/>
          <c:order val="0"/>
          <c:tx>
            <c:strRef>
              <c:f>Setting_FCM!$B$3:$B$4</c:f>
              <c:strCache>
                <c:ptCount val="1"/>
                <c:pt idx="0">
                  <c:v>COMMUNITY PHARMACY</c:v>
                </c:pt>
              </c:strCache>
            </c:strRef>
          </c:tx>
          <c:invertIfNegative val="0"/>
          <c:cat>
            <c:strRef>
              <c:f>Setting_FCM!$A$5:$A$7</c:f>
              <c:strCache>
                <c:ptCount val="2"/>
                <c:pt idx="0">
                  <c:v>June 2014 to May 2015</c:v>
                </c:pt>
                <c:pt idx="1">
                  <c:v>June 2015 to May 2016</c:v>
                </c:pt>
              </c:strCache>
            </c:strRef>
          </c:cat>
          <c:val>
            <c:numRef>
              <c:f>Setting_FCM!$B$5:$B$7</c:f>
              <c:numCache>
                <c:formatCode>General</c:formatCode>
                <c:ptCount val="2"/>
                <c:pt idx="0">
                  <c:v>43009</c:v>
                </c:pt>
                <c:pt idx="1">
                  <c:v>81481</c:v>
                </c:pt>
              </c:numCache>
            </c:numRef>
          </c:val>
        </c:ser>
        <c:ser>
          <c:idx val="1"/>
          <c:order val="1"/>
          <c:tx>
            <c:strRef>
              <c:f>Setting_FCM!$C$3:$C$4</c:f>
              <c:strCache>
                <c:ptCount val="1"/>
                <c:pt idx="0">
                  <c:v>DISPENSING DOCTOR</c:v>
                </c:pt>
              </c:strCache>
            </c:strRef>
          </c:tx>
          <c:invertIfNegative val="0"/>
          <c:cat>
            <c:strRef>
              <c:f>Setting_FCM!$A$5:$A$7</c:f>
              <c:strCache>
                <c:ptCount val="2"/>
                <c:pt idx="0">
                  <c:v>June 2014 to May 2015</c:v>
                </c:pt>
                <c:pt idx="1">
                  <c:v>June 2015 to May 2016</c:v>
                </c:pt>
              </c:strCache>
            </c:strRef>
          </c:cat>
          <c:val>
            <c:numRef>
              <c:f>Setting_FCM!$C$5:$C$7</c:f>
              <c:numCache>
                <c:formatCode>General</c:formatCode>
                <c:ptCount val="2"/>
                <c:pt idx="0">
                  <c:v>9</c:v>
                </c:pt>
                <c:pt idx="1">
                  <c:v>27</c:v>
                </c:pt>
              </c:numCache>
            </c:numRef>
          </c:val>
        </c:ser>
        <c:ser>
          <c:idx val="2"/>
          <c:order val="2"/>
          <c:tx>
            <c:strRef>
              <c:f>Setting_FCM!$D$3:$D$4</c:f>
              <c:strCache>
                <c:ptCount val="1"/>
                <c:pt idx="0">
                  <c:v>FRIENDLY SOCIETY</c:v>
                </c:pt>
              </c:strCache>
            </c:strRef>
          </c:tx>
          <c:invertIfNegative val="0"/>
          <c:cat>
            <c:strRef>
              <c:f>Setting_FCM!$A$5:$A$7</c:f>
              <c:strCache>
                <c:ptCount val="2"/>
                <c:pt idx="0">
                  <c:v>June 2014 to May 2015</c:v>
                </c:pt>
                <c:pt idx="1">
                  <c:v>June 2015 to May 2016</c:v>
                </c:pt>
              </c:strCache>
            </c:strRef>
          </c:cat>
          <c:val>
            <c:numRef>
              <c:f>Setting_FCM!$D$5:$D$7</c:f>
              <c:numCache>
                <c:formatCode>General</c:formatCode>
                <c:ptCount val="2"/>
                <c:pt idx="0">
                  <c:v>753</c:v>
                </c:pt>
                <c:pt idx="1">
                  <c:v>1645</c:v>
                </c:pt>
              </c:numCache>
            </c:numRef>
          </c:val>
        </c:ser>
        <c:ser>
          <c:idx val="3"/>
          <c:order val="3"/>
          <c:tx>
            <c:strRef>
              <c:f>Setting_FCM!$E$3:$E$4</c:f>
              <c:strCache>
                <c:ptCount val="1"/>
                <c:pt idx="0">
                  <c:v>PRIVATE HOSPITAL</c:v>
                </c:pt>
              </c:strCache>
            </c:strRef>
          </c:tx>
          <c:invertIfNegative val="0"/>
          <c:cat>
            <c:strRef>
              <c:f>Setting_FCM!$A$5:$A$7</c:f>
              <c:strCache>
                <c:ptCount val="2"/>
                <c:pt idx="0">
                  <c:v>June 2014 to May 2015</c:v>
                </c:pt>
                <c:pt idx="1">
                  <c:v>June 2015 to May 2016</c:v>
                </c:pt>
              </c:strCache>
            </c:strRef>
          </c:cat>
          <c:val>
            <c:numRef>
              <c:f>Setting_FCM!$E$5:$E$7</c:f>
              <c:numCache>
                <c:formatCode>General</c:formatCode>
                <c:ptCount val="2"/>
                <c:pt idx="0">
                  <c:v>11289</c:v>
                </c:pt>
                <c:pt idx="1">
                  <c:v>15877</c:v>
                </c:pt>
              </c:numCache>
            </c:numRef>
          </c:val>
        </c:ser>
        <c:ser>
          <c:idx val="4"/>
          <c:order val="4"/>
          <c:tx>
            <c:strRef>
              <c:f>Setting_FCM!$F$3:$F$4</c:f>
              <c:strCache>
                <c:ptCount val="1"/>
                <c:pt idx="0">
                  <c:v>PUBLIC HOSPITAL - REFORMS</c:v>
                </c:pt>
              </c:strCache>
            </c:strRef>
          </c:tx>
          <c:invertIfNegative val="0"/>
          <c:cat>
            <c:strRef>
              <c:f>Setting_FCM!$A$5:$A$7</c:f>
              <c:strCache>
                <c:ptCount val="2"/>
                <c:pt idx="0">
                  <c:v>June 2014 to May 2015</c:v>
                </c:pt>
                <c:pt idx="1">
                  <c:v>June 2015 to May 2016</c:v>
                </c:pt>
              </c:strCache>
            </c:strRef>
          </c:cat>
          <c:val>
            <c:numRef>
              <c:f>Setting_FCM!$F$5:$F$7</c:f>
              <c:numCache>
                <c:formatCode>General</c:formatCode>
                <c:ptCount val="2"/>
                <c:pt idx="0">
                  <c:v>13532</c:v>
                </c:pt>
                <c:pt idx="1">
                  <c:v>25387</c:v>
                </c:pt>
              </c:numCache>
            </c:numRef>
          </c:val>
        </c:ser>
        <c:dLbls>
          <c:showLegendKey val="0"/>
          <c:showVal val="0"/>
          <c:showCatName val="0"/>
          <c:showSerName val="0"/>
          <c:showPercent val="0"/>
          <c:showBubbleSize val="0"/>
        </c:dLbls>
        <c:gapWidth val="150"/>
        <c:overlap val="100"/>
        <c:axId val="570916224"/>
        <c:axId val="570918400"/>
      </c:barChart>
      <c:catAx>
        <c:axId val="570916224"/>
        <c:scaling>
          <c:orientation val="minMax"/>
        </c:scaling>
        <c:delete val="0"/>
        <c:axPos val="b"/>
        <c:title>
          <c:tx>
            <c:rich>
              <a:bodyPr/>
              <a:lstStyle/>
              <a:p>
                <a:pPr>
                  <a:defRPr/>
                </a:pPr>
                <a:r>
                  <a:rPr lang="en-AU"/>
                  <a:t>Listing year</a:t>
                </a:r>
              </a:p>
            </c:rich>
          </c:tx>
          <c:layout/>
          <c:overlay val="0"/>
        </c:title>
        <c:majorTickMark val="out"/>
        <c:minorTickMark val="none"/>
        <c:tickLblPos val="nextTo"/>
        <c:crossAx val="570918400"/>
        <c:crosses val="autoZero"/>
        <c:auto val="1"/>
        <c:lblAlgn val="ctr"/>
        <c:lblOffset val="100"/>
        <c:noMultiLvlLbl val="0"/>
      </c:catAx>
      <c:valAx>
        <c:axId val="570918400"/>
        <c:scaling>
          <c:orientation val="minMax"/>
        </c:scaling>
        <c:delete val="0"/>
        <c:axPos val="l"/>
        <c:majorGridlines/>
        <c:title>
          <c:tx>
            <c:rich>
              <a:bodyPr rot="-5400000" vert="horz"/>
              <a:lstStyle/>
              <a:p>
                <a:pPr>
                  <a:defRPr/>
                </a:pPr>
                <a:r>
                  <a:rPr lang="en-AU"/>
                  <a:t>Number of prescriptions</a:t>
                </a:r>
              </a:p>
            </c:rich>
          </c:tx>
          <c:layout/>
          <c:overlay val="0"/>
        </c:title>
        <c:numFmt formatCode="#,##0" sourceLinked="0"/>
        <c:majorTickMark val="out"/>
        <c:minorTickMark val="none"/>
        <c:tickLblPos val="nextTo"/>
        <c:crossAx val="570916224"/>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[D986_SETT_PRSC_LOC_ALLDRUGS2.xlsx]Setting_IP!PivotTable5</c:name>
    <c:fmtId val="5"/>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s>
    <c:plotArea>
      <c:layout/>
      <c:barChart>
        <c:barDir val="col"/>
        <c:grouping val="stacked"/>
        <c:varyColors val="0"/>
        <c:ser>
          <c:idx val="0"/>
          <c:order val="0"/>
          <c:tx>
            <c:strRef>
              <c:f>Setting_IP!$B$3:$B$4</c:f>
              <c:strCache>
                <c:ptCount val="1"/>
                <c:pt idx="0">
                  <c:v>COMMUNITY PHARMACY</c:v>
                </c:pt>
              </c:strCache>
            </c:strRef>
          </c:tx>
          <c:invertIfNegative val="0"/>
          <c:cat>
            <c:strRef>
              <c:f>Setting_IP!$A$5:$A$8</c:f>
              <c:strCache>
                <c:ptCount val="3"/>
                <c:pt idx="0">
                  <c:v>Year prior to FCM listing</c:v>
                </c:pt>
                <c:pt idx="1">
                  <c:v>June 2014 to May 2015</c:v>
                </c:pt>
                <c:pt idx="2">
                  <c:v>June 2015 to May 2016</c:v>
                </c:pt>
              </c:strCache>
            </c:strRef>
          </c:cat>
          <c:val>
            <c:numRef>
              <c:f>Setting_IP!$B$5:$B$8</c:f>
              <c:numCache>
                <c:formatCode>General</c:formatCode>
                <c:ptCount val="3"/>
                <c:pt idx="0">
                  <c:v>50319</c:v>
                </c:pt>
                <c:pt idx="1">
                  <c:v>38825</c:v>
                </c:pt>
                <c:pt idx="2">
                  <c:v>35092</c:v>
                </c:pt>
              </c:numCache>
            </c:numRef>
          </c:val>
        </c:ser>
        <c:ser>
          <c:idx val="1"/>
          <c:order val="1"/>
          <c:tx>
            <c:strRef>
              <c:f>Setting_IP!$C$3:$C$4</c:f>
              <c:strCache>
                <c:ptCount val="1"/>
                <c:pt idx="0">
                  <c:v>DISPENSING DOCTOR</c:v>
                </c:pt>
              </c:strCache>
            </c:strRef>
          </c:tx>
          <c:invertIfNegative val="0"/>
          <c:cat>
            <c:strRef>
              <c:f>Setting_IP!$A$5:$A$8</c:f>
              <c:strCache>
                <c:ptCount val="3"/>
                <c:pt idx="0">
                  <c:v>Year prior to FCM listing</c:v>
                </c:pt>
                <c:pt idx="1">
                  <c:v>June 2014 to May 2015</c:v>
                </c:pt>
                <c:pt idx="2">
                  <c:v>June 2015 to May 2016</c:v>
                </c:pt>
              </c:strCache>
            </c:strRef>
          </c:cat>
          <c:val>
            <c:numRef>
              <c:f>Setting_IP!$C$5:$C$8</c:f>
              <c:numCache>
                <c:formatCode>General</c:formatCode>
                <c:ptCount val="3"/>
                <c:pt idx="0">
                  <c:v>37</c:v>
                </c:pt>
                <c:pt idx="1">
                  <c:v>15</c:v>
                </c:pt>
                <c:pt idx="2">
                  <c:v>10</c:v>
                </c:pt>
              </c:numCache>
            </c:numRef>
          </c:val>
        </c:ser>
        <c:ser>
          <c:idx val="2"/>
          <c:order val="2"/>
          <c:tx>
            <c:strRef>
              <c:f>Setting_IP!$D$3:$D$4</c:f>
              <c:strCache>
                <c:ptCount val="1"/>
                <c:pt idx="0">
                  <c:v>FRIENDLY SOCIETY</c:v>
                </c:pt>
              </c:strCache>
            </c:strRef>
          </c:tx>
          <c:invertIfNegative val="0"/>
          <c:cat>
            <c:strRef>
              <c:f>Setting_IP!$A$5:$A$8</c:f>
              <c:strCache>
                <c:ptCount val="3"/>
                <c:pt idx="0">
                  <c:v>Year prior to FCM listing</c:v>
                </c:pt>
                <c:pt idx="1">
                  <c:v>June 2014 to May 2015</c:v>
                </c:pt>
                <c:pt idx="2">
                  <c:v>June 2015 to May 2016</c:v>
                </c:pt>
              </c:strCache>
            </c:strRef>
          </c:cat>
          <c:val>
            <c:numRef>
              <c:f>Setting_IP!$D$5:$D$8</c:f>
              <c:numCache>
                <c:formatCode>General</c:formatCode>
                <c:ptCount val="3"/>
                <c:pt idx="0">
                  <c:v>1331</c:v>
                </c:pt>
                <c:pt idx="1">
                  <c:v>1212</c:v>
                </c:pt>
                <c:pt idx="2">
                  <c:v>1052</c:v>
                </c:pt>
              </c:numCache>
            </c:numRef>
          </c:val>
        </c:ser>
        <c:ser>
          <c:idx val="3"/>
          <c:order val="3"/>
          <c:tx>
            <c:strRef>
              <c:f>Setting_IP!$E$3:$E$4</c:f>
              <c:strCache>
                <c:ptCount val="1"/>
                <c:pt idx="0">
                  <c:v>PRIVATE HOSPITAL</c:v>
                </c:pt>
              </c:strCache>
            </c:strRef>
          </c:tx>
          <c:invertIfNegative val="0"/>
          <c:cat>
            <c:strRef>
              <c:f>Setting_IP!$A$5:$A$8</c:f>
              <c:strCache>
                <c:ptCount val="3"/>
                <c:pt idx="0">
                  <c:v>Year prior to FCM listing</c:v>
                </c:pt>
                <c:pt idx="1">
                  <c:v>June 2014 to May 2015</c:v>
                </c:pt>
                <c:pt idx="2">
                  <c:v>June 2015 to May 2016</c:v>
                </c:pt>
              </c:strCache>
            </c:strRef>
          </c:cat>
          <c:val>
            <c:numRef>
              <c:f>Setting_IP!$E$5:$E$8</c:f>
              <c:numCache>
                <c:formatCode>General</c:formatCode>
                <c:ptCount val="3"/>
                <c:pt idx="0">
                  <c:v>11223</c:v>
                </c:pt>
                <c:pt idx="1">
                  <c:v>3421</c:v>
                </c:pt>
                <c:pt idx="2">
                  <c:v>1849</c:v>
                </c:pt>
              </c:numCache>
            </c:numRef>
          </c:val>
        </c:ser>
        <c:ser>
          <c:idx val="4"/>
          <c:order val="4"/>
          <c:tx>
            <c:strRef>
              <c:f>Setting_IP!$F$3:$F$4</c:f>
              <c:strCache>
                <c:ptCount val="1"/>
                <c:pt idx="0">
                  <c:v>PUBLIC HOSPITAL - REFORMS</c:v>
                </c:pt>
              </c:strCache>
            </c:strRef>
          </c:tx>
          <c:invertIfNegative val="0"/>
          <c:cat>
            <c:strRef>
              <c:f>Setting_IP!$A$5:$A$8</c:f>
              <c:strCache>
                <c:ptCount val="3"/>
                <c:pt idx="0">
                  <c:v>Year prior to FCM listing</c:v>
                </c:pt>
                <c:pt idx="1">
                  <c:v>June 2014 to May 2015</c:v>
                </c:pt>
                <c:pt idx="2">
                  <c:v>June 2015 to May 2016</c:v>
                </c:pt>
              </c:strCache>
            </c:strRef>
          </c:cat>
          <c:val>
            <c:numRef>
              <c:f>Setting_IP!$F$5:$F$8</c:f>
              <c:numCache>
                <c:formatCode>General</c:formatCode>
                <c:ptCount val="3"/>
                <c:pt idx="0">
                  <c:v>6261</c:v>
                </c:pt>
                <c:pt idx="1">
                  <c:v>4557</c:v>
                </c:pt>
                <c:pt idx="2">
                  <c:v>3135</c:v>
                </c:pt>
              </c:numCache>
            </c:numRef>
          </c:val>
        </c:ser>
        <c:dLbls>
          <c:showLegendKey val="0"/>
          <c:showVal val="0"/>
          <c:showCatName val="0"/>
          <c:showSerName val="0"/>
          <c:showPercent val="0"/>
          <c:showBubbleSize val="0"/>
        </c:dLbls>
        <c:gapWidth val="150"/>
        <c:overlap val="100"/>
        <c:axId val="564482816"/>
        <c:axId val="564484736"/>
      </c:barChart>
      <c:catAx>
        <c:axId val="564482816"/>
        <c:scaling>
          <c:orientation val="minMax"/>
        </c:scaling>
        <c:delete val="0"/>
        <c:axPos val="b"/>
        <c:title>
          <c:tx>
            <c:rich>
              <a:bodyPr/>
              <a:lstStyle/>
              <a:p>
                <a:pPr>
                  <a:defRPr/>
                </a:pPr>
                <a:r>
                  <a:rPr lang="en-AU"/>
                  <a:t>Listing year</a:t>
                </a:r>
              </a:p>
            </c:rich>
          </c:tx>
          <c:layout/>
          <c:overlay val="0"/>
        </c:title>
        <c:majorTickMark val="out"/>
        <c:minorTickMark val="none"/>
        <c:tickLblPos val="nextTo"/>
        <c:crossAx val="564484736"/>
        <c:crosses val="autoZero"/>
        <c:auto val="1"/>
        <c:lblAlgn val="ctr"/>
        <c:lblOffset val="100"/>
        <c:noMultiLvlLbl val="0"/>
      </c:catAx>
      <c:valAx>
        <c:axId val="564484736"/>
        <c:scaling>
          <c:orientation val="minMax"/>
        </c:scaling>
        <c:delete val="0"/>
        <c:axPos val="l"/>
        <c:majorGridlines/>
        <c:title>
          <c:tx>
            <c:rich>
              <a:bodyPr rot="-5400000" vert="horz"/>
              <a:lstStyle/>
              <a:p>
                <a:pPr>
                  <a:defRPr/>
                </a:pPr>
                <a:r>
                  <a:rPr lang="en-AU"/>
                  <a:t>Number of prescriptions</a:t>
                </a:r>
              </a:p>
            </c:rich>
          </c:tx>
          <c:layout/>
          <c:overlay val="0"/>
        </c:title>
        <c:numFmt formatCode="#,##0" sourceLinked="0"/>
        <c:majorTickMark val="out"/>
        <c:minorTickMark val="none"/>
        <c:tickLblPos val="nextTo"/>
        <c:crossAx val="564482816"/>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[D986_SETT_PRSC_LOC_ALLDRUGS2.xlsx]Sheet5!PivotTable6</c:name>
    <c:fmtId val="5"/>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s>
    <c:plotArea>
      <c:layout/>
      <c:barChart>
        <c:barDir val="col"/>
        <c:grouping val="stacked"/>
        <c:varyColors val="0"/>
        <c:ser>
          <c:idx val="0"/>
          <c:order val="0"/>
          <c:tx>
            <c:strRef>
              <c:f>Sheet5!$B$3:$B$4</c:f>
              <c:strCache>
                <c:ptCount val="1"/>
                <c:pt idx="0">
                  <c:v>COMMUNITY PHARMACY</c:v>
                </c:pt>
              </c:strCache>
            </c:strRef>
          </c:tx>
          <c:invertIfNegative val="0"/>
          <c:cat>
            <c:strRef>
              <c:f>Sheet5!$A$5:$A$8</c:f>
              <c:strCache>
                <c:ptCount val="3"/>
                <c:pt idx="0">
                  <c:v>Year prior to FCM listing</c:v>
                </c:pt>
                <c:pt idx="1">
                  <c:v>June 2014 to May 2015</c:v>
                </c:pt>
                <c:pt idx="2">
                  <c:v>June 2015 to May 2016</c:v>
                </c:pt>
              </c:strCache>
            </c:strRef>
          </c:cat>
          <c:val>
            <c:numRef>
              <c:f>Sheet5!$B$5:$B$8</c:f>
              <c:numCache>
                <c:formatCode>General</c:formatCode>
                <c:ptCount val="3"/>
                <c:pt idx="0">
                  <c:v>211</c:v>
                </c:pt>
                <c:pt idx="1">
                  <c:v>265</c:v>
                </c:pt>
                <c:pt idx="2">
                  <c:v>439</c:v>
                </c:pt>
              </c:numCache>
            </c:numRef>
          </c:val>
        </c:ser>
        <c:ser>
          <c:idx val="1"/>
          <c:order val="1"/>
          <c:tx>
            <c:strRef>
              <c:f>Sheet5!$C$3:$C$4</c:f>
              <c:strCache>
                <c:ptCount val="1"/>
                <c:pt idx="0">
                  <c:v>FRIENDLY SOCIETY</c:v>
                </c:pt>
              </c:strCache>
            </c:strRef>
          </c:tx>
          <c:invertIfNegative val="0"/>
          <c:cat>
            <c:strRef>
              <c:f>Sheet5!$A$5:$A$8</c:f>
              <c:strCache>
                <c:ptCount val="3"/>
                <c:pt idx="0">
                  <c:v>Year prior to FCM listing</c:v>
                </c:pt>
                <c:pt idx="1">
                  <c:v>June 2014 to May 2015</c:v>
                </c:pt>
                <c:pt idx="2">
                  <c:v>June 2015 to May 2016</c:v>
                </c:pt>
              </c:strCache>
            </c:strRef>
          </c:cat>
          <c:val>
            <c:numRef>
              <c:f>Sheet5!$C$5:$C$8</c:f>
              <c:numCache>
                <c:formatCode>General</c:formatCode>
                <c:ptCount val="3"/>
                <c:pt idx="0">
                  <c:v>9</c:v>
                </c:pt>
                <c:pt idx="1">
                  <c:v>8</c:v>
                </c:pt>
                <c:pt idx="2">
                  <c:v>10</c:v>
                </c:pt>
              </c:numCache>
            </c:numRef>
          </c:val>
        </c:ser>
        <c:ser>
          <c:idx val="2"/>
          <c:order val="2"/>
          <c:tx>
            <c:strRef>
              <c:f>Sheet5!$D$3:$D$4</c:f>
              <c:strCache>
                <c:ptCount val="1"/>
                <c:pt idx="0">
                  <c:v>PRIVATE HOSPITAL</c:v>
                </c:pt>
              </c:strCache>
            </c:strRef>
          </c:tx>
          <c:invertIfNegative val="0"/>
          <c:cat>
            <c:strRef>
              <c:f>Sheet5!$A$5:$A$8</c:f>
              <c:strCache>
                <c:ptCount val="3"/>
                <c:pt idx="0">
                  <c:v>Year prior to FCM listing</c:v>
                </c:pt>
                <c:pt idx="1">
                  <c:v>June 2014 to May 2015</c:v>
                </c:pt>
                <c:pt idx="2">
                  <c:v>June 2015 to May 2016</c:v>
                </c:pt>
              </c:strCache>
            </c:strRef>
          </c:cat>
          <c:val>
            <c:numRef>
              <c:f>Sheet5!$D$5:$D$8</c:f>
              <c:numCache>
                <c:formatCode>General</c:formatCode>
                <c:ptCount val="3"/>
                <c:pt idx="0">
                  <c:v>33</c:v>
                </c:pt>
                <c:pt idx="1">
                  <c:v>43</c:v>
                </c:pt>
                <c:pt idx="2">
                  <c:v>68</c:v>
                </c:pt>
              </c:numCache>
            </c:numRef>
          </c:val>
        </c:ser>
        <c:ser>
          <c:idx val="3"/>
          <c:order val="3"/>
          <c:tx>
            <c:strRef>
              <c:f>Sheet5!$E$3:$E$4</c:f>
              <c:strCache>
                <c:ptCount val="1"/>
                <c:pt idx="0">
                  <c:v>PUBLIC HOSPITAL - REFORMS</c:v>
                </c:pt>
              </c:strCache>
            </c:strRef>
          </c:tx>
          <c:invertIfNegative val="0"/>
          <c:cat>
            <c:strRef>
              <c:f>Sheet5!$A$5:$A$8</c:f>
              <c:strCache>
                <c:ptCount val="3"/>
                <c:pt idx="0">
                  <c:v>Year prior to FCM listing</c:v>
                </c:pt>
                <c:pt idx="1">
                  <c:v>June 2014 to May 2015</c:v>
                </c:pt>
                <c:pt idx="2">
                  <c:v>June 2015 to May 2016</c:v>
                </c:pt>
              </c:strCache>
            </c:strRef>
          </c:cat>
          <c:val>
            <c:numRef>
              <c:f>Sheet5!$E$5:$E$8</c:f>
              <c:numCache>
                <c:formatCode>General</c:formatCode>
                <c:ptCount val="3"/>
                <c:pt idx="0">
                  <c:v>195</c:v>
                </c:pt>
                <c:pt idx="1">
                  <c:v>235</c:v>
                </c:pt>
                <c:pt idx="2">
                  <c:v>982</c:v>
                </c:pt>
              </c:numCache>
            </c:numRef>
          </c:val>
        </c:ser>
        <c:dLbls>
          <c:showLegendKey val="0"/>
          <c:showVal val="0"/>
          <c:showCatName val="0"/>
          <c:showSerName val="0"/>
          <c:showPercent val="0"/>
          <c:showBubbleSize val="0"/>
        </c:dLbls>
        <c:gapWidth val="150"/>
        <c:overlap val="100"/>
        <c:axId val="564266112"/>
        <c:axId val="564268032"/>
      </c:barChart>
      <c:catAx>
        <c:axId val="564266112"/>
        <c:scaling>
          <c:orientation val="minMax"/>
        </c:scaling>
        <c:delete val="0"/>
        <c:axPos val="b"/>
        <c:title>
          <c:tx>
            <c:rich>
              <a:bodyPr/>
              <a:lstStyle/>
              <a:p>
                <a:pPr>
                  <a:defRPr/>
                </a:pPr>
                <a:r>
                  <a:rPr lang="en-AU"/>
                  <a:t>Listing year</a:t>
                </a:r>
              </a:p>
            </c:rich>
          </c:tx>
          <c:layout/>
          <c:overlay val="0"/>
        </c:title>
        <c:majorTickMark val="out"/>
        <c:minorTickMark val="none"/>
        <c:tickLblPos val="nextTo"/>
        <c:crossAx val="564268032"/>
        <c:crosses val="autoZero"/>
        <c:auto val="1"/>
        <c:lblAlgn val="ctr"/>
        <c:lblOffset val="100"/>
        <c:noMultiLvlLbl val="0"/>
      </c:catAx>
      <c:valAx>
        <c:axId val="564268032"/>
        <c:scaling>
          <c:orientation val="minMax"/>
        </c:scaling>
        <c:delete val="0"/>
        <c:axPos val="l"/>
        <c:majorGridlines/>
        <c:title>
          <c:tx>
            <c:rich>
              <a:bodyPr rot="-5400000" vert="horz"/>
              <a:lstStyle/>
              <a:p>
                <a:pPr>
                  <a:defRPr/>
                </a:pPr>
                <a:r>
                  <a:rPr lang="en-AU"/>
                  <a:t>Number of prescriptions</a:t>
                </a:r>
              </a:p>
            </c:rich>
          </c:tx>
          <c:layout/>
          <c:overlay val="0"/>
        </c:title>
        <c:numFmt formatCode="#,##0" sourceLinked="0"/>
        <c:majorTickMark val="out"/>
        <c:minorTickMark val="none"/>
        <c:tickLblPos val="nextTo"/>
        <c:crossAx val="564266112"/>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35E31-F303-4C26-8FB1-369D8AC7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8498</Words>
  <Characters>47255</Characters>
  <Application>Microsoft Office Word</Application>
  <DocSecurity>0</DocSecurity>
  <Lines>1240</Lines>
  <Paragraphs>538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2017-06-23T03:53:00Z</dcterms:created>
  <dcterms:modified xsi:type="dcterms:W3CDTF">2017-06-23T03:53:00Z</dcterms:modified>
</cp:coreProperties>
</file>