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3766D91B" w:rsidR="00832324" w:rsidRPr="00501FC5" w:rsidRDefault="00501FC5" w:rsidP="00F73113">
      <w:pPr>
        <w:pStyle w:val="Title"/>
        <w:rPr>
          <w:color w:val="000000" w:themeColor="text1"/>
        </w:rPr>
      </w:pPr>
      <w:r>
        <w:rPr>
          <w:color w:val="000000" w:themeColor="text1"/>
        </w:rPr>
        <w:t>Everolimus</w:t>
      </w:r>
      <w:r w:rsidR="001C4016" w:rsidRPr="00501FC5">
        <w:rPr>
          <w:color w:val="000000" w:themeColor="text1"/>
        </w:rPr>
        <w:t xml:space="preserve">: </w:t>
      </w:r>
      <w:r w:rsidR="003D6F8C" w:rsidRPr="00501FC5">
        <w:rPr>
          <w:color w:val="000000" w:themeColor="text1"/>
        </w:rPr>
        <w:t xml:space="preserve">24 month review </w:t>
      </w:r>
      <w:r w:rsidR="0018634E" w:rsidRPr="00501FC5">
        <w:rPr>
          <w:color w:val="000000" w:themeColor="text1"/>
        </w:rPr>
        <w:t xml:space="preserve">of </w:t>
      </w:r>
      <w:r>
        <w:rPr>
          <w:color w:val="000000" w:themeColor="text1"/>
        </w:rPr>
        <w:t xml:space="preserve">treatment for </w:t>
      </w:r>
      <w:r w:rsidR="00D661EB">
        <w:rPr>
          <w:color w:val="000000" w:themeColor="text1"/>
        </w:rPr>
        <w:t>m</w:t>
      </w:r>
      <w:r w:rsidRPr="00501FC5">
        <w:rPr>
          <w:color w:val="000000" w:themeColor="text1"/>
        </w:rPr>
        <w:t>etastatic (Stage IV) breast cancer</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78382F81" w:rsidR="009053D3" w:rsidRPr="000832FB" w:rsidRDefault="003D6F8C" w:rsidP="000832FB">
      <w:pPr>
        <w:rPr>
          <w:b/>
          <w:i/>
        </w:rPr>
      </w:pPr>
      <w:r w:rsidRPr="000832FB">
        <w:rPr>
          <w:b/>
          <w:i/>
        </w:rPr>
        <w:t>February 2017</w:t>
      </w:r>
    </w:p>
    <w:p w14:paraId="61200531" w14:textId="77777777" w:rsidR="00043BBE" w:rsidRPr="006E6762" w:rsidRDefault="00043BBE" w:rsidP="006E6762">
      <w:pPr>
        <w:pStyle w:val="Heading1"/>
        <w:rPr>
          <w:i/>
          <w:sz w:val="28"/>
          <w:szCs w:val="28"/>
        </w:rPr>
      </w:pPr>
      <w:r w:rsidRPr="006E6762">
        <w:rPr>
          <w:sz w:val="28"/>
          <w:szCs w:val="28"/>
        </w:rPr>
        <w:t>Abstract</w:t>
      </w:r>
    </w:p>
    <w:p w14:paraId="2474264F" w14:textId="77777777" w:rsidR="00043BBE" w:rsidRPr="00245BE6" w:rsidRDefault="00043BBE" w:rsidP="00043BBE">
      <w:pPr>
        <w:pStyle w:val="Heading2"/>
        <w:rPr>
          <w:i/>
        </w:rPr>
      </w:pPr>
      <w:r w:rsidRPr="00245BE6">
        <w:rPr>
          <w:i/>
          <w:sz w:val="24"/>
        </w:rPr>
        <w:t>Purpose</w:t>
      </w:r>
    </w:p>
    <w:p w14:paraId="5C9448ED" w14:textId="71E59887" w:rsidR="00501FC5" w:rsidRDefault="00501FC5" w:rsidP="00130CE0">
      <w:pPr>
        <w:spacing w:line="276" w:lineRule="auto"/>
        <w:rPr>
          <w:color w:val="000000"/>
        </w:rPr>
      </w:pPr>
      <w:r>
        <w:rPr>
          <w:color w:val="000000"/>
        </w:rPr>
        <w:t xml:space="preserve">The </w:t>
      </w:r>
      <w:r w:rsidRPr="00F94B96">
        <w:rPr>
          <w:color w:val="000000"/>
        </w:rPr>
        <w:t xml:space="preserve">PBAC requested a 24 month </w:t>
      </w:r>
      <w:r w:rsidR="00DC44FE">
        <w:rPr>
          <w:color w:val="000000"/>
        </w:rPr>
        <w:t xml:space="preserve">predicted versus actual </w:t>
      </w:r>
      <w:r w:rsidRPr="00F94B96">
        <w:rPr>
          <w:color w:val="000000"/>
        </w:rPr>
        <w:t xml:space="preserve">review of </w:t>
      </w:r>
      <w:r w:rsidR="00DC44FE">
        <w:rPr>
          <w:color w:val="000000"/>
        </w:rPr>
        <w:t xml:space="preserve">the utilisation of </w:t>
      </w:r>
      <w:r w:rsidRPr="00F94B96">
        <w:rPr>
          <w:color w:val="000000"/>
        </w:rPr>
        <w:t xml:space="preserve">everolimus for </w:t>
      </w:r>
      <w:r w:rsidR="007C78AE">
        <w:rPr>
          <w:color w:val="000000"/>
        </w:rPr>
        <w:t xml:space="preserve">metastatic </w:t>
      </w:r>
      <w:r w:rsidRPr="00F94B96">
        <w:rPr>
          <w:color w:val="000000"/>
        </w:rPr>
        <w:t>breast cancer</w:t>
      </w:r>
      <w:r w:rsidR="00DC44FE">
        <w:rPr>
          <w:color w:val="000000"/>
        </w:rPr>
        <w:t xml:space="preserve">. Everolimus </w:t>
      </w:r>
      <w:r w:rsidRPr="00F94B96">
        <w:rPr>
          <w:color w:val="000000"/>
        </w:rPr>
        <w:t xml:space="preserve">was </w:t>
      </w:r>
      <w:r w:rsidR="003505EA">
        <w:rPr>
          <w:color w:val="000000"/>
        </w:rPr>
        <w:t>first listed for this indication on 1</w:t>
      </w:r>
      <w:r w:rsidR="00B4120C">
        <w:rPr>
          <w:color w:val="000000"/>
        </w:rPr>
        <w:t> </w:t>
      </w:r>
      <w:r w:rsidR="008730CA">
        <w:rPr>
          <w:color w:val="000000"/>
        </w:rPr>
        <w:t>June</w:t>
      </w:r>
      <w:r>
        <w:rPr>
          <w:color w:val="000000"/>
        </w:rPr>
        <w:t xml:space="preserve"> 2014.</w:t>
      </w:r>
    </w:p>
    <w:p w14:paraId="7C103D2C" w14:textId="0FEA6832" w:rsidR="00217A6B" w:rsidRDefault="00217A6B" w:rsidP="00130CE0">
      <w:pPr>
        <w:spacing w:line="276" w:lineRule="auto"/>
        <w:rPr>
          <w:color w:val="FF0000"/>
        </w:rPr>
      </w:pPr>
      <w:r>
        <w:rPr>
          <w:color w:val="000000"/>
        </w:rPr>
        <w:t>Everolimus is PBS subsidised for stage (</w:t>
      </w:r>
      <w:r w:rsidR="008730CA">
        <w:rPr>
          <w:color w:val="000000"/>
        </w:rPr>
        <w:t>IV</w:t>
      </w:r>
      <w:r>
        <w:rPr>
          <w:color w:val="000000"/>
        </w:rPr>
        <w:t xml:space="preserve">) metastatic </w:t>
      </w:r>
      <w:r w:rsidR="00B4120C">
        <w:rPr>
          <w:color w:val="000000"/>
        </w:rPr>
        <w:t xml:space="preserve">breast cancer </w:t>
      </w:r>
      <w:r>
        <w:rPr>
          <w:color w:val="000000"/>
        </w:rPr>
        <w:t>after resistance to a</w:t>
      </w:r>
      <w:r w:rsidR="008730CA">
        <w:rPr>
          <w:color w:val="000000"/>
        </w:rPr>
        <w:t>nastrozole or letrozole.</w:t>
      </w:r>
    </w:p>
    <w:p w14:paraId="2D928952" w14:textId="77777777" w:rsidR="00043BBE" w:rsidRPr="00245BE6" w:rsidRDefault="00043BBE" w:rsidP="00043BBE">
      <w:pPr>
        <w:pStyle w:val="Heading2"/>
        <w:rPr>
          <w:i/>
          <w:sz w:val="24"/>
        </w:rPr>
      </w:pPr>
      <w:r w:rsidRPr="00245BE6">
        <w:rPr>
          <w:i/>
          <w:sz w:val="24"/>
        </w:rPr>
        <w:t>Data Source / methodology</w:t>
      </w:r>
    </w:p>
    <w:p w14:paraId="69AAE63A" w14:textId="0C7EAA04" w:rsidR="00043BBE" w:rsidRDefault="004D4C9B" w:rsidP="00B47947">
      <w:pPr>
        <w:pStyle w:val="NoSpacing"/>
      </w:pPr>
      <w:r>
        <w:t xml:space="preserve">The analyses use data from </w:t>
      </w:r>
      <w:r w:rsidRPr="00130B7B">
        <w:t>the Department of Human Services (DHS) prescriptions database and the DHS Authority a</w:t>
      </w:r>
      <w:r>
        <w:t xml:space="preserve">pprovals database from </w:t>
      </w:r>
      <w:r w:rsidR="00B60D46">
        <w:t>August 2003 to September</w:t>
      </w:r>
      <w:r>
        <w:t xml:space="preserve"> 2016. </w:t>
      </w:r>
    </w:p>
    <w:p w14:paraId="6715D3C8" w14:textId="77777777" w:rsidR="00043BBE" w:rsidRPr="00245BE6" w:rsidRDefault="00043BBE" w:rsidP="00043BBE">
      <w:pPr>
        <w:pStyle w:val="Heading2"/>
        <w:rPr>
          <w:i/>
          <w:sz w:val="24"/>
        </w:rPr>
      </w:pPr>
      <w:r w:rsidRPr="00245BE6">
        <w:rPr>
          <w:i/>
          <w:sz w:val="24"/>
        </w:rPr>
        <w:t>Key Findings</w:t>
      </w:r>
    </w:p>
    <w:p w14:paraId="763472A9" w14:textId="5F28085C" w:rsidR="00B641AB" w:rsidRDefault="00D05B36" w:rsidP="00252832">
      <w:pPr>
        <w:pStyle w:val="ListParagraph"/>
        <w:numPr>
          <w:ilvl w:val="0"/>
          <w:numId w:val="15"/>
        </w:numPr>
        <w:spacing w:line="276" w:lineRule="auto"/>
      </w:pPr>
      <w:r>
        <w:t>There were 1,813 patients identified as having been treated with everolimus for metastatic breast cancer over its first two years of listing.</w:t>
      </w:r>
      <w:r w:rsidR="00E02AFF">
        <w:t xml:space="preserve"> This was less than predicted.</w:t>
      </w:r>
    </w:p>
    <w:p w14:paraId="03BF2DA5" w14:textId="6458119F" w:rsidR="00EB66A2" w:rsidRDefault="00DE5A33" w:rsidP="00252832">
      <w:pPr>
        <w:pStyle w:val="ListParagraph"/>
        <w:numPr>
          <w:ilvl w:val="0"/>
          <w:numId w:val="15"/>
        </w:numPr>
        <w:spacing w:line="276" w:lineRule="auto"/>
      </w:pPr>
      <w:r>
        <w:t xml:space="preserve">The duration of therapy </w:t>
      </w:r>
      <w:r w:rsidR="00856CCD">
        <w:t xml:space="preserve">with everolimus plus exemestane </w:t>
      </w:r>
      <w:r>
        <w:t xml:space="preserve">was shorter than predicted. There was a median of </w:t>
      </w:r>
      <w:r w:rsidR="00720145">
        <w:t xml:space="preserve">four </w:t>
      </w:r>
      <w:r>
        <w:t>prescriptions per y</w:t>
      </w:r>
      <w:r w:rsidR="00720145">
        <w:t>ear compared with an estimated seven</w:t>
      </w:r>
      <w:r>
        <w:t xml:space="preserve"> prescriptions per year.</w:t>
      </w:r>
    </w:p>
    <w:p w14:paraId="24E94FEF" w14:textId="103CF0B9" w:rsidR="00E02AFF" w:rsidRDefault="00856CCD" w:rsidP="00252832">
      <w:pPr>
        <w:pStyle w:val="ListParagraph"/>
        <w:numPr>
          <w:ilvl w:val="0"/>
          <w:numId w:val="15"/>
        </w:numPr>
        <w:spacing w:line="276" w:lineRule="auto"/>
      </w:pPr>
      <w:r>
        <w:t xml:space="preserve">The proportional use of the higher (10 mg) strength of everolimus was greater than predicted. </w:t>
      </w:r>
    </w:p>
    <w:p w14:paraId="0FB689D7" w14:textId="77777777" w:rsidR="00D05B36" w:rsidRDefault="00D05B36">
      <w:pPr>
        <w:spacing w:line="276" w:lineRule="auto"/>
      </w:pPr>
    </w:p>
    <w:p w14:paraId="38B57ECC" w14:textId="1CF75251" w:rsidR="00BB0D1A" w:rsidRDefault="00BB0D1A">
      <w:pPr>
        <w:spacing w:line="276" w:lineRule="auto"/>
        <w:rPr>
          <w:rFonts w:eastAsiaTheme="majorEastAsia" w:cstheme="majorBidi"/>
          <w:b/>
          <w:bCs/>
          <w:sz w:val="32"/>
          <w:szCs w:val="26"/>
        </w:rPr>
      </w:pPr>
      <w:r>
        <w:br w:type="page"/>
      </w:r>
    </w:p>
    <w:p w14:paraId="4B6A8841" w14:textId="1F938B07" w:rsidR="00043BBE" w:rsidRDefault="00043BBE" w:rsidP="00043BBE">
      <w:pPr>
        <w:pStyle w:val="Heading2"/>
        <w:rPr>
          <w:sz w:val="32"/>
          <w:szCs w:val="32"/>
        </w:rPr>
      </w:pPr>
      <w:r w:rsidRPr="00EA0227">
        <w:rPr>
          <w:sz w:val="32"/>
          <w:szCs w:val="32"/>
        </w:rPr>
        <w:lastRenderedPageBreak/>
        <w:t>Purpose of analysis</w:t>
      </w:r>
    </w:p>
    <w:p w14:paraId="6D4E0370" w14:textId="044DDFAC" w:rsidR="00CD3435" w:rsidRDefault="00CD3435" w:rsidP="00CD3435">
      <w:pPr>
        <w:spacing w:line="276" w:lineRule="auto"/>
        <w:rPr>
          <w:color w:val="000000"/>
        </w:rPr>
      </w:pPr>
      <w:r>
        <w:rPr>
          <w:color w:val="000000"/>
        </w:rPr>
        <w:t xml:space="preserve">The </w:t>
      </w:r>
      <w:r w:rsidRPr="00F94B96">
        <w:rPr>
          <w:color w:val="000000"/>
        </w:rPr>
        <w:t xml:space="preserve">PBAC requested a 24 month </w:t>
      </w:r>
      <w:r>
        <w:rPr>
          <w:color w:val="000000"/>
        </w:rPr>
        <w:t xml:space="preserve">predicted versus actual </w:t>
      </w:r>
      <w:r w:rsidRPr="00F94B96">
        <w:rPr>
          <w:color w:val="000000"/>
        </w:rPr>
        <w:t xml:space="preserve">review of </w:t>
      </w:r>
      <w:r>
        <w:rPr>
          <w:color w:val="000000"/>
        </w:rPr>
        <w:t xml:space="preserve">the utilisation of </w:t>
      </w:r>
      <w:r w:rsidRPr="00F94B96">
        <w:rPr>
          <w:color w:val="000000"/>
        </w:rPr>
        <w:t xml:space="preserve">everolimus for </w:t>
      </w:r>
      <w:r>
        <w:rPr>
          <w:color w:val="000000"/>
        </w:rPr>
        <w:t xml:space="preserve">metastatic </w:t>
      </w:r>
      <w:r w:rsidR="00EA18FC">
        <w:rPr>
          <w:color w:val="000000"/>
        </w:rPr>
        <w:t xml:space="preserve">(Stage IV) </w:t>
      </w:r>
      <w:r w:rsidRPr="00F94B96">
        <w:rPr>
          <w:color w:val="000000"/>
        </w:rPr>
        <w:t>breast cancer</w:t>
      </w:r>
      <w:r>
        <w:rPr>
          <w:color w:val="000000"/>
        </w:rPr>
        <w:t xml:space="preserve">. </w:t>
      </w:r>
    </w:p>
    <w:p w14:paraId="64E6D5B3" w14:textId="10B3AB8E" w:rsidR="00CD3435" w:rsidRDefault="00CD3435" w:rsidP="00B24561">
      <w:pPr>
        <w:spacing w:after="0"/>
        <w:rPr>
          <w:color w:val="000000"/>
        </w:rPr>
      </w:pPr>
      <w:r>
        <w:rPr>
          <w:color w:val="000000"/>
        </w:rPr>
        <w:t xml:space="preserve">Everolimus </w:t>
      </w:r>
      <w:r w:rsidR="00EA18FC" w:rsidRPr="00F94B96">
        <w:rPr>
          <w:color w:val="000000"/>
        </w:rPr>
        <w:t xml:space="preserve">was </w:t>
      </w:r>
      <w:r w:rsidR="00EA18FC">
        <w:rPr>
          <w:color w:val="000000"/>
        </w:rPr>
        <w:t xml:space="preserve">first listed for this indication on 1 June 2014 and is </w:t>
      </w:r>
      <w:r>
        <w:rPr>
          <w:color w:val="000000"/>
        </w:rPr>
        <w:t xml:space="preserve">subsidised </w:t>
      </w:r>
      <w:r w:rsidR="00EA18FC">
        <w:rPr>
          <w:color w:val="000000"/>
        </w:rPr>
        <w:t xml:space="preserve">for treatment after </w:t>
      </w:r>
      <w:r>
        <w:rPr>
          <w:color w:val="000000"/>
        </w:rPr>
        <w:t>resistance to anastrozole or letrozole.</w:t>
      </w:r>
      <w:r w:rsidR="00EA18FC">
        <w:rPr>
          <w:color w:val="000000"/>
        </w:rPr>
        <w:t xml:space="preserve"> </w:t>
      </w:r>
    </w:p>
    <w:p w14:paraId="6F56047D" w14:textId="77777777" w:rsidR="00B24561" w:rsidRDefault="00B24561" w:rsidP="00B24561">
      <w:pPr>
        <w:spacing w:after="0"/>
        <w:rPr>
          <w:color w:val="FF0000"/>
        </w:rPr>
      </w:pPr>
    </w:p>
    <w:p w14:paraId="0A7F0B57" w14:textId="034D22D5" w:rsidR="006537D9" w:rsidRPr="005E22C2" w:rsidRDefault="00736041" w:rsidP="00B24561">
      <w:pPr>
        <w:pStyle w:val="Heading1"/>
        <w:spacing w:before="0"/>
      </w:pPr>
      <w:r w:rsidRPr="005E22C2">
        <w:t>Background</w:t>
      </w:r>
    </w:p>
    <w:p w14:paraId="5C2BC45D" w14:textId="77777777" w:rsidR="009740B7" w:rsidRPr="007247B9" w:rsidRDefault="009740B7" w:rsidP="009740B7">
      <w:pPr>
        <w:pStyle w:val="Heading2"/>
      </w:pPr>
      <w:r w:rsidRPr="007247B9">
        <w:t>Clinical situation</w:t>
      </w:r>
    </w:p>
    <w:p w14:paraId="1618FFA6" w14:textId="77777777" w:rsidR="009740B7" w:rsidRDefault="009740B7" w:rsidP="009740B7">
      <w:r w:rsidRPr="00DD38DD">
        <w:t>Advanc</w:t>
      </w:r>
      <w:r>
        <w:t>ed, or metastatic, breast cancer is cancer that</w:t>
      </w:r>
      <w:r w:rsidRPr="00DD38DD">
        <w:t xml:space="preserve"> has spread from the breast to another part of the body, or </w:t>
      </w:r>
      <w:r>
        <w:t xml:space="preserve">cancer which has occurred </w:t>
      </w:r>
      <w:r w:rsidRPr="00DD38DD">
        <w:t>in another location within the same or the other breast.</w:t>
      </w:r>
      <w:r>
        <w:t xml:space="preserve"> Treatment decisions for metastatic breast cancer depend on genes and proteins in breast cells which influence how a breast cancer may response to a specific treatment. </w:t>
      </w:r>
    </w:p>
    <w:p w14:paraId="5814514E" w14:textId="77777777" w:rsidR="009740B7" w:rsidRDefault="009740B7" w:rsidP="009740B7">
      <w:pPr>
        <w:shd w:val="clear" w:color="auto" w:fill="FFFFFB"/>
        <w:spacing w:after="0"/>
        <w:textAlignment w:val="baseline"/>
        <w:rPr>
          <w:iCs/>
        </w:rPr>
      </w:pPr>
      <w:r>
        <w:rPr>
          <w:iCs/>
        </w:rPr>
        <w:t>The</w:t>
      </w:r>
      <w:r w:rsidRPr="00AD0258">
        <w:rPr>
          <w:iCs/>
        </w:rPr>
        <w:t xml:space="preserve"> human epidermal growth factor receptor 2 </w:t>
      </w:r>
      <w:r>
        <w:rPr>
          <w:iCs/>
        </w:rPr>
        <w:t xml:space="preserve">gene </w:t>
      </w:r>
      <w:r w:rsidRPr="00AD0258">
        <w:rPr>
          <w:iCs/>
        </w:rPr>
        <w:t>(commonly referred to as HER2) has an important role in the development of breast cancer. Breast cancers with high levels of </w:t>
      </w:r>
      <w:r>
        <w:rPr>
          <w:iCs/>
        </w:rPr>
        <w:t>HER2</w:t>
      </w:r>
      <w:r w:rsidRPr="00AD0258">
        <w:rPr>
          <w:iCs/>
        </w:rPr>
        <w:t xml:space="preserve"> are more likely to spread and less likely to respond to treatment.</w:t>
      </w:r>
      <w:r>
        <w:rPr>
          <w:iCs/>
        </w:rPr>
        <w:t xml:space="preserve"> </w:t>
      </w:r>
      <w:r w:rsidRPr="008774F7">
        <w:rPr>
          <w:iCs/>
        </w:rPr>
        <w:t>Breast cells with abnormally high levels of the HER2 gene are called HER2-positive, those with lower levels are called HER2-negative.</w:t>
      </w:r>
      <w:r>
        <w:rPr>
          <w:iCs/>
        </w:rPr>
        <w:t xml:space="preserve"> </w:t>
      </w:r>
      <w:r w:rsidRPr="00AD0258">
        <w:rPr>
          <w:iCs/>
        </w:rPr>
        <w:t>Most patients with metastatic breast cancer have HER2-negative breast cancer.</w:t>
      </w:r>
    </w:p>
    <w:p w14:paraId="1E7FFA8D" w14:textId="77777777" w:rsidR="009740B7" w:rsidRPr="00AD0258" w:rsidRDefault="009740B7" w:rsidP="009740B7">
      <w:pPr>
        <w:shd w:val="clear" w:color="auto" w:fill="FFFFFB"/>
        <w:spacing w:after="0"/>
        <w:ind w:left="60"/>
        <w:textAlignment w:val="baseline"/>
        <w:rPr>
          <w:iCs/>
        </w:rPr>
      </w:pPr>
    </w:p>
    <w:p w14:paraId="2EBBA534" w14:textId="06B9F847" w:rsidR="009740B7" w:rsidRDefault="009740B7" w:rsidP="009740B7">
      <w:pPr>
        <w:rPr>
          <w:iCs/>
        </w:rPr>
      </w:pPr>
      <w:r w:rsidRPr="008774F7">
        <w:rPr>
          <w:iCs/>
        </w:rPr>
        <w:t xml:space="preserve">Hormone receptors within breast cells are also </w:t>
      </w:r>
      <w:r>
        <w:rPr>
          <w:iCs/>
        </w:rPr>
        <w:t>involved</w:t>
      </w:r>
      <w:r w:rsidRPr="008774F7">
        <w:rPr>
          <w:iCs/>
        </w:rPr>
        <w:t xml:space="preserve"> in the development of breast cancer. </w:t>
      </w:r>
      <w:r w:rsidRPr="00DD38DD">
        <w:t xml:space="preserve">Cancers with detectable hormone receptors, called hormone receptor-positive, use the hormones </w:t>
      </w:r>
      <w:r>
        <w:t>o</w:t>
      </w:r>
      <w:r w:rsidRPr="00DD38DD">
        <w:t>estrogen and progesterone to grow and spread.</w:t>
      </w:r>
      <w:r>
        <w:t xml:space="preserve"> Oestrogen binds and activates the oestrogen receptor which promotes the growth of cancerous breast cells and activates genes responsible for inhibition of cell death and </w:t>
      </w:r>
      <w:r w:rsidR="006F579F">
        <w:t xml:space="preserve">promotion of </w:t>
      </w:r>
      <w:r>
        <w:t xml:space="preserve">cell division. The oestrogen-dependent processes involved in the development and progression of breast cancer can be interrupted in several ways. For postmenopausal women, the amount of oestrogen can be reduced using aromatase inhibitor drugs. </w:t>
      </w:r>
      <w:r w:rsidRPr="00DA3C0A">
        <w:rPr>
          <w:iCs/>
        </w:rPr>
        <w:t xml:space="preserve">While ovaries stop producing </w:t>
      </w:r>
      <w:r>
        <w:rPr>
          <w:iCs/>
        </w:rPr>
        <w:t>o</w:t>
      </w:r>
      <w:r w:rsidRPr="00DA3C0A">
        <w:rPr>
          <w:iCs/>
        </w:rPr>
        <w:t xml:space="preserve">estrogen post menopause, other body tissues can produce </w:t>
      </w:r>
      <w:r>
        <w:rPr>
          <w:iCs/>
        </w:rPr>
        <w:t>o</w:t>
      </w:r>
      <w:r w:rsidRPr="00DA3C0A">
        <w:rPr>
          <w:iCs/>
        </w:rPr>
        <w:t xml:space="preserve">estrogen by an action of the aromatase enzyme to convert androgen, a weak male hormone, into </w:t>
      </w:r>
      <w:r>
        <w:rPr>
          <w:iCs/>
        </w:rPr>
        <w:t>o</w:t>
      </w:r>
      <w:r w:rsidRPr="00DA3C0A">
        <w:rPr>
          <w:iCs/>
        </w:rPr>
        <w:t>estrogen.</w:t>
      </w:r>
      <w:r>
        <w:rPr>
          <w:iCs/>
        </w:rPr>
        <w:t xml:space="preserve"> Aromatase inhibitors act </w:t>
      </w:r>
      <w:r w:rsidRPr="00DA3C0A">
        <w:rPr>
          <w:iCs/>
        </w:rPr>
        <w:t xml:space="preserve">to block the aromatase enzyme to reduce the production of </w:t>
      </w:r>
      <w:r>
        <w:rPr>
          <w:iCs/>
        </w:rPr>
        <w:t>o</w:t>
      </w:r>
      <w:r w:rsidRPr="00DA3C0A">
        <w:rPr>
          <w:iCs/>
        </w:rPr>
        <w:t>estrogen.</w:t>
      </w:r>
      <w:r>
        <w:rPr>
          <w:iCs/>
        </w:rPr>
        <w:t xml:space="preserve"> </w:t>
      </w:r>
    </w:p>
    <w:p w14:paraId="1489915D" w14:textId="5ACE8F0C" w:rsidR="007279C4" w:rsidRPr="007279C4" w:rsidRDefault="007279C4" w:rsidP="009740B7">
      <w:pPr>
        <w:rPr>
          <w:iCs/>
        </w:rPr>
      </w:pPr>
      <w:r>
        <w:rPr>
          <w:iCs/>
        </w:rPr>
        <w:t xml:space="preserve">For first-line therapy of </w:t>
      </w:r>
      <w:r w:rsidRPr="007279C4">
        <w:rPr>
          <w:iCs/>
        </w:rPr>
        <w:t>postmenopausal women with hormone receptor–positive metastatic breast cancer</w:t>
      </w:r>
      <w:r>
        <w:rPr>
          <w:iCs/>
        </w:rPr>
        <w:t xml:space="preserve">, treatment guidelines recommend the use of endocrine therapy with aromatase inhibitors, including  letrozole, anastrozole and exemestane (ASCO Guidelines 2016; Tomas and Barrios 2015). </w:t>
      </w:r>
      <w:r w:rsidR="00BD689E">
        <w:rPr>
          <w:iCs/>
        </w:rPr>
        <w:t xml:space="preserve">Chemotherapy may also be appropriate </w:t>
      </w:r>
      <w:r w:rsidR="002A34EA">
        <w:rPr>
          <w:iCs/>
        </w:rPr>
        <w:t xml:space="preserve">as </w:t>
      </w:r>
      <w:r w:rsidR="00BD689E">
        <w:rPr>
          <w:iCs/>
        </w:rPr>
        <w:t xml:space="preserve">initial therapy for patients with immediate life-threatening disease or in patients with low levels of oestrogen receptor where endocrine therapy may be less effective (ASCO Guidelines 2016).  </w:t>
      </w:r>
      <w:r w:rsidR="00990D1B">
        <w:rPr>
          <w:iCs/>
        </w:rPr>
        <w:t>Patients on hormonal therapy with aromatase inhibitors may relapse if they develop distant metastasis</w:t>
      </w:r>
      <w:r w:rsidR="002A34EA">
        <w:rPr>
          <w:iCs/>
        </w:rPr>
        <w:t>,</w:t>
      </w:r>
      <w:r w:rsidR="00990D1B">
        <w:rPr>
          <w:iCs/>
        </w:rPr>
        <w:t xml:space="preserve"> </w:t>
      </w:r>
      <w:r w:rsidR="002A34EA">
        <w:rPr>
          <w:iCs/>
        </w:rPr>
        <w:t>making endocrine</w:t>
      </w:r>
      <w:r w:rsidR="00990D1B">
        <w:rPr>
          <w:iCs/>
        </w:rPr>
        <w:t xml:space="preserve"> therapy </w:t>
      </w:r>
      <w:r w:rsidR="002A34EA">
        <w:rPr>
          <w:iCs/>
        </w:rPr>
        <w:t>less</w:t>
      </w:r>
      <w:r w:rsidR="00990D1B">
        <w:rPr>
          <w:iCs/>
        </w:rPr>
        <w:t xml:space="preserve"> effective (de novo resistance)</w:t>
      </w:r>
      <w:r w:rsidR="002A34EA">
        <w:rPr>
          <w:iCs/>
        </w:rPr>
        <w:t>,</w:t>
      </w:r>
      <w:r w:rsidR="00990D1B">
        <w:rPr>
          <w:iCs/>
        </w:rPr>
        <w:t xml:space="preserve"> or </w:t>
      </w:r>
      <w:r w:rsidR="002A34EA">
        <w:rPr>
          <w:iCs/>
        </w:rPr>
        <w:t xml:space="preserve">if </w:t>
      </w:r>
      <w:r w:rsidR="00990D1B">
        <w:rPr>
          <w:iCs/>
        </w:rPr>
        <w:t xml:space="preserve">resistance develops to the endocrine therapy (acquired resistance), </w:t>
      </w:r>
      <w:r w:rsidR="00990D1B">
        <w:rPr>
          <w:iCs/>
        </w:rPr>
        <w:lastRenderedPageBreak/>
        <w:t xml:space="preserve">(Beaver and Park, 2012). </w:t>
      </w:r>
      <w:r w:rsidRPr="007279C4">
        <w:rPr>
          <w:iCs/>
        </w:rPr>
        <w:t>Exemestane and everolimus may be offered as targeted therapy to postmenopausal women with hormone receptor–positive metastatic breast cancer who experience disease progression during prior treatment with nonsteroidal aromatase inhibitors with or without one line of prior chemotherapy.</w:t>
      </w:r>
    </w:p>
    <w:p w14:paraId="0183A567" w14:textId="413DF87B" w:rsidR="007247B9" w:rsidRDefault="007247B9" w:rsidP="00CF5E22">
      <w:pPr>
        <w:pStyle w:val="Heading2"/>
      </w:pPr>
      <w:r>
        <w:t>Pharmacology</w:t>
      </w:r>
    </w:p>
    <w:p w14:paraId="1E179553" w14:textId="2A20A66A" w:rsidR="00AF26B5" w:rsidRDefault="003D45B7" w:rsidP="00AE4BAC">
      <w:r>
        <w:t>Everolimus is an oestrogen inhibitor through its action on t</w:t>
      </w:r>
      <w:r w:rsidR="00AF26B5">
        <w:t xml:space="preserve">he </w:t>
      </w:r>
      <w:r w:rsidR="00AF26B5" w:rsidRPr="00AF26B5">
        <w:t>mammalian target of rapamycin (mTOR)</w:t>
      </w:r>
      <w:r w:rsidR="00AF26B5">
        <w:t xml:space="preserve"> </w:t>
      </w:r>
      <w:r>
        <w:t>which has a key role in the proliferation, growth and survival of cancer cells. By activating the mTOR pathway, everolimus contributes to endocrine resis</w:t>
      </w:r>
      <w:r w:rsidR="009038B3">
        <w:t xml:space="preserve">tance in breast cancer by </w:t>
      </w:r>
      <w:r>
        <w:t>inhibit</w:t>
      </w:r>
      <w:r w:rsidR="009038B3">
        <w:t>ing</w:t>
      </w:r>
      <w:r>
        <w:t xml:space="preserve"> the downstream signalling events of the mTOR pathway</w:t>
      </w:r>
      <w:r w:rsidR="009038B3">
        <w:t>.</w:t>
      </w:r>
      <w:r w:rsidR="00A45110">
        <w:t xml:space="preserve">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97344DD" w14:textId="3A463A1E" w:rsidR="007332B7" w:rsidRDefault="00576C62" w:rsidP="007332B7">
      <w:r>
        <w:t>Everolimus is approved f</w:t>
      </w:r>
      <w:r w:rsidR="007332B7">
        <w:t>or the treatment of postmenopausal women with hormone receptor-positive, HER2 negative advanced breast cancer in combination w</w:t>
      </w:r>
      <w:r w:rsidR="007C78AE">
        <w:t>i</w:t>
      </w:r>
      <w:r w:rsidR="007332B7">
        <w:t>th exemestane after failure of treatment with letrozole or anastrozole.</w:t>
      </w:r>
    </w:p>
    <w:p w14:paraId="3809E334" w14:textId="69923552" w:rsidR="008E5E52" w:rsidRDefault="008E5E52" w:rsidP="00CD3435">
      <w:pPr>
        <w:spacing w:after="0"/>
      </w:pPr>
      <w:r>
        <w:t xml:space="preserve">Everolimus is also registered for several other indications including </w:t>
      </w:r>
      <w:r w:rsidR="00CD3435">
        <w:t>for the treatment of:</w:t>
      </w:r>
    </w:p>
    <w:p w14:paraId="6C1C49A1" w14:textId="29146E38" w:rsidR="00CD3435" w:rsidRPr="003A48CD" w:rsidRDefault="00CD3435" w:rsidP="00CD3435">
      <w:pPr>
        <w:pStyle w:val="ListParagraph"/>
        <w:numPr>
          <w:ilvl w:val="0"/>
          <w:numId w:val="13"/>
        </w:numPr>
        <w:spacing w:after="0"/>
      </w:pPr>
      <w:r w:rsidRPr="003A48CD">
        <w:t>prophylaxis of organ rejection in adult patients at mild to moderate immunological risk receiving an allogeneic renal or cardiac transplant and in adult patients receiving an allogeneic hepatic transplant</w:t>
      </w:r>
    </w:p>
    <w:p w14:paraId="6051FBE3" w14:textId="09978DA1" w:rsidR="00CD3435" w:rsidRPr="003A48CD" w:rsidRDefault="00CD3435" w:rsidP="00CD3435">
      <w:pPr>
        <w:pStyle w:val="ListParagraph"/>
        <w:numPr>
          <w:ilvl w:val="0"/>
          <w:numId w:val="13"/>
        </w:numPr>
        <w:spacing w:after="0"/>
      </w:pPr>
      <w:r w:rsidRPr="003A48CD">
        <w:t>progressive, unresectable or metastatic, well or moderately differentiated, neuroendocrine tumours (NETs) of pancreatic origin</w:t>
      </w:r>
    </w:p>
    <w:p w14:paraId="0BD5FE99" w14:textId="0E3B2283" w:rsidR="00CD3435" w:rsidRPr="003A48CD" w:rsidRDefault="00CD3435" w:rsidP="00CD3435">
      <w:pPr>
        <w:pStyle w:val="ListParagraph"/>
        <w:numPr>
          <w:ilvl w:val="0"/>
          <w:numId w:val="13"/>
        </w:numPr>
        <w:spacing w:after="0"/>
      </w:pPr>
      <w:r w:rsidRPr="003A48CD">
        <w:t>advanced renal cell carcinoma after failure of treatment with sorafenib or su</w:t>
      </w:r>
      <w:r w:rsidR="00712418">
        <w:t>nitinib</w:t>
      </w:r>
      <w:r w:rsidRPr="003A48CD">
        <w:t xml:space="preserve"> </w:t>
      </w:r>
    </w:p>
    <w:p w14:paraId="4D9DB137" w14:textId="77777777" w:rsidR="00CD3435" w:rsidRPr="003A48CD" w:rsidRDefault="00CD3435" w:rsidP="00CD3435">
      <w:pPr>
        <w:pStyle w:val="ListParagraph"/>
        <w:numPr>
          <w:ilvl w:val="0"/>
          <w:numId w:val="13"/>
        </w:numPr>
        <w:spacing w:after="0"/>
      </w:pPr>
      <w:r w:rsidRPr="003A48CD">
        <w:t xml:space="preserve">subependymal giant cell astrocytoma (SEGA) associated with tuberous sclerosis complex (TSC), who require therapeutic intervention but are not candidates for curative surgical resection </w:t>
      </w:r>
    </w:p>
    <w:p w14:paraId="17DCD8E4" w14:textId="35A46C9D" w:rsidR="00CD3435" w:rsidRPr="003A48CD" w:rsidRDefault="00CD3435" w:rsidP="00CD3435">
      <w:pPr>
        <w:pStyle w:val="ListParagraph"/>
        <w:numPr>
          <w:ilvl w:val="0"/>
          <w:numId w:val="13"/>
        </w:numPr>
        <w:spacing w:after="0"/>
      </w:pPr>
      <w:r w:rsidRPr="003A48CD">
        <w:t>tuberous sclerosis complex (TSC) who have renal angiomyolipoma not requiring immediate surgery.</w:t>
      </w:r>
    </w:p>
    <w:p w14:paraId="15E919C1" w14:textId="1B3BA560" w:rsidR="006B709B" w:rsidRDefault="006B709B" w:rsidP="00CF5E22">
      <w:pPr>
        <w:pStyle w:val="Heading2"/>
      </w:pPr>
      <w:r>
        <w:t>Dosage and administration</w:t>
      </w:r>
    </w:p>
    <w:p w14:paraId="4CD41C6E" w14:textId="7E2DE43B" w:rsidR="00C856C4" w:rsidRDefault="00C856C4" w:rsidP="00A35800">
      <w:pPr>
        <w:rPr>
          <w:highlight w:val="yellow"/>
        </w:rPr>
      </w:pPr>
      <w:r>
        <w:t xml:space="preserve">Everolimus </w:t>
      </w:r>
      <w:r w:rsidR="008E5E52">
        <w:t xml:space="preserve">for </w:t>
      </w:r>
      <w:r w:rsidR="0044748C">
        <w:t xml:space="preserve">metastatic </w:t>
      </w:r>
      <w:r w:rsidR="008E5E52">
        <w:t xml:space="preserve">breast cancer </w:t>
      </w:r>
      <w:r>
        <w:t>is taken in combination with exemestane. The recommended dosages and administration of each p</w:t>
      </w:r>
      <w:r w:rsidR="00361E38">
        <w:t>roduct are summarised in Table 1</w:t>
      </w:r>
      <w:r>
        <w:t>.</w:t>
      </w:r>
    </w:p>
    <w:p w14:paraId="51E22FB7" w14:textId="6B0BF9C6" w:rsidR="003370D0" w:rsidRPr="00245BE6" w:rsidRDefault="003370D0" w:rsidP="006E6762">
      <w:pPr>
        <w:pStyle w:val="Tableheading"/>
        <w:jc w:val="left"/>
      </w:pPr>
      <w:r w:rsidRPr="00245BE6">
        <w:t>Ta</w:t>
      </w:r>
      <w:r w:rsidR="00361E38" w:rsidRPr="00245BE6">
        <w:t>ble 1</w:t>
      </w:r>
      <w:r w:rsidRPr="00245BE6">
        <w:t xml:space="preserve">: </w:t>
      </w:r>
      <w:r w:rsidR="00C8662E" w:rsidRPr="00245BE6">
        <w:t>Dosage and administration of everolimus and exemestane</w:t>
      </w:r>
    </w:p>
    <w:tbl>
      <w:tblPr>
        <w:tblStyle w:val="TableGrid"/>
        <w:tblW w:w="9180" w:type="dxa"/>
        <w:tblLook w:val="04A0" w:firstRow="1" w:lastRow="0" w:firstColumn="1" w:lastColumn="0" w:noHBand="0" w:noVBand="1"/>
        <w:tblCaption w:val="Table 1. Dosage and administration of everolimus and exemestane"/>
        <w:tblDescription w:val="Dosage and administration of everolimus and exemestane"/>
      </w:tblPr>
      <w:tblGrid>
        <w:gridCol w:w="2660"/>
        <w:gridCol w:w="3544"/>
        <w:gridCol w:w="2976"/>
      </w:tblGrid>
      <w:tr w:rsidR="00AB3733" w:rsidRPr="00A35800" w14:paraId="17C962C4" w14:textId="77777777" w:rsidTr="00503998">
        <w:trPr>
          <w:tblHeader/>
        </w:trPr>
        <w:tc>
          <w:tcPr>
            <w:tcW w:w="2660" w:type="dxa"/>
            <w:shd w:val="clear" w:color="auto" w:fill="BFBFBF" w:themeFill="background1" w:themeFillShade="BF"/>
          </w:tcPr>
          <w:p w14:paraId="4C67179E" w14:textId="77777777" w:rsidR="00AB3733" w:rsidRPr="00A35800" w:rsidRDefault="00AB3733" w:rsidP="00A35800">
            <w:pPr>
              <w:pStyle w:val="Tableheading"/>
              <w:rPr>
                <w:sz w:val="20"/>
                <w:szCs w:val="20"/>
              </w:rPr>
            </w:pPr>
            <w:r w:rsidRPr="00A35800">
              <w:rPr>
                <w:sz w:val="20"/>
                <w:szCs w:val="20"/>
              </w:rPr>
              <w:t>Brand name and sponsor</w:t>
            </w:r>
          </w:p>
        </w:tc>
        <w:tc>
          <w:tcPr>
            <w:tcW w:w="3544" w:type="dxa"/>
            <w:shd w:val="clear" w:color="auto" w:fill="BFBFBF" w:themeFill="background1" w:themeFillShade="BF"/>
          </w:tcPr>
          <w:p w14:paraId="2A01F4BF" w14:textId="54D127A0" w:rsidR="00AB3733" w:rsidRPr="00A35800" w:rsidRDefault="00B72625" w:rsidP="00A35800">
            <w:pPr>
              <w:pStyle w:val="Tableheading"/>
              <w:rPr>
                <w:sz w:val="20"/>
                <w:szCs w:val="20"/>
              </w:rPr>
            </w:pPr>
            <w:r>
              <w:rPr>
                <w:sz w:val="20"/>
                <w:szCs w:val="20"/>
              </w:rPr>
              <w:t xml:space="preserve">PBS listed </w:t>
            </w:r>
            <w:r w:rsidR="00AB3733" w:rsidRPr="00A35800">
              <w:rPr>
                <w:sz w:val="20"/>
                <w:szCs w:val="20"/>
              </w:rPr>
              <w:t>Product</w:t>
            </w:r>
            <w:r>
              <w:rPr>
                <w:sz w:val="20"/>
                <w:szCs w:val="20"/>
              </w:rPr>
              <w:t>s</w:t>
            </w:r>
          </w:p>
        </w:tc>
        <w:tc>
          <w:tcPr>
            <w:tcW w:w="2976" w:type="dxa"/>
            <w:shd w:val="clear" w:color="auto" w:fill="BFBFBF" w:themeFill="background1" w:themeFillShade="BF"/>
          </w:tcPr>
          <w:p w14:paraId="28170FE4" w14:textId="783C57C7" w:rsidR="00AB3733" w:rsidRPr="00A35800" w:rsidRDefault="004C2DE9" w:rsidP="00A35800">
            <w:pPr>
              <w:pStyle w:val="Tableheading"/>
              <w:rPr>
                <w:sz w:val="20"/>
                <w:szCs w:val="20"/>
              </w:rPr>
            </w:pPr>
            <w:r>
              <w:rPr>
                <w:sz w:val="20"/>
                <w:szCs w:val="20"/>
              </w:rPr>
              <w:t>Recommended d</w:t>
            </w:r>
            <w:r w:rsidR="00AB3733" w:rsidRPr="00A35800">
              <w:rPr>
                <w:sz w:val="20"/>
                <w:szCs w:val="20"/>
              </w:rPr>
              <w:t xml:space="preserve">ose and frequency of administration </w:t>
            </w:r>
          </w:p>
        </w:tc>
      </w:tr>
      <w:tr w:rsidR="00AB3733" w:rsidRPr="00A35800" w14:paraId="348A165B" w14:textId="77777777" w:rsidTr="003370D0">
        <w:tc>
          <w:tcPr>
            <w:tcW w:w="2660" w:type="dxa"/>
          </w:tcPr>
          <w:p w14:paraId="23DEB0E0" w14:textId="6F48AA56" w:rsidR="00AB3733" w:rsidRPr="00A35800" w:rsidRDefault="004C2DE9" w:rsidP="00A35800">
            <w:pPr>
              <w:pStyle w:val="Tablewriting"/>
            </w:pPr>
            <w:r>
              <w:t>Afinitor</w:t>
            </w:r>
            <w:r w:rsidR="007C78AE" w:rsidRPr="00E75675">
              <w:rPr>
                <w:vertAlign w:val="superscript"/>
              </w:rPr>
              <w:sym w:font="Symbol" w:char="F0E2"/>
            </w:r>
            <w:r>
              <w:t>, Novartis Pharmaceuticals Australia Pty Limited</w:t>
            </w:r>
          </w:p>
        </w:tc>
        <w:tc>
          <w:tcPr>
            <w:tcW w:w="3544" w:type="dxa"/>
          </w:tcPr>
          <w:p w14:paraId="313459A4" w14:textId="4F507094" w:rsidR="00AB3733" w:rsidRPr="00A35800" w:rsidRDefault="003472B1" w:rsidP="00A35800">
            <w:pPr>
              <w:pStyle w:val="Tablewriting"/>
            </w:pPr>
            <w:r w:rsidRPr="00CE433E">
              <w:t>E</w:t>
            </w:r>
            <w:r w:rsidR="00DD637B" w:rsidRPr="00CE433E">
              <w:t xml:space="preserve">verolimus </w:t>
            </w:r>
            <w:r w:rsidR="00B72625" w:rsidRPr="00CE433E">
              <w:t xml:space="preserve">5 mg and </w:t>
            </w:r>
            <w:r w:rsidR="00DD637B" w:rsidRPr="00CE433E">
              <w:t>10 mg tablet</w:t>
            </w:r>
            <w:r w:rsidR="00B72625" w:rsidRPr="00CE433E">
              <w:t>s</w:t>
            </w:r>
          </w:p>
        </w:tc>
        <w:tc>
          <w:tcPr>
            <w:tcW w:w="2976" w:type="dxa"/>
          </w:tcPr>
          <w:p w14:paraId="405FC15E" w14:textId="7A9F6027" w:rsidR="00AB3733" w:rsidRPr="00A35800" w:rsidRDefault="00350FEE" w:rsidP="00A35800">
            <w:pPr>
              <w:pStyle w:val="Tablewriting"/>
            </w:pPr>
            <w:r>
              <w:t>10 mg to be taken once daily</w:t>
            </w:r>
            <w:r w:rsidR="003472B1">
              <w:t>.</w:t>
            </w:r>
          </w:p>
        </w:tc>
      </w:tr>
      <w:tr w:rsidR="003472B1" w:rsidRPr="00A35800" w14:paraId="5D931804" w14:textId="77777777" w:rsidTr="003370D0">
        <w:tc>
          <w:tcPr>
            <w:tcW w:w="2660" w:type="dxa"/>
          </w:tcPr>
          <w:p w14:paraId="2F90C6C6" w14:textId="211ABB26" w:rsidR="003472B1" w:rsidRDefault="003472B1" w:rsidP="00A35800">
            <w:pPr>
              <w:pStyle w:val="Tablewriting"/>
            </w:pPr>
            <w:r>
              <w:t>Multiple brands and sponsors</w:t>
            </w:r>
          </w:p>
        </w:tc>
        <w:tc>
          <w:tcPr>
            <w:tcW w:w="3544" w:type="dxa"/>
          </w:tcPr>
          <w:p w14:paraId="602653EC" w14:textId="3AB4DDE1" w:rsidR="003472B1" w:rsidRPr="00CE433E" w:rsidRDefault="003472B1" w:rsidP="00A35800">
            <w:pPr>
              <w:pStyle w:val="Tablewriting"/>
            </w:pPr>
            <w:r w:rsidRPr="00CE433E">
              <w:t>Exemestane 25 mg tablet</w:t>
            </w:r>
          </w:p>
        </w:tc>
        <w:tc>
          <w:tcPr>
            <w:tcW w:w="2976" w:type="dxa"/>
          </w:tcPr>
          <w:p w14:paraId="396E7534" w14:textId="4F38C3E9" w:rsidR="003472B1" w:rsidRDefault="003472B1" w:rsidP="00A35800">
            <w:pPr>
              <w:pStyle w:val="Tablewriting"/>
            </w:pPr>
            <w:r>
              <w:t>One 25 mg tablet taken once daily.</w:t>
            </w:r>
          </w:p>
        </w:tc>
      </w:tr>
    </w:tbl>
    <w:p w14:paraId="08559CD9" w14:textId="5FFB7FEA" w:rsidR="00A35800" w:rsidRDefault="003370D0" w:rsidP="00A35800">
      <w:pPr>
        <w:pStyle w:val="Notes"/>
      </w:pPr>
      <w:r w:rsidRPr="00CE433E">
        <w:t>Source:</w:t>
      </w:r>
      <w:r w:rsidR="00CE433E" w:rsidRPr="00CE433E">
        <w:t xml:space="preserve"> Production Information.</w:t>
      </w:r>
    </w:p>
    <w:p w14:paraId="22279985" w14:textId="01CF88FE" w:rsidR="00473B10" w:rsidRPr="006273EA" w:rsidRDefault="00473B10" w:rsidP="00A35800">
      <w:pPr>
        <w:pStyle w:val="Notes"/>
        <w:rPr>
          <w:rFonts w:cstheme="minorBidi"/>
          <w:sz w:val="24"/>
          <w:szCs w:val="24"/>
        </w:rPr>
      </w:pPr>
      <w:r w:rsidRPr="006273EA">
        <w:rPr>
          <w:rFonts w:cstheme="minorBidi"/>
          <w:sz w:val="24"/>
          <w:szCs w:val="24"/>
        </w:rPr>
        <w:lastRenderedPageBreak/>
        <w:t xml:space="preserve">Further information on dose adjustments and monitoring requirements </w:t>
      </w:r>
      <w:r w:rsidR="006273EA">
        <w:rPr>
          <w:rFonts w:cstheme="minorBidi"/>
          <w:sz w:val="24"/>
          <w:szCs w:val="24"/>
        </w:rPr>
        <w:t xml:space="preserve">for everolimus and exemestane </w:t>
      </w:r>
      <w:r w:rsidRPr="006273EA">
        <w:rPr>
          <w:rFonts w:cstheme="minorBidi"/>
          <w:sz w:val="24"/>
          <w:szCs w:val="24"/>
        </w:rPr>
        <w:t xml:space="preserve">is provided in </w:t>
      </w:r>
      <w:r w:rsidR="006F579F">
        <w:rPr>
          <w:rFonts w:cstheme="minorBidi"/>
          <w:sz w:val="24"/>
          <w:szCs w:val="24"/>
        </w:rPr>
        <w:t>Appendix</w:t>
      </w:r>
      <w:r w:rsidR="006F579F" w:rsidRPr="006273EA">
        <w:rPr>
          <w:rFonts w:cstheme="minorBidi"/>
          <w:sz w:val="24"/>
          <w:szCs w:val="24"/>
        </w:rPr>
        <w:t xml:space="preserve"> </w:t>
      </w:r>
      <w:r w:rsidRPr="006273EA">
        <w:rPr>
          <w:rFonts w:cstheme="minorBidi"/>
          <w:sz w:val="24"/>
          <w:szCs w:val="24"/>
        </w:rPr>
        <w:t>1.</w:t>
      </w:r>
    </w:p>
    <w:p w14:paraId="46E2BB42" w14:textId="2D1AF323" w:rsidR="00DF0B13" w:rsidRPr="007247B9" w:rsidRDefault="00DF0B13" w:rsidP="00CF5E22">
      <w:pPr>
        <w:pStyle w:val="Heading2"/>
      </w:pPr>
      <w:r w:rsidRPr="007247B9">
        <w:t>PBS listing details</w:t>
      </w:r>
      <w:r w:rsidR="00EB3529">
        <w:t xml:space="preserve"> (as at 1 November 2016</w:t>
      </w:r>
      <w:r w:rsidR="00D151EB">
        <w:t>)</w:t>
      </w:r>
    </w:p>
    <w:p w14:paraId="1D47784A" w14:textId="481EE1AE" w:rsidR="001420B3" w:rsidRPr="00245BE6" w:rsidRDefault="00F617F1" w:rsidP="006E6762">
      <w:pPr>
        <w:pStyle w:val="Tableheading"/>
        <w:jc w:val="left"/>
      </w:pPr>
      <w:r w:rsidRPr="00245BE6">
        <w:t>Table 2</w:t>
      </w:r>
      <w:r w:rsidR="001420B3" w:rsidRPr="00245BE6">
        <w:t xml:space="preserve">: </w:t>
      </w:r>
      <w:r w:rsidR="009663B6" w:rsidRPr="00245BE6">
        <w:t>PB</w:t>
      </w:r>
      <w:r w:rsidR="00FE04F4" w:rsidRPr="00245BE6">
        <w:t>S listing of everolimus for metastatic (Stage IV) breast cancer</w:t>
      </w:r>
    </w:p>
    <w:tbl>
      <w:tblPr>
        <w:tblStyle w:val="TableGrid"/>
        <w:tblW w:w="9064" w:type="dxa"/>
        <w:tblLayout w:type="fixed"/>
        <w:tblLook w:val="04A0" w:firstRow="1" w:lastRow="0" w:firstColumn="1" w:lastColumn="0" w:noHBand="0" w:noVBand="1"/>
        <w:tblCaption w:val="Table 2. PBS listing of everolimus for metastatic (Stage IV) breast cancer"/>
        <w:tblDescription w:val="PBS listing of everolimus for metastatic (Stage IV) breast cancer"/>
      </w:tblPr>
      <w:tblGrid>
        <w:gridCol w:w="969"/>
        <w:gridCol w:w="2400"/>
        <w:gridCol w:w="1701"/>
        <w:gridCol w:w="850"/>
        <w:gridCol w:w="1134"/>
        <w:gridCol w:w="2010"/>
      </w:tblGrid>
      <w:tr w:rsidR="0093111F" w:rsidRPr="00A35800" w14:paraId="6AA19A37" w14:textId="77777777" w:rsidTr="00555D21">
        <w:trPr>
          <w:trHeight w:val="694"/>
          <w:tblHeader/>
        </w:trPr>
        <w:tc>
          <w:tcPr>
            <w:tcW w:w="969" w:type="dxa"/>
            <w:shd w:val="clear" w:color="auto" w:fill="BFBFBF" w:themeFill="background1" w:themeFillShade="BF"/>
          </w:tcPr>
          <w:p w14:paraId="56A3DEA0" w14:textId="77777777"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14:paraId="67A07252" w14:textId="77777777"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14:paraId="114E9799" w14:textId="2483E0D9"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14:paraId="0F1A79F7" w14:textId="77777777" w:rsidR="0093111F" w:rsidRPr="00A35800" w:rsidRDefault="0093111F" w:rsidP="00A35800">
            <w:pPr>
              <w:pStyle w:val="Tableheading"/>
              <w:rPr>
                <w:sz w:val="20"/>
                <w:szCs w:val="20"/>
              </w:rPr>
            </w:pPr>
            <w:r w:rsidRPr="00A35800">
              <w:rPr>
                <w:sz w:val="20"/>
                <w:szCs w:val="20"/>
              </w:rPr>
              <w:t xml:space="preserve">Rpts </w:t>
            </w:r>
          </w:p>
        </w:tc>
        <w:tc>
          <w:tcPr>
            <w:tcW w:w="1134" w:type="dxa"/>
            <w:shd w:val="clear" w:color="auto" w:fill="BFBFBF" w:themeFill="background1" w:themeFillShade="BF"/>
          </w:tcPr>
          <w:p w14:paraId="05C5A0BF" w14:textId="77777777" w:rsidR="0093111F" w:rsidRPr="00A35800" w:rsidRDefault="0093111F" w:rsidP="00A35800">
            <w:pPr>
              <w:pStyle w:val="Tableheading"/>
              <w:rPr>
                <w:sz w:val="20"/>
                <w:szCs w:val="20"/>
              </w:rPr>
            </w:pPr>
            <w:r w:rsidRPr="00A35800">
              <w:rPr>
                <w:sz w:val="20"/>
                <w:szCs w:val="20"/>
              </w:rPr>
              <w:t>DPMQ</w:t>
            </w:r>
          </w:p>
        </w:tc>
        <w:tc>
          <w:tcPr>
            <w:tcW w:w="2010" w:type="dxa"/>
            <w:shd w:val="clear" w:color="auto" w:fill="BFBFBF" w:themeFill="background1" w:themeFillShade="BF"/>
          </w:tcPr>
          <w:p w14:paraId="09B472B7" w14:textId="77777777" w:rsidR="0093111F" w:rsidRPr="00A35800" w:rsidRDefault="0093111F" w:rsidP="00A35800">
            <w:pPr>
              <w:pStyle w:val="Tableheading"/>
              <w:rPr>
                <w:sz w:val="20"/>
                <w:szCs w:val="20"/>
              </w:rPr>
            </w:pPr>
            <w:r w:rsidRPr="00A35800">
              <w:rPr>
                <w:sz w:val="20"/>
                <w:szCs w:val="20"/>
              </w:rPr>
              <w:t>Brand name and manufacturer</w:t>
            </w:r>
          </w:p>
        </w:tc>
      </w:tr>
      <w:tr w:rsidR="00555D21" w:rsidRPr="00A35800" w14:paraId="2AF9D84B" w14:textId="77777777" w:rsidTr="00555D21">
        <w:trPr>
          <w:trHeight w:val="552"/>
          <w:tblHeader/>
        </w:trPr>
        <w:tc>
          <w:tcPr>
            <w:tcW w:w="969" w:type="dxa"/>
            <w:shd w:val="clear" w:color="auto" w:fill="auto"/>
          </w:tcPr>
          <w:p w14:paraId="0A3E3442" w14:textId="7DEE55A9" w:rsidR="00555D21" w:rsidRPr="00A35800" w:rsidRDefault="00555D21" w:rsidP="00555D21">
            <w:pPr>
              <w:pStyle w:val="Tablewriting"/>
            </w:pPr>
            <w:r>
              <w:rPr>
                <w:rFonts w:ascii="Calibri" w:hAnsi="Calibri"/>
                <w:sz w:val="22"/>
                <w:szCs w:val="22"/>
              </w:rPr>
              <w:t>2819J</w:t>
            </w:r>
          </w:p>
        </w:tc>
        <w:tc>
          <w:tcPr>
            <w:tcW w:w="2400" w:type="dxa"/>
            <w:shd w:val="clear" w:color="auto" w:fill="auto"/>
          </w:tcPr>
          <w:p w14:paraId="0F676F51" w14:textId="50EB5080" w:rsidR="00555D21" w:rsidRPr="00A35800" w:rsidRDefault="00555D21" w:rsidP="00555D21">
            <w:pPr>
              <w:pStyle w:val="Tablewriting"/>
            </w:pPr>
            <w:r>
              <w:rPr>
                <w:rFonts w:ascii="Calibri" w:hAnsi="Calibri"/>
                <w:sz w:val="22"/>
                <w:szCs w:val="22"/>
              </w:rPr>
              <w:t>Everolimus, Tablet 5 mg, 30 tablets</w:t>
            </w:r>
          </w:p>
        </w:tc>
        <w:tc>
          <w:tcPr>
            <w:tcW w:w="1701" w:type="dxa"/>
            <w:shd w:val="clear" w:color="auto" w:fill="auto"/>
          </w:tcPr>
          <w:p w14:paraId="0E2637C4" w14:textId="6E7C223A" w:rsidR="00555D21" w:rsidRPr="00A35800" w:rsidRDefault="00555D21" w:rsidP="00555D21">
            <w:pPr>
              <w:pStyle w:val="Tablewriting"/>
              <w:jc w:val="center"/>
            </w:pPr>
            <w:r>
              <w:rPr>
                <w:rFonts w:ascii="Calibri" w:hAnsi="Calibri"/>
              </w:rPr>
              <w:t>30</w:t>
            </w:r>
          </w:p>
        </w:tc>
        <w:tc>
          <w:tcPr>
            <w:tcW w:w="850" w:type="dxa"/>
            <w:shd w:val="clear" w:color="auto" w:fill="auto"/>
          </w:tcPr>
          <w:p w14:paraId="6B361CAA" w14:textId="2B3A0235" w:rsidR="00555D21" w:rsidRPr="00A35800" w:rsidRDefault="00555D21" w:rsidP="00555D21">
            <w:pPr>
              <w:pStyle w:val="Tablewriting"/>
              <w:jc w:val="center"/>
            </w:pPr>
            <w:r>
              <w:rPr>
                <w:rFonts w:ascii="Calibri" w:hAnsi="Calibri"/>
              </w:rPr>
              <w:t>5</w:t>
            </w:r>
          </w:p>
        </w:tc>
        <w:tc>
          <w:tcPr>
            <w:tcW w:w="1134" w:type="dxa"/>
            <w:shd w:val="clear" w:color="auto" w:fill="auto"/>
          </w:tcPr>
          <w:p w14:paraId="15F68405" w14:textId="52FE1221" w:rsidR="00555D21" w:rsidRPr="00A35800" w:rsidRDefault="00555D21" w:rsidP="00555D21">
            <w:pPr>
              <w:pStyle w:val="Tablewriting"/>
            </w:pPr>
            <w:r>
              <w:rPr>
                <w:rFonts w:ascii="Calibri" w:hAnsi="Calibri"/>
                <w:sz w:val="22"/>
                <w:szCs w:val="22"/>
              </w:rPr>
              <w:t>$2712.88</w:t>
            </w:r>
          </w:p>
        </w:tc>
        <w:tc>
          <w:tcPr>
            <w:tcW w:w="2010" w:type="dxa"/>
            <w:shd w:val="clear" w:color="auto" w:fill="auto"/>
          </w:tcPr>
          <w:p w14:paraId="2D337AC6" w14:textId="15670DB9" w:rsidR="00555D21" w:rsidRPr="002A3167" w:rsidRDefault="00555D21" w:rsidP="00555D21">
            <w:pPr>
              <w:pStyle w:val="Tablewriting"/>
            </w:pPr>
            <w:r>
              <w:rPr>
                <w:rFonts w:ascii="Calibri" w:hAnsi="Calibri"/>
              </w:rPr>
              <w:t>Afinitor</w:t>
            </w:r>
            <w:r w:rsidR="009809BB" w:rsidRPr="00E75675">
              <w:rPr>
                <w:vertAlign w:val="superscript"/>
              </w:rPr>
              <w:sym w:font="Symbol" w:char="F0E2"/>
            </w:r>
            <w:r w:rsidR="002A3167">
              <w:t>, Novartis Pharmaceuticals Australia Pty Limited</w:t>
            </w:r>
          </w:p>
        </w:tc>
      </w:tr>
      <w:tr w:rsidR="00555D21" w:rsidRPr="00A35800" w14:paraId="5A26F6DA" w14:textId="77777777" w:rsidTr="00555D21">
        <w:trPr>
          <w:trHeight w:val="546"/>
          <w:tblHeader/>
        </w:trPr>
        <w:tc>
          <w:tcPr>
            <w:tcW w:w="969" w:type="dxa"/>
            <w:shd w:val="clear" w:color="auto" w:fill="auto"/>
          </w:tcPr>
          <w:p w14:paraId="76F26606" w14:textId="3B592D54" w:rsidR="00555D21" w:rsidRPr="00A35800" w:rsidRDefault="00555D21" w:rsidP="00555D21">
            <w:pPr>
              <w:pStyle w:val="Tablewriting"/>
            </w:pPr>
            <w:r>
              <w:rPr>
                <w:rFonts w:ascii="Calibri" w:hAnsi="Calibri"/>
                <w:sz w:val="22"/>
                <w:szCs w:val="22"/>
              </w:rPr>
              <w:t>2985D</w:t>
            </w:r>
          </w:p>
        </w:tc>
        <w:tc>
          <w:tcPr>
            <w:tcW w:w="2400" w:type="dxa"/>
            <w:shd w:val="clear" w:color="auto" w:fill="auto"/>
          </w:tcPr>
          <w:p w14:paraId="4C40F7E7" w14:textId="3EFAE133" w:rsidR="00555D21" w:rsidRPr="00A35800" w:rsidRDefault="00555D21" w:rsidP="00555D21">
            <w:pPr>
              <w:pStyle w:val="Tablewriting"/>
            </w:pPr>
            <w:r>
              <w:rPr>
                <w:rFonts w:ascii="Calibri" w:hAnsi="Calibri"/>
                <w:sz w:val="22"/>
                <w:szCs w:val="22"/>
              </w:rPr>
              <w:t>Everolimus, Tablet 10 mg, 30 tablets</w:t>
            </w:r>
          </w:p>
        </w:tc>
        <w:tc>
          <w:tcPr>
            <w:tcW w:w="1701" w:type="dxa"/>
            <w:shd w:val="clear" w:color="auto" w:fill="auto"/>
          </w:tcPr>
          <w:p w14:paraId="73733F58" w14:textId="399E2D21" w:rsidR="00555D21" w:rsidRPr="00A35800" w:rsidRDefault="00555D21" w:rsidP="00555D21">
            <w:pPr>
              <w:pStyle w:val="Tablewriting"/>
              <w:jc w:val="center"/>
            </w:pPr>
            <w:r>
              <w:rPr>
                <w:rFonts w:ascii="Calibri" w:hAnsi="Calibri"/>
              </w:rPr>
              <w:t>30</w:t>
            </w:r>
          </w:p>
        </w:tc>
        <w:tc>
          <w:tcPr>
            <w:tcW w:w="850" w:type="dxa"/>
            <w:shd w:val="clear" w:color="auto" w:fill="auto"/>
          </w:tcPr>
          <w:p w14:paraId="2751F86C" w14:textId="04362F65" w:rsidR="00555D21" w:rsidRPr="00A35800" w:rsidRDefault="00555D21" w:rsidP="00555D21">
            <w:pPr>
              <w:pStyle w:val="Tablewriting"/>
              <w:jc w:val="center"/>
            </w:pPr>
            <w:r>
              <w:rPr>
                <w:rFonts w:ascii="Calibri" w:hAnsi="Calibri"/>
              </w:rPr>
              <w:t>5</w:t>
            </w:r>
          </w:p>
        </w:tc>
        <w:tc>
          <w:tcPr>
            <w:tcW w:w="1134" w:type="dxa"/>
            <w:shd w:val="clear" w:color="auto" w:fill="auto"/>
          </w:tcPr>
          <w:p w14:paraId="0EB41EFB" w14:textId="780A67CF" w:rsidR="00555D21" w:rsidRPr="00A35800" w:rsidRDefault="00555D21" w:rsidP="00555D21">
            <w:pPr>
              <w:pStyle w:val="Tablewriting"/>
            </w:pPr>
            <w:r>
              <w:rPr>
                <w:rFonts w:ascii="Calibri" w:hAnsi="Calibri"/>
                <w:sz w:val="22"/>
                <w:szCs w:val="22"/>
              </w:rPr>
              <w:t>$5277.88</w:t>
            </w:r>
          </w:p>
        </w:tc>
        <w:tc>
          <w:tcPr>
            <w:tcW w:w="2010" w:type="dxa"/>
            <w:shd w:val="clear" w:color="auto" w:fill="auto"/>
          </w:tcPr>
          <w:p w14:paraId="2F152B32" w14:textId="2C9D59CA" w:rsidR="00555D21" w:rsidRPr="00A35800" w:rsidRDefault="00555D21" w:rsidP="00555D21">
            <w:pPr>
              <w:pStyle w:val="Tablewriting"/>
            </w:pPr>
            <w:r>
              <w:rPr>
                <w:rFonts w:ascii="Calibri" w:hAnsi="Calibri"/>
              </w:rPr>
              <w:t>Afinitor</w:t>
            </w:r>
            <w:r w:rsidR="009809BB" w:rsidRPr="00E75675">
              <w:rPr>
                <w:vertAlign w:val="superscript"/>
              </w:rPr>
              <w:sym w:font="Symbol" w:char="F0E2"/>
            </w:r>
            <w:r w:rsidR="002A3167">
              <w:t>, Novartis Pharmaceuticals Australia Pty Limited</w:t>
            </w:r>
          </w:p>
        </w:tc>
      </w:tr>
    </w:tbl>
    <w:p w14:paraId="1183F151" w14:textId="64EEFA3E" w:rsidR="007247B9" w:rsidRPr="00A35800" w:rsidRDefault="007408C7" w:rsidP="00BB1D3B">
      <w:pPr>
        <w:pStyle w:val="Notes"/>
      </w:pPr>
      <w:r w:rsidRPr="00A35800">
        <w:t xml:space="preserve">Source: </w:t>
      </w:r>
      <w:r w:rsidR="001624D7">
        <w:t xml:space="preserve">the </w:t>
      </w:r>
      <w:hyperlink r:id="rId9" w:history="1">
        <w:r w:rsidR="001624D7" w:rsidRPr="00DE7220">
          <w:rPr>
            <w:rStyle w:val="Hyperlink"/>
          </w:rPr>
          <w:t>PBS website</w:t>
        </w:r>
      </w:hyperlink>
      <w:r w:rsidR="001624D7" w:rsidRPr="00DE7220">
        <w:t>.</w:t>
      </w:r>
      <w:r w:rsidR="004354A2">
        <w:t xml:space="preserve">  Special pricing a</w:t>
      </w:r>
      <w:r w:rsidR="0080485E" w:rsidRPr="00DE7220">
        <w:t>rrangement</w:t>
      </w:r>
      <w:r w:rsidR="00DE7220" w:rsidRPr="00DE7220">
        <w:t>s apply</w:t>
      </w:r>
      <w:r w:rsidR="00DE7220">
        <w:t xml:space="preserve"> for these listings</w:t>
      </w:r>
      <w:r w:rsidR="0080485E" w:rsidRPr="0080485E">
        <w:t>.</w:t>
      </w:r>
    </w:p>
    <w:p w14:paraId="1AFA1485" w14:textId="2188B555" w:rsidR="004C3186" w:rsidRDefault="004C3186" w:rsidP="00CF5E22">
      <w:pPr>
        <w:pStyle w:val="Heading3"/>
      </w:pPr>
      <w:r>
        <w:t>Restriction</w:t>
      </w:r>
      <w:r w:rsidR="00544DE5">
        <w:t xml:space="preserve"> – Authority R</w:t>
      </w:r>
      <w:r w:rsidR="008F7647">
        <w:t>equired</w:t>
      </w:r>
    </w:p>
    <w:p w14:paraId="63E7B100" w14:textId="77777777" w:rsidR="000B1A83" w:rsidRDefault="000B1A83" w:rsidP="000B1A83">
      <w:pPr>
        <w:spacing w:after="0"/>
      </w:pPr>
      <w:r>
        <w:t>Metastatic (Stage IV) breast cancer</w:t>
      </w:r>
    </w:p>
    <w:p w14:paraId="23F33A54" w14:textId="77777777" w:rsidR="009F403D" w:rsidRDefault="009F403D" w:rsidP="000B1A83">
      <w:pPr>
        <w:spacing w:after="0"/>
      </w:pPr>
    </w:p>
    <w:p w14:paraId="4A7E3C45" w14:textId="77777777" w:rsidR="000B1A83" w:rsidRDefault="000B1A83" w:rsidP="000B1A83">
      <w:pPr>
        <w:spacing w:after="0"/>
      </w:pPr>
      <w:r>
        <w:t>Clinical criteria:</w:t>
      </w:r>
    </w:p>
    <w:p w14:paraId="67DAF2CA" w14:textId="328FD559" w:rsidR="000B1A83" w:rsidRDefault="000B1A83" w:rsidP="000B1A83">
      <w:pPr>
        <w:spacing w:after="0"/>
      </w:pPr>
      <w:r>
        <w:t>The condition must be hormone receptor positive,</w:t>
      </w:r>
    </w:p>
    <w:p w14:paraId="55A11369" w14:textId="77777777" w:rsidR="000B1A83" w:rsidRDefault="000B1A83" w:rsidP="000B1A83">
      <w:pPr>
        <w:spacing w:after="0"/>
      </w:pPr>
      <w:r>
        <w:t>AND</w:t>
      </w:r>
    </w:p>
    <w:p w14:paraId="1F728FCB" w14:textId="32372636" w:rsidR="000B1A83" w:rsidRDefault="000B1A83" w:rsidP="000B1A83">
      <w:pPr>
        <w:spacing w:after="0"/>
      </w:pPr>
      <w:r>
        <w:t>The condition must be human epidermal growth factor receptor 2 (HER2) negative,</w:t>
      </w:r>
    </w:p>
    <w:p w14:paraId="090320C3" w14:textId="77777777" w:rsidR="000B1A83" w:rsidRDefault="000B1A83" w:rsidP="000B1A83">
      <w:pPr>
        <w:spacing w:after="0"/>
      </w:pPr>
      <w:r>
        <w:t>AND</w:t>
      </w:r>
    </w:p>
    <w:p w14:paraId="580C8D4A" w14:textId="5FB15CAC" w:rsidR="000B1A83" w:rsidRDefault="000B1A83" w:rsidP="000B1A83">
      <w:pPr>
        <w:spacing w:after="0"/>
      </w:pPr>
      <w:r>
        <w:t>The condition must have acquired endocrine resistance as demonstrated by initial response and then recurrence or progression of disease after treatment with letrozole or anastrozole,</w:t>
      </w:r>
    </w:p>
    <w:p w14:paraId="74952F6A" w14:textId="77777777" w:rsidR="000B1A83" w:rsidRDefault="000B1A83" w:rsidP="000B1A83">
      <w:pPr>
        <w:spacing w:after="0"/>
      </w:pPr>
      <w:r>
        <w:t>AND</w:t>
      </w:r>
    </w:p>
    <w:p w14:paraId="1A48E60D" w14:textId="6978B7B0" w:rsidR="000B1A83" w:rsidRDefault="000B1A83" w:rsidP="000B1A83">
      <w:pPr>
        <w:spacing w:after="0"/>
      </w:pPr>
      <w:r>
        <w:t>The treatment must be in combination with exemestane.</w:t>
      </w:r>
    </w:p>
    <w:p w14:paraId="45117BD6" w14:textId="77777777" w:rsidR="009F403D" w:rsidRDefault="009F403D" w:rsidP="000B1A83">
      <w:pPr>
        <w:spacing w:after="0"/>
      </w:pPr>
    </w:p>
    <w:p w14:paraId="79AE53D1" w14:textId="77777777" w:rsidR="000B1A83" w:rsidRDefault="000B1A83" w:rsidP="000B1A83">
      <w:pPr>
        <w:spacing w:after="0"/>
      </w:pPr>
      <w:r>
        <w:t>Population criteria:</w:t>
      </w:r>
    </w:p>
    <w:p w14:paraId="2FD263A0" w14:textId="370B9449" w:rsidR="000B1A83" w:rsidRDefault="000B1A83" w:rsidP="000B1A83">
      <w:pPr>
        <w:spacing w:after="0"/>
      </w:pPr>
      <w:r>
        <w:t>Patient must not be pre-menopausal.</w:t>
      </w:r>
    </w:p>
    <w:p w14:paraId="524487B0" w14:textId="77777777" w:rsidR="000B1A83" w:rsidRDefault="000B1A83" w:rsidP="000B1A83">
      <w:pPr>
        <w:spacing w:after="0"/>
      </w:pPr>
    </w:p>
    <w:p w14:paraId="3544BDC7" w14:textId="77777777" w:rsidR="000B1A83" w:rsidRDefault="000B1A83" w:rsidP="000B1A83">
      <w:pPr>
        <w:spacing w:after="0"/>
      </w:pPr>
      <w:r>
        <w:t>Note</w:t>
      </w:r>
    </w:p>
    <w:p w14:paraId="5DAC0B63" w14:textId="29314E2A" w:rsidR="0047297A" w:rsidRDefault="000B1A83" w:rsidP="000B1A83">
      <w:pPr>
        <w:spacing w:after="0"/>
      </w:pPr>
      <w:r>
        <w:t>Patients who have progressive disease with everolimus are no longer eligible for PBS-subsidised everolimus.</w:t>
      </w:r>
    </w:p>
    <w:p w14:paraId="2A165C9B" w14:textId="77777777" w:rsidR="000B1A83" w:rsidRDefault="000B1A83" w:rsidP="000B1A83">
      <w:pPr>
        <w:spacing w:after="0"/>
      </w:pPr>
    </w:p>
    <w:p w14:paraId="22433632" w14:textId="6ACF6794" w:rsidR="006775F1" w:rsidRPr="006775F1" w:rsidRDefault="006775F1" w:rsidP="00A35800">
      <w:r w:rsidRPr="006775F1">
        <w:t xml:space="preserve">For </w:t>
      </w:r>
      <w:r w:rsidR="00835337">
        <w:t xml:space="preserve">details of the current PBS listing refer to the </w:t>
      </w:r>
      <w:hyperlink r:id="rId10" w:history="1">
        <w:r w:rsidR="00835337" w:rsidRPr="00645D51">
          <w:rPr>
            <w:rStyle w:val="Hyperlink"/>
          </w:rPr>
          <w:t>PBS website</w:t>
        </w:r>
      </w:hyperlink>
      <w:r w:rsidR="00835337">
        <w:rPr>
          <w:rStyle w:val="Hyperlink"/>
        </w:rPr>
        <w:t>.</w:t>
      </w:r>
    </w:p>
    <w:p w14:paraId="39EF75ED" w14:textId="210A5F9B" w:rsidR="00675BB1" w:rsidRPr="00675BB1" w:rsidRDefault="00675BB1" w:rsidP="00CF5E22">
      <w:pPr>
        <w:pStyle w:val="Heading3"/>
      </w:pPr>
      <w:r w:rsidRPr="00675BB1">
        <w:t>Changes to listing</w:t>
      </w:r>
    </w:p>
    <w:p w14:paraId="548421FE" w14:textId="0E22BB89" w:rsidR="00553E96" w:rsidRDefault="00553E96" w:rsidP="00553E96">
      <w:r>
        <w:t>The first li</w:t>
      </w:r>
      <w:r w:rsidR="00787949">
        <w:t xml:space="preserve">sting </w:t>
      </w:r>
      <w:r w:rsidR="00B4120C">
        <w:t xml:space="preserve">of everolimus </w:t>
      </w:r>
      <w:r w:rsidR="00787949">
        <w:t xml:space="preserve">on 1 June 2014 included the </w:t>
      </w:r>
      <w:r>
        <w:t>population criteria that a patient must be female and post-menopausal.</w:t>
      </w:r>
    </w:p>
    <w:p w14:paraId="79F953B5" w14:textId="0BA04777" w:rsidR="00553E96" w:rsidRPr="00787949" w:rsidRDefault="00787949" w:rsidP="00553E96">
      <w:r>
        <w:t>Following a PBAC recommendation in November 2014, t</w:t>
      </w:r>
      <w:r w:rsidR="00553E96">
        <w:t>he</w:t>
      </w:r>
      <w:r>
        <w:t xml:space="preserve"> listing was changed from </w:t>
      </w:r>
      <w:r w:rsidR="00553E96">
        <w:t>1</w:t>
      </w:r>
      <w:r w:rsidR="00B4120C">
        <w:t> </w:t>
      </w:r>
      <w:r w:rsidR="00553E96">
        <w:t>March 2015 to remove the criterion that a patient must be female</w:t>
      </w:r>
      <w:r>
        <w:t xml:space="preserve"> to allow access for </w:t>
      </w:r>
      <w:r>
        <w:lastRenderedPageBreak/>
        <w:t>males with breast cancer</w:t>
      </w:r>
      <w:r w:rsidR="00553E96">
        <w:t>. The criterion that a patient must be post-menopausal was also amended to “…</w:t>
      </w:r>
      <w:r>
        <w:t>p</w:t>
      </w:r>
      <w:r w:rsidR="00553E96">
        <w:t>atient must not be pre-menopausal…”.</w:t>
      </w:r>
    </w:p>
    <w:p w14:paraId="64C94A85" w14:textId="11A11212" w:rsidR="00BF544D" w:rsidRPr="002F61CA" w:rsidRDefault="00BF544D" w:rsidP="00BF544D">
      <w:r w:rsidRPr="002F61CA">
        <w:t xml:space="preserve">Current PBS listing details are available from </w:t>
      </w:r>
      <w:r>
        <w:t xml:space="preserve">the </w:t>
      </w:r>
      <w:hyperlink r:id="rId11" w:history="1">
        <w:r w:rsidRPr="00645D51">
          <w:rPr>
            <w:rStyle w:val="Hyperlink"/>
          </w:rPr>
          <w:t>PBS website</w:t>
        </w:r>
      </w:hyperlink>
      <w: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29C62F90" w14:textId="00C37142" w:rsidR="00650DAC" w:rsidRPr="000C0568" w:rsidRDefault="00220583" w:rsidP="00A35800">
      <w:r w:rsidRPr="000C0568">
        <w:t xml:space="preserve">The first submission for everolimus </w:t>
      </w:r>
      <w:r w:rsidR="00725843">
        <w:t xml:space="preserve">for </w:t>
      </w:r>
      <w:r w:rsidR="00CB3F94">
        <w:t xml:space="preserve">metastatic </w:t>
      </w:r>
      <w:r w:rsidR="00725843">
        <w:t xml:space="preserve">breast cancer </w:t>
      </w:r>
      <w:r w:rsidRPr="000C0568">
        <w:t xml:space="preserve">was </w:t>
      </w:r>
      <w:r w:rsidR="000C0568" w:rsidRPr="000C0568">
        <w:t>rejected</w:t>
      </w:r>
      <w:r w:rsidRPr="000C0568">
        <w:t xml:space="preserve"> at the March 2013 PBAC meeting. The sponsor requested an Authority required listing for treatment, in combination with an aromatase inhibitor, of post-menopausal women with hormone-receptor positive, HER2 negative advanced breast cancer after failure of treatment with letrozole or anastrozole. </w:t>
      </w:r>
      <w:r w:rsidR="003719D5" w:rsidRPr="000C0568">
        <w:t xml:space="preserve">The PBAC did not consider that everolimus would be used in combination with any aromastase inhibitor. Based on the clinical evidence presented in the submission, PBAC considered that exemestane was the appropriate comparator. </w:t>
      </w:r>
      <w:r w:rsidR="000C0568" w:rsidRPr="000C0568">
        <w:t>The overall survival data from the trial was immature leading to un</w:t>
      </w:r>
      <w:r w:rsidR="00725843">
        <w:t>c</w:t>
      </w:r>
      <w:r w:rsidR="000C0568" w:rsidRPr="000C0568">
        <w:t xml:space="preserve">ertainty with the </w:t>
      </w:r>
      <w:r w:rsidR="003719D5" w:rsidRPr="000C0568">
        <w:t xml:space="preserve">modelled survival benefits </w:t>
      </w:r>
      <w:r w:rsidR="00CB3F94">
        <w:t xml:space="preserve">and </w:t>
      </w:r>
      <w:r w:rsidR="003719D5" w:rsidRPr="000C0568">
        <w:t>utility gain.</w:t>
      </w:r>
    </w:p>
    <w:p w14:paraId="633C19B4" w14:textId="420D549B" w:rsidR="000C0568" w:rsidRDefault="00DB099E" w:rsidP="00A35800">
      <w:r w:rsidRPr="00DB099E">
        <w:t xml:space="preserve">The July 2013 </w:t>
      </w:r>
      <w:r w:rsidR="00FA7199">
        <w:t xml:space="preserve">minor </w:t>
      </w:r>
      <w:r w:rsidRPr="00DB099E">
        <w:t>re-submission requested the same listing as the March 2013</w:t>
      </w:r>
      <w:r w:rsidR="00734A5E">
        <w:t xml:space="preserve"> submission</w:t>
      </w:r>
      <w:r w:rsidRPr="00DB099E">
        <w:t xml:space="preserve"> </w:t>
      </w:r>
      <w:r w:rsidR="00734A5E">
        <w:t>but specifying</w:t>
      </w:r>
      <w:r w:rsidR="00734A5E" w:rsidRPr="00DB099E">
        <w:t xml:space="preserve"> </w:t>
      </w:r>
      <w:r w:rsidRPr="00DB099E">
        <w:t>everolimus in combination with exemestan</w:t>
      </w:r>
      <w:r w:rsidR="00734A5E">
        <w:t>e</w:t>
      </w:r>
      <w:r w:rsidRPr="00DB099E">
        <w:t xml:space="preserve">. The PBAC considered that the use of everolimus beyond disease progression should be precluded in the restriction. The PBAC further considered that the restriction </w:t>
      </w:r>
      <w:r w:rsidR="00734A5E">
        <w:t>should</w:t>
      </w:r>
      <w:r w:rsidR="00734A5E" w:rsidRPr="00DB099E">
        <w:t xml:space="preserve"> </w:t>
      </w:r>
      <w:r w:rsidRPr="00DB099E">
        <w:t xml:space="preserve">preclude the use of everolimus in aromatase inhibitor naïve, oestrogen receptor positive breast cancer patients. The PBAC noted the role of everolimus in restoring the sensitivity of estrogen receptor positive cancers to endocrine therapy. As such, a combination of everolimus and exemestane was considered to be </w:t>
      </w:r>
      <w:r w:rsidR="0081797A">
        <w:t xml:space="preserve">only </w:t>
      </w:r>
      <w:r w:rsidRPr="00DB099E">
        <w:t>clinically appropriate in patients with a prior response to a non-steroidal aromatase inhibitor, such as letrozole or anastrozole.</w:t>
      </w:r>
      <w:r w:rsidR="0081797A">
        <w:t xml:space="preserve"> The submission was deferred to allow the Department of Health to negotiate a price with the sponsor recognising the value of everolimus but also considering the lack of overall survival data. The submission was recommended out-of-session following an acceptable price offer from the sponsor.</w:t>
      </w:r>
    </w:p>
    <w:p w14:paraId="26F4CA8F" w14:textId="16C29DFA" w:rsidR="0027432C" w:rsidRPr="0081797A" w:rsidRDefault="0027432C" w:rsidP="00A35800">
      <w:r>
        <w:t xml:space="preserve">At its November 2014 meeting the PBAC considered </w:t>
      </w:r>
      <w:r w:rsidR="000466F0">
        <w:t xml:space="preserve">correspondence </w:t>
      </w:r>
      <w:r>
        <w:t xml:space="preserve">from the </w:t>
      </w:r>
      <w:r w:rsidRPr="0027432C">
        <w:t xml:space="preserve">Medical Oncology Group of Australia (MOGA) which sought to have the drugs anastrozole, everolimus, exemestane, goserelin and letrozole made available to males with breast cancer on equity grounds. </w:t>
      </w:r>
      <w:r w:rsidR="008D1AD3">
        <w:t>The PBAC noted that there were</w:t>
      </w:r>
      <w:r w:rsidR="00752CA0">
        <w:t xml:space="preserve"> only a small number of men with breast cancer. </w:t>
      </w:r>
      <w:r w:rsidR="003D1E95" w:rsidRPr="00752CA0">
        <w:t>The</w:t>
      </w:r>
      <w:r w:rsidR="003D1E95" w:rsidRPr="003D1E95">
        <w:t xml:space="preserve"> PBAC recommended amending the restrictions for </w:t>
      </w:r>
      <w:r w:rsidR="003D1E95">
        <w:t>everolimus and exemestane, as well as anastrozole, letrozole and goserelin to allow access for male patients with breast cancer.</w:t>
      </w:r>
      <w:r w:rsidR="00413D56">
        <w:t xml:space="preserve"> The population criteria for everolimus and exemestane was amended to remove the requirement that the patient must be female and post-menopausal which was replaced with “…patient must not be pre-menopausal…”.</w:t>
      </w:r>
    </w:p>
    <w:p w14:paraId="70539E18" w14:textId="3C84C62F" w:rsidR="00D94863" w:rsidRPr="00F65F0D" w:rsidRDefault="00D94863" w:rsidP="00D94863">
      <w:r>
        <w:t xml:space="preserve">For further details refer to </w:t>
      </w:r>
      <w:r w:rsidRPr="00F65F0D">
        <w:t>the</w:t>
      </w:r>
      <w:r w:rsidR="000C0568">
        <w:t xml:space="preserve"> </w:t>
      </w:r>
      <w:hyperlink r:id="rId12" w:history="1">
        <w:r w:rsidR="000C0568" w:rsidRPr="000C0568">
          <w:rPr>
            <w:rStyle w:val="Hyperlink"/>
          </w:rPr>
          <w:t>March 2013 Public Summary Document</w:t>
        </w:r>
      </w:hyperlink>
      <w:r w:rsidR="00752CA0">
        <w:t xml:space="preserve">, </w:t>
      </w:r>
      <w:hyperlink r:id="rId13" w:history="1">
        <w:r w:rsidR="000C0568" w:rsidRPr="00954C4F">
          <w:rPr>
            <w:rStyle w:val="Hyperlink"/>
          </w:rPr>
          <w:t>July 2013 Public Summary Document</w:t>
        </w:r>
      </w:hyperlink>
      <w:r w:rsidR="00752CA0">
        <w:t xml:space="preserve"> and </w:t>
      </w:r>
      <w:hyperlink r:id="rId14" w:history="1">
        <w:r w:rsidR="00752CA0" w:rsidRPr="00752CA0">
          <w:rPr>
            <w:rStyle w:val="Hyperlink"/>
          </w:rPr>
          <w:t>November 2014 Public Summary Document</w:t>
        </w:r>
      </w:hyperlink>
      <w:r w:rsidR="00752CA0">
        <w:t>.</w:t>
      </w:r>
    </w:p>
    <w:p w14:paraId="11D42216" w14:textId="77777777" w:rsidR="00484443" w:rsidRDefault="00484443" w:rsidP="002725F6">
      <w:pPr>
        <w:pStyle w:val="Heading2"/>
      </w:pPr>
    </w:p>
    <w:p w14:paraId="49657984" w14:textId="619F7FCB" w:rsidR="002725F6" w:rsidRPr="002725F6" w:rsidRDefault="00ED633B" w:rsidP="002725F6">
      <w:pPr>
        <w:pStyle w:val="Heading2"/>
      </w:pPr>
      <w:r>
        <w:lastRenderedPageBreak/>
        <w:t>A</w:t>
      </w:r>
      <w:r w:rsidR="000F2F51">
        <w:t xml:space="preserve">pproach </w:t>
      </w:r>
      <w:r>
        <w:t xml:space="preserve">taken to </w:t>
      </w:r>
      <w:r w:rsidR="000F2F51">
        <w:t>estimat</w:t>
      </w:r>
      <w:r>
        <w:t>e</w:t>
      </w:r>
      <w:r w:rsidR="000F2F51">
        <w:t xml:space="preserve"> utilisation</w:t>
      </w:r>
    </w:p>
    <w:p w14:paraId="0A07688B" w14:textId="7ED9382D" w:rsidR="00361C5C" w:rsidRDefault="00361C5C" w:rsidP="00A35800">
      <w:r>
        <w:t xml:space="preserve">The modelling steps used to derive the </w:t>
      </w:r>
      <w:r w:rsidR="00B613E8">
        <w:t xml:space="preserve">utilisation and </w:t>
      </w:r>
      <w:r w:rsidR="00B470A3">
        <w:t>cost of everolimus to the PBS and RPBS</w:t>
      </w:r>
      <w:r>
        <w:t xml:space="preserve"> are </w:t>
      </w:r>
      <w:r w:rsidR="001273EC">
        <w:t xml:space="preserve">presented in </w:t>
      </w:r>
      <w:r w:rsidR="008C4C00">
        <w:t>Appendix</w:t>
      </w:r>
      <w:r w:rsidR="001273EC">
        <w:t xml:space="preserve"> 2</w:t>
      </w:r>
      <w:r>
        <w:t xml:space="preserve">. </w:t>
      </w:r>
    </w:p>
    <w:p w14:paraId="52799360" w14:textId="5193E35E" w:rsidR="00960760" w:rsidRDefault="00104B65" w:rsidP="00A35800">
      <w:r>
        <w:t>An</w:t>
      </w:r>
      <w:r w:rsidR="00960760">
        <w:t xml:space="preserve"> epidemiological approach </w:t>
      </w:r>
      <w:r>
        <w:t xml:space="preserve">was used </w:t>
      </w:r>
      <w:r w:rsidR="00960760">
        <w:t xml:space="preserve">to estimate the number of incident patients who would be eligible for treatment with everolimus with exemestane. </w:t>
      </w:r>
      <w:r w:rsidR="00B45426">
        <w:t xml:space="preserve">The </w:t>
      </w:r>
      <w:r w:rsidR="00960760">
        <w:t>estimates</w:t>
      </w:r>
      <w:r w:rsidR="00B45426">
        <w:t xml:space="preserve"> for the incident eligible population</w:t>
      </w:r>
      <w:r w:rsidR="00960760">
        <w:t xml:space="preserve"> were not used in the financial forecasting </w:t>
      </w:r>
      <w:r w:rsidR="00B45426">
        <w:t xml:space="preserve">but indicate the pool of </w:t>
      </w:r>
      <w:r w:rsidR="007F23E4">
        <w:t>potential treated patients.</w:t>
      </w:r>
    </w:p>
    <w:p w14:paraId="1749123A" w14:textId="3378BD54" w:rsidR="00DF79C8" w:rsidRDefault="00D625CB" w:rsidP="00A35800">
      <w:r>
        <w:t>The</w:t>
      </w:r>
      <w:r w:rsidR="00FB3FE6">
        <w:t xml:space="preserve"> number of treated patients was</w:t>
      </w:r>
      <w:r>
        <w:t xml:space="preserve"> forecasted based on patients participating in the sponsor</w:t>
      </w:r>
      <w:r w:rsidR="009B5644">
        <w:t>’</w:t>
      </w:r>
      <w:r>
        <w:t>s</w:t>
      </w:r>
      <w:r w:rsidR="009B5644">
        <w:t xml:space="preserve"> compassionate use program</w:t>
      </w:r>
      <w:r w:rsidR="00F04323">
        <w:t xml:space="preserve"> which was established in December 2012. Under this program, e</w:t>
      </w:r>
      <w:r>
        <w:t xml:space="preserve">verolimus was supplied to patients whose </w:t>
      </w:r>
      <w:r w:rsidR="00F04323">
        <w:t>eligibility</w:t>
      </w:r>
      <w:r>
        <w:t xml:space="preserve"> </w:t>
      </w:r>
      <w:r w:rsidR="008C49DC">
        <w:t>aligned with the</w:t>
      </w:r>
      <w:r w:rsidR="008C49DC" w:rsidRPr="00961880">
        <w:t xml:space="preserve"> BOLERO-2 study inclusion criteria and TGA approved indication</w:t>
      </w:r>
      <w:r w:rsidR="008C49DC">
        <w:t xml:space="preserve"> (Minor Submission November 2013 p8)</w:t>
      </w:r>
      <w:r w:rsidR="008C49DC" w:rsidRPr="00961880">
        <w:t>.</w:t>
      </w:r>
      <w:r w:rsidR="001950DD">
        <w:t xml:space="preserve"> </w:t>
      </w:r>
      <w:r w:rsidR="00DF79C8">
        <w:t xml:space="preserve"> </w:t>
      </w:r>
      <w:r w:rsidR="00316ADF">
        <w:t xml:space="preserve">At the time of listing, </w:t>
      </w:r>
      <w:r w:rsidR="00316ADF" w:rsidRPr="00316ADF">
        <w:rPr>
          <w:color w:val="000000" w:themeColor="text1"/>
          <w:highlight w:val="black"/>
        </w:rPr>
        <w:t>XX</w:t>
      </w:r>
      <w:r w:rsidR="00361C5C">
        <w:t xml:space="preserve"> patients were participating in the program per month. This was extrapolate</w:t>
      </w:r>
      <w:r w:rsidR="00316ADF">
        <w:t xml:space="preserve">d to an annual estimate of </w:t>
      </w:r>
      <w:r w:rsidR="00316ADF" w:rsidRPr="00316ADF">
        <w:rPr>
          <w:highlight w:val="black"/>
        </w:rPr>
        <w:t>XXX</w:t>
      </w:r>
      <w:r w:rsidR="00695086">
        <w:t xml:space="preserve"> patients at baseline</w:t>
      </w:r>
      <w:r w:rsidR="00FA1434">
        <w:t>, (</w:t>
      </w:r>
      <w:r w:rsidR="008C4C00">
        <w:t>Appendix</w:t>
      </w:r>
      <w:r w:rsidR="00F63A0B">
        <w:t xml:space="preserve"> 2, </w:t>
      </w:r>
      <w:r w:rsidR="00FA1434">
        <w:t>model step B.2</w:t>
      </w:r>
      <w:r w:rsidR="00361C5C">
        <w:t xml:space="preserve">). </w:t>
      </w:r>
      <w:r w:rsidR="0010392A">
        <w:t xml:space="preserve"> It was assumed that only female patients would be treated.</w:t>
      </w:r>
    </w:p>
    <w:p w14:paraId="47D03436" w14:textId="16C89069" w:rsidR="00541D40" w:rsidRDefault="002036CC" w:rsidP="00A35800">
      <w:r>
        <w:t xml:space="preserve">The projected number of prescriptions was derived separately for the 10 mg and 5 mg strengths of everolimus. </w:t>
      </w:r>
      <w:r w:rsidR="00453E4B">
        <w:t xml:space="preserve">Derived proportions </w:t>
      </w:r>
      <w:r w:rsidR="0027180D">
        <w:t xml:space="preserve">for each strength </w:t>
      </w:r>
      <w:r w:rsidR="00453E4B">
        <w:t xml:space="preserve">were obtained to result in the weighted average dose observed in the BOLERO-2 trial of </w:t>
      </w:r>
      <w:r w:rsidR="00AF762A" w:rsidRPr="00AF762A">
        <w:rPr>
          <w:color w:val="000000" w:themeColor="text1"/>
          <w:highlight w:val="black"/>
        </w:rPr>
        <w:t>XXXXX</w:t>
      </w:r>
      <w:r w:rsidR="00453E4B">
        <w:t xml:space="preserve"> mg (i.e. </w:t>
      </w:r>
      <w:r w:rsidR="00316ADF" w:rsidRPr="00316ADF">
        <w:rPr>
          <w:highlight w:val="black"/>
        </w:rPr>
        <w:t>XXXXXX</w:t>
      </w:r>
      <w:r w:rsidR="00C915EE" w:rsidRPr="00C915EE">
        <w:t xml:space="preserve"> of patients would require the 10 mg strength with the rem</w:t>
      </w:r>
      <w:r w:rsidR="00FA1434">
        <w:t xml:space="preserve">ainder taking the 5 mg strength </w:t>
      </w:r>
      <w:r w:rsidR="00453E4B">
        <w:t xml:space="preserve">to give </w:t>
      </w:r>
      <w:r w:rsidR="00316ADF" w:rsidRPr="00316ADF">
        <w:rPr>
          <w:highlight w:val="black"/>
        </w:rPr>
        <w:t>XXXXXXXXXXXXXXXXXXXXXXXXX</w:t>
      </w:r>
      <w:r w:rsidR="00453E4B">
        <w:t xml:space="preserve">, </w:t>
      </w:r>
      <w:r w:rsidR="00FA1434">
        <w:t>(</w:t>
      </w:r>
      <w:r w:rsidR="008C4C00">
        <w:t>Appendix</w:t>
      </w:r>
      <w:r w:rsidR="00F63A0B">
        <w:t xml:space="preserve"> 2, </w:t>
      </w:r>
      <w:r w:rsidR="00FA1434">
        <w:t>model step C.1)</w:t>
      </w:r>
      <w:r w:rsidR="00453E4B">
        <w:t>)</w:t>
      </w:r>
      <w:r w:rsidR="00FA1434">
        <w:t xml:space="preserve">. </w:t>
      </w:r>
      <w:r w:rsidR="009011F6">
        <w:t>The 10mg: 5mg split was appl</w:t>
      </w:r>
      <w:r w:rsidR="008B2038">
        <w:t>ied to the forecast of treated</w:t>
      </w:r>
      <w:r w:rsidR="009011F6">
        <w:t xml:space="preserve"> patients. The </w:t>
      </w:r>
      <w:r w:rsidR="00061228">
        <w:t xml:space="preserve">average annual number of </w:t>
      </w:r>
      <w:r w:rsidR="00232827">
        <w:t xml:space="preserve">prescriptions </w:t>
      </w:r>
      <w:r w:rsidR="00061228">
        <w:t xml:space="preserve">per patient </w:t>
      </w:r>
      <w:r w:rsidR="00232827">
        <w:t xml:space="preserve">was estimated </w:t>
      </w:r>
      <w:r w:rsidR="00061228">
        <w:t>to be seven based on the</w:t>
      </w:r>
      <w:r w:rsidR="00232827">
        <w:t xml:space="preserve"> progression-free survival time of 6.9 months for everolimus with exemestane observed in the BOLERO-2 trial. </w:t>
      </w:r>
      <w:r w:rsidR="001C6C08">
        <w:t>The average of seven scripts was then applied to the 10 mg and 5 mg treated patient groups to forecast the number of pr</w:t>
      </w:r>
      <w:r w:rsidR="000F6128">
        <w:t xml:space="preserve">escriptions for </w:t>
      </w:r>
      <w:r w:rsidR="00C0064A">
        <w:t>each strength (</w:t>
      </w:r>
      <w:r w:rsidR="008C4C00">
        <w:t>Appendix</w:t>
      </w:r>
      <w:r w:rsidR="00F63A0B">
        <w:t xml:space="preserve"> 2, </w:t>
      </w:r>
      <w:r w:rsidR="00C0064A">
        <w:t>model steps C.6 and C.9).</w:t>
      </w:r>
    </w:p>
    <w:p w14:paraId="11186CE3" w14:textId="4C228728" w:rsidR="00CA56F1" w:rsidRDefault="00D76ABA" w:rsidP="004D1787">
      <w:r>
        <w:t>The total projected costs were calculated by multiplying the forec</w:t>
      </w:r>
      <w:r w:rsidR="009E4728">
        <w:t>asted number of prescriptions for the 10 mg and 5 mg</w:t>
      </w:r>
      <w:r>
        <w:t xml:space="preserve"> strength</w:t>
      </w:r>
      <w:r w:rsidR="009E4728">
        <w:t>s</w:t>
      </w:r>
      <w:r>
        <w:t xml:space="preserve"> by the dispensed price for maximum quantity for each strength (</w:t>
      </w:r>
      <w:r w:rsidR="008C4C00">
        <w:t>Appendix</w:t>
      </w:r>
      <w:r w:rsidR="00F63A0B">
        <w:t xml:space="preserve"> 2, </w:t>
      </w:r>
      <w:r>
        <w:t xml:space="preserve">model step D.3). </w:t>
      </w:r>
      <w:r w:rsidR="00CE045E" w:rsidRPr="000527A0">
        <w:t>The cost of exemestane was not included as it was assumed that the listing of everolimus would not change the usage of existing endocrine therapy in the market.</w:t>
      </w:r>
      <w:r w:rsidR="00CE045E">
        <w:t xml:space="preserve"> </w:t>
      </w:r>
      <w:r w:rsidR="008C61F6">
        <w:t>The estimated net cost to Government factored in the differing patient co</w:t>
      </w:r>
      <w:r w:rsidR="00D50D01">
        <w:t>-</w:t>
      </w:r>
      <w:r w:rsidR="008C61F6">
        <w:t xml:space="preserve">payments under the PBS and RPBS. </w:t>
      </w:r>
      <w:r w:rsidR="0062099C">
        <w:t>E</w:t>
      </w:r>
      <w:r w:rsidR="008C61F6">
        <w:t>xisting listings for anastrozole</w:t>
      </w:r>
      <w:r w:rsidR="00C26EE7">
        <w:t xml:space="preserve"> (Item 8179L)</w:t>
      </w:r>
      <w:r w:rsidR="008C61F6">
        <w:t>, letrozole</w:t>
      </w:r>
      <w:r w:rsidR="00C26EE7">
        <w:t xml:space="preserve"> (Item 8245Y)</w:t>
      </w:r>
      <w:r w:rsidR="008C61F6">
        <w:t xml:space="preserve"> and exemestane </w:t>
      </w:r>
      <w:r w:rsidR="00C26EE7">
        <w:t xml:space="preserve">(Item </w:t>
      </w:r>
      <w:r w:rsidR="0062099C">
        <w:t xml:space="preserve">8506Q) </w:t>
      </w:r>
      <w:r w:rsidR="008C61F6">
        <w:t xml:space="preserve">were used as a proxy to </w:t>
      </w:r>
      <w:r w:rsidR="0062099C">
        <w:t>estimate the patient contributions. Prescriptions for these items were analysed over the period January 2012 to December 2013 to obtain proportions of use by PBS and RPBS clients and by concessiona</w:t>
      </w:r>
      <w:r w:rsidR="003438D4">
        <w:t>l status and safety net status (</w:t>
      </w:r>
      <w:r w:rsidR="008C4C00">
        <w:t>Appendix</w:t>
      </w:r>
      <w:r w:rsidR="00F63A0B">
        <w:t xml:space="preserve"> 2, </w:t>
      </w:r>
      <w:r w:rsidR="003438D4">
        <w:t>model step D.4).</w:t>
      </w:r>
    </w:p>
    <w:p w14:paraId="7D8C93A2" w14:textId="5C03C083" w:rsidR="0003206C" w:rsidRPr="005D5897" w:rsidRDefault="00300D4A" w:rsidP="0030227F">
      <w:r>
        <w:t xml:space="preserve">The financial estimates included the costs to </w:t>
      </w:r>
      <w:r w:rsidR="00C024E5">
        <w:t xml:space="preserve">the Commonwealth to </w:t>
      </w:r>
      <w:r>
        <w:t>manage the potential side effect of grade 3-4 hyperglycaemia associated with everolimus plus exemestane therapy. It was assumed that this would occur in 5% of patients based on observations from the BOLERO-2 trial.</w:t>
      </w:r>
      <w:r w:rsidR="0030227F">
        <w:t xml:space="preserve"> It was assumed that affected patients would be treated with insulin </w:t>
      </w:r>
      <w:r w:rsidR="0030227F">
        <w:lastRenderedPageBreak/>
        <w:t>glargine (Item 9039R). The estimate for the additional cost to treat adverse events was relatively small, around $30,000 per year.</w:t>
      </w:r>
    </w:p>
    <w:p w14:paraId="194B1C8F" w14:textId="77777777" w:rsidR="00C7111E" w:rsidRDefault="00C7111E" w:rsidP="00C7111E">
      <w:pPr>
        <w:pStyle w:val="Heading1"/>
      </w:pPr>
      <w:r w:rsidRPr="005E22C2">
        <w:t>Methods</w:t>
      </w:r>
    </w:p>
    <w:p w14:paraId="190DFD4E" w14:textId="552271DD" w:rsidR="004D4C9B" w:rsidRPr="006F579F" w:rsidRDefault="004D4C9B" w:rsidP="00D874B7">
      <w:pPr>
        <w:rPr>
          <w:b/>
          <w:i/>
        </w:rPr>
      </w:pPr>
      <w:r w:rsidRPr="006F579F">
        <w:rPr>
          <w:b/>
          <w:i/>
        </w:rPr>
        <w:t>Data sources</w:t>
      </w:r>
    </w:p>
    <w:p w14:paraId="48BB5115" w14:textId="5EC02600" w:rsidR="004D4C9B" w:rsidRDefault="004D4C9B" w:rsidP="00D0601E">
      <w:pPr>
        <w:pStyle w:val="NoSpacing"/>
      </w:pPr>
      <w:r>
        <w:t xml:space="preserve">The analyses use data from </w:t>
      </w:r>
      <w:r w:rsidRPr="00130B7B">
        <w:t xml:space="preserve">the Department of Human Services (DHS) </w:t>
      </w:r>
      <w:r w:rsidR="00673330">
        <w:t xml:space="preserve">Authority approvals database and the DHS </w:t>
      </w:r>
      <w:r w:rsidRPr="00130B7B">
        <w:t>prescriptions database</w:t>
      </w:r>
      <w:r>
        <w:t xml:space="preserve">. </w:t>
      </w:r>
      <w:r w:rsidR="00673330">
        <w:t>Authorities data was extracted from 1 June 2014 (</w:t>
      </w:r>
      <w:r w:rsidR="00F22F47">
        <w:t>i.e. the date of first listing) to September</w:t>
      </w:r>
      <w:r w:rsidR="00673330">
        <w:t xml:space="preserve"> 2016. Prescriptions data for </w:t>
      </w:r>
      <w:r w:rsidR="00FB6A6F">
        <w:t xml:space="preserve">anastrozole, letrozole and exemestane </w:t>
      </w:r>
      <w:r w:rsidR="00B513D7">
        <w:t>was</w:t>
      </w:r>
      <w:r w:rsidR="00673330">
        <w:t xml:space="preserve"> extracted from</w:t>
      </w:r>
      <w:r w:rsidR="00216BDD">
        <w:t xml:space="preserve"> August 2003</w:t>
      </w:r>
      <w:r w:rsidR="00673330">
        <w:t xml:space="preserve"> </w:t>
      </w:r>
      <w:r w:rsidR="00216BDD">
        <w:t>(</w:t>
      </w:r>
      <w:r w:rsidR="007F59D0">
        <w:t>the first listing date of included aromatase inhibitor therapy</w:t>
      </w:r>
      <w:r w:rsidR="00216BDD">
        <w:t>)</w:t>
      </w:r>
      <w:r w:rsidR="00067E1E">
        <w:t xml:space="preserve"> </w:t>
      </w:r>
      <w:r w:rsidR="00673330">
        <w:t xml:space="preserve">to </w:t>
      </w:r>
      <w:r w:rsidR="00572D6E">
        <w:t xml:space="preserve">September </w:t>
      </w:r>
      <w:r w:rsidR="007F59D0">
        <w:t>2016</w:t>
      </w:r>
      <w:r w:rsidR="00673330">
        <w:t>.</w:t>
      </w:r>
      <w:r>
        <w:t xml:space="preserve"> </w:t>
      </w:r>
    </w:p>
    <w:p w14:paraId="78079105" w14:textId="77777777" w:rsidR="00D0601E" w:rsidRPr="004D4C9B" w:rsidRDefault="00D0601E" w:rsidP="00D0601E">
      <w:pPr>
        <w:pStyle w:val="NoSpacing"/>
      </w:pPr>
    </w:p>
    <w:p w14:paraId="4B1F08D6" w14:textId="7C3D68C1" w:rsidR="00541276" w:rsidRPr="006F579F" w:rsidRDefault="00541276" w:rsidP="00D874B7">
      <w:pPr>
        <w:rPr>
          <w:b/>
          <w:i/>
        </w:rPr>
      </w:pPr>
      <w:r w:rsidRPr="006F579F">
        <w:rPr>
          <w:b/>
          <w:i/>
        </w:rPr>
        <w:t>Extraction of data for the use of everolimus to treat breast cancer</w:t>
      </w:r>
    </w:p>
    <w:p w14:paraId="354EA967" w14:textId="7ECA0379" w:rsidR="00983A8F" w:rsidRDefault="00D874B7" w:rsidP="00D874B7">
      <w:r>
        <w:t xml:space="preserve">Everolimus’ listings for metastatic (Stage IV) breast cancer and tuberous sclerosis complex share the same PBS item codes (2819J and 2985D). </w:t>
      </w:r>
      <w:r w:rsidR="00A31C0F">
        <w:t xml:space="preserve">These are general schedule listings with no identifier in the claims data to </w:t>
      </w:r>
      <w:r w:rsidR="00541276">
        <w:t xml:space="preserve">directly </w:t>
      </w:r>
      <w:r w:rsidR="00A31C0F">
        <w:t xml:space="preserve">identify use for a specific indication. </w:t>
      </w:r>
      <w:r w:rsidR="00983A8F">
        <w:t xml:space="preserve">To separate use for breast cancer only, patients receiving an Authority for this indication were matched to claims records for PBS items 2819J and 2985D. </w:t>
      </w:r>
      <w:r w:rsidR="006D6BD0">
        <w:t xml:space="preserve">Prescriptions were matched to an approval if the de-identified patient identification number (PIN) and item codes matched for both the approval and supplied prescription.  </w:t>
      </w:r>
      <w:r w:rsidR="006D6BD0" w:rsidRPr="00E32057">
        <w:t xml:space="preserve">The date of authority approval </w:t>
      </w:r>
      <w:r w:rsidR="00831BAB">
        <w:t>had to be</w:t>
      </w:r>
      <w:r w:rsidR="006D6BD0" w:rsidRPr="00E32057">
        <w:t xml:space="preserve"> before the supply date for it to be assigned as the corresponding approval.</w:t>
      </w:r>
      <w:r w:rsidR="002C4C6E">
        <w:t xml:space="preserve"> An approval was matched to a </w:t>
      </w:r>
      <w:r w:rsidR="00A33F4B">
        <w:t>supply</w:t>
      </w:r>
      <w:r w:rsidR="002C4C6E">
        <w:t xml:space="preserve"> in 99.3% of cases.</w:t>
      </w:r>
    </w:p>
    <w:p w14:paraId="7D1E5228" w14:textId="226CE987" w:rsidR="00F80D40" w:rsidRPr="006F579F" w:rsidRDefault="00F80D40" w:rsidP="00D85A9C">
      <w:pPr>
        <w:rPr>
          <w:b/>
          <w:i/>
        </w:rPr>
      </w:pPr>
      <w:r w:rsidRPr="006F579F">
        <w:rPr>
          <w:b/>
          <w:i/>
        </w:rPr>
        <w:t>Patient level analyses</w:t>
      </w:r>
    </w:p>
    <w:p w14:paraId="23E752BE" w14:textId="64E56B2A" w:rsidR="00403F8D" w:rsidRDefault="00403F8D" w:rsidP="00D85A9C">
      <w:pPr>
        <w:rPr>
          <w:rFonts w:eastAsia="Calibri" w:cs="Times New Roman"/>
        </w:rPr>
      </w:pPr>
      <w:r>
        <w:rPr>
          <w:rFonts w:eastAsia="Calibri" w:cs="Times New Roman"/>
        </w:rPr>
        <w:t>The matched dataset described above was used to derive patient counts for the first two listing years (June 2014 to May 2015 and June 2015 to May 2016) and by listing month.</w:t>
      </w:r>
    </w:p>
    <w:p w14:paraId="504D2357" w14:textId="6AACB5E8" w:rsidR="00403F8D" w:rsidRDefault="005512B7" w:rsidP="00D85A9C">
      <w:pPr>
        <w:rPr>
          <w:rFonts w:eastAsia="Calibri" w:cs="Times New Roman"/>
        </w:rPr>
      </w:pPr>
      <w:r>
        <w:rPr>
          <w:rFonts w:eastAsia="Calibri" w:cs="Times New Roman"/>
        </w:rPr>
        <w:t xml:space="preserve">The number of prevalent patients was determined by counting the number of people supplied at least one PBS </w:t>
      </w:r>
      <w:r w:rsidR="00403F8D">
        <w:rPr>
          <w:rFonts w:eastAsia="Calibri" w:cs="Times New Roman"/>
        </w:rPr>
        <w:t xml:space="preserve">or RPBS </w:t>
      </w:r>
      <w:r>
        <w:rPr>
          <w:rFonts w:eastAsia="Calibri" w:cs="Times New Roman"/>
        </w:rPr>
        <w:t xml:space="preserve">prescription using person specific numbers (non-identifying) in the data for the specified time periods. </w:t>
      </w:r>
    </w:p>
    <w:p w14:paraId="474796F7" w14:textId="068DE765" w:rsidR="00F80D40" w:rsidRDefault="005512B7" w:rsidP="00D85A9C">
      <w:pPr>
        <w:rPr>
          <w:rFonts w:eastAsia="Calibri" w:cs="Times New Roman"/>
        </w:rPr>
      </w:pPr>
      <w:r>
        <w:rPr>
          <w:rFonts w:eastAsia="Calibri" w:cs="Times New Roman"/>
        </w:rPr>
        <w:t xml:space="preserve">Patient initiation </w:t>
      </w:r>
      <w:r w:rsidR="003B2076">
        <w:rPr>
          <w:rFonts w:eastAsia="Calibri" w:cs="Times New Roman"/>
        </w:rPr>
        <w:t xml:space="preserve">to everolimus </w:t>
      </w:r>
      <w:r>
        <w:rPr>
          <w:rFonts w:eastAsia="Calibri" w:cs="Times New Roman"/>
        </w:rPr>
        <w:t>was defined as the date of supply of the first PBS or RPBS prescription.</w:t>
      </w:r>
    </w:p>
    <w:p w14:paraId="4AF53753" w14:textId="3C584AFC" w:rsidR="00A34607" w:rsidRDefault="00A34607" w:rsidP="00D85A9C">
      <w:pPr>
        <w:rPr>
          <w:rFonts w:eastAsia="Calibri" w:cs="Times New Roman"/>
        </w:rPr>
      </w:pPr>
      <w:r>
        <w:rPr>
          <w:rFonts w:eastAsia="Calibri" w:cs="Times New Roman"/>
        </w:rPr>
        <w:t>The impact of changing the restriction from 1 March 2015 to allow use in males was examined through an analysis of gender. The age at initiation was also analysed.</w:t>
      </w:r>
    </w:p>
    <w:p w14:paraId="0EDDC8F5" w14:textId="603C437D" w:rsidR="00FE0AD4" w:rsidRDefault="00FE0AD4" w:rsidP="00D85A9C">
      <w:pPr>
        <w:rPr>
          <w:rFonts w:eastAsia="Calibri" w:cs="Times New Roman"/>
        </w:rPr>
      </w:pPr>
      <w:r>
        <w:rPr>
          <w:rFonts w:eastAsia="Calibri" w:cs="Times New Roman"/>
        </w:rPr>
        <w:t xml:space="preserve">Grandfathered patients were not able to be </w:t>
      </w:r>
      <w:r w:rsidR="004C12BC">
        <w:rPr>
          <w:rFonts w:eastAsia="Calibri" w:cs="Times New Roman"/>
        </w:rPr>
        <w:t xml:space="preserve">directly </w:t>
      </w:r>
      <w:r>
        <w:rPr>
          <w:rFonts w:eastAsia="Calibri" w:cs="Times New Roman"/>
        </w:rPr>
        <w:t>identified within the Authorities or prescriptions data.</w:t>
      </w:r>
      <w:r w:rsidR="004C12BC">
        <w:rPr>
          <w:rFonts w:eastAsia="Calibri" w:cs="Times New Roman"/>
        </w:rPr>
        <w:t xml:space="preserve"> </w:t>
      </w:r>
      <w:r w:rsidR="0030638D">
        <w:rPr>
          <w:rFonts w:eastAsia="Calibri" w:cs="Times New Roman"/>
        </w:rPr>
        <w:t>As such, analys</w:t>
      </w:r>
      <w:r w:rsidR="001863A8">
        <w:rPr>
          <w:rFonts w:eastAsia="Calibri" w:cs="Times New Roman"/>
        </w:rPr>
        <w:t>es of time on therapy and sequences of therapy received, described below, were undertaken in a cohort of patients initiating in 2015 (i.e. at least six months after the first listing date) to mitigate the impact of grandfathered patients on these analyses.</w:t>
      </w:r>
    </w:p>
    <w:p w14:paraId="29695956" w14:textId="77777777" w:rsidR="000E40F1" w:rsidRPr="00FE0AD4" w:rsidRDefault="000E40F1" w:rsidP="00D85A9C">
      <w:pPr>
        <w:rPr>
          <w:rFonts w:eastAsia="Calibri" w:cs="Times New Roman"/>
        </w:rPr>
      </w:pPr>
    </w:p>
    <w:p w14:paraId="543CC355" w14:textId="624EC2B2" w:rsidR="00D85A9C" w:rsidRPr="006F579F" w:rsidRDefault="00D74824" w:rsidP="00F32C9C">
      <w:pPr>
        <w:rPr>
          <w:b/>
          <w:i/>
        </w:rPr>
      </w:pPr>
      <w:r w:rsidRPr="006F579F">
        <w:rPr>
          <w:b/>
          <w:i/>
        </w:rPr>
        <w:lastRenderedPageBreak/>
        <w:t>Derivation of drug sequences</w:t>
      </w:r>
    </w:p>
    <w:p w14:paraId="3D9A18B9" w14:textId="10F46AFC" w:rsidR="00D74824" w:rsidRDefault="0084779E" w:rsidP="00F32C9C">
      <w:r>
        <w:t xml:space="preserve">A cohort of patients first initiating on either 5 mg </w:t>
      </w:r>
      <w:r w:rsidR="00072C01">
        <w:t>or 10 mg everolimus in 2015 was</w:t>
      </w:r>
      <w:r>
        <w:t xml:space="preserve"> selected</w:t>
      </w:r>
      <w:r w:rsidR="00713E38">
        <w:t xml:space="preserve">. </w:t>
      </w:r>
      <w:r w:rsidR="0071793F">
        <w:t>The patient identifiers</w:t>
      </w:r>
      <w:r w:rsidR="000355D5">
        <w:t xml:space="preserve"> for this initiating cohort were matched to any prior supply of anastrozole, letrozole or exemestane. </w:t>
      </w:r>
      <w:r w:rsidR="006545B1">
        <w:t>The look</w:t>
      </w:r>
      <w:r w:rsidR="00554565">
        <w:t xml:space="preserve"> </w:t>
      </w:r>
      <w:r w:rsidR="006545B1">
        <w:t>back period was to August 2003, the first listing date of an aromatase inhibitor drug, anastrozole</w:t>
      </w:r>
      <w:r w:rsidR="006545B1" w:rsidRPr="002E4ABB">
        <w:t>.</w:t>
      </w:r>
      <w:r w:rsidR="005B2ED8" w:rsidRPr="002E4ABB">
        <w:t xml:space="preserve"> To</w:t>
      </w:r>
      <w:r w:rsidR="00970B57" w:rsidRPr="002E4ABB">
        <w:t xml:space="preserve"> examine the potential use of everolimus as monotherapy, future supply was followed up to 30 September 2016.</w:t>
      </w:r>
    </w:p>
    <w:p w14:paraId="6EAA3DFD" w14:textId="66BA8E48" w:rsidR="00834197" w:rsidRDefault="006545B1" w:rsidP="00F32C9C">
      <w:r>
        <w:t>The median days between re-supply of everolimus was 29 days</w:t>
      </w:r>
      <w:r w:rsidR="0071793F">
        <w:t xml:space="preserve">. However, around 5% of patients received a re-supply of everolimus between 55 to 65 days. It was assumed that everolimus </w:t>
      </w:r>
      <w:r w:rsidR="009C64A7">
        <w:t xml:space="preserve">was </w:t>
      </w:r>
      <w:r>
        <w:t>co</w:t>
      </w:r>
      <w:r w:rsidR="009C64A7">
        <w:t>-</w:t>
      </w:r>
      <w:r>
        <w:t>administered with exemestane if th</w:t>
      </w:r>
      <w:r w:rsidR="0071793F">
        <w:t>e single drugs</w:t>
      </w:r>
      <w:r>
        <w:t xml:space="preserve"> were supplied within 60 days of each other. </w:t>
      </w:r>
      <w:r w:rsidR="00770CC8">
        <w:t>A sensitivity analyses was</w:t>
      </w:r>
      <w:r w:rsidR="00834197">
        <w:t xml:space="preserve"> undertaken to </w:t>
      </w:r>
      <w:r w:rsidR="00770CC8">
        <w:t xml:space="preserve">identify co-administration within the median re-supply period for everolimus (29 days), this did not have </w:t>
      </w:r>
      <w:r w:rsidR="00834197">
        <w:t>any substantive effects on the pro</w:t>
      </w:r>
      <w:r w:rsidR="00E6402A">
        <w:t xml:space="preserve">portion of patients identified </w:t>
      </w:r>
      <w:r w:rsidR="00834197">
        <w:t xml:space="preserve">as having co-administered therapy or the drug sequence results. </w:t>
      </w:r>
    </w:p>
    <w:p w14:paraId="503832A4" w14:textId="184EEF8C" w:rsidR="005075BE" w:rsidRPr="00186018" w:rsidRDefault="00755E13" w:rsidP="00F32C9C">
      <w:r>
        <w:t xml:space="preserve">The analysis included </w:t>
      </w:r>
      <w:r w:rsidR="00C615E6">
        <w:t xml:space="preserve">everolimus used in combination with either of </w:t>
      </w:r>
      <w:r>
        <w:t>exemestane</w:t>
      </w:r>
      <w:r w:rsidR="00C615E6">
        <w:t>’s listings</w:t>
      </w:r>
      <w:r>
        <w:t xml:space="preserve"> </w:t>
      </w:r>
      <w:r w:rsidR="009C64A7">
        <w:t xml:space="preserve">(i.e. </w:t>
      </w:r>
      <w:r>
        <w:t xml:space="preserve">the specific listing of exemestane used in combination with everolimus for metastatic breast cancer </w:t>
      </w:r>
      <w:r w:rsidR="00C615E6">
        <w:t xml:space="preserve">(Item 10103R) </w:t>
      </w:r>
      <w:r w:rsidR="002962D1">
        <w:t>or</w:t>
      </w:r>
      <w:r w:rsidR="00C615E6">
        <w:t xml:space="preserve"> </w:t>
      </w:r>
      <w:r>
        <w:t xml:space="preserve">the broader listing for hormone receptor positive breast cancer </w:t>
      </w:r>
      <w:r w:rsidR="00C615E6">
        <w:t>(item 8506Q)</w:t>
      </w:r>
      <w:r w:rsidR="009C64A7">
        <w:t>)</w:t>
      </w:r>
      <w:r w:rsidR="002962D1">
        <w:t>.</w:t>
      </w:r>
      <w:r w:rsidR="009C64A7">
        <w:t xml:space="preserve"> </w:t>
      </w:r>
    </w:p>
    <w:p w14:paraId="3006976E" w14:textId="77777777" w:rsidR="00C7111E" w:rsidRPr="005E22C2" w:rsidRDefault="00C7111E" w:rsidP="000153EA">
      <w:pPr>
        <w:pStyle w:val="Heading1"/>
        <w:spacing w:before="120"/>
      </w:pPr>
      <w:r w:rsidRPr="005E22C2">
        <w:t>Results</w:t>
      </w:r>
    </w:p>
    <w:p w14:paraId="07EC348D" w14:textId="5A79214E" w:rsidR="00C7111E" w:rsidRDefault="00C7111E" w:rsidP="00C7111E">
      <w:pPr>
        <w:pStyle w:val="Heading2"/>
      </w:pPr>
      <w:r w:rsidRPr="005E22C2">
        <w:t xml:space="preserve">Analysis of </w:t>
      </w:r>
      <w:r w:rsidR="005823B0">
        <w:t>drug</w:t>
      </w:r>
      <w:r w:rsidRPr="005E22C2">
        <w:t xml:space="preserve"> </w:t>
      </w:r>
      <w:r>
        <w:t>u</w:t>
      </w:r>
      <w:r w:rsidRPr="005E22C2">
        <w:t>tilisation</w:t>
      </w:r>
    </w:p>
    <w:p w14:paraId="504EB81B" w14:textId="7578D89E" w:rsidR="005823B0" w:rsidRDefault="00543982" w:rsidP="005823B0">
      <w:pPr>
        <w:pStyle w:val="Heading3"/>
      </w:pPr>
      <w:r>
        <w:t>Patient level analyses</w:t>
      </w:r>
    </w:p>
    <w:p w14:paraId="00E90648" w14:textId="0A30F9E7" w:rsidR="00DC29C6" w:rsidRDefault="00DC29C6" w:rsidP="00543982">
      <w:r>
        <w:t xml:space="preserve">The mean age at initiation was 64 years during the initial </w:t>
      </w:r>
      <w:r w:rsidR="00D1145F">
        <w:t>two years of listing</w:t>
      </w:r>
      <w:r>
        <w:t>.</w:t>
      </w:r>
    </w:p>
    <w:p w14:paraId="546707FA" w14:textId="16CD77A4" w:rsidR="000021CC" w:rsidRDefault="00602A83" w:rsidP="00543982">
      <w:r>
        <w:t xml:space="preserve">A small number of additional male patients accessed everolimus </w:t>
      </w:r>
      <w:r w:rsidR="00947F21">
        <w:t>after its</w:t>
      </w:r>
      <w:r>
        <w:t xml:space="preserve"> restriction was changed from 1 M</w:t>
      </w:r>
      <w:r w:rsidR="003D5DD6">
        <w:t>arch 201</w:t>
      </w:r>
      <w:r w:rsidR="003A5FD6">
        <w:t>5 to allow use in males (Table 3</w:t>
      </w:r>
      <w:r w:rsidR="003D5DD6">
        <w:t xml:space="preserve">). </w:t>
      </w:r>
    </w:p>
    <w:p w14:paraId="0304DC4D" w14:textId="77777777" w:rsidR="00245BE6" w:rsidRDefault="00245BE6">
      <w:pPr>
        <w:spacing w:line="276" w:lineRule="auto"/>
        <w:rPr>
          <w:b/>
        </w:rPr>
      </w:pPr>
      <w:r>
        <w:rPr>
          <w:b/>
        </w:rPr>
        <w:br w:type="page"/>
      </w:r>
    </w:p>
    <w:p w14:paraId="146017B3" w14:textId="59894ABB" w:rsidR="003260F0" w:rsidRPr="00245BE6" w:rsidRDefault="003260F0" w:rsidP="00245BE6">
      <w:pPr>
        <w:spacing w:after="20"/>
        <w:rPr>
          <w:b/>
        </w:rPr>
      </w:pPr>
      <w:r w:rsidRPr="00245BE6">
        <w:rPr>
          <w:b/>
        </w:rPr>
        <w:lastRenderedPageBreak/>
        <w:t xml:space="preserve">Table </w:t>
      </w:r>
      <w:r w:rsidR="003A5FD6" w:rsidRPr="00245BE6">
        <w:rPr>
          <w:b/>
        </w:rPr>
        <w:t>3</w:t>
      </w:r>
      <w:r w:rsidR="00245BE6">
        <w:rPr>
          <w:b/>
        </w:rPr>
        <w:t>:</w:t>
      </w:r>
      <w:r w:rsidRPr="00245BE6">
        <w:rPr>
          <w:b/>
        </w:rPr>
        <w:t xml:space="preserve"> Patient demographics</w:t>
      </w:r>
    </w:p>
    <w:tbl>
      <w:tblPr>
        <w:tblStyle w:val="TableGrid"/>
        <w:tblW w:w="0" w:type="auto"/>
        <w:tblLook w:val="04A0" w:firstRow="1" w:lastRow="0" w:firstColumn="1" w:lastColumn="0" w:noHBand="0" w:noVBand="1"/>
        <w:tblCaption w:val="Table 3. Patient demographics"/>
        <w:tblDescription w:val="Patient demographics"/>
      </w:tblPr>
      <w:tblGrid>
        <w:gridCol w:w="3227"/>
        <w:gridCol w:w="2410"/>
        <w:gridCol w:w="2268"/>
      </w:tblGrid>
      <w:tr w:rsidR="00C11F1A" w14:paraId="33CC0A78" w14:textId="77777777" w:rsidTr="00E73DDB">
        <w:trPr>
          <w:tblHeader/>
        </w:trPr>
        <w:tc>
          <w:tcPr>
            <w:tcW w:w="3227" w:type="dxa"/>
            <w:tcBorders>
              <w:top w:val="nil"/>
              <w:left w:val="nil"/>
            </w:tcBorders>
            <w:shd w:val="clear" w:color="auto" w:fill="FFFFFF" w:themeFill="background1"/>
          </w:tcPr>
          <w:p w14:paraId="1C6D9206" w14:textId="670BADD3" w:rsidR="00C11F1A" w:rsidRPr="005F00B9" w:rsidRDefault="00C11F1A" w:rsidP="0015238B">
            <w:pPr>
              <w:jc w:val="center"/>
              <w:rPr>
                <w:sz w:val="20"/>
                <w:szCs w:val="20"/>
              </w:rPr>
            </w:pPr>
          </w:p>
        </w:tc>
        <w:tc>
          <w:tcPr>
            <w:tcW w:w="2410" w:type="dxa"/>
            <w:shd w:val="clear" w:color="auto" w:fill="BFBFBF" w:themeFill="background1" w:themeFillShade="BF"/>
          </w:tcPr>
          <w:p w14:paraId="25B45E0A" w14:textId="77777777" w:rsidR="00C11F1A" w:rsidRPr="005F00B9" w:rsidRDefault="00C11F1A" w:rsidP="0015238B">
            <w:pPr>
              <w:jc w:val="center"/>
              <w:rPr>
                <w:b/>
                <w:sz w:val="20"/>
                <w:szCs w:val="20"/>
              </w:rPr>
            </w:pPr>
            <w:r w:rsidRPr="005F00B9">
              <w:rPr>
                <w:b/>
                <w:sz w:val="20"/>
                <w:szCs w:val="20"/>
              </w:rPr>
              <w:t>Year 1</w:t>
            </w:r>
          </w:p>
          <w:p w14:paraId="3287A48E" w14:textId="13886CE5" w:rsidR="00C11F1A" w:rsidRPr="005F00B9" w:rsidRDefault="00C11F1A" w:rsidP="0015238B">
            <w:pPr>
              <w:jc w:val="center"/>
              <w:rPr>
                <w:sz w:val="20"/>
                <w:szCs w:val="20"/>
              </w:rPr>
            </w:pPr>
            <w:r w:rsidRPr="005F00B9">
              <w:rPr>
                <w:b/>
                <w:sz w:val="20"/>
                <w:szCs w:val="20"/>
              </w:rPr>
              <w:t>(June 2014 – May 2015)</w:t>
            </w:r>
          </w:p>
        </w:tc>
        <w:tc>
          <w:tcPr>
            <w:tcW w:w="2268" w:type="dxa"/>
            <w:shd w:val="clear" w:color="auto" w:fill="BFBFBF" w:themeFill="background1" w:themeFillShade="BF"/>
          </w:tcPr>
          <w:p w14:paraId="73C636B3" w14:textId="77777777" w:rsidR="00C11F1A" w:rsidRPr="005F00B9" w:rsidRDefault="00C11F1A" w:rsidP="0015238B">
            <w:pPr>
              <w:jc w:val="center"/>
              <w:rPr>
                <w:b/>
                <w:sz w:val="20"/>
                <w:szCs w:val="20"/>
              </w:rPr>
            </w:pPr>
            <w:r w:rsidRPr="005F00B9">
              <w:rPr>
                <w:b/>
                <w:sz w:val="20"/>
                <w:szCs w:val="20"/>
              </w:rPr>
              <w:t>Year 2</w:t>
            </w:r>
          </w:p>
          <w:p w14:paraId="18C0B427" w14:textId="162D62FF" w:rsidR="00C11F1A" w:rsidRPr="005F00B9" w:rsidRDefault="00C11F1A" w:rsidP="0015238B">
            <w:pPr>
              <w:jc w:val="center"/>
              <w:rPr>
                <w:sz w:val="20"/>
                <w:szCs w:val="20"/>
              </w:rPr>
            </w:pPr>
            <w:r w:rsidRPr="005F00B9">
              <w:rPr>
                <w:b/>
                <w:sz w:val="20"/>
                <w:szCs w:val="20"/>
              </w:rPr>
              <w:t>(June 2015 – May 2016)</w:t>
            </w:r>
          </w:p>
        </w:tc>
      </w:tr>
      <w:tr w:rsidR="00C11F1A" w14:paraId="7B4B8581" w14:textId="77777777" w:rsidTr="00B741B1">
        <w:tc>
          <w:tcPr>
            <w:tcW w:w="3227" w:type="dxa"/>
          </w:tcPr>
          <w:p w14:paraId="793D20FA" w14:textId="382F7FE9" w:rsidR="005F00B9" w:rsidRPr="005F00B9" w:rsidRDefault="00C11F1A" w:rsidP="005F00B9">
            <w:pPr>
              <w:rPr>
                <w:sz w:val="20"/>
                <w:szCs w:val="20"/>
              </w:rPr>
            </w:pPr>
            <w:r w:rsidRPr="005F00B9">
              <w:rPr>
                <w:sz w:val="20"/>
                <w:szCs w:val="20"/>
              </w:rPr>
              <w:t>Age at initiation</w:t>
            </w:r>
            <w:r w:rsidR="005F00B9" w:rsidRPr="005F00B9">
              <w:rPr>
                <w:sz w:val="20"/>
                <w:szCs w:val="20"/>
              </w:rPr>
              <w:t xml:space="preserve"> (y</w:t>
            </w:r>
            <w:r w:rsidR="003A5FD6">
              <w:rPr>
                <w:sz w:val="20"/>
                <w:szCs w:val="20"/>
              </w:rPr>
              <w:t>ea</w:t>
            </w:r>
            <w:r w:rsidR="005F00B9" w:rsidRPr="005F00B9">
              <w:rPr>
                <w:sz w:val="20"/>
                <w:szCs w:val="20"/>
              </w:rPr>
              <w:t xml:space="preserve">rs) - </w:t>
            </w:r>
          </w:p>
          <w:p w14:paraId="35BA7051" w14:textId="3927227D" w:rsidR="00C11F1A" w:rsidRPr="005F00B9" w:rsidRDefault="005F00B9" w:rsidP="005F00B9">
            <w:pPr>
              <w:rPr>
                <w:sz w:val="20"/>
                <w:szCs w:val="20"/>
              </w:rPr>
            </w:pPr>
            <w:r w:rsidRPr="005F00B9">
              <w:rPr>
                <w:sz w:val="20"/>
                <w:szCs w:val="20"/>
              </w:rPr>
              <w:t>mean (min, max)</w:t>
            </w:r>
          </w:p>
        </w:tc>
        <w:tc>
          <w:tcPr>
            <w:tcW w:w="2410" w:type="dxa"/>
          </w:tcPr>
          <w:p w14:paraId="4C739B48" w14:textId="2A54760C" w:rsidR="00C11F1A" w:rsidRPr="005F00B9" w:rsidRDefault="00253C59" w:rsidP="005F00B9">
            <w:pPr>
              <w:jc w:val="center"/>
              <w:rPr>
                <w:sz w:val="20"/>
                <w:szCs w:val="20"/>
              </w:rPr>
            </w:pPr>
            <w:r>
              <w:rPr>
                <w:sz w:val="20"/>
                <w:szCs w:val="20"/>
              </w:rPr>
              <w:t>64 (29</w:t>
            </w:r>
            <w:r w:rsidR="005F00B9" w:rsidRPr="005F00B9">
              <w:rPr>
                <w:sz w:val="20"/>
                <w:szCs w:val="20"/>
              </w:rPr>
              <w:t>,91)</w:t>
            </w:r>
          </w:p>
        </w:tc>
        <w:tc>
          <w:tcPr>
            <w:tcW w:w="2268" w:type="dxa"/>
          </w:tcPr>
          <w:p w14:paraId="0A18FA6B" w14:textId="1F900E9C" w:rsidR="00C11F1A" w:rsidRPr="005F00B9" w:rsidRDefault="00253C59" w:rsidP="005F00B9">
            <w:pPr>
              <w:jc w:val="center"/>
              <w:rPr>
                <w:sz w:val="20"/>
                <w:szCs w:val="20"/>
              </w:rPr>
            </w:pPr>
            <w:r>
              <w:rPr>
                <w:sz w:val="20"/>
                <w:szCs w:val="20"/>
              </w:rPr>
              <w:t xml:space="preserve">64 </w:t>
            </w:r>
            <w:r w:rsidR="005F00B9" w:rsidRPr="005F00B9">
              <w:rPr>
                <w:sz w:val="20"/>
                <w:szCs w:val="20"/>
              </w:rPr>
              <w:t>(31,92)</w:t>
            </w:r>
          </w:p>
        </w:tc>
      </w:tr>
      <w:tr w:rsidR="00C11F1A" w14:paraId="70C60ED0" w14:textId="77777777" w:rsidTr="00B741B1">
        <w:tc>
          <w:tcPr>
            <w:tcW w:w="3227" w:type="dxa"/>
          </w:tcPr>
          <w:p w14:paraId="1B4D8D44" w14:textId="4EF902BB" w:rsidR="00C11F1A" w:rsidRPr="005F00B9" w:rsidRDefault="005F00B9" w:rsidP="00543982">
            <w:pPr>
              <w:rPr>
                <w:sz w:val="20"/>
                <w:szCs w:val="20"/>
              </w:rPr>
            </w:pPr>
            <w:r w:rsidRPr="005F00B9">
              <w:rPr>
                <w:sz w:val="20"/>
                <w:szCs w:val="20"/>
              </w:rPr>
              <w:t>Gender -   Female (%): Male</w:t>
            </w:r>
            <w:r w:rsidR="009E1F3B">
              <w:rPr>
                <w:sz w:val="20"/>
                <w:szCs w:val="20"/>
              </w:rPr>
              <w:t xml:space="preserve"> </w:t>
            </w:r>
            <w:r w:rsidRPr="005F00B9">
              <w:rPr>
                <w:sz w:val="20"/>
                <w:szCs w:val="20"/>
              </w:rPr>
              <w:t>(%)</w:t>
            </w:r>
          </w:p>
        </w:tc>
        <w:tc>
          <w:tcPr>
            <w:tcW w:w="2410" w:type="dxa"/>
          </w:tcPr>
          <w:p w14:paraId="093136A8" w14:textId="357024D7" w:rsidR="00C11F1A" w:rsidRPr="005F00B9" w:rsidRDefault="00A544AF" w:rsidP="005F00B9">
            <w:pPr>
              <w:jc w:val="center"/>
              <w:rPr>
                <w:sz w:val="20"/>
                <w:szCs w:val="20"/>
              </w:rPr>
            </w:pPr>
            <w:r>
              <w:rPr>
                <w:sz w:val="20"/>
                <w:szCs w:val="20"/>
              </w:rPr>
              <w:t>F 99.8%: M 0.2</w:t>
            </w:r>
            <w:r w:rsidR="005F00B9" w:rsidRPr="005F00B9">
              <w:rPr>
                <w:sz w:val="20"/>
                <w:szCs w:val="20"/>
              </w:rPr>
              <w:t>%</w:t>
            </w:r>
          </w:p>
        </w:tc>
        <w:tc>
          <w:tcPr>
            <w:tcW w:w="2268" w:type="dxa"/>
          </w:tcPr>
          <w:p w14:paraId="400A936A" w14:textId="046F5738" w:rsidR="00C11F1A" w:rsidRPr="005F00B9" w:rsidRDefault="005F00B9" w:rsidP="005F00B9">
            <w:pPr>
              <w:jc w:val="center"/>
              <w:rPr>
                <w:sz w:val="20"/>
                <w:szCs w:val="20"/>
              </w:rPr>
            </w:pPr>
            <w:r w:rsidRPr="005F00B9">
              <w:rPr>
                <w:sz w:val="20"/>
                <w:szCs w:val="20"/>
              </w:rPr>
              <w:t>F 99</w:t>
            </w:r>
            <w:r w:rsidR="003155DC">
              <w:rPr>
                <w:sz w:val="20"/>
                <w:szCs w:val="20"/>
              </w:rPr>
              <w:t>.0</w:t>
            </w:r>
            <w:r w:rsidRPr="005F00B9">
              <w:rPr>
                <w:sz w:val="20"/>
                <w:szCs w:val="20"/>
              </w:rPr>
              <w:t>%: M 1</w:t>
            </w:r>
            <w:r w:rsidR="003155DC">
              <w:rPr>
                <w:sz w:val="20"/>
                <w:szCs w:val="20"/>
              </w:rPr>
              <w:t>.0</w:t>
            </w:r>
            <w:r w:rsidRPr="005F00B9">
              <w:rPr>
                <w:sz w:val="20"/>
                <w:szCs w:val="20"/>
              </w:rPr>
              <w:t>%</w:t>
            </w:r>
          </w:p>
        </w:tc>
      </w:tr>
    </w:tbl>
    <w:p w14:paraId="22983F80" w14:textId="77777777" w:rsidR="006412FD" w:rsidRDefault="006412FD" w:rsidP="00543982"/>
    <w:p w14:paraId="54530C33" w14:textId="16B4EA3E" w:rsidR="00372290" w:rsidRPr="00245BE6" w:rsidRDefault="001A633F" w:rsidP="00543982">
      <w:pPr>
        <w:rPr>
          <w:b/>
        </w:rPr>
      </w:pPr>
      <w:r>
        <w:t xml:space="preserve">After the initial transitioning of patients from the sponsor’s compassionate use program, the </w:t>
      </w:r>
      <w:r w:rsidR="00ED636E">
        <w:t>number of new patients b</w:t>
      </w:r>
      <w:r w:rsidR="0035086C">
        <w:t>eing treated with everolimus had</w:t>
      </w:r>
      <w:r w:rsidR="00ED636E">
        <w:t xml:space="preserve"> stabilised </w:t>
      </w:r>
      <w:r w:rsidR="00E0162C">
        <w:t xml:space="preserve">within its first two years of listing </w:t>
      </w:r>
      <w:r w:rsidR="00ED636E">
        <w:t xml:space="preserve">(Figure 1). </w:t>
      </w:r>
      <w:r w:rsidR="003F6681">
        <w:t xml:space="preserve">As at </w:t>
      </w:r>
      <w:r w:rsidR="009F6285">
        <w:t>September</w:t>
      </w:r>
      <w:r w:rsidR="00B815BB">
        <w:t xml:space="preserve"> 2016, the overall number of treated patients was continuing to </w:t>
      </w:r>
      <w:r w:rsidR="00957106">
        <w:t xml:space="preserve">slowly </w:t>
      </w:r>
      <w:r w:rsidR="00B815BB">
        <w:t xml:space="preserve">decline, reflecting the reduction in the </w:t>
      </w:r>
      <w:r w:rsidR="00957106">
        <w:t xml:space="preserve">number of </w:t>
      </w:r>
      <w:r w:rsidR="006F579F">
        <w:t xml:space="preserve">initiating </w:t>
      </w:r>
      <w:r w:rsidR="00957106">
        <w:t xml:space="preserve">patients </w:t>
      </w:r>
      <w:r w:rsidR="00B815BB">
        <w:t xml:space="preserve">over </w:t>
      </w:r>
      <w:r w:rsidR="00B937C0">
        <w:t xml:space="preserve">time compared with the </w:t>
      </w:r>
      <w:r w:rsidR="006A1F71">
        <w:t>number of initiating patients in 2014</w:t>
      </w:r>
      <w:r w:rsidR="00256D17">
        <w:t xml:space="preserve"> (</w:t>
      </w:r>
      <w:r w:rsidR="003A5FD6">
        <w:t xml:space="preserve">Figure 1, </w:t>
      </w:r>
      <w:r w:rsidR="00256D17">
        <w:t>Figure 2)</w:t>
      </w:r>
      <w:r w:rsidR="006A1F71">
        <w:t>.</w:t>
      </w:r>
      <w:r w:rsidR="00354E5A">
        <w:rPr>
          <w:noProof/>
        </w:rPr>
        <w:drawing>
          <wp:inline distT="0" distB="0" distL="0" distR="0" wp14:anchorId="4CC01B87" wp14:editId="1AF7A7F2">
            <wp:extent cx="5575852" cy="3474194"/>
            <wp:effectExtent l="0" t="0" r="6350" b="0"/>
            <wp:docPr id="1" name="Picture 1" descr="Shows changes in the use of the 10 mg and 5 mg strengths of everolimus between June 2014 and September 2016."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248" cy="3471948"/>
                    </a:xfrm>
                    <a:prstGeom prst="rect">
                      <a:avLst/>
                    </a:prstGeom>
                    <a:noFill/>
                  </pic:spPr>
                </pic:pic>
              </a:graphicData>
            </a:graphic>
          </wp:inline>
        </w:drawing>
      </w:r>
      <w:r w:rsidR="00372290" w:rsidRPr="00245BE6">
        <w:rPr>
          <w:b/>
        </w:rPr>
        <w:t>Figure 1</w:t>
      </w:r>
      <w:r w:rsidR="008218BA">
        <w:t>:</w:t>
      </w:r>
      <w:r w:rsidR="00372290" w:rsidRPr="00245BE6">
        <w:t xml:space="preserve"> </w:t>
      </w:r>
      <w:r w:rsidR="00372290" w:rsidRPr="00245BE6">
        <w:rPr>
          <w:b/>
        </w:rPr>
        <w:t>Number of incident patients by listing month and drug strength</w:t>
      </w:r>
      <w:r w:rsidR="00454448" w:rsidRPr="00245BE6">
        <w:rPr>
          <w:b/>
        </w:rPr>
        <w:t xml:space="preserve"> at initiation</w:t>
      </w:r>
      <w:r w:rsidR="00372290" w:rsidRPr="00245BE6">
        <w:rPr>
          <w:b/>
        </w:rPr>
        <w:t>.</w:t>
      </w:r>
    </w:p>
    <w:p w14:paraId="7BCE9804" w14:textId="49190EA7" w:rsidR="009B5B37" w:rsidRPr="00245BE6" w:rsidRDefault="008E68E6" w:rsidP="009B5B37">
      <w:pPr>
        <w:rPr>
          <w:b/>
        </w:rPr>
      </w:pPr>
      <w:r>
        <w:rPr>
          <w:noProof/>
        </w:rPr>
        <w:lastRenderedPageBreak/>
        <w:drawing>
          <wp:inline distT="0" distB="0" distL="0" distR="0" wp14:anchorId="1D945628" wp14:editId="530AE51C">
            <wp:extent cx="5754757" cy="3020329"/>
            <wp:effectExtent l="0" t="0" r="0" b="8890"/>
            <wp:docPr id="2" name="Picture 2" descr="Number of prevalent patients for all strengths of everolimus and by the 5 mg and 10 mg strengths between June 2014 and September 2016." title="Figur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831" cy="3025616"/>
                    </a:xfrm>
                    <a:prstGeom prst="rect">
                      <a:avLst/>
                    </a:prstGeom>
                    <a:noFill/>
                  </pic:spPr>
                </pic:pic>
              </a:graphicData>
            </a:graphic>
          </wp:inline>
        </w:drawing>
      </w:r>
      <w:r w:rsidR="009B5B37" w:rsidRPr="00245BE6">
        <w:rPr>
          <w:b/>
        </w:rPr>
        <w:t>Figure 2</w:t>
      </w:r>
      <w:r w:rsidR="008218BA">
        <w:t>:</w:t>
      </w:r>
      <w:r w:rsidR="009B5B37" w:rsidRPr="00245BE6">
        <w:t xml:space="preserve"> </w:t>
      </w:r>
      <w:r w:rsidR="009B5B37" w:rsidRPr="00245BE6">
        <w:rPr>
          <w:b/>
        </w:rPr>
        <w:t>Number of prevalent patients by listing month and drug strength.</w:t>
      </w:r>
    </w:p>
    <w:p w14:paraId="01AB3B80" w14:textId="27E73411" w:rsidR="000A6C71" w:rsidRDefault="00942486" w:rsidP="00441205">
      <w:pPr>
        <w:autoSpaceDE w:val="0"/>
        <w:autoSpaceDN w:val="0"/>
        <w:adjustRightInd w:val="0"/>
        <w:spacing w:after="0"/>
      </w:pPr>
      <w:r>
        <w:t xml:space="preserve">People </w:t>
      </w:r>
      <w:r w:rsidR="00441205">
        <w:t>over 70 years of age were more commonly initiated on the 5 mg strength</w:t>
      </w:r>
      <w:r>
        <w:t xml:space="preserve"> of everolimus</w:t>
      </w:r>
      <w:r w:rsidR="00441205">
        <w:t xml:space="preserve"> compared to younger age cohorts (Figure 3). </w:t>
      </w:r>
    </w:p>
    <w:p w14:paraId="372F6ACA" w14:textId="77777777" w:rsidR="00942486" w:rsidRPr="008B62EE" w:rsidRDefault="00942486" w:rsidP="00441205">
      <w:pPr>
        <w:autoSpaceDE w:val="0"/>
        <w:autoSpaceDN w:val="0"/>
        <w:adjustRightInd w:val="0"/>
        <w:spacing w:after="0"/>
      </w:pPr>
    </w:p>
    <w:p w14:paraId="7D1238EF" w14:textId="77777777" w:rsidR="00245BE6" w:rsidRDefault="00DE06BC" w:rsidP="00592A1B">
      <w:pPr>
        <w:spacing w:after="60"/>
        <w:rPr>
          <w:b/>
        </w:rPr>
      </w:pPr>
      <w:r w:rsidRPr="00870CE9">
        <w:rPr>
          <w:noProof/>
        </w:rPr>
        <w:drawing>
          <wp:inline distT="0" distB="0" distL="0" distR="0" wp14:anchorId="39FBEBF4" wp14:editId="11D3597F">
            <wp:extent cx="4770783" cy="2903626"/>
            <wp:effectExtent l="0" t="0" r="0" b="0"/>
            <wp:docPr id="5" name="Picture 5" descr="Distribution of the 10 mg and 5 mg strengths of everolimus by 5 year age groups for the 2015 calendar year." title="Figure 3: Dosing by age i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324" cy="2910041"/>
                    </a:xfrm>
                    <a:prstGeom prst="rect">
                      <a:avLst/>
                    </a:prstGeom>
                    <a:noFill/>
                  </pic:spPr>
                </pic:pic>
              </a:graphicData>
            </a:graphic>
          </wp:inline>
        </w:drawing>
      </w:r>
    </w:p>
    <w:p w14:paraId="40D3967E" w14:textId="6EEDB655" w:rsidR="003072A2" w:rsidRPr="00245BE6" w:rsidRDefault="00870CE9" w:rsidP="00543982">
      <w:pPr>
        <w:rPr>
          <w:b/>
        </w:rPr>
      </w:pPr>
      <w:r w:rsidRPr="00245BE6">
        <w:rPr>
          <w:b/>
        </w:rPr>
        <w:t>Figure 3</w:t>
      </w:r>
      <w:r w:rsidR="008218BA">
        <w:rPr>
          <w:b/>
        </w:rPr>
        <w:t>:</w:t>
      </w:r>
      <w:r w:rsidRPr="00245BE6">
        <w:rPr>
          <w:b/>
        </w:rPr>
        <w:t xml:space="preserve"> </w:t>
      </w:r>
      <w:r w:rsidR="0006275A" w:rsidRPr="00245BE6">
        <w:rPr>
          <w:b/>
        </w:rPr>
        <w:t>Comparison of the initiating dose by age</w:t>
      </w:r>
      <w:r w:rsidR="008E6014" w:rsidRPr="00245BE6">
        <w:rPr>
          <w:b/>
        </w:rPr>
        <w:t>, 2015</w:t>
      </w:r>
      <w:r w:rsidRPr="00245BE6">
        <w:rPr>
          <w:b/>
        </w:rPr>
        <w:t>.</w:t>
      </w:r>
    </w:p>
    <w:p w14:paraId="72C24A5F" w14:textId="073F7027" w:rsidR="00AE0C5C" w:rsidRDefault="005E6C1D" w:rsidP="00AE0C5C">
      <w:r>
        <w:t xml:space="preserve">Use of everolimus in combination with exemestane, and prior use of aromatase inhibitor therapy, was examined in </w:t>
      </w:r>
      <w:r w:rsidR="005C70E1">
        <w:t>595</w:t>
      </w:r>
      <w:r w:rsidR="008A7017">
        <w:t xml:space="preserve"> patients who i</w:t>
      </w:r>
      <w:r>
        <w:t xml:space="preserve">nitiated on everolimus in 2015. </w:t>
      </w:r>
      <w:r w:rsidR="00FE4D20">
        <w:t>It was assumed that everolimus could be used in combination with either of exemestane’s listings, including Item 10103R specifically for use in metastatic breast cancer and Item 8506Q for nurse practitioner prescribing for breast cancer.</w:t>
      </w:r>
      <w:r w:rsidR="00A33EE8">
        <w:t xml:space="preserve"> </w:t>
      </w:r>
      <w:r w:rsidR="00AE0C5C">
        <w:t>Co-administration of everolimus and exemestane was identified if either of these drugs was supplied within 60 days of each other (refer to the ‘Methods’ section</w:t>
      </w:r>
      <w:r w:rsidR="00071DC2">
        <w:t xml:space="preserve"> for further details). </w:t>
      </w:r>
    </w:p>
    <w:p w14:paraId="0DD17A76" w14:textId="46015C61" w:rsidR="00AE0C5C" w:rsidRDefault="009D1BAA" w:rsidP="00AE0C5C">
      <w:r>
        <w:lastRenderedPageBreak/>
        <w:t>The majority (94</w:t>
      </w:r>
      <w:r w:rsidR="00E84A90">
        <w:t xml:space="preserve">%) of patients were found to be using everolimus consistent with the restriction criteria with evidence of the prior use of letrozole or anastrozole (Table 4). </w:t>
      </w:r>
      <w:r w:rsidR="00F471C5">
        <w:t xml:space="preserve">Use as combination therapy without prior letrozole or anastrozole was negligible (Table 4). </w:t>
      </w:r>
      <w:r w:rsidR="00E84A90">
        <w:t xml:space="preserve">Only a small number of cases were identified </w:t>
      </w:r>
      <w:r w:rsidR="00F471C5">
        <w:t>of everolimus</w:t>
      </w:r>
      <w:r w:rsidR="00E84A90">
        <w:t xml:space="preserve"> potentially being used </w:t>
      </w:r>
      <w:r w:rsidR="004310AD">
        <w:t>as monotherapy (Table 4).</w:t>
      </w:r>
    </w:p>
    <w:p w14:paraId="47EB644C" w14:textId="26F26C62" w:rsidR="002F4A15" w:rsidRPr="00245BE6" w:rsidRDefault="00EE6282" w:rsidP="00543982">
      <w:pPr>
        <w:rPr>
          <w:b/>
        </w:rPr>
      </w:pPr>
      <w:r w:rsidRPr="00245BE6">
        <w:rPr>
          <w:b/>
        </w:rPr>
        <w:t>Table 4</w:t>
      </w:r>
      <w:r w:rsidR="008218BA">
        <w:rPr>
          <w:b/>
        </w:rPr>
        <w:t>:</w:t>
      </w:r>
      <w:r w:rsidR="004D3BB4" w:rsidRPr="00245BE6">
        <w:rPr>
          <w:b/>
        </w:rPr>
        <w:t xml:space="preserve"> </w:t>
      </w:r>
      <w:r w:rsidR="006B5F78" w:rsidRPr="00245BE6">
        <w:rPr>
          <w:b/>
        </w:rPr>
        <w:t xml:space="preserve">Use of everolimus and aromatase inhibitor therapy </w:t>
      </w:r>
    </w:p>
    <w:tbl>
      <w:tblPr>
        <w:tblW w:w="7386" w:type="dxa"/>
        <w:tblInd w:w="93" w:type="dxa"/>
        <w:tblLook w:val="04A0" w:firstRow="1" w:lastRow="0" w:firstColumn="1" w:lastColumn="0" w:noHBand="0" w:noVBand="1"/>
        <w:tblCaption w:val="Table 4. Use of everolimus and aromatase inhibitor therapy"/>
        <w:tblDescription w:val="Use of everolimus and aromatase inhibitor therapy"/>
      </w:tblPr>
      <w:tblGrid>
        <w:gridCol w:w="5402"/>
        <w:gridCol w:w="850"/>
        <w:gridCol w:w="1134"/>
      </w:tblGrid>
      <w:tr w:rsidR="002C5C7F" w:rsidRPr="002C5C7F" w14:paraId="63AD893D" w14:textId="77777777" w:rsidTr="00592A1B">
        <w:trPr>
          <w:trHeight w:val="338"/>
        </w:trPr>
        <w:tc>
          <w:tcPr>
            <w:tcW w:w="5402" w:type="dxa"/>
            <w:tcBorders>
              <w:top w:val="nil"/>
              <w:left w:val="nil"/>
              <w:bottom w:val="single" w:sz="8" w:space="0" w:color="auto"/>
              <w:right w:val="single" w:sz="8" w:space="0" w:color="auto"/>
            </w:tcBorders>
            <w:shd w:val="clear" w:color="auto" w:fill="auto"/>
            <w:vAlign w:val="center"/>
            <w:hideMark/>
          </w:tcPr>
          <w:p w14:paraId="587F3930" w14:textId="77777777" w:rsidR="002C5C7F" w:rsidRPr="002C5C7F" w:rsidRDefault="002C5C7F" w:rsidP="002C5C7F">
            <w:pPr>
              <w:spacing w:after="0"/>
              <w:rPr>
                <w:rFonts w:ascii="Calibri" w:eastAsia="Times New Roman" w:hAnsi="Calibri" w:cs="Times New Roman"/>
                <w:sz w:val="20"/>
                <w:szCs w:val="20"/>
              </w:rPr>
            </w:pPr>
            <w:r w:rsidRPr="002C5C7F">
              <w:rPr>
                <w:rFonts w:ascii="Calibri" w:eastAsia="Times New Roman" w:hAnsi="Calibri" w:cs="Times New Roman"/>
                <w:sz w:val="20"/>
                <w:szCs w:val="20"/>
              </w:rPr>
              <w:t> </w:t>
            </w:r>
          </w:p>
        </w:tc>
        <w:tc>
          <w:tcPr>
            <w:tcW w:w="85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3C1B9AF" w14:textId="77777777" w:rsidR="002C5C7F" w:rsidRPr="002C5C7F" w:rsidRDefault="002C5C7F" w:rsidP="002C5C7F">
            <w:pPr>
              <w:spacing w:after="0"/>
              <w:jc w:val="center"/>
              <w:rPr>
                <w:rFonts w:ascii="Calibri" w:eastAsia="Times New Roman" w:hAnsi="Calibri" w:cs="Times New Roman"/>
                <w:b/>
                <w:bCs/>
                <w:sz w:val="20"/>
                <w:szCs w:val="20"/>
              </w:rPr>
            </w:pPr>
            <w:r w:rsidRPr="002C5C7F">
              <w:rPr>
                <w:rFonts w:ascii="Calibri" w:eastAsia="Times New Roman" w:hAnsi="Calibri" w:cs="Times New Roman"/>
                <w:b/>
                <w:bCs/>
                <w:sz w:val="20"/>
                <w:szCs w:val="20"/>
              </w:rPr>
              <w:t>n</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9FD40D8" w14:textId="77777777" w:rsidR="002C5C7F" w:rsidRPr="002C5C7F" w:rsidRDefault="002C5C7F" w:rsidP="002C5C7F">
            <w:pPr>
              <w:spacing w:after="0"/>
              <w:jc w:val="center"/>
              <w:rPr>
                <w:rFonts w:ascii="Calibri" w:eastAsia="Times New Roman" w:hAnsi="Calibri" w:cs="Times New Roman"/>
                <w:b/>
                <w:bCs/>
                <w:sz w:val="20"/>
                <w:szCs w:val="20"/>
              </w:rPr>
            </w:pPr>
            <w:r w:rsidRPr="002C5C7F">
              <w:rPr>
                <w:rFonts w:ascii="Calibri" w:eastAsia="Times New Roman" w:hAnsi="Calibri" w:cs="Times New Roman"/>
                <w:b/>
                <w:bCs/>
                <w:sz w:val="20"/>
                <w:szCs w:val="20"/>
              </w:rPr>
              <w:t>Proportion (%)</w:t>
            </w:r>
          </w:p>
        </w:tc>
      </w:tr>
      <w:tr w:rsidR="000A3A8A" w:rsidRPr="002C5C7F" w14:paraId="3FB97196" w14:textId="77777777" w:rsidTr="00D2035F">
        <w:trPr>
          <w:trHeight w:val="338"/>
        </w:trPr>
        <w:tc>
          <w:tcPr>
            <w:tcW w:w="5402" w:type="dxa"/>
            <w:tcBorders>
              <w:top w:val="nil"/>
              <w:left w:val="single" w:sz="8" w:space="0" w:color="auto"/>
              <w:bottom w:val="single" w:sz="8" w:space="0" w:color="auto"/>
              <w:right w:val="single" w:sz="8" w:space="0" w:color="auto"/>
            </w:tcBorders>
            <w:shd w:val="clear" w:color="auto" w:fill="auto"/>
            <w:vAlign w:val="center"/>
            <w:hideMark/>
          </w:tcPr>
          <w:p w14:paraId="1376E325" w14:textId="77777777" w:rsidR="000A3A8A" w:rsidRPr="002C5C7F" w:rsidRDefault="000A3A8A" w:rsidP="002C5C7F">
            <w:pPr>
              <w:spacing w:after="0"/>
              <w:rPr>
                <w:rFonts w:ascii="Calibri" w:eastAsia="Times New Roman" w:hAnsi="Calibri" w:cs="Times New Roman"/>
                <w:sz w:val="20"/>
                <w:szCs w:val="20"/>
              </w:rPr>
            </w:pPr>
            <w:r w:rsidRPr="002C5C7F">
              <w:rPr>
                <w:rFonts w:ascii="Calibri" w:eastAsia="Times New Roman" w:hAnsi="Calibri" w:cs="Times New Roman"/>
                <w:sz w:val="20"/>
                <w:szCs w:val="20"/>
              </w:rPr>
              <w:t>Number of initiators on everolimus in 2015</w:t>
            </w:r>
          </w:p>
        </w:tc>
        <w:tc>
          <w:tcPr>
            <w:tcW w:w="850" w:type="dxa"/>
            <w:tcBorders>
              <w:top w:val="nil"/>
              <w:left w:val="nil"/>
              <w:bottom w:val="single" w:sz="8" w:space="0" w:color="auto"/>
              <w:right w:val="single" w:sz="8" w:space="0" w:color="auto"/>
            </w:tcBorders>
            <w:shd w:val="clear" w:color="auto" w:fill="auto"/>
            <w:vAlign w:val="center"/>
            <w:hideMark/>
          </w:tcPr>
          <w:p w14:paraId="52F4D131" w14:textId="5D17731B"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595</w:t>
            </w:r>
          </w:p>
        </w:tc>
        <w:tc>
          <w:tcPr>
            <w:tcW w:w="1134" w:type="dxa"/>
            <w:tcBorders>
              <w:top w:val="nil"/>
              <w:left w:val="nil"/>
              <w:bottom w:val="single" w:sz="8" w:space="0" w:color="auto"/>
              <w:right w:val="single" w:sz="8" w:space="0" w:color="auto"/>
            </w:tcBorders>
            <w:shd w:val="clear" w:color="000000" w:fill="F2F2F2"/>
            <w:vAlign w:val="center"/>
            <w:hideMark/>
          </w:tcPr>
          <w:p w14:paraId="150A1AF9" w14:textId="1AE05E52"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 </w:t>
            </w:r>
          </w:p>
        </w:tc>
      </w:tr>
      <w:tr w:rsidR="000A3A8A" w:rsidRPr="002C5C7F" w14:paraId="621FF46A" w14:textId="77777777" w:rsidTr="00D2035F">
        <w:trPr>
          <w:trHeight w:val="338"/>
        </w:trPr>
        <w:tc>
          <w:tcPr>
            <w:tcW w:w="5402" w:type="dxa"/>
            <w:tcBorders>
              <w:top w:val="nil"/>
              <w:left w:val="single" w:sz="8" w:space="0" w:color="auto"/>
              <w:bottom w:val="single" w:sz="8" w:space="0" w:color="auto"/>
              <w:right w:val="single" w:sz="8" w:space="0" w:color="auto"/>
            </w:tcBorders>
            <w:shd w:val="clear" w:color="auto" w:fill="auto"/>
            <w:vAlign w:val="center"/>
            <w:hideMark/>
          </w:tcPr>
          <w:p w14:paraId="48476AFF" w14:textId="77777777" w:rsidR="000A3A8A" w:rsidRPr="002C5C7F" w:rsidRDefault="000A3A8A" w:rsidP="002C5C7F">
            <w:pPr>
              <w:spacing w:after="0"/>
              <w:rPr>
                <w:rFonts w:ascii="Calibri" w:eastAsia="Times New Roman" w:hAnsi="Calibri" w:cs="Times New Roman"/>
                <w:sz w:val="20"/>
                <w:szCs w:val="20"/>
              </w:rPr>
            </w:pPr>
            <w:r w:rsidRPr="002C5C7F">
              <w:rPr>
                <w:rFonts w:ascii="Calibri" w:eastAsia="Times New Roman" w:hAnsi="Calibri" w:cs="Times New Roman"/>
                <w:sz w:val="20"/>
                <w:szCs w:val="20"/>
              </w:rPr>
              <w:t>Use as per restriction (i.e. prior letrozole or anastrozole)</w:t>
            </w:r>
          </w:p>
        </w:tc>
        <w:tc>
          <w:tcPr>
            <w:tcW w:w="850" w:type="dxa"/>
            <w:tcBorders>
              <w:top w:val="nil"/>
              <w:left w:val="nil"/>
              <w:bottom w:val="single" w:sz="8" w:space="0" w:color="auto"/>
              <w:right w:val="single" w:sz="8" w:space="0" w:color="auto"/>
            </w:tcBorders>
            <w:shd w:val="clear" w:color="auto" w:fill="auto"/>
            <w:vAlign w:val="center"/>
            <w:hideMark/>
          </w:tcPr>
          <w:p w14:paraId="76E09ADD" w14:textId="28043D8E"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560</w:t>
            </w:r>
          </w:p>
        </w:tc>
        <w:tc>
          <w:tcPr>
            <w:tcW w:w="1134" w:type="dxa"/>
            <w:tcBorders>
              <w:top w:val="nil"/>
              <w:left w:val="nil"/>
              <w:bottom w:val="single" w:sz="8" w:space="0" w:color="auto"/>
              <w:right w:val="single" w:sz="8" w:space="0" w:color="auto"/>
            </w:tcBorders>
            <w:shd w:val="clear" w:color="auto" w:fill="auto"/>
            <w:vAlign w:val="center"/>
            <w:hideMark/>
          </w:tcPr>
          <w:p w14:paraId="21A21583" w14:textId="56553BE1"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94.1%</w:t>
            </w:r>
          </w:p>
        </w:tc>
        <w:bookmarkStart w:id="0" w:name="_GoBack"/>
        <w:bookmarkEnd w:id="0"/>
      </w:tr>
      <w:tr w:rsidR="000A3A8A" w:rsidRPr="002C5C7F" w14:paraId="089B112B" w14:textId="77777777" w:rsidTr="00D2035F">
        <w:trPr>
          <w:trHeight w:val="338"/>
        </w:trPr>
        <w:tc>
          <w:tcPr>
            <w:tcW w:w="5402" w:type="dxa"/>
            <w:tcBorders>
              <w:top w:val="nil"/>
              <w:left w:val="single" w:sz="8" w:space="0" w:color="auto"/>
              <w:bottom w:val="single" w:sz="8" w:space="0" w:color="auto"/>
              <w:right w:val="single" w:sz="8" w:space="0" w:color="auto"/>
            </w:tcBorders>
            <w:shd w:val="clear" w:color="auto" w:fill="auto"/>
            <w:vAlign w:val="center"/>
          </w:tcPr>
          <w:p w14:paraId="64352155" w14:textId="3C3CD30A" w:rsidR="000A3A8A" w:rsidRPr="002C5C7F" w:rsidRDefault="000A3A8A" w:rsidP="002C5C7F">
            <w:pPr>
              <w:spacing w:after="0"/>
              <w:rPr>
                <w:rFonts w:ascii="Calibri" w:eastAsia="Times New Roman" w:hAnsi="Calibri" w:cs="Times New Roman"/>
                <w:sz w:val="20"/>
                <w:szCs w:val="20"/>
              </w:rPr>
            </w:pPr>
            <w:r w:rsidRPr="000A3A8A">
              <w:rPr>
                <w:rFonts w:ascii="Calibri" w:eastAsia="Times New Roman" w:hAnsi="Calibri" w:cs="Times New Roman"/>
                <w:sz w:val="20"/>
                <w:szCs w:val="20"/>
              </w:rPr>
              <w:t>Combination therapy only, no prior letrozole or anastrozole</w:t>
            </w:r>
          </w:p>
        </w:tc>
        <w:tc>
          <w:tcPr>
            <w:tcW w:w="850" w:type="dxa"/>
            <w:tcBorders>
              <w:top w:val="nil"/>
              <w:left w:val="nil"/>
              <w:bottom w:val="single" w:sz="8" w:space="0" w:color="auto"/>
              <w:right w:val="single" w:sz="8" w:space="0" w:color="auto"/>
            </w:tcBorders>
            <w:shd w:val="clear" w:color="auto" w:fill="auto"/>
            <w:vAlign w:val="center"/>
          </w:tcPr>
          <w:p w14:paraId="654CA39A" w14:textId="45BA3153" w:rsidR="000A3A8A" w:rsidRDefault="000A3A8A" w:rsidP="002C5C7F">
            <w:pPr>
              <w:spacing w:after="0"/>
              <w:jc w:val="center"/>
              <w:rPr>
                <w:rFonts w:ascii="Calibri" w:hAnsi="Calibri"/>
                <w:sz w:val="20"/>
                <w:szCs w:val="20"/>
              </w:rPr>
            </w:pPr>
            <w:r>
              <w:rPr>
                <w:rFonts w:ascii="Calibri" w:hAnsi="Calibri"/>
                <w:sz w:val="20"/>
                <w:szCs w:val="20"/>
              </w:rPr>
              <w:t>10</w:t>
            </w:r>
          </w:p>
        </w:tc>
        <w:tc>
          <w:tcPr>
            <w:tcW w:w="1134" w:type="dxa"/>
            <w:tcBorders>
              <w:top w:val="nil"/>
              <w:left w:val="nil"/>
              <w:bottom w:val="single" w:sz="8" w:space="0" w:color="auto"/>
              <w:right w:val="single" w:sz="8" w:space="0" w:color="auto"/>
            </w:tcBorders>
            <w:shd w:val="clear" w:color="auto" w:fill="auto"/>
            <w:vAlign w:val="center"/>
          </w:tcPr>
          <w:p w14:paraId="482D3019" w14:textId="1EE707FF" w:rsidR="000A3A8A" w:rsidRDefault="000A3A8A" w:rsidP="002C5C7F">
            <w:pPr>
              <w:spacing w:after="0"/>
              <w:jc w:val="center"/>
              <w:rPr>
                <w:rFonts w:ascii="Calibri" w:hAnsi="Calibri"/>
                <w:sz w:val="20"/>
                <w:szCs w:val="20"/>
              </w:rPr>
            </w:pPr>
            <w:r>
              <w:rPr>
                <w:rFonts w:ascii="Calibri" w:hAnsi="Calibri"/>
                <w:sz w:val="20"/>
                <w:szCs w:val="20"/>
              </w:rPr>
              <w:t>1.7%</w:t>
            </w:r>
          </w:p>
        </w:tc>
      </w:tr>
      <w:tr w:rsidR="000A3A8A" w:rsidRPr="002C5C7F" w14:paraId="6DBA17C8" w14:textId="77777777" w:rsidTr="00D2035F">
        <w:trPr>
          <w:trHeight w:val="338"/>
        </w:trPr>
        <w:tc>
          <w:tcPr>
            <w:tcW w:w="5402" w:type="dxa"/>
            <w:tcBorders>
              <w:top w:val="nil"/>
              <w:left w:val="single" w:sz="8" w:space="0" w:color="auto"/>
              <w:bottom w:val="single" w:sz="8" w:space="0" w:color="auto"/>
              <w:right w:val="single" w:sz="8" w:space="0" w:color="auto"/>
            </w:tcBorders>
            <w:shd w:val="clear" w:color="auto" w:fill="auto"/>
            <w:vAlign w:val="center"/>
            <w:hideMark/>
          </w:tcPr>
          <w:p w14:paraId="73B4C88F" w14:textId="77777777" w:rsidR="000A3A8A" w:rsidRPr="002C5C7F" w:rsidRDefault="000A3A8A" w:rsidP="002C5C7F">
            <w:pPr>
              <w:spacing w:after="0"/>
              <w:rPr>
                <w:rFonts w:ascii="Calibri" w:eastAsia="Times New Roman" w:hAnsi="Calibri" w:cs="Times New Roman"/>
                <w:sz w:val="20"/>
                <w:szCs w:val="20"/>
              </w:rPr>
            </w:pPr>
            <w:r w:rsidRPr="002C5C7F">
              <w:rPr>
                <w:rFonts w:ascii="Calibri" w:eastAsia="Times New Roman" w:hAnsi="Calibri" w:cs="Times New Roman"/>
                <w:sz w:val="20"/>
                <w:szCs w:val="20"/>
              </w:rPr>
              <w:t>Everolimus monotherapy after letrozole or anastrozole</w:t>
            </w:r>
          </w:p>
        </w:tc>
        <w:tc>
          <w:tcPr>
            <w:tcW w:w="850" w:type="dxa"/>
            <w:tcBorders>
              <w:top w:val="nil"/>
              <w:left w:val="nil"/>
              <w:bottom w:val="single" w:sz="8" w:space="0" w:color="auto"/>
              <w:right w:val="single" w:sz="8" w:space="0" w:color="auto"/>
            </w:tcBorders>
            <w:shd w:val="clear" w:color="auto" w:fill="auto"/>
            <w:vAlign w:val="center"/>
            <w:hideMark/>
          </w:tcPr>
          <w:p w14:paraId="797F1699" w14:textId="7839E415"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24</w:t>
            </w:r>
          </w:p>
        </w:tc>
        <w:tc>
          <w:tcPr>
            <w:tcW w:w="1134" w:type="dxa"/>
            <w:tcBorders>
              <w:top w:val="nil"/>
              <w:left w:val="nil"/>
              <w:bottom w:val="single" w:sz="8" w:space="0" w:color="auto"/>
              <w:right w:val="single" w:sz="8" w:space="0" w:color="auto"/>
            </w:tcBorders>
            <w:shd w:val="clear" w:color="auto" w:fill="auto"/>
            <w:vAlign w:val="center"/>
            <w:hideMark/>
          </w:tcPr>
          <w:p w14:paraId="1B92E724" w14:textId="1C483841"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4.0%</w:t>
            </w:r>
          </w:p>
        </w:tc>
      </w:tr>
      <w:tr w:rsidR="000A3A8A" w:rsidRPr="002C5C7F" w14:paraId="13027D42" w14:textId="77777777" w:rsidTr="00D2035F">
        <w:trPr>
          <w:trHeight w:val="338"/>
        </w:trPr>
        <w:tc>
          <w:tcPr>
            <w:tcW w:w="5402" w:type="dxa"/>
            <w:tcBorders>
              <w:top w:val="nil"/>
              <w:left w:val="single" w:sz="8" w:space="0" w:color="auto"/>
              <w:bottom w:val="single" w:sz="8" w:space="0" w:color="auto"/>
              <w:right w:val="single" w:sz="8" w:space="0" w:color="auto"/>
            </w:tcBorders>
            <w:shd w:val="clear" w:color="auto" w:fill="auto"/>
            <w:vAlign w:val="center"/>
            <w:hideMark/>
          </w:tcPr>
          <w:p w14:paraId="172F4D58" w14:textId="77777777" w:rsidR="000A3A8A" w:rsidRPr="002C5C7F" w:rsidRDefault="000A3A8A" w:rsidP="002C5C7F">
            <w:pPr>
              <w:spacing w:after="0"/>
              <w:rPr>
                <w:rFonts w:ascii="Calibri" w:eastAsia="Times New Roman" w:hAnsi="Calibri" w:cs="Times New Roman"/>
                <w:sz w:val="20"/>
                <w:szCs w:val="20"/>
              </w:rPr>
            </w:pPr>
            <w:r w:rsidRPr="002C5C7F">
              <w:rPr>
                <w:rFonts w:ascii="Calibri" w:eastAsia="Times New Roman" w:hAnsi="Calibri" w:cs="Times New Roman"/>
                <w:sz w:val="20"/>
                <w:szCs w:val="20"/>
              </w:rPr>
              <w:t>Everolimus monotherapy</w:t>
            </w:r>
          </w:p>
        </w:tc>
        <w:tc>
          <w:tcPr>
            <w:tcW w:w="850" w:type="dxa"/>
            <w:tcBorders>
              <w:top w:val="nil"/>
              <w:left w:val="nil"/>
              <w:bottom w:val="single" w:sz="8" w:space="0" w:color="auto"/>
              <w:right w:val="single" w:sz="8" w:space="0" w:color="auto"/>
            </w:tcBorders>
            <w:shd w:val="clear" w:color="auto" w:fill="auto"/>
            <w:vAlign w:val="center"/>
            <w:hideMark/>
          </w:tcPr>
          <w:p w14:paraId="0CB6DBD9" w14:textId="29AB9A7C" w:rsidR="000A3A8A" w:rsidRPr="002C5C7F" w:rsidRDefault="00F471C5" w:rsidP="002C5C7F">
            <w:pPr>
              <w:spacing w:after="0"/>
              <w:jc w:val="center"/>
              <w:rPr>
                <w:rFonts w:ascii="Calibri" w:eastAsia="Times New Roman" w:hAnsi="Calibri" w:cs="Times New Roman"/>
                <w:sz w:val="20"/>
                <w:szCs w:val="20"/>
              </w:rPr>
            </w:pPr>
            <w:r>
              <w:rPr>
                <w:rFonts w:ascii="Calibri" w:hAnsi="Calibri"/>
                <w:sz w:val="20"/>
                <w:szCs w:val="20"/>
              </w:rPr>
              <w:t>1</w:t>
            </w:r>
          </w:p>
        </w:tc>
        <w:tc>
          <w:tcPr>
            <w:tcW w:w="1134" w:type="dxa"/>
            <w:tcBorders>
              <w:top w:val="nil"/>
              <w:left w:val="nil"/>
              <w:bottom w:val="single" w:sz="8" w:space="0" w:color="auto"/>
              <w:right w:val="single" w:sz="8" w:space="0" w:color="auto"/>
            </w:tcBorders>
            <w:shd w:val="clear" w:color="auto" w:fill="auto"/>
            <w:vAlign w:val="center"/>
            <w:hideMark/>
          </w:tcPr>
          <w:p w14:paraId="5E1CD41E" w14:textId="18DA9D0F" w:rsidR="000A3A8A" w:rsidRPr="002C5C7F" w:rsidRDefault="000A3A8A" w:rsidP="002C5C7F">
            <w:pPr>
              <w:spacing w:after="0"/>
              <w:jc w:val="center"/>
              <w:rPr>
                <w:rFonts w:ascii="Calibri" w:eastAsia="Times New Roman" w:hAnsi="Calibri" w:cs="Times New Roman"/>
                <w:sz w:val="20"/>
                <w:szCs w:val="20"/>
              </w:rPr>
            </w:pPr>
            <w:r>
              <w:rPr>
                <w:rFonts w:ascii="Calibri" w:hAnsi="Calibri"/>
                <w:sz w:val="20"/>
                <w:szCs w:val="20"/>
              </w:rPr>
              <w:t>0.2%</w:t>
            </w:r>
          </w:p>
        </w:tc>
      </w:tr>
    </w:tbl>
    <w:p w14:paraId="236FB0DA" w14:textId="09A1047F" w:rsidR="009B5B37" w:rsidRDefault="00362324" w:rsidP="00367420">
      <w:pPr>
        <w:spacing w:after="0"/>
        <w:rPr>
          <w:sz w:val="20"/>
          <w:szCs w:val="20"/>
        </w:rPr>
      </w:pPr>
      <w:r w:rsidRPr="00EE0B1A">
        <w:rPr>
          <w:sz w:val="20"/>
          <w:szCs w:val="20"/>
        </w:rPr>
        <w:t xml:space="preserve">Note: </w:t>
      </w:r>
      <w:r w:rsidR="009502DE">
        <w:rPr>
          <w:sz w:val="20"/>
          <w:szCs w:val="20"/>
        </w:rPr>
        <w:t xml:space="preserve">For everolimus in combination with either of </w:t>
      </w:r>
      <w:r w:rsidRPr="00EE0B1A">
        <w:rPr>
          <w:sz w:val="20"/>
          <w:szCs w:val="20"/>
        </w:rPr>
        <w:t>exemestane</w:t>
      </w:r>
      <w:r w:rsidR="009502DE">
        <w:rPr>
          <w:sz w:val="20"/>
          <w:szCs w:val="20"/>
        </w:rPr>
        <w:t>’s listings</w:t>
      </w:r>
      <w:r w:rsidR="00B62AA9" w:rsidRPr="00EE0B1A">
        <w:rPr>
          <w:sz w:val="20"/>
          <w:szCs w:val="20"/>
        </w:rPr>
        <w:t xml:space="preserve"> (Item 10103R</w:t>
      </w:r>
      <w:r w:rsidR="00C80DFF">
        <w:rPr>
          <w:sz w:val="20"/>
          <w:szCs w:val="20"/>
        </w:rPr>
        <w:t xml:space="preserve"> or Item 8506Q</w:t>
      </w:r>
      <w:r w:rsidR="00B62AA9" w:rsidRPr="00EE0B1A">
        <w:rPr>
          <w:sz w:val="20"/>
          <w:szCs w:val="20"/>
        </w:rPr>
        <w:t>)</w:t>
      </w:r>
      <w:r w:rsidRPr="00EE0B1A">
        <w:rPr>
          <w:sz w:val="20"/>
          <w:szCs w:val="20"/>
        </w:rPr>
        <w:t>.</w:t>
      </w:r>
    </w:p>
    <w:p w14:paraId="54E93EC0" w14:textId="77777777" w:rsidR="00245BE6" w:rsidRDefault="00245BE6">
      <w:pPr>
        <w:spacing w:line="276" w:lineRule="auto"/>
        <w:rPr>
          <w:b/>
          <w:sz w:val="28"/>
        </w:rPr>
      </w:pPr>
      <w:r>
        <w:rPr>
          <w:i/>
          <w:sz w:val="28"/>
        </w:rPr>
        <w:br w:type="page"/>
      </w:r>
    </w:p>
    <w:p w14:paraId="235EAF55" w14:textId="439C0E9C" w:rsidR="00AD5946" w:rsidRPr="00AD5946" w:rsidRDefault="00AD5946" w:rsidP="00AD5946">
      <w:pPr>
        <w:pStyle w:val="Heading3"/>
        <w:rPr>
          <w:i w:val="0"/>
          <w:sz w:val="28"/>
          <w:szCs w:val="24"/>
        </w:rPr>
      </w:pPr>
      <w:r w:rsidRPr="00AD5946">
        <w:rPr>
          <w:i w:val="0"/>
          <w:sz w:val="28"/>
          <w:szCs w:val="24"/>
        </w:rPr>
        <w:lastRenderedPageBreak/>
        <w:t>Analysis of actual versus predicted utilisation</w:t>
      </w:r>
    </w:p>
    <w:p w14:paraId="373D4EDD" w14:textId="015137EC" w:rsidR="002725F6" w:rsidRDefault="005B0C96" w:rsidP="00AD5946">
      <w:pPr>
        <w:rPr>
          <w:color w:val="000000" w:themeColor="text1"/>
        </w:rPr>
      </w:pPr>
      <w:r>
        <w:rPr>
          <w:color w:val="000000" w:themeColor="text1"/>
        </w:rPr>
        <w:t>A comparison of the predicted utilisation of everolimus 5 mg and 10 mg versu</w:t>
      </w:r>
      <w:r w:rsidR="006C3D4B">
        <w:rPr>
          <w:color w:val="000000" w:themeColor="text1"/>
        </w:rPr>
        <w:t>s actual use is shown in Table 5</w:t>
      </w:r>
      <w:r>
        <w:rPr>
          <w:color w:val="000000" w:themeColor="text1"/>
        </w:rPr>
        <w:t>.</w:t>
      </w:r>
    </w:p>
    <w:p w14:paraId="7B6846CF" w14:textId="2F2FE03C" w:rsidR="00091697" w:rsidRPr="00091697" w:rsidRDefault="00091697" w:rsidP="00091697">
      <w:pPr>
        <w:spacing w:after="20" w:line="276" w:lineRule="auto"/>
        <w:rPr>
          <w:rFonts w:ascii="Calibri" w:eastAsia="Calibri" w:hAnsi="Calibri" w:cs="Times New Roman"/>
          <w:b/>
          <w:sz w:val="22"/>
          <w:szCs w:val="22"/>
          <w:lang w:eastAsia="en-US"/>
        </w:rPr>
      </w:pPr>
      <w:r w:rsidRPr="00091697">
        <w:rPr>
          <w:rFonts w:ascii="Calibri" w:eastAsia="Calibri" w:hAnsi="Calibri" w:cs="Times New Roman"/>
          <w:b/>
          <w:sz w:val="22"/>
          <w:szCs w:val="22"/>
          <w:lang w:eastAsia="en-US"/>
        </w:rPr>
        <w:t>Table 5: Comparison of the actual versus predicted utilisation of everolimus for the treatment of metastatic (Stage IV) breast cancer</w:t>
      </w:r>
    </w:p>
    <w:tbl>
      <w:tblPr>
        <w:tblStyle w:val="TableGrid1"/>
        <w:tblW w:w="0" w:type="auto"/>
        <w:tblLayout w:type="fixed"/>
        <w:tblLook w:val="04A0" w:firstRow="1" w:lastRow="0" w:firstColumn="1" w:lastColumn="0" w:noHBand="0" w:noVBand="1"/>
        <w:tblCaption w:val="Table 5. Actual versus predicted utilisation"/>
        <w:tblDescription w:val="Comparison of the actual versus predicted utilisation of everolimus for the treatment of metastatic (Stage IV) breast cancer"/>
      </w:tblPr>
      <w:tblGrid>
        <w:gridCol w:w="2943"/>
        <w:gridCol w:w="2694"/>
        <w:gridCol w:w="1417"/>
        <w:gridCol w:w="1701"/>
      </w:tblGrid>
      <w:tr w:rsidR="00B8390C" w:rsidRPr="00091697" w14:paraId="0995BA3F" w14:textId="77777777" w:rsidTr="00B8390C">
        <w:trPr>
          <w:tblHeader/>
        </w:trPr>
        <w:tc>
          <w:tcPr>
            <w:tcW w:w="2943" w:type="dxa"/>
            <w:tcBorders>
              <w:bottom w:val="single" w:sz="4" w:space="0" w:color="auto"/>
            </w:tcBorders>
            <w:shd w:val="clear" w:color="auto" w:fill="BFBFBF" w:themeFill="background1" w:themeFillShade="BF"/>
          </w:tcPr>
          <w:p w14:paraId="2AC7D4F9" w14:textId="59B383D3" w:rsidR="00B8390C" w:rsidRPr="00091697" w:rsidRDefault="00B8390C" w:rsidP="00091697">
            <w:pPr>
              <w:jc w:val="center"/>
              <w:rPr>
                <w:rFonts w:ascii="Calibri" w:hAnsi="Calibri" w:cs="Times New Roman"/>
                <w:b/>
                <w:color w:val="000000"/>
                <w:sz w:val="20"/>
                <w:szCs w:val="20"/>
              </w:rPr>
            </w:pPr>
            <w:r>
              <w:rPr>
                <w:rFonts w:ascii="Calibri" w:hAnsi="Calibri" w:cs="Times New Roman"/>
                <w:b/>
                <w:color w:val="000000"/>
                <w:sz w:val="20"/>
                <w:szCs w:val="20"/>
              </w:rPr>
              <w:t>Parameter</w:t>
            </w:r>
          </w:p>
        </w:tc>
        <w:tc>
          <w:tcPr>
            <w:tcW w:w="2694" w:type="dxa"/>
            <w:shd w:val="clear" w:color="auto" w:fill="BFBFBF" w:themeFill="background1" w:themeFillShade="BF"/>
          </w:tcPr>
          <w:p w14:paraId="1CA190F6" w14:textId="68B60AC3" w:rsidR="00B8390C" w:rsidRPr="00091697" w:rsidRDefault="00B8390C" w:rsidP="00091697">
            <w:pPr>
              <w:jc w:val="center"/>
              <w:rPr>
                <w:rFonts w:ascii="Calibri" w:hAnsi="Calibri" w:cs="Times New Roman"/>
                <w:b/>
                <w:color w:val="000000"/>
                <w:sz w:val="20"/>
                <w:szCs w:val="20"/>
              </w:rPr>
            </w:pPr>
            <w:r w:rsidRPr="00091697">
              <w:rPr>
                <w:rFonts w:ascii="Calibri" w:hAnsi="Calibri" w:cs="Times New Roman"/>
                <w:b/>
                <w:color w:val="000000"/>
                <w:sz w:val="20"/>
                <w:szCs w:val="20"/>
              </w:rPr>
              <w:t>Comparison</w:t>
            </w:r>
          </w:p>
        </w:tc>
        <w:tc>
          <w:tcPr>
            <w:tcW w:w="1417" w:type="dxa"/>
            <w:shd w:val="clear" w:color="auto" w:fill="BFBFBF" w:themeFill="background1" w:themeFillShade="BF"/>
          </w:tcPr>
          <w:p w14:paraId="7D42F30C" w14:textId="77777777" w:rsidR="00B8390C" w:rsidRPr="00091697" w:rsidRDefault="00B8390C" w:rsidP="00091697">
            <w:pPr>
              <w:jc w:val="center"/>
              <w:rPr>
                <w:rFonts w:ascii="Calibri" w:hAnsi="Calibri" w:cs="Times New Roman"/>
                <w:b/>
                <w:sz w:val="20"/>
                <w:szCs w:val="20"/>
              </w:rPr>
            </w:pPr>
            <w:r w:rsidRPr="00091697">
              <w:rPr>
                <w:rFonts w:ascii="Calibri" w:hAnsi="Calibri" w:cs="Times New Roman"/>
                <w:b/>
                <w:sz w:val="20"/>
                <w:szCs w:val="20"/>
              </w:rPr>
              <w:t>Year 1</w:t>
            </w:r>
          </w:p>
          <w:p w14:paraId="0C7310B8" w14:textId="77777777" w:rsidR="00B8390C" w:rsidRPr="00091697" w:rsidRDefault="00B8390C" w:rsidP="00091697">
            <w:pPr>
              <w:jc w:val="center"/>
              <w:rPr>
                <w:rFonts w:ascii="Calibri" w:hAnsi="Calibri" w:cs="Times New Roman"/>
                <w:b/>
                <w:sz w:val="20"/>
                <w:szCs w:val="20"/>
              </w:rPr>
            </w:pPr>
            <w:r w:rsidRPr="00091697">
              <w:rPr>
                <w:rFonts w:ascii="Calibri" w:hAnsi="Calibri" w:cs="Times New Roman"/>
                <w:b/>
                <w:sz w:val="20"/>
                <w:szCs w:val="20"/>
              </w:rPr>
              <w:t>(June 2014 –</w:t>
            </w:r>
          </w:p>
          <w:p w14:paraId="355511FA" w14:textId="77777777" w:rsidR="00B8390C" w:rsidRPr="00091697" w:rsidRDefault="00B8390C" w:rsidP="00091697">
            <w:pPr>
              <w:jc w:val="center"/>
              <w:rPr>
                <w:rFonts w:ascii="Calibri" w:hAnsi="Calibri" w:cs="Times New Roman"/>
                <w:b/>
                <w:color w:val="000000"/>
                <w:sz w:val="20"/>
                <w:szCs w:val="20"/>
              </w:rPr>
            </w:pPr>
            <w:r w:rsidRPr="00091697">
              <w:rPr>
                <w:rFonts w:ascii="Calibri" w:hAnsi="Calibri" w:cs="Times New Roman"/>
                <w:b/>
                <w:sz w:val="20"/>
                <w:szCs w:val="20"/>
              </w:rPr>
              <w:t>May 2015)</w:t>
            </w:r>
          </w:p>
        </w:tc>
        <w:tc>
          <w:tcPr>
            <w:tcW w:w="1701" w:type="dxa"/>
            <w:shd w:val="clear" w:color="auto" w:fill="BFBFBF" w:themeFill="background1" w:themeFillShade="BF"/>
          </w:tcPr>
          <w:p w14:paraId="1B9F60F7" w14:textId="77777777" w:rsidR="00B8390C" w:rsidRPr="00091697" w:rsidRDefault="00B8390C" w:rsidP="00091697">
            <w:pPr>
              <w:jc w:val="center"/>
              <w:rPr>
                <w:rFonts w:ascii="Calibri" w:hAnsi="Calibri" w:cs="Times New Roman"/>
                <w:b/>
                <w:sz w:val="20"/>
                <w:szCs w:val="20"/>
              </w:rPr>
            </w:pPr>
            <w:r w:rsidRPr="00091697">
              <w:rPr>
                <w:rFonts w:ascii="Calibri" w:hAnsi="Calibri" w:cs="Times New Roman"/>
                <w:b/>
                <w:sz w:val="20"/>
                <w:szCs w:val="20"/>
              </w:rPr>
              <w:t>Year 2</w:t>
            </w:r>
          </w:p>
          <w:p w14:paraId="4C579F99" w14:textId="77777777" w:rsidR="00B8390C" w:rsidRPr="00091697" w:rsidRDefault="00B8390C" w:rsidP="00091697">
            <w:pPr>
              <w:jc w:val="center"/>
              <w:rPr>
                <w:rFonts w:ascii="Calibri" w:hAnsi="Calibri" w:cs="Times New Roman"/>
                <w:b/>
                <w:sz w:val="20"/>
                <w:szCs w:val="20"/>
              </w:rPr>
            </w:pPr>
            <w:r w:rsidRPr="00091697">
              <w:rPr>
                <w:rFonts w:ascii="Calibri" w:hAnsi="Calibri" w:cs="Times New Roman"/>
                <w:b/>
                <w:sz w:val="20"/>
                <w:szCs w:val="20"/>
              </w:rPr>
              <w:t>(June 2015 –</w:t>
            </w:r>
          </w:p>
          <w:p w14:paraId="58928F71" w14:textId="77777777" w:rsidR="00B8390C" w:rsidRPr="00091697" w:rsidRDefault="00B8390C" w:rsidP="00091697">
            <w:pPr>
              <w:jc w:val="center"/>
              <w:rPr>
                <w:rFonts w:ascii="Calibri" w:hAnsi="Calibri" w:cs="Times New Roman"/>
                <w:b/>
                <w:color w:val="000000"/>
                <w:sz w:val="20"/>
                <w:szCs w:val="20"/>
              </w:rPr>
            </w:pPr>
            <w:r w:rsidRPr="00091697">
              <w:rPr>
                <w:rFonts w:ascii="Calibri" w:hAnsi="Calibri" w:cs="Times New Roman"/>
                <w:b/>
                <w:sz w:val="20"/>
                <w:szCs w:val="20"/>
              </w:rPr>
              <w:t>May 2016)</w:t>
            </w:r>
          </w:p>
        </w:tc>
      </w:tr>
      <w:tr w:rsidR="00B8390C" w:rsidRPr="00091697" w14:paraId="13249725" w14:textId="77777777" w:rsidTr="00B8390C">
        <w:tc>
          <w:tcPr>
            <w:tcW w:w="2943" w:type="dxa"/>
            <w:tcBorders>
              <w:bottom w:val="nil"/>
            </w:tcBorders>
          </w:tcPr>
          <w:p w14:paraId="3964265E" w14:textId="5083BA76"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Treated patients</w:t>
            </w:r>
          </w:p>
        </w:tc>
        <w:tc>
          <w:tcPr>
            <w:tcW w:w="2694" w:type="dxa"/>
          </w:tcPr>
          <w:p w14:paraId="112B4D4C" w14:textId="4F423125"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Predicted</w:t>
            </w:r>
          </w:p>
        </w:tc>
        <w:tc>
          <w:tcPr>
            <w:tcW w:w="1417" w:type="dxa"/>
            <w:vAlign w:val="center"/>
          </w:tcPr>
          <w:p w14:paraId="45412298" w14:textId="197244E4" w:rsidR="00B8390C" w:rsidRPr="00091697" w:rsidRDefault="00B8390C" w:rsidP="00091697">
            <w:pPr>
              <w:jc w:val="center"/>
              <w:rPr>
                <w:rFonts w:ascii="Calibri" w:hAnsi="Calibri" w:cs="Times New Roman"/>
                <w:color w:val="000000"/>
                <w:sz w:val="20"/>
                <w:szCs w:val="20"/>
              </w:rPr>
            </w:pPr>
            <w:r w:rsidRPr="003602DF">
              <w:rPr>
                <w:rFonts w:ascii="Calibri" w:hAnsi="Calibri" w:cs="Arial"/>
                <w:color w:val="000000"/>
                <w:sz w:val="20"/>
                <w:szCs w:val="20"/>
                <w:highlight w:val="black"/>
              </w:rPr>
              <w:t>XXXXX</w:t>
            </w:r>
          </w:p>
        </w:tc>
        <w:tc>
          <w:tcPr>
            <w:tcW w:w="1701" w:type="dxa"/>
            <w:vAlign w:val="center"/>
          </w:tcPr>
          <w:p w14:paraId="6ED8EDB8" w14:textId="77AC6F68" w:rsidR="00B8390C" w:rsidRPr="00091697" w:rsidRDefault="00B8390C" w:rsidP="00091697">
            <w:pPr>
              <w:jc w:val="center"/>
              <w:rPr>
                <w:rFonts w:ascii="Calibri" w:hAnsi="Calibri" w:cs="Times New Roman"/>
                <w:color w:val="000000"/>
                <w:sz w:val="20"/>
                <w:szCs w:val="20"/>
              </w:rPr>
            </w:pPr>
            <w:r w:rsidRPr="003602DF">
              <w:rPr>
                <w:rFonts w:ascii="Calibri" w:hAnsi="Calibri" w:cs="Arial"/>
                <w:color w:val="000000"/>
                <w:sz w:val="20"/>
                <w:szCs w:val="20"/>
                <w:highlight w:val="black"/>
              </w:rPr>
              <w:t>XXXXX</w:t>
            </w:r>
          </w:p>
        </w:tc>
      </w:tr>
      <w:tr w:rsidR="00B8390C" w:rsidRPr="00091697" w14:paraId="195D2138" w14:textId="77777777" w:rsidTr="00B8390C">
        <w:tc>
          <w:tcPr>
            <w:tcW w:w="2943" w:type="dxa"/>
            <w:tcBorders>
              <w:top w:val="nil"/>
              <w:bottom w:val="nil"/>
            </w:tcBorders>
          </w:tcPr>
          <w:p w14:paraId="4C9B6ACA" w14:textId="77777777" w:rsidR="00B8390C" w:rsidRPr="00091697" w:rsidRDefault="00B8390C" w:rsidP="00091697">
            <w:pPr>
              <w:rPr>
                <w:rFonts w:ascii="Calibri" w:hAnsi="Calibri" w:cs="Times New Roman"/>
                <w:color w:val="000000"/>
                <w:sz w:val="20"/>
                <w:szCs w:val="20"/>
              </w:rPr>
            </w:pPr>
          </w:p>
        </w:tc>
        <w:tc>
          <w:tcPr>
            <w:tcW w:w="2694" w:type="dxa"/>
          </w:tcPr>
          <w:p w14:paraId="5ADB16CD" w14:textId="5220BA64"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22068F44"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973</w:t>
            </w:r>
          </w:p>
        </w:tc>
        <w:tc>
          <w:tcPr>
            <w:tcW w:w="1701" w:type="dxa"/>
            <w:vAlign w:val="center"/>
          </w:tcPr>
          <w:p w14:paraId="70B2E08B"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840</w:t>
            </w:r>
          </w:p>
        </w:tc>
      </w:tr>
      <w:tr w:rsidR="00B8390C" w:rsidRPr="00091697" w14:paraId="0EC8166B" w14:textId="77777777" w:rsidTr="00B8390C">
        <w:tc>
          <w:tcPr>
            <w:tcW w:w="2943" w:type="dxa"/>
            <w:tcBorders>
              <w:top w:val="nil"/>
              <w:bottom w:val="single" w:sz="4" w:space="0" w:color="auto"/>
            </w:tcBorders>
          </w:tcPr>
          <w:p w14:paraId="5A768FCF" w14:textId="77777777" w:rsidR="00B8390C" w:rsidRPr="00091697" w:rsidRDefault="00B8390C" w:rsidP="00091697">
            <w:pPr>
              <w:rPr>
                <w:rFonts w:ascii="Calibri" w:hAnsi="Calibri" w:cs="Times New Roman"/>
                <w:color w:val="000000"/>
                <w:sz w:val="20"/>
                <w:szCs w:val="20"/>
              </w:rPr>
            </w:pPr>
          </w:p>
        </w:tc>
        <w:tc>
          <w:tcPr>
            <w:tcW w:w="2694" w:type="dxa"/>
          </w:tcPr>
          <w:p w14:paraId="60F768B7" w14:textId="015CA6C5"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of Predicted</w:t>
            </w:r>
          </w:p>
        </w:tc>
        <w:tc>
          <w:tcPr>
            <w:tcW w:w="1417" w:type="dxa"/>
            <w:vAlign w:val="center"/>
          </w:tcPr>
          <w:p w14:paraId="0E791045" w14:textId="1ED63419"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c>
          <w:tcPr>
            <w:tcW w:w="1701" w:type="dxa"/>
            <w:vAlign w:val="center"/>
          </w:tcPr>
          <w:p w14:paraId="5571EE19" w14:textId="2ED55BE9"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r>
      <w:tr w:rsidR="00B8390C" w:rsidRPr="00091697" w14:paraId="4FE13822" w14:textId="77777777" w:rsidTr="00B8390C">
        <w:tc>
          <w:tcPr>
            <w:tcW w:w="2943" w:type="dxa"/>
            <w:tcBorders>
              <w:bottom w:val="nil"/>
            </w:tcBorders>
          </w:tcPr>
          <w:p w14:paraId="3CFB242F" w14:textId="24CAFD3B"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10 mg scripts</w:t>
            </w:r>
          </w:p>
        </w:tc>
        <w:tc>
          <w:tcPr>
            <w:tcW w:w="2694" w:type="dxa"/>
          </w:tcPr>
          <w:p w14:paraId="7581DD3C" w14:textId="1177D38B"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Predicted</w:t>
            </w:r>
          </w:p>
        </w:tc>
        <w:tc>
          <w:tcPr>
            <w:tcW w:w="1417" w:type="dxa"/>
            <w:vAlign w:val="center"/>
          </w:tcPr>
          <w:p w14:paraId="12113A7D" w14:textId="1CF2D4F1"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Arial"/>
                <w:color w:val="000000"/>
                <w:sz w:val="20"/>
                <w:szCs w:val="20"/>
                <w:highlight w:val="black"/>
              </w:rPr>
              <w:t>XXXXX</w:t>
            </w:r>
          </w:p>
        </w:tc>
        <w:tc>
          <w:tcPr>
            <w:tcW w:w="1701" w:type="dxa"/>
            <w:vAlign w:val="center"/>
          </w:tcPr>
          <w:p w14:paraId="39FD9245" w14:textId="49514BD6"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Arial"/>
                <w:color w:val="000000"/>
                <w:sz w:val="20"/>
                <w:szCs w:val="20"/>
                <w:highlight w:val="black"/>
              </w:rPr>
              <w:t>XXXXX</w:t>
            </w:r>
          </w:p>
        </w:tc>
      </w:tr>
      <w:tr w:rsidR="00B8390C" w:rsidRPr="00091697" w14:paraId="330A3240" w14:textId="77777777" w:rsidTr="00B8390C">
        <w:tc>
          <w:tcPr>
            <w:tcW w:w="2943" w:type="dxa"/>
            <w:tcBorders>
              <w:top w:val="nil"/>
              <w:bottom w:val="nil"/>
            </w:tcBorders>
          </w:tcPr>
          <w:p w14:paraId="09E5B320" w14:textId="77777777" w:rsidR="00B8390C" w:rsidRPr="00091697" w:rsidRDefault="00B8390C" w:rsidP="00091697">
            <w:pPr>
              <w:rPr>
                <w:rFonts w:ascii="Calibri" w:hAnsi="Calibri" w:cs="Times New Roman"/>
                <w:color w:val="000000"/>
                <w:sz w:val="20"/>
                <w:szCs w:val="20"/>
              </w:rPr>
            </w:pPr>
          </w:p>
        </w:tc>
        <w:tc>
          <w:tcPr>
            <w:tcW w:w="2694" w:type="dxa"/>
          </w:tcPr>
          <w:p w14:paraId="6113C713" w14:textId="09A7EAC1"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4EC90AA1"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2,732</w:t>
            </w:r>
          </w:p>
        </w:tc>
        <w:tc>
          <w:tcPr>
            <w:tcW w:w="1701" w:type="dxa"/>
            <w:vAlign w:val="center"/>
          </w:tcPr>
          <w:p w14:paraId="11A99D74"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2,268</w:t>
            </w:r>
          </w:p>
        </w:tc>
      </w:tr>
      <w:tr w:rsidR="00B8390C" w:rsidRPr="00091697" w14:paraId="1242CEC5" w14:textId="77777777" w:rsidTr="00B8390C">
        <w:tc>
          <w:tcPr>
            <w:tcW w:w="2943" w:type="dxa"/>
            <w:tcBorders>
              <w:top w:val="nil"/>
              <w:bottom w:val="single" w:sz="4" w:space="0" w:color="auto"/>
            </w:tcBorders>
          </w:tcPr>
          <w:p w14:paraId="7272B1D8" w14:textId="77777777" w:rsidR="00B8390C" w:rsidRPr="00091697" w:rsidRDefault="00B8390C" w:rsidP="00091697">
            <w:pPr>
              <w:rPr>
                <w:rFonts w:ascii="Calibri" w:hAnsi="Calibri" w:cs="Times New Roman"/>
                <w:color w:val="000000"/>
                <w:sz w:val="20"/>
                <w:szCs w:val="20"/>
              </w:rPr>
            </w:pPr>
          </w:p>
        </w:tc>
        <w:tc>
          <w:tcPr>
            <w:tcW w:w="2694" w:type="dxa"/>
          </w:tcPr>
          <w:p w14:paraId="2B539C49" w14:textId="4C159144"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of Predicted</w:t>
            </w:r>
          </w:p>
        </w:tc>
        <w:tc>
          <w:tcPr>
            <w:tcW w:w="1417" w:type="dxa"/>
            <w:vAlign w:val="center"/>
          </w:tcPr>
          <w:p w14:paraId="419F59D0" w14:textId="5CCE3F29"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c>
          <w:tcPr>
            <w:tcW w:w="1701" w:type="dxa"/>
            <w:vAlign w:val="center"/>
          </w:tcPr>
          <w:p w14:paraId="19454A5F" w14:textId="66D7C3EF"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r>
      <w:tr w:rsidR="00B8390C" w:rsidRPr="00091697" w14:paraId="2536EB41" w14:textId="77777777" w:rsidTr="00B8390C">
        <w:tc>
          <w:tcPr>
            <w:tcW w:w="2943" w:type="dxa"/>
            <w:tcBorders>
              <w:bottom w:val="nil"/>
            </w:tcBorders>
          </w:tcPr>
          <w:p w14:paraId="4E35D852" w14:textId="78F5E2F0"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5  mg scripts</w:t>
            </w:r>
          </w:p>
        </w:tc>
        <w:tc>
          <w:tcPr>
            <w:tcW w:w="2694" w:type="dxa"/>
          </w:tcPr>
          <w:p w14:paraId="18426C39" w14:textId="351DAAFF"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Predicted</w:t>
            </w:r>
          </w:p>
        </w:tc>
        <w:tc>
          <w:tcPr>
            <w:tcW w:w="1417" w:type="dxa"/>
            <w:vAlign w:val="center"/>
          </w:tcPr>
          <w:p w14:paraId="473E84D3" w14:textId="16EB5094"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Arial"/>
                <w:color w:val="000000"/>
                <w:sz w:val="20"/>
                <w:szCs w:val="20"/>
                <w:highlight w:val="black"/>
              </w:rPr>
              <w:t>XXXXX</w:t>
            </w:r>
          </w:p>
        </w:tc>
        <w:tc>
          <w:tcPr>
            <w:tcW w:w="1701" w:type="dxa"/>
            <w:vAlign w:val="center"/>
          </w:tcPr>
          <w:p w14:paraId="447A5C62" w14:textId="3795C70A"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Arial"/>
                <w:color w:val="000000"/>
                <w:sz w:val="20"/>
                <w:szCs w:val="20"/>
                <w:highlight w:val="black"/>
              </w:rPr>
              <w:t>XXXXX</w:t>
            </w:r>
          </w:p>
        </w:tc>
      </w:tr>
      <w:tr w:rsidR="00B8390C" w:rsidRPr="00091697" w14:paraId="3AF69F58" w14:textId="77777777" w:rsidTr="00B8390C">
        <w:tc>
          <w:tcPr>
            <w:tcW w:w="2943" w:type="dxa"/>
            <w:tcBorders>
              <w:top w:val="nil"/>
              <w:bottom w:val="nil"/>
            </w:tcBorders>
          </w:tcPr>
          <w:p w14:paraId="7EF52422" w14:textId="77777777" w:rsidR="00B8390C" w:rsidRPr="00091697" w:rsidRDefault="00B8390C" w:rsidP="00091697">
            <w:pPr>
              <w:rPr>
                <w:rFonts w:ascii="Calibri" w:hAnsi="Calibri" w:cs="Times New Roman"/>
                <w:color w:val="000000"/>
                <w:sz w:val="20"/>
                <w:szCs w:val="20"/>
              </w:rPr>
            </w:pPr>
          </w:p>
        </w:tc>
        <w:tc>
          <w:tcPr>
            <w:tcW w:w="2694" w:type="dxa"/>
          </w:tcPr>
          <w:p w14:paraId="60166E77" w14:textId="02B899E9"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5798B33B"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1,414</w:t>
            </w:r>
          </w:p>
        </w:tc>
        <w:tc>
          <w:tcPr>
            <w:tcW w:w="1701" w:type="dxa"/>
            <w:vAlign w:val="center"/>
          </w:tcPr>
          <w:p w14:paraId="1820BCC5"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1,505</w:t>
            </w:r>
          </w:p>
        </w:tc>
      </w:tr>
      <w:tr w:rsidR="00B8390C" w:rsidRPr="00091697" w14:paraId="79F8F059" w14:textId="77777777" w:rsidTr="00B8390C">
        <w:tc>
          <w:tcPr>
            <w:tcW w:w="2943" w:type="dxa"/>
            <w:tcBorders>
              <w:top w:val="nil"/>
              <w:bottom w:val="single" w:sz="4" w:space="0" w:color="auto"/>
            </w:tcBorders>
          </w:tcPr>
          <w:p w14:paraId="2335F003" w14:textId="77777777" w:rsidR="00B8390C" w:rsidRPr="00091697" w:rsidRDefault="00B8390C" w:rsidP="00091697">
            <w:pPr>
              <w:rPr>
                <w:rFonts w:ascii="Calibri" w:hAnsi="Calibri" w:cs="Times New Roman"/>
                <w:color w:val="000000"/>
                <w:sz w:val="20"/>
                <w:szCs w:val="20"/>
              </w:rPr>
            </w:pPr>
          </w:p>
        </w:tc>
        <w:tc>
          <w:tcPr>
            <w:tcW w:w="2694" w:type="dxa"/>
          </w:tcPr>
          <w:p w14:paraId="4E5C5122" w14:textId="1D7817CE"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of Predicted</w:t>
            </w:r>
          </w:p>
        </w:tc>
        <w:tc>
          <w:tcPr>
            <w:tcW w:w="1417" w:type="dxa"/>
            <w:vAlign w:val="center"/>
          </w:tcPr>
          <w:p w14:paraId="46A163FC" w14:textId="0C8C2479"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c>
          <w:tcPr>
            <w:tcW w:w="1701" w:type="dxa"/>
            <w:vAlign w:val="center"/>
          </w:tcPr>
          <w:p w14:paraId="3885A432" w14:textId="66F514C1"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r>
      <w:tr w:rsidR="00B8390C" w:rsidRPr="00091697" w14:paraId="26F85682" w14:textId="77777777" w:rsidTr="00B8390C">
        <w:tc>
          <w:tcPr>
            <w:tcW w:w="2943" w:type="dxa"/>
            <w:tcBorders>
              <w:bottom w:val="nil"/>
            </w:tcBorders>
          </w:tcPr>
          <w:p w14:paraId="6BF6D4BF" w14:textId="0F4376F7"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Proportional use of 10 mg</w:t>
            </w:r>
          </w:p>
        </w:tc>
        <w:tc>
          <w:tcPr>
            <w:tcW w:w="2694" w:type="dxa"/>
          </w:tcPr>
          <w:p w14:paraId="76359451" w14:textId="67456314"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Predicted</w:t>
            </w:r>
          </w:p>
        </w:tc>
        <w:tc>
          <w:tcPr>
            <w:tcW w:w="1417" w:type="dxa"/>
            <w:vAlign w:val="center"/>
          </w:tcPr>
          <w:p w14:paraId="0087CB62" w14:textId="0B455403"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XXXXX</w:t>
            </w:r>
          </w:p>
        </w:tc>
        <w:tc>
          <w:tcPr>
            <w:tcW w:w="1701" w:type="dxa"/>
            <w:vAlign w:val="center"/>
          </w:tcPr>
          <w:p w14:paraId="74922DEA" w14:textId="3EB1F56A"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XXXXX</w:t>
            </w:r>
          </w:p>
        </w:tc>
      </w:tr>
      <w:tr w:rsidR="00B8390C" w:rsidRPr="00091697" w14:paraId="61BCC36D" w14:textId="77777777" w:rsidTr="00B8390C">
        <w:tc>
          <w:tcPr>
            <w:tcW w:w="2943" w:type="dxa"/>
            <w:tcBorders>
              <w:top w:val="nil"/>
              <w:bottom w:val="nil"/>
            </w:tcBorders>
          </w:tcPr>
          <w:p w14:paraId="5274864B" w14:textId="77777777" w:rsidR="00B8390C" w:rsidRPr="00091697" w:rsidRDefault="00B8390C" w:rsidP="00091697">
            <w:pPr>
              <w:rPr>
                <w:rFonts w:ascii="Calibri" w:hAnsi="Calibri" w:cs="Times New Roman"/>
                <w:color w:val="000000"/>
                <w:sz w:val="20"/>
                <w:szCs w:val="20"/>
              </w:rPr>
            </w:pPr>
          </w:p>
        </w:tc>
        <w:tc>
          <w:tcPr>
            <w:tcW w:w="2694" w:type="dxa"/>
          </w:tcPr>
          <w:p w14:paraId="58F7B21C" w14:textId="774CA576"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3178CC7E"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65.89%</w:t>
            </w:r>
          </w:p>
        </w:tc>
        <w:tc>
          <w:tcPr>
            <w:tcW w:w="1701" w:type="dxa"/>
            <w:vAlign w:val="center"/>
          </w:tcPr>
          <w:p w14:paraId="0249BBF8"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60.11%</w:t>
            </w:r>
          </w:p>
        </w:tc>
      </w:tr>
      <w:tr w:rsidR="00B8390C" w:rsidRPr="00091697" w14:paraId="1064DBD6" w14:textId="77777777" w:rsidTr="00B8390C">
        <w:tc>
          <w:tcPr>
            <w:tcW w:w="2943" w:type="dxa"/>
            <w:tcBorders>
              <w:top w:val="nil"/>
              <w:bottom w:val="single" w:sz="4" w:space="0" w:color="auto"/>
            </w:tcBorders>
          </w:tcPr>
          <w:p w14:paraId="46661A7D" w14:textId="77777777" w:rsidR="00B8390C" w:rsidRPr="00091697" w:rsidRDefault="00B8390C" w:rsidP="00091697">
            <w:pPr>
              <w:rPr>
                <w:rFonts w:ascii="Calibri" w:hAnsi="Calibri" w:cs="Times New Roman"/>
                <w:color w:val="000000"/>
                <w:sz w:val="20"/>
                <w:szCs w:val="20"/>
              </w:rPr>
            </w:pPr>
          </w:p>
        </w:tc>
        <w:tc>
          <w:tcPr>
            <w:tcW w:w="2694" w:type="dxa"/>
          </w:tcPr>
          <w:p w14:paraId="637895D9" w14:textId="5B50D0C6"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Difference (%)</w:t>
            </w:r>
          </w:p>
        </w:tc>
        <w:tc>
          <w:tcPr>
            <w:tcW w:w="1417" w:type="dxa"/>
            <w:vAlign w:val="center"/>
          </w:tcPr>
          <w:p w14:paraId="24198A03" w14:textId="28CA3622"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XXXXXX</w:t>
            </w:r>
          </w:p>
        </w:tc>
        <w:tc>
          <w:tcPr>
            <w:tcW w:w="1701" w:type="dxa"/>
            <w:vAlign w:val="center"/>
          </w:tcPr>
          <w:p w14:paraId="02D06950" w14:textId="03919A41"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XXXXXX</w:t>
            </w:r>
          </w:p>
        </w:tc>
      </w:tr>
      <w:tr w:rsidR="00B8390C" w:rsidRPr="00091697" w14:paraId="7B652027" w14:textId="77777777" w:rsidTr="00B8390C">
        <w:tc>
          <w:tcPr>
            <w:tcW w:w="2943" w:type="dxa"/>
            <w:tcBorders>
              <w:bottom w:val="nil"/>
            </w:tcBorders>
          </w:tcPr>
          <w:p w14:paraId="345D24AA" w14:textId="05097059"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Average daily dose (mg)</w:t>
            </w:r>
          </w:p>
        </w:tc>
        <w:tc>
          <w:tcPr>
            <w:tcW w:w="2694" w:type="dxa"/>
          </w:tcPr>
          <w:p w14:paraId="59B7EE0B" w14:textId="56131017"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xml:space="preserve">Predicted </w:t>
            </w:r>
          </w:p>
        </w:tc>
        <w:tc>
          <w:tcPr>
            <w:tcW w:w="1417" w:type="dxa"/>
            <w:vAlign w:val="center"/>
          </w:tcPr>
          <w:p w14:paraId="003400A1" w14:textId="3930516C"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XXXXX</w:t>
            </w:r>
          </w:p>
        </w:tc>
        <w:tc>
          <w:tcPr>
            <w:tcW w:w="1701" w:type="dxa"/>
            <w:vAlign w:val="center"/>
          </w:tcPr>
          <w:p w14:paraId="6608D1CA" w14:textId="63EA5228"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XXXXX</w:t>
            </w:r>
          </w:p>
        </w:tc>
      </w:tr>
      <w:tr w:rsidR="00B8390C" w:rsidRPr="00091697" w14:paraId="37C997A0" w14:textId="77777777" w:rsidTr="00B8390C">
        <w:tc>
          <w:tcPr>
            <w:tcW w:w="2943" w:type="dxa"/>
            <w:tcBorders>
              <w:top w:val="nil"/>
              <w:bottom w:val="nil"/>
            </w:tcBorders>
          </w:tcPr>
          <w:p w14:paraId="612357C6" w14:textId="77777777" w:rsidR="00B8390C" w:rsidRPr="00091697" w:rsidRDefault="00B8390C" w:rsidP="00091697">
            <w:pPr>
              <w:rPr>
                <w:rFonts w:ascii="Calibri" w:hAnsi="Calibri" w:cs="Times New Roman"/>
                <w:color w:val="000000"/>
                <w:sz w:val="20"/>
                <w:szCs w:val="20"/>
              </w:rPr>
            </w:pPr>
          </w:p>
        </w:tc>
        <w:tc>
          <w:tcPr>
            <w:tcW w:w="2694" w:type="dxa"/>
          </w:tcPr>
          <w:p w14:paraId="250A28B7" w14:textId="74544D38"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11C8C1BC"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8.776</w:t>
            </w:r>
          </w:p>
        </w:tc>
        <w:tc>
          <w:tcPr>
            <w:tcW w:w="1701" w:type="dxa"/>
            <w:vAlign w:val="center"/>
          </w:tcPr>
          <w:p w14:paraId="5DBD0730" w14:textId="77777777" w:rsidR="00B8390C" w:rsidRPr="00091697" w:rsidRDefault="00B8390C" w:rsidP="00091697">
            <w:pPr>
              <w:jc w:val="center"/>
              <w:rPr>
                <w:rFonts w:ascii="Calibri" w:hAnsi="Calibri" w:cs="Times New Roman"/>
                <w:color w:val="000000"/>
                <w:sz w:val="20"/>
                <w:szCs w:val="20"/>
              </w:rPr>
            </w:pPr>
            <w:r w:rsidRPr="00091697">
              <w:rPr>
                <w:rFonts w:ascii="Calibri" w:hAnsi="Calibri" w:cs="Times New Roman"/>
                <w:color w:val="000000"/>
                <w:sz w:val="20"/>
                <w:szCs w:val="20"/>
              </w:rPr>
              <w:t>8.355</w:t>
            </w:r>
          </w:p>
        </w:tc>
      </w:tr>
      <w:tr w:rsidR="00B8390C" w:rsidRPr="00091697" w14:paraId="4FCAED0D" w14:textId="77777777" w:rsidTr="00B8390C">
        <w:tc>
          <w:tcPr>
            <w:tcW w:w="2943" w:type="dxa"/>
            <w:tcBorders>
              <w:top w:val="nil"/>
              <w:bottom w:val="single" w:sz="4" w:space="0" w:color="auto"/>
            </w:tcBorders>
          </w:tcPr>
          <w:p w14:paraId="12EF8238" w14:textId="77777777" w:rsidR="00B8390C" w:rsidRPr="00091697" w:rsidRDefault="00B8390C" w:rsidP="00091697">
            <w:pPr>
              <w:rPr>
                <w:rFonts w:ascii="Calibri" w:hAnsi="Calibri" w:cs="Times New Roman"/>
                <w:color w:val="000000"/>
                <w:sz w:val="20"/>
                <w:szCs w:val="20"/>
              </w:rPr>
            </w:pPr>
          </w:p>
        </w:tc>
        <w:tc>
          <w:tcPr>
            <w:tcW w:w="2694" w:type="dxa"/>
          </w:tcPr>
          <w:p w14:paraId="39FA67A7" w14:textId="23EB3F7E"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of Predicted</w:t>
            </w:r>
          </w:p>
        </w:tc>
        <w:tc>
          <w:tcPr>
            <w:tcW w:w="1417" w:type="dxa"/>
            <w:vAlign w:val="center"/>
          </w:tcPr>
          <w:p w14:paraId="566746A3" w14:textId="17AC964E"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w:t>
            </w:r>
          </w:p>
        </w:tc>
        <w:tc>
          <w:tcPr>
            <w:tcW w:w="1701" w:type="dxa"/>
            <w:vAlign w:val="center"/>
          </w:tcPr>
          <w:p w14:paraId="530DB44E" w14:textId="330FCD47"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XXXX</w:t>
            </w:r>
          </w:p>
        </w:tc>
      </w:tr>
      <w:tr w:rsidR="00B8390C" w:rsidRPr="00091697" w14:paraId="54BE74F0" w14:textId="77777777" w:rsidTr="00B8390C">
        <w:tc>
          <w:tcPr>
            <w:tcW w:w="2943" w:type="dxa"/>
            <w:tcBorders>
              <w:bottom w:val="nil"/>
            </w:tcBorders>
          </w:tcPr>
          <w:p w14:paraId="41F63A95" w14:textId="48DAD990"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Overall expenditure for the</w:t>
            </w:r>
          </w:p>
        </w:tc>
        <w:tc>
          <w:tcPr>
            <w:tcW w:w="2694" w:type="dxa"/>
          </w:tcPr>
          <w:p w14:paraId="6C7392D8" w14:textId="09634FBA"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Predicted</w:t>
            </w:r>
          </w:p>
        </w:tc>
        <w:tc>
          <w:tcPr>
            <w:tcW w:w="1417" w:type="dxa"/>
            <w:vAlign w:val="bottom"/>
          </w:tcPr>
          <w:p w14:paraId="28D55770" w14:textId="7C0ED561" w:rsidR="00B8390C" w:rsidRPr="003602DF" w:rsidRDefault="00B8390C" w:rsidP="00091697">
            <w:pPr>
              <w:jc w:val="center"/>
              <w:rPr>
                <w:rFonts w:ascii="Calibri" w:hAnsi="Calibri" w:cs="Arial"/>
                <w:color w:val="000000"/>
                <w:sz w:val="20"/>
                <w:szCs w:val="20"/>
                <w:highlight w:val="black"/>
              </w:rPr>
            </w:pPr>
            <w:r w:rsidRPr="003602DF">
              <w:rPr>
                <w:rFonts w:ascii="Calibri" w:hAnsi="Calibri" w:cs="Arial"/>
                <w:color w:val="000000"/>
                <w:sz w:val="20"/>
                <w:szCs w:val="20"/>
                <w:highlight w:val="black"/>
              </w:rPr>
              <w:t>XXXXXXXX</w:t>
            </w:r>
          </w:p>
        </w:tc>
        <w:tc>
          <w:tcPr>
            <w:tcW w:w="1701" w:type="dxa"/>
            <w:vAlign w:val="bottom"/>
          </w:tcPr>
          <w:p w14:paraId="1B883DFB" w14:textId="092DE326" w:rsidR="00B8390C" w:rsidRPr="003602DF" w:rsidRDefault="00B8390C" w:rsidP="00091697">
            <w:pPr>
              <w:jc w:val="center"/>
              <w:rPr>
                <w:rFonts w:ascii="Calibri" w:hAnsi="Calibri" w:cs="Arial"/>
                <w:color w:val="000000"/>
                <w:sz w:val="20"/>
                <w:szCs w:val="20"/>
                <w:highlight w:val="black"/>
              </w:rPr>
            </w:pPr>
            <w:r w:rsidRPr="003602DF">
              <w:rPr>
                <w:rFonts w:ascii="Calibri" w:hAnsi="Calibri" w:cs="Arial"/>
                <w:color w:val="000000"/>
                <w:sz w:val="20"/>
                <w:szCs w:val="20"/>
                <w:highlight w:val="black"/>
              </w:rPr>
              <w:t>XXXXXXXX</w:t>
            </w:r>
          </w:p>
        </w:tc>
      </w:tr>
      <w:tr w:rsidR="00B8390C" w:rsidRPr="00091697" w14:paraId="7BC11B39" w14:textId="77777777" w:rsidTr="00B8390C">
        <w:tc>
          <w:tcPr>
            <w:tcW w:w="2943" w:type="dxa"/>
            <w:tcBorders>
              <w:top w:val="nil"/>
              <w:bottom w:val="nil"/>
            </w:tcBorders>
          </w:tcPr>
          <w:p w14:paraId="08C71F07" w14:textId="26013B52"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10 mg strength</w:t>
            </w:r>
            <w:r w:rsidRPr="00091697">
              <w:rPr>
                <w:rFonts w:ascii="Calibri" w:hAnsi="Calibri" w:cs="Times New Roman"/>
                <w:color w:val="000000"/>
                <w:sz w:val="20"/>
                <w:szCs w:val="20"/>
                <w:vertAlign w:val="superscript"/>
              </w:rPr>
              <w:t>1</w:t>
            </w:r>
          </w:p>
        </w:tc>
        <w:tc>
          <w:tcPr>
            <w:tcW w:w="2694" w:type="dxa"/>
          </w:tcPr>
          <w:p w14:paraId="6DF6C873" w14:textId="1E323FD2"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2F74E721" w14:textId="77777777" w:rsidR="00B8390C" w:rsidRPr="00091697" w:rsidRDefault="00B8390C" w:rsidP="00091697">
            <w:pPr>
              <w:jc w:val="center"/>
              <w:rPr>
                <w:rFonts w:ascii="Calibri" w:hAnsi="Calibri" w:cs="Arial"/>
                <w:color w:val="000000"/>
                <w:sz w:val="20"/>
                <w:szCs w:val="20"/>
              </w:rPr>
            </w:pPr>
            <w:r w:rsidRPr="00091697">
              <w:rPr>
                <w:rFonts w:ascii="Calibri" w:hAnsi="Calibri" w:cs="Arial"/>
                <w:color w:val="000000"/>
                <w:sz w:val="20"/>
                <w:szCs w:val="20"/>
              </w:rPr>
              <w:t xml:space="preserve">$15,335,885 </w:t>
            </w:r>
          </w:p>
        </w:tc>
        <w:tc>
          <w:tcPr>
            <w:tcW w:w="1701" w:type="dxa"/>
            <w:vAlign w:val="center"/>
          </w:tcPr>
          <w:p w14:paraId="32D3A080" w14:textId="77777777" w:rsidR="00B8390C" w:rsidRPr="00091697" w:rsidRDefault="00B8390C" w:rsidP="00091697">
            <w:pPr>
              <w:jc w:val="center"/>
              <w:rPr>
                <w:rFonts w:ascii="Calibri" w:hAnsi="Calibri" w:cs="Arial"/>
                <w:color w:val="000000"/>
                <w:sz w:val="20"/>
                <w:szCs w:val="20"/>
              </w:rPr>
            </w:pPr>
            <w:r w:rsidRPr="00091697">
              <w:rPr>
                <w:rFonts w:ascii="Calibri" w:hAnsi="Calibri" w:cs="Arial"/>
                <w:color w:val="000000"/>
                <w:sz w:val="20"/>
                <w:szCs w:val="20"/>
              </w:rPr>
              <w:t xml:space="preserve">$12,553,559 </w:t>
            </w:r>
          </w:p>
        </w:tc>
      </w:tr>
      <w:tr w:rsidR="00B8390C" w:rsidRPr="00091697" w14:paraId="5054C51F" w14:textId="77777777" w:rsidTr="00B8390C">
        <w:tc>
          <w:tcPr>
            <w:tcW w:w="2943" w:type="dxa"/>
            <w:tcBorders>
              <w:top w:val="nil"/>
              <w:bottom w:val="single" w:sz="4" w:space="0" w:color="auto"/>
            </w:tcBorders>
          </w:tcPr>
          <w:p w14:paraId="01F19B0B" w14:textId="77777777" w:rsidR="00B8390C" w:rsidRPr="00091697" w:rsidRDefault="00B8390C" w:rsidP="00091697">
            <w:pPr>
              <w:rPr>
                <w:rFonts w:ascii="Calibri" w:hAnsi="Calibri" w:cs="Times New Roman"/>
                <w:color w:val="000000"/>
                <w:sz w:val="20"/>
                <w:szCs w:val="20"/>
              </w:rPr>
            </w:pPr>
          </w:p>
        </w:tc>
        <w:tc>
          <w:tcPr>
            <w:tcW w:w="2694" w:type="dxa"/>
          </w:tcPr>
          <w:p w14:paraId="050C1165" w14:textId="59FE0ACF"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of Predicted</w:t>
            </w:r>
          </w:p>
        </w:tc>
        <w:tc>
          <w:tcPr>
            <w:tcW w:w="1417" w:type="dxa"/>
            <w:vAlign w:val="center"/>
          </w:tcPr>
          <w:p w14:paraId="3B0409B0" w14:textId="56F979BA"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c>
          <w:tcPr>
            <w:tcW w:w="1701" w:type="dxa"/>
            <w:vAlign w:val="center"/>
          </w:tcPr>
          <w:p w14:paraId="24F46F0B" w14:textId="1F4B86EB"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r>
      <w:tr w:rsidR="00B8390C" w:rsidRPr="00091697" w14:paraId="6912793E" w14:textId="77777777" w:rsidTr="00B8390C">
        <w:tc>
          <w:tcPr>
            <w:tcW w:w="2943" w:type="dxa"/>
            <w:tcBorders>
              <w:bottom w:val="nil"/>
            </w:tcBorders>
          </w:tcPr>
          <w:p w14:paraId="1A9EC7CA" w14:textId="4391E64A"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Overall expenditure for the</w:t>
            </w:r>
          </w:p>
        </w:tc>
        <w:tc>
          <w:tcPr>
            <w:tcW w:w="2694" w:type="dxa"/>
          </w:tcPr>
          <w:p w14:paraId="2F6A62E8" w14:textId="2CD5A16E"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Predicted</w:t>
            </w:r>
          </w:p>
        </w:tc>
        <w:tc>
          <w:tcPr>
            <w:tcW w:w="1417" w:type="dxa"/>
            <w:vAlign w:val="bottom"/>
          </w:tcPr>
          <w:p w14:paraId="1F6134AD" w14:textId="2BBF7631" w:rsidR="00B8390C" w:rsidRPr="003602DF" w:rsidRDefault="00B8390C" w:rsidP="00091697">
            <w:pPr>
              <w:jc w:val="center"/>
              <w:rPr>
                <w:rFonts w:ascii="Calibri" w:hAnsi="Calibri" w:cs="Arial"/>
                <w:color w:val="000000"/>
                <w:sz w:val="20"/>
                <w:szCs w:val="20"/>
                <w:highlight w:val="black"/>
              </w:rPr>
            </w:pPr>
            <w:r w:rsidRPr="003602DF">
              <w:rPr>
                <w:rFonts w:ascii="Calibri" w:hAnsi="Calibri" w:cs="Arial"/>
                <w:color w:val="000000"/>
                <w:sz w:val="20"/>
                <w:szCs w:val="20"/>
                <w:highlight w:val="black"/>
              </w:rPr>
              <w:t>XXXXXXXX</w:t>
            </w:r>
          </w:p>
        </w:tc>
        <w:tc>
          <w:tcPr>
            <w:tcW w:w="1701" w:type="dxa"/>
            <w:vAlign w:val="bottom"/>
          </w:tcPr>
          <w:p w14:paraId="6F2E94E1" w14:textId="5244C3AF" w:rsidR="00B8390C" w:rsidRPr="003602DF" w:rsidRDefault="00B8390C" w:rsidP="00091697">
            <w:pPr>
              <w:jc w:val="center"/>
              <w:rPr>
                <w:rFonts w:ascii="Calibri" w:hAnsi="Calibri" w:cs="Arial"/>
                <w:color w:val="000000"/>
                <w:sz w:val="20"/>
                <w:szCs w:val="20"/>
                <w:highlight w:val="black"/>
              </w:rPr>
            </w:pPr>
            <w:r w:rsidRPr="003602DF">
              <w:rPr>
                <w:rFonts w:ascii="Calibri" w:hAnsi="Calibri" w:cs="Arial"/>
                <w:color w:val="000000"/>
                <w:sz w:val="20"/>
                <w:szCs w:val="20"/>
                <w:highlight w:val="black"/>
              </w:rPr>
              <w:t>XXXXXXXX</w:t>
            </w:r>
          </w:p>
        </w:tc>
      </w:tr>
      <w:tr w:rsidR="00B8390C" w:rsidRPr="00091697" w14:paraId="7D8B1DDA" w14:textId="77777777" w:rsidTr="00B8390C">
        <w:tc>
          <w:tcPr>
            <w:tcW w:w="2943" w:type="dxa"/>
            <w:tcBorders>
              <w:top w:val="nil"/>
              <w:bottom w:val="nil"/>
            </w:tcBorders>
          </w:tcPr>
          <w:p w14:paraId="77201333" w14:textId="6B0DA826"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5 mg strength</w:t>
            </w:r>
            <w:r w:rsidRPr="00091697">
              <w:rPr>
                <w:rFonts w:ascii="Calibri" w:hAnsi="Calibri" w:cs="Times New Roman"/>
                <w:color w:val="000000"/>
                <w:sz w:val="20"/>
                <w:szCs w:val="20"/>
                <w:vertAlign w:val="superscript"/>
              </w:rPr>
              <w:t>1</w:t>
            </w:r>
          </w:p>
        </w:tc>
        <w:tc>
          <w:tcPr>
            <w:tcW w:w="2694" w:type="dxa"/>
          </w:tcPr>
          <w:p w14:paraId="26C3C5E8" w14:textId="58635E28"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Actual</w:t>
            </w:r>
          </w:p>
        </w:tc>
        <w:tc>
          <w:tcPr>
            <w:tcW w:w="1417" w:type="dxa"/>
            <w:vAlign w:val="center"/>
          </w:tcPr>
          <w:p w14:paraId="3F8C11E6" w14:textId="77777777" w:rsidR="00B8390C" w:rsidRPr="00091697" w:rsidRDefault="00B8390C" w:rsidP="00091697">
            <w:pPr>
              <w:jc w:val="center"/>
              <w:rPr>
                <w:rFonts w:ascii="Calibri" w:hAnsi="Calibri" w:cs="Arial"/>
                <w:color w:val="000000"/>
                <w:sz w:val="20"/>
                <w:szCs w:val="20"/>
              </w:rPr>
            </w:pPr>
            <w:r w:rsidRPr="00091697">
              <w:rPr>
                <w:rFonts w:ascii="Calibri" w:hAnsi="Calibri" w:cs="Arial"/>
                <w:color w:val="000000"/>
                <w:sz w:val="20"/>
                <w:szCs w:val="20"/>
              </w:rPr>
              <w:t xml:space="preserve">$4,189,489 </w:t>
            </w:r>
          </w:p>
        </w:tc>
        <w:tc>
          <w:tcPr>
            <w:tcW w:w="1701" w:type="dxa"/>
            <w:vAlign w:val="center"/>
          </w:tcPr>
          <w:p w14:paraId="7B977C5E" w14:textId="77777777" w:rsidR="00B8390C" w:rsidRPr="00091697" w:rsidRDefault="00B8390C" w:rsidP="00091697">
            <w:pPr>
              <w:jc w:val="center"/>
              <w:rPr>
                <w:rFonts w:ascii="Calibri" w:hAnsi="Calibri" w:cs="Arial"/>
                <w:color w:val="000000"/>
                <w:sz w:val="20"/>
                <w:szCs w:val="20"/>
              </w:rPr>
            </w:pPr>
            <w:r w:rsidRPr="00091697">
              <w:rPr>
                <w:rFonts w:ascii="Calibri" w:hAnsi="Calibri" w:cs="Arial"/>
                <w:color w:val="000000"/>
                <w:sz w:val="20"/>
                <w:szCs w:val="20"/>
              </w:rPr>
              <w:t xml:space="preserve">$4,412,123 </w:t>
            </w:r>
          </w:p>
        </w:tc>
      </w:tr>
      <w:tr w:rsidR="00B8390C" w:rsidRPr="00091697" w14:paraId="09865384" w14:textId="77777777" w:rsidTr="00B8390C">
        <w:tc>
          <w:tcPr>
            <w:tcW w:w="2943" w:type="dxa"/>
            <w:tcBorders>
              <w:top w:val="nil"/>
            </w:tcBorders>
          </w:tcPr>
          <w:p w14:paraId="61176611" w14:textId="77777777" w:rsidR="00B8390C" w:rsidRPr="00091697" w:rsidRDefault="00B8390C" w:rsidP="00091697">
            <w:pPr>
              <w:rPr>
                <w:rFonts w:ascii="Calibri" w:hAnsi="Calibri" w:cs="Times New Roman"/>
                <w:color w:val="000000"/>
                <w:sz w:val="20"/>
                <w:szCs w:val="20"/>
              </w:rPr>
            </w:pPr>
          </w:p>
        </w:tc>
        <w:tc>
          <w:tcPr>
            <w:tcW w:w="2694" w:type="dxa"/>
          </w:tcPr>
          <w:p w14:paraId="2B17060C" w14:textId="248D703C" w:rsidR="00B8390C" w:rsidRPr="00091697" w:rsidRDefault="00B8390C" w:rsidP="00091697">
            <w:pPr>
              <w:rPr>
                <w:rFonts w:ascii="Calibri" w:hAnsi="Calibri" w:cs="Times New Roman"/>
                <w:color w:val="000000"/>
                <w:sz w:val="20"/>
                <w:szCs w:val="20"/>
              </w:rPr>
            </w:pPr>
            <w:r w:rsidRPr="00091697">
              <w:rPr>
                <w:rFonts w:ascii="Calibri" w:hAnsi="Calibri" w:cs="Times New Roman"/>
                <w:color w:val="000000"/>
                <w:sz w:val="20"/>
                <w:szCs w:val="20"/>
              </w:rPr>
              <w:t>% of Predicted</w:t>
            </w:r>
          </w:p>
        </w:tc>
        <w:tc>
          <w:tcPr>
            <w:tcW w:w="1417" w:type="dxa"/>
            <w:vAlign w:val="center"/>
          </w:tcPr>
          <w:p w14:paraId="2D4FB4F4" w14:textId="7C36B238"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c>
          <w:tcPr>
            <w:tcW w:w="1701" w:type="dxa"/>
            <w:vAlign w:val="center"/>
          </w:tcPr>
          <w:p w14:paraId="65DDD020" w14:textId="2E9F2E61" w:rsidR="00B8390C" w:rsidRPr="003602DF" w:rsidRDefault="00B8390C" w:rsidP="00091697">
            <w:pPr>
              <w:jc w:val="center"/>
              <w:rPr>
                <w:rFonts w:ascii="Calibri" w:hAnsi="Calibri" w:cs="Times New Roman"/>
                <w:color w:val="000000"/>
                <w:sz w:val="20"/>
                <w:szCs w:val="20"/>
                <w:highlight w:val="black"/>
              </w:rPr>
            </w:pPr>
            <w:r w:rsidRPr="003602DF">
              <w:rPr>
                <w:rFonts w:ascii="Calibri" w:hAnsi="Calibri" w:cs="Times New Roman"/>
                <w:color w:val="000000"/>
                <w:sz w:val="20"/>
                <w:szCs w:val="20"/>
                <w:highlight w:val="black"/>
              </w:rPr>
              <w:t>XXX</w:t>
            </w:r>
          </w:p>
        </w:tc>
      </w:tr>
    </w:tbl>
    <w:p w14:paraId="013E940C" w14:textId="77777777" w:rsidR="00091697" w:rsidRPr="00091697" w:rsidRDefault="00091697" w:rsidP="002906C5">
      <w:pPr>
        <w:spacing w:after="0"/>
        <w:rPr>
          <w:rFonts w:ascii="Calibri" w:eastAsia="Calibri" w:hAnsi="Calibri" w:cs="Times New Roman"/>
          <w:color w:val="000000"/>
          <w:sz w:val="20"/>
          <w:szCs w:val="20"/>
          <w:lang w:eastAsia="en-US"/>
        </w:rPr>
      </w:pPr>
      <w:r w:rsidRPr="00091697">
        <w:rPr>
          <w:rFonts w:ascii="Calibri" w:eastAsia="Calibri" w:hAnsi="Calibri" w:cs="Times New Roman"/>
          <w:color w:val="000000"/>
          <w:sz w:val="20"/>
          <w:szCs w:val="20"/>
          <w:lang w:eastAsia="en-US"/>
        </w:rPr>
        <w:t xml:space="preserve">Note: The predicted figures were sourced from the financial estimates model agreed with the sponsor. </w:t>
      </w:r>
    </w:p>
    <w:p w14:paraId="7B31F4BB" w14:textId="1743F167" w:rsidR="00091697" w:rsidRPr="00EB5CAD" w:rsidRDefault="00091697" w:rsidP="002906C5">
      <w:pPr>
        <w:spacing w:after="0"/>
        <w:rPr>
          <w:rFonts w:ascii="Calibri" w:eastAsia="Calibri" w:hAnsi="Calibri" w:cs="Times New Roman"/>
          <w:color w:val="000000"/>
          <w:sz w:val="20"/>
          <w:szCs w:val="20"/>
          <w:lang w:eastAsia="en-US"/>
        </w:rPr>
      </w:pPr>
      <w:r w:rsidRPr="00091697">
        <w:rPr>
          <w:rFonts w:ascii="Calibri" w:eastAsia="Calibri" w:hAnsi="Calibri" w:cs="Times New Roman"/>
          <w:color w:val="000000"/>
          <w:sz w:val="20"/>
          <w:szCs w:val="20"/>
          <w:vertAlign w:val="superscript"/>
          <w:lang w:eastAsia="en-US"/>
        </w:rPr>
        <w:t xml:space="preserve">1 </w:t>
      </w:r>
      <w:r w:rsidRPr="00091697">
        <w:rPr>
          <w:rFonts w:ascii="Calibri" w:eastAsia="Calibri" w:hAnsi="Calibri" w:cs="Times New Roman"/>
          <w:color w:val="000000"/>
          <w:sz w:val="20"/>
          <w:szCs w:val="20"/>
          <w:lang w:eastAsia="en-US"/>
        </w:rPr>
        <w:t>Expenditure figures are based on the published prices.  A Special Pricing Arrangement applies for everolimus and the actual cost to the Commonwealth is less than presented here.</w:t>
      </w:r>
    </w:p>
    <w:p w14:paraId="4686AA10" w14:textId="77777777" w:rsidR="00091697" w:rsidRDefault="00091697" w:rsidP="00E96E7A">
      <w:pPr>
        <w:spacing w:after="0"/>
        <w:rPr>
          <w:color w:val="000000" w:themeColor="text1"/>
          <w:sz w:val="20"/>
          <w:szCs w:val="20"/>
        </w:rPr>
      </w:pPr>
    </w:p>
    <w:p w14:paraId="59DB4CDE" w14:textId="2AD8589C" w:rsidR="005B0C96" w:rsidRDefault="003F49C6" w:rsidP="00AD5946">
      <w:pPr>
        <w:rPr>
          <w:color w:val="000000" w:themeColor="text1"/>
        </w:rPr>
      </w:pPr>
      <w:r>
        <w:rPr>
          <w:color w:val="000000" w:themeColor="text1"/>
        </w:rPr>
        <w:t xml:space="preserve">The actual number of prescriptions for each strength was less than predicted </w:t>
      </w:r>
      <w:r w:rsidR="008C4C00">
        <w:rPr>
          <w:color w:val="000000" w:themeColor="text1"/>
        </w:rPr>
        <w:t xml:space="preserve">due to </w:t>
      </w:r>
      <w:r>
        <w:rPr>
          <w:color w:val="000000" w:themeColor="text1"/>
        </w:rPr>
        <w:t xml:space="preserve">an overestimation of the average number of scripts per patient. </w:t>
      </w:r>
      <w:r w:rsidR="00C03BED">
        <w:rPr>
          <w:color w:val="000000" w:themeColor="text1"/>
        </w:rPr>
        <w:t>Based on a median progression-free survival of 6.9 months for everolimus with exemestane therapy from the BOLERO</w:t>
      </w:r>
      <w:r w:rsidR="0003302F">
        <w:rPr>
          <w:color w:val="000000" w:themeColor="text1"/>
        </w:rPr>
        <w:t>-2</w:t>
      </w:r>
      <w:r w:rsidR="00C03BED">
        <w:rPr>
          <w:color w:val="000000" w:themeColor="text1"/>
        </w:rPr>
        <w:t xml:space="preserve"> trial</w:t>
      </w:r>
      <w:r w:rsidR="00CA3272">
        <w:rPr>
          <w:color w:val="000000" w:themeColor="text1"/>
        </w:rPr>
        <w:t xml:space="preserve"> (Baselga et al., 2012)</w:t>
      </w:r>
      <w:r w:rsidR="00C03BED">
        <w:rPr>
          <w:color w:val="000000" w:themeColor="text1"/>
        </w:rPr>
        <w:t xml:space="preserve">, it was predicted that patients would receive 7 months of treatment on average. </w:t>
      </w:r>
      <w:r w:rsidR="00EA126F">
        <w:rPr>
          <w:color w:val="000000" w:themeColor="text1"/>
        </w:rPr>
        <w:t xml:space="preserve">The actual annual number of prescriptions was examined in patients who first initiated on everolimus </w:t>
      </w:r>
      <w:r w:rsidR="001A5C9A">
        <w:rPr>
          <w:color w:val="000000" w:themeColor="text1"/>
        </w:rPr>
        <w:t>in a</w:t>
      </w:r>
      <w:r w:rsidR="00EA126F">
        <w:rPr>
          <w:color w:val="000000" w:themeColor="text1"/>
        </w:rPr>
        <w:t xml:space="preserve"> six month period between </w:t>
      </w:r>
      <w:r w:rsidR="000A0EAE">
        <w:rPr>
          <w:color w:val="000000" w:themeColor="text1"/>
        </w:rPr>
        <w:t>February</w:t>
      </w:r>
      <w:r w:rsidR="00077F6A">
        <w:rPr>
          <w:color w:val="000000" w:themeColor="text1"/>
        </w:rPr>
        <w:t xml:space="preserve"> to </w:t>
      </w:r>
      <w:r w:rsidR="000A0EAE">
        <w:rPr>
          <w:color w:val="000000" w:themeColor="text1"/>
        </w:rPr>
        <w:t>July</w:t>
      </w:r>
      <w:r w:rsidR="00EA126F">
        <w:rPr>
          <w:color w:val="000000" w:themeColor="text1"/>
        </w:rPr>
        <w:t xml:space="preserve"> 2015 (which allowed a follow up period of 12 months to the most recent month of supply a</w:t>
      </w:r>
      <w:r w:rsidR="000F58A5">
        <w:rPr>
          <w:color w:val="000000" w:themeColor="text1"/>
        </w:rPr>
        <w:t>t the time of the analysis</w:t>
      </w:r>
      <w:r w:rsidR="00EA126F">
        <w:rPr>
          <w:color w:val="000000" w:themeColor="text1"/>
        </w:rPr>
        <w:t xml:space="preserve">). </w:t>
      </w:r>
      <w:r w:rsidR="00B042B9">
        <w:rPr>
          <w:color w:val="000000" w:themeColor="text1"/>
        </w:rPr>
        <w:t>The number of prescriptions of everolimus supplied to the initiating cohort was counted over 12 months from their date of initiation.</w:t>
      </w:r>
      <w:r w:rsidR="004735A9">
        <w:rPr>
          <w:color w:val="000000" w:themeColor="text1"/>
        </w:rPr>
        <w:t xml:space="preserve"> For both the 5 mg and 10 mg strengths, the</w:t>
      </w:r>
      <w:r w:rsidR="00A623F5">
        <w:rPr>
          <w:color w:val="000000" w:themeColor="text1"/>
        </w:rPr>
        <w:t>re was a</w:t>
      </w:r>
      <w:r w:rsidR="004735A9">
        <w:rPr>
          <w:color w:val="000000" w:themeColor="text1"/>
        </w:rPr>
        <w:t xml:space="preserve"> median </w:t>
      </w:r>
      <w:r w:rsidR="00A623F5">
        <w:rPr>
          <w:color w:val="000000" w:themeColor="text1"/>
        </w:rPr>
        <w:t>of four</w:t>
      </w:r>
      <w:r w:rsidR="004735A9">
        <w:rPr>
          <w:color w:val="000000" w:themeColor="text1"/>
        </w:rPr>
        <w:t xml:space="preserve"> scripts </w:t>
      </w:r>
      <w:r w:rsidR="00A623F5">
        <w:rPr>
          <w:color w:val="000000" w:themeColor="text1"/>
        </w:rPr>
        <w:t xml:space="preserve">per annum, considerably less than predicted. </w:t>
      </w:r>
    </w:p>
    <w:p w14:paraId="026C8792" w14:textId="77777777" w:rsidR="00C7111E" w:rsidRDefault="00C7111E" w:rsidP="001320C3">
      <w:pPr>
        <w:pStyle w:val="Heading1"/>
        <w:spacing w:before="240"/>
      </w:pPr>
      <w:r>
        <w:lastRenderedPageBreak/>
        <w:t>D</w:t>
      </w:r>
      <w:r w:rsidRPr="005E22C2">
        <w:t>iscussion</w:t>
      </w:r>
    </w:p>
    <w:p w14:paraId="2A710E89" w14:textId="5C155FD8" w:rsidR="00651B4F" w:rsidRDefault="00651B4F" w:rsidP="00651B4F">
      <w:r>
        <w:t xml:space="preserve">The projected utilisation of everolimus for metastatic breast cancer was based on the number of participants in the </w:t>
      </w:r>
      <w:r w:rsidR="008C4C00">
        <w:t xml:space="preserve">Sponsor’s </w:t>
      </w:r>
      <w:r>
        <w:t>compassionate use program (</w:t>
      </w:r>
      <w:r w:rsidR="008C4C00">
        <w:t>Appendix</w:t>
      </w:r>
      <w:r>
        <w:t xml:space="preserve"> 2). As predicted, a relatively large number of patients transitioned from the compassionate use program to access subsidised everolimus during the initial months of listing (Table 5, Figure 1). The estimated number of treated patients for Year 1 of listing was similar to the actual (within </w:t>
      </w:r>
      <w:r w:rsidR="00E115FF" w:rsidRPr="00E115FF">
        <w:rPr>
          <w:highlight w:val="black"/>
        </w:rPr>
        <w:t>XXX</w:t>
      </w:r>
      <w:r>
        <w:t xml:space="preserve"> Table 5). However, the predicted number of treated patients in Year 2 was substantially </w:t>
      </w:r>
      <w:r w:rsidR="003D627B">
        <w:t>overestimated</w:t>
      </w:r>
      <w:r>
        <w:t xml:space="preserve"> (Table 5). Since August 2015 there was a gradual decline in the number of treated patients (Figure 2) as the number of incident patients had stabilised to lower levels over the second year of listing compared to the initial months of listing (Figure 1). </w:t>
      </w:r>
    </w:p>
    <w:p w14:paraId="2017E79E" w14:textId="28AA3F08" w:rsidR="00D81410" w:rsidRDefault="002407E7" w:rsidP="00D81410">
      <w:r>
        <w:t xml:space="preserve">Based on the progression-free survival time of 6.9 months from the BOLERO-2 trial </w:t>
      </w:r>
      <w:r w:rsidR="00BA6DE6">
        <w:t xml:space="preserve">(Tomas and Barrios, 2015) </w:t>
      </w:r>
      <w:r>
        <w:t>it was assumed that patients would receive an average of 7 prescriptions per year</w:t>
      </w:r>
      <w:r w:rsidR="004C1F40">
        <w:t>,</w:t>
      </w:r>
      <w:r w:rsidR="00D81410">
        <w:t xml:space="preserve"> which appeared to be an overestimate</w:t>
      </w:r>
      <w:r>
        <w:t xml:space="preserve">. </w:t>
      </w:r>
      <w:r w:rsidR="00E65F3E">
        <w:t xml:space="preserve">An analysis of initiators on everolimus </w:t>
      </w:r>
      <w:r w:rsidR="00D81410">
        <w:t xml:space="preserve">in </w:t>
      </w:r>
      <w:r w:rsidR="00E65F3E">
        <w:t>2015 found that</w:t>
      </w:r>
      <w:r w:rsidR="00424D8B">
        <w:t xml:space="preserve"> the median annual number of scripts was 4 for </w:t>
      </w:r>
      <w:r w:rsidR="00D5509B">
        <w:t xml:space="preserve">the supply of </w:t>
      </w:r>
      <w:r w:rsidR="003C0307">
        <w:t xml:space="preserve">any strength </w:t>
      </w:r>
      <w:r w:rsidR="00846784">
        <w:t>(i.e. either</w:t>
      </w:r>
      <w:r w:rsidR="003C0307">
        <w:t xml:space="preserve"> </w:t>
      </w:r>
      <w:r w:rsidR="00D5509B">
        <w:t>5 mg or</w:t>
      </w:r>
      <w:r w:rsidR="003C0307">
        <w:t xml:space="preserve"> 10 mg)</w:t>
      </w:r>
      <w:r w:rsidR="00424D8B">
        <w:t xml:space="preserve">. </w:t>
      </w:r>
      <w:r w:rsidR="000A4FEB">
        <w:t xml:space="preserve">The </w:t>
      </w:r>
      <w:r w:rsidR="00D81410">
        <w:t>proportional use of the 10 mg strength, and consequently the average daily dose, were higher than anticipated</w:t>
      </w:r>
      <w:r w:rsidR="003D49C6">
        <w:t xml:space="preserve"> (Table 5)</w:t>
      </w:r>
      <w:r w:rsidR="00D81410">
        <w:t xml:space="preserve">. </w:t>
      </w:r>
      <w:r w:rsidR="0068582D">
        <w:t xml:space="preserve">The predicted number of prescriptions by drug strength may have been over- or under- estimated by applying the assumptions for the proportional use by drug strength to the </w:t>
      </w:r>
      <w:r w:rsidR="00323CF8">
        <w:t xml:space="preserve">forecasted </w:t>
      </w:r>
      <w:r w:rsidR="0068582D">
        <w:t>number of patients and then applying the assumption of 7 prescriptions per patient per year. The usual approach in</w:t>
      </w:r>
      <w:r w:rsidR="000A4FEB">
        <w:t xml:space="preserve"> estimating the </w:t>
      </w:r>
      <w:r w:rsidR="0068582D">
        <w:t>number</w:t>
      </w:r>
      <w:r w:rsidR="000A4FEB">
        <w:t xml:space="preserve"> of prescriptions by </w:t>
      </w:r>
      <w:r w:rsidR="0068582D">
        <w:t xml:space="preserve">drug </w:t>
      </w:r>
      <w:r w:rsidR="000A4FEB">
        <w:t xml:space="preserve">strength is to apply the assumptions of proportional use to the estimated number of </w:t>
      </w:r>
      <w:r w:rsidR="0068582D">
        <w:t xml:space="preserve">overall </w:t>
      </w:r>
      <w:r w:rsidR="004E2688">
        <w:t>prescriptions.</w:t>
      </w:r>
    </w:p>
    <w:p w14:paraId="1A8ACFA8" w14:textId="05B7E59B" w:rsidR="003852BA" w:rsidRDefault="00677CF8" w:rsidP="000849E3">
      <w:r>
        <w:t xml:space="preserve">To qualify for everolimus, patients must meet the criterion of </w:t>
      </w:r>
      <w:r w:rsidR="002D2B88">
        <w:t>having received</w:t>
      </w:r>
      <w:r>
        <w:t xml:space="preserve"> prior treatment with either anastrozole or letrozole. </w:t>
      </w:r>
      <w:r w:rsidR="00003F06">
        <w:t xml:space="preserve">Based on patients </w:t>
      </w:r>
      <w:r w:rsidR="00665F55">
        <w:t>identified as having initiated on</w:t>
      </w:r>
      <w:r w:rsidR="00003F06">
        <w:t xml:space="preserve"> everolimus with exem</w:t>
      </w:r>
      <w:r w:rsidR="005702A3">
        <w:t>estane in 2015, the majority (94</w:t>
      </w:r>
      <w:r w:rsidR="00003F06">
        <w:t xml:space="preserve">%) </w:t>
      </w:r>
      <w:r w:rsidR="002D2B88">
        <w:t>complied with this requirement</w:t>
      </w:r>
      <w:r w:rsidR="00495CDC">
        <w:t xml:space="preserve"> (Table 4</w:t>
      </w:r>
      <w:r w:rsidR="00003F06">
        <w:t xml:space="preserve">). </w:t>
      </w:r>
      <w:r w:rsidR="00B04758">
        <w:t>There were only a small number of cases where everolimus was potentially being used as monothera</w:t>
      </w:r>
      <w:r w:rsidR="009160A1">
        <w:t>py</w:t>
      </w:r>
      <w:r w:rsidR="00B04758">
        <w:t xml:space="preserve"> or in combination with exemestane without prior anastrozole or letrozole (Table 4).  </w:t>
      </w:r>
      <w:r w:rsidR="00745371">
        <w:t>The use of everolimus as monotherapy is not recommended in current guidelines</w:t>
      </w:r>
      <w:r w:rsidR="00EB2081">
        <w:t xml:space="preserve"> (e.g. ASCO 2016)</w:t>
      </w:r>
      <w:r w:rsidR="00745371">
        <w:t xml:space="preserve">, however the efficacy of such use in second-line is being investigated in the BOLERO-6 trial (Anderson and </w:t>
      </w:r>
      <w:r w:rsidR="00745371" w:rsidRPr="00E93826">
        <w:t>Cuellar</w:t>
      </w:r>
      <w:r w:rsidR="00745371">
        <w:t>, 2016).</w:t>
      </w:r>
    </w:p>
    <w:p w14:paraId="48701E9D" w14:textId="5865FB32" w:rsidR="003444CB" w:rsidRDefault="003444CB" w:rsidP="00D54FE6">
      <w:r>
        <w:t>The recommended starting dose of everolimus for advanced breast cancer is 10 mg regardless of age or renal function (</w:t>
      </w:r>
      <w:r w:rsidR="008C4C00">
        <w:t>Appendix</w:t>
      </w:r>
      <w:r>
        <w:t xml:space="preserve"> 1). The BOLERO-2 trial (</w:t>
      </w:r>
      <w:r w:rsidRPr="00453AE3">
        <w:t>Hortobagyi, 2015) found that</w:t>
      </w:r>
      <w:r>
        <w:t xml:space="preserve"> </w:t>
      </w:r>
      <w:r w:rsidRPr="00453AE3">
        <w:t>no dosage adjustmen</w:t>
      </w:r>
      <w:r>
        <w:t>t of initial dosing was</w:t>
      </w:r>
      <w:r w:rsidRPr="00453AE3">
        <w:t xml:space="preserve"> required in </w:t>
      </w:r>
      <w:r>
        <w:t xml:space="preserve">otherwise healthy elderly patients. However, people aged over 70 years were more commonly initiated on the 5 mg strength compared to younger age cohorts (Figure 3). This may have been due to reasons other than age, such as a need to reduce the dose to prevent drug interactions with </w:t>
      </w:r>
      <w:r w:rsidRPr="007D14CF">
        <w:t>CYP3A4/PgP inhibitors</w:t>
      </w:r>
      <w:r>
        <w:t xml:space="preserve"> (e.g. antidepressants, antibiotics, antifungals and calcium channel blockers).</w:t>
      </w:r>
    </w:p>
    <w:p w14:paraId="7F346418" w14:textId="50746686" w:rsidR="00361E38" w:rsidRDefault="003852BA" w:rsidP="000849E3">
      <w:r>
        <w:t>Expanding the restriction to allow use</w:t>
      </w:r>
      <w:r w:rsidR="00D979AC">
        <w:t xml:space="preserve"> in males from 1 March 2015 </w:t>
      </w:r>
      <w:r>
        <w:t>had a minim</w:t>
      </w:r>
      <w:r w:rsidR="00620243">
        <w:t>al impact on the overall utilisation of everolimus</w:t>
      </w:r>
      <w:r>
        <w:t>. Over t</w:t>
      </w:r>
      <w:r w:rsidR="00620243">
        <w:t>he first two years of listing, around 1% of patients accessing everolimus were male</w:t>
      </w:r>
      <w:r w:rsidR="001B75FF">
        <w:t xml:space="preserve"> (Table 3)</w:t>
      </w:r>
      <w:r w:rsidR="00620243">
        <w:t>.</w:t>
      </w:r>
    </w:p>
    <w:p w14:paraId="4FD57FD5" w14:textId="77777777" w:rsidR="00D54FE6" w:rsidRDefault="00D54FE6" w:rsidP="00D54FE6">
      <w:pPr>
        <w:pStyle w:val="Heading1"/>
      </w:pPr>
      <w:r>
        <w:lastRenderedPageBreak/>
        <w:t>DUSC consideration</w:t>
      </w:r>
    </w:p>
    <w:p w14:paraId="56AC5157" w14:textId="5EF2BA48" w:rsidR="00D54FE6" w:rsidRPr="00D54FE6" w:rsidRDefault="00D54FE6" w:rsidP="00D54FE6">
      <w:r w:rsidRPr="00D54FE6">
        <w:t xml:space="preserve">The recommended starting dose of everolimus for advanced breast cancer is 10 mg regardless of age or renal function. However, </w:t>
      </w:r>
      <w:r w:rsidR="00106769">
        <w:t xml:space="preserve">DUSC noted </w:t>
      </w:r>
      <w:r w:rsidRPr="00D54FE6">
        <w:t>people aged over 70 years were more commonly initiated on the 5 mg strength compared to younger age cohorts. DUSC further noted that in the overall prevalent population there was a greater use of the 5 mg strength compared with the 10 mg strength over time (Figure 2 of the review). DUSC considered that the 10 mg strength was too toxic for some patients.</w:t>
      </w:r>
    </w:p>
    <w:p w14:paraId="7F5B7691" w14:textId="3CD0925D" w:rsidR="00D54FE6" w:rsidRPr="00D54FE6" w:rsidRDefault="00D54FE6" w:rsidP="00D54FE6">
      <w:r w:rsidRPr="00D54FE6">
        <w:t xml:space="preserve">The projected number of prescriptions was derived separately for the 10 mg and 5 mg strengths of everolimus. Derived proportions for each strength were obtained to result in the weighted average dose observed in the BOLERO-2 trial of </w:t>
      </w:r>
      <w:r w:rsidR="00091182" w:rsidRPr="00091182">
        <w:rPr>
          <w:highlight w:val="black"/>
        </w:rPr>
        <w:t>XXXXX</w:t>
      </w:r>
      <w:r w:rsidRPr="00D54FE6">
        <w:t xml:space="preserve"> mg (i.e. </w:t>
      </w:r>
      <w:r w:rsidR="00E115FF" w:rsidRPr="00E115FF">
        <w:rPr>
          <w:highlight w:val="black"/>
        </w:rPr>
        <w:t>XXXXX</w:t>
      </w:r>
      <w:r w:rsidRPr="00D54FE6">
        <w:t xml:space="preserve"> of patients would require the 10 mg strength with the remainder taking the 5 mg strength to give </w:t>
      </w:r>
      <w:r w:rsidR="00E115FF" w:rsidRPr="00E115FF">
        <w:rPr>
          <w:highlight w:val="black"/>
        </w:rPr>
        <w:t>XXXXXXXXXXXXXXXXXXXXXXXXX</w:t>
      </w:r>
      <w:r w:rsidRPr="00D54FE6">
        <w:t xml:space="preserve">). </w:t>
      </w:r>
      <w:r w:rsidR="00B47325">
        <w:t>DUSC noted that t</w:t>
      </w:r>
      <w:r w:rsidRPr="00D54FE6">
        <w:t xml:space="preserve">he average daily dose of </w:t>
      </w:r>
      <w:r w:rsidR="00FD5218" w:rsidRPr="00FD5218">
        <w:rPr>
          <w:highlight w:val="black"/>
        </w:rPr>
        <w:t>XXXXX</w:t>
      </w:r>
      <w:r w:rsidRPr="00D54FE6">
        <w:t xml:space="preserve"> mg was calculated in the March 2013 submission as follows:</w:t>
      </w:r>
    </w:p>
    <w:p w14:paraId="72E087F1" w14:textId="0E0D950F" w:rsidR="00D54FE6" w:rsidRPr="00D54FE6" w:rsidRDefault="00D54FE6" w:rsidP="00B47325">
      <w:pPr>
        <w:ind w:left="720"/>
      </w:pPr>
      <w:r w:rsidRPr="00D54FE6">
        <w:t>Average daily dose = recommended dose (10 mg) x dose intensity (</w:t>
      </w:r>
      <w:r w:rsidR="00FF792A" w:rsidRPr="00FF792A">
        <w:rPr>
          <w:highlight w:val="black"/>
        </w:rPr>
        <w:t>XXXXX</w:t>
      </w:r>
      <w:r w:rsidRPr="00D54FE6">
        <w:t>) x dose duration of everolimus treatment [mean everolimus duration (</w:t>
      </w:r>
      <w:r w:rsidR="00FF792A" w:rsidRPr="00FF792A">
        <w:rPr>
          <w:highlight w:val="black"/>
        </w:rPr>
        <w:t>XXXXX</w:t>
      </w:r>
      <w:r w:rsidR="00FF792A">
        <w:t xml:space="preserve"> </w:t>
      </w:r>
      <w:r w:rsidRPr="00D54FE6">
        <w:t>weeks) / mean exemestane duration (</w:t>
      </w:r>
      <w:r w:rsidR="00FF792A" w:rsidRPr="00FF792A">
        <w:rPr>
          <w:highlight w:val="black"/>
        </w:rPr>
        <w:t>XXXXX</w:t>
      </w:r>
      <w:r w:rsidRPr="00D54FE6">
        <w:t xml:space="preserve"> weeks)] = </w:t>
      </w:r>
      <w:r w:rsidR="00FF792A" w:rsidRPr="00FF792A">
        <w:rPr>
          <w:highlight w:val="black"/>
        </w:rPr>
        <w:t>XXXXX</w:t>
      </w:r>
      <w:r w:rsidRPr="00D54FE6">
        <w:t xml:space="preserve"> mg.</w:t>
      </w:r>
    </w:p>
    <w:p w14:paraId="73C31730" w14:textId="77777777" w:rsidR="00D54FE6" w:rsidRPr="00D54FE6" w:rsidRDefault="00D54FE6" w:rsidP="00D54FE6">
      <w:r w:rsidRPr="00D54FE6">
        <w:t xml:space="preserve">The number of treated patients was forecasted based on patients participating in the sponsor’s compassionate use program which was established in December 2012. The average annual number of prescriptions per patient was estimated to be seven based on the progression-free survival time of 6.9 months for everolimus with exemestane observed in the BOLERO-2 trial. For both the 5 mg and 10 mg strengths, there was a median of four scripts per annum, considerably less than predicted.  DUSC commented that the duration of use in the sponsor’s compassionate program was unknown and considered that this would have been informative about expected use. DUSC considered that the time on therapy was overestimated by not factoring in treatment breaks into the financial estimates. </w:t>
      </w:r>
    </w:p>
    <w:p w14:paraId="03683E18" w14:textId="0491253C" w:rsidR="00D54FE6" w:rsidRPr="00D54FE6" w:rsidRDefault="00D54FE6" w:rsidP="00D54FE6">
      <w:r w:rsidRPr="00D54FE6">
        <w:t xml:space="preserve">The predicted number of prescriptions by drug strength may have been over- or under- estimated by applying the assumptions for the proportional use by drug strength to the forecasted number of patients and then applying the assumption of 7 prescriptions per patient per year. DUSC </w:t>
      </w:r>
      <w:r w:rsidR="000F0B21">
        <w:t>agreed</w:t>
      </w:r>
      <w:r w:rsidR="000F0B21" w:rsidRPr="00D54FE6">
        <w:t xml:space="preserve"> </w:t>
      </w:r>
      <w:r w:rsidRPr="00D54FE6">
        <w:t>that it was more conventional to apply the assumptions for proportional use to the estimated number of prescriptions compared with the submission’s approach.</w:t>
      </w:r>
    </w:p>
    <w:p w14:paraId="3F933D96" w14:textId="77777777" w:rsidR="00D54FE6" w:rsidRPr="00D54FE6" w:rsidRDefault="00D54FE6" w:rsidP="00D54FE6">
      <w:r w:rsidRPr="00D54FE6">
        <w:t>The majority (94%) of patients were found to be using everolimus consistent with the restriction criteria with evidence of the prior use of letrozole or anastrozole. DUSC commented that letrozole and anastrozole were considered to be good treatment options and as such would be expected to be used prior to everolimus.</w:t>
      </w:r>
    </w:p>
    <w:p w14:paraId="2909DF71" w14:textId="7AD18508" w:rsidR="00D54FE6" w:rsidRDefault="00D54FE6" w:rsidP="00185131">
      <w:pPr>
        <w:rPr>
          <w:b/>
          <w:bCs/>
        </w:rPr>
      </w:pPr>
      <w:r w:rsidRPr="00D54FE6">
        <w:t>DUSC noted that Table 5 demonstrated that the expenditure on everolimus for breast cancer based on its published prices had been less than predicted over the first two years of its listing.</w:t>
      </w:r>
    </w:p>
    <w:p w14:paraId="2C345273" w14:textId="7ACDBACE" w:rsidR="00D54FE6" w:rsidRDefault="00D54FE6" w:rsidP="00D54FE6">
      <w:pPr>
        <w:pStyle w:val="Heading1"/>
      </w:pPr>
      <w:r>
        <w:lastRenderedPageBreak/>
        <w:t>DUSC actions</w:t>
      </w:r>
    </w:p>
    <w:p w14:paraId="6E4BDE1E" w14:textId="22AD1FA2" w:rsidR="00D54FE6" w:rsidRPr="00832324" w:rsidRDefault="008D0AC7" w:rsidP="00D54FE6">
      <w:pPr>
        <w:rPr>
          <w:highlight w:val="yellow"/>
        </w:rPr>
      </w:pPr>
      <w:r>
        <w:t>T</w:t>
      </w:r>
      <w:r w:rsidRPr="008D0AC7">
        <w:t xml:space="preserve">he report </w:t>
      </w:r>
      <w:r>
        <w:t>was</w:t>
      </w:r>
      <w:r w:rsidRPr="008D0AC7">
        <w:t xml:space="preserve"> provided to the PBAC</w:t>
      </w:r>
      <w:r>
        <w:t>.</w:t>
      </w:r>
    </w:p>
    <w:p w14:paraId="6F9504A7" w14:textId="77777777" w:rsidR="00D54FE6" w:rsidRDefault="00D54FE6" w:rsidP="00D54FE6">
      <w:pPr>
        <w:pStyle w:val="Heading1"/>
      </w:pPr>
      <w:r w:rsidRPr="0092516A">
        <w:t>Context for analysis</w:t>
      </w:r>
    </w:p>
    <w:p w14:paraId="42E0801E" w14:textId="77777777" w:rsidR="00D54FE6" w:rsidRDefault="00D54FE6" w:rsidP="00D54FE6">
      <w:r>
        <w:t>The DUSC is a Sub Committee of the Pharmaceutical Benefits Advisory Committee (PBAC). The DUSC assesses estimates on projected usage and financial cost of medicines.</w:t>
      </w:r>
    </w:p>
    <w:p w14:paraId="399FC5B5" w14:textId="77777777" w:rsidR="00D54FE6" w:rsidRDefault="00D54FE6" w:rsidP="00D54FE6">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41707D2E" w14:textId="77777777" w:rsidR="00D54FE6" w:rsidRDefault="00D54FE6" w:rsidP="00D54FE6">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37F320B" w14:textId="77777777" w:rsidR="00D54FE6" w:rsidRDefault="00D54FE6" w:rsidP="00D54FE6">
      <w:r>
        <w:t>The utilisation analysis report was provided to the pharmaceutical sponsors of each drug and comments on the report were provided to DUSC prior to its consideration of the analysis.</w:t>
      </w:r>
    </w:p>
    <w:p w14:paraId="11AF8BCB" w14:textId="77777777" w:rsidR="00D54FE6" w:rsidRDefault="00D54FE6" w:rsidP="00D54FE6">
      <w:pPr>
        <w:pStyle w:val="Heading1"/>
      </w:pPr>
      <w:r>
        <w:t>Sponsor</w:t>
      </w:r>
      <w:r w:rsidRPr="0092516A">
        <w:t>s</w:t>
      </w:r>
      <w:r>
        <w:t>’</w:t>
      </w:r>
      <w:r w:rsidRPr="0092516A">
        <w:t xml:space="preserve"> comments</w:t>
      </w:r>
    </w:p>
    <w:p w14:paraId="3363C05D" w14:textId="0A5C2583" w:rsidR="00914C6F" w:rsidRPr="00BD493A" w:rsidRDefault="00914C6F" w:rsidP="00914C6F">
      <w:r>
        <w:t>Novartis Pharmaceuticals Australia Pty Limited</w:t>
      </w:r>
      <w:r w:rsidRPr="00BD493A">
        <w:t>:</w:t>
      </w:r>
    </w:p>
    <w:p w14:paraId="418458FD" w14:textId="4EA18F13" w:rsidR="00D54FE6" w:rsidRDefault="00F912B1" w:rsidP="00D54FE6">
      <w:r>
        <w:t>The sponsor has no comment.</w:t>
      </w:r>
    </w:p>
    <w:p w14:paraId="118205BF" w14:textId="77777777" w:rsidR="00D54FE6" w:rsidRDefault="00D54FE6" w:rsidP="00D54FE6">
      <w:pPr>
        <w:pStyle w:val="Heading1"/>
      </w:pPr>
      <w:r w:rsidRPr="00A4020E">
        <w:t>Disclaimer</w:t>
      </w:r>
    </w:p>
    <w:p w14:paraId="44231B78" w14:textId="77777777" w:rsidR="00D54FE6" w:rsidRDefault="00D54FE6" w:rsidP="00D54FE6">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1E1B572" w14:textId="77777777" w:rsidR="00D54FE6" w:rsidRDefault="00D54FE6" w:rsidP="00D54FE6">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AFA8AA4" w14:textId="77777777" w:rsidR="00D54FE6" w:rsidRDefault="00D54FE6" w:rsidP="00D54FE6">
      <w:r>
        <w:t xml:space="preserve">To the extent provided by law, DoH makes no warranties or representations as to accuracy or completeness of information contained in this report. </w:t>
      </w:r>
    </w:p>
    <w:p w14:paraId="18A58036" w14:textId="77777777" w:rsidR="00D54FE6" w:rsidRDefault="00D54FE6" w:rsidP="00D54FE6">
      <w:r>
        <w:lastRenderedPageBreak/>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5AA6988" w14:textId="78B246BD" w:rsidR="004B306F" w:rsidRDefault="004B306F" w:rsidP="00F73113">
      <w:pPr>
        <w:pStyle w:val="Heading1"/>
      </w:pPr>
      <w:r>
        <w:t>References</w:t>
      </w:r>
    </w:p>
    <w:p w14:paraId="5CBA6A0D" w14:textId="1D519AED" w:rsidR="00E93826" w:rsidRDefault="00AC2659" w:rsidP="00E93826">
      <w:pPr>
        <w:autoSpaceDE w:val="0"/>
        <w:autoSpaceDN w:val="0"/>
        <w:adjustRightInd w:val="0"/>
        <w:spacing w:after="0"/>
      </w:pPr>
      <w:r>
        <w:t>Anderson</w:t>
      </w:r>
      <w:r w:rsidR="00745371">
        <w:t xml:space="preserve">, </w:t>
      </w:r>
      <w:r>
        <w:t>J</w:t>
      </w:r>
      <w:r w:rsidR="00745371">
        <w:t>.</w:t>
      </w:r>
      <w:r>
        <w:t xml:space="preserve"> and</w:t>
      </w:r>
      <w:r w:rsidR="00E93826" w:rsidRPr="00E93826">
        <w:t xml:space="preserve"> Cuellar</w:t>
      </w:r>
      <w:r w:rsidR="00745371">
        <w:t xml:space="preserve">, </w:t>
      </w:r>
      <w:r w:rsidR="00E93826" w:rsidRPr="00E93826">
        <w:t xml:space="preserve"> S</w:t>
      </w:r>
      <w:r w:rsidR="00745371">
        <w:t>.</w:t>
      </w:r>
      <w:r w:rsidR="00E93826" w:rsidRPr="00E93826">
        <w:t xml:space="preserve"> (2016) Updates in the Use of the mTOR Inhibitor Everolimus in Advanced Breast </w:t>
      </w:r>
      <w:r w:rsidR="00E93826">
        <w:t xml:space="preserve">Cancer. J Cancer Clin Trials 1: </w:t>
      </w:r>
      <w:r w:rsidR="00E93826" w:rsidRPr="00E93826">
        <w:t>112.</w:t>
      </w:r>
    </w:p>
    <w:p w14:paraId="18AE9019" w14:textId="77777777" w:rsidR="00A37796" w:rsidRDefault="00A37796" w:rsidP="00A37796">
      <w:pPr>
        <w:spacing w:after="0"/>
      </w:pPr>
    </w:p>
    <w:p w14:paraId="47BAAA6F" w14:textId="1C7E2A21" w:rsidR="00400597" w:rsidRDefault="00400597" w:rsidP="00400597">
      <w:r>
        <w:t>(ASCO Guidelines 2016). Rugo, H.S., R. Rumble., R.B., Macrae, E., Barton, D.L. et al. (2016) Endocrine Therapy for Hormone Receptor–Positive Metastatic Breast Cancer: American Society of Clinical Oncology Guideline. J Clin Oncol 34:3069-3103.</w:t>
      </w:r>
    </w:p>
    <w:p w14:paraId="1E9A7D65" w14:textId="67591527" w:rsidR="00D851F0" w:rsidRDefault="00D851F0" w:rsidP="00D851F0">
      <w:pPr>
        <w:autoSpaceDE w:val="0"/>
        <w:autoSpaceDN w:val="0"/>
        <w:adjustRightInd w:val="0"/>
        <w:spacing w:after="0"/>
      </w:pPr>
      <w:r>
        <w:t xml:space="preserve">Baselga, J., Campone, M., Piccart, M., Burris, H.A. et al. (2012) </w:t>
      </w:r>
      <w:r w:rsidRPr="00D851F0">
        <w:t>Everol</w:t>
      </w:r>
      <w:r>
        <w:t>imus in Postmenopausal Hormone-</w:t>
      </w:r>
      <w:r w:rsidRPr="00D851F0">
        <w:t>Receptor</w:t>
      </w:r>
      <w:r w:rsidRPr="00D851F0">
        <w:rPr>
          <w:rFonts w:hint="eastAsia"/>
        </w:rPr>
        <w:t>–</w:t>
      </w:r>
      <w:r w:rsidRPr="00D851F0">
        <w:t>Positive Advanced Breast Cancer</w:t>
      </w:r>
      <w:r>
        <w:t xml:space="preserve">. </w:t>
      </w:r>
      <w:r w:rsidR="00CF70E1">
        <w:t xml:space="preserve">N Engl J Med </w:t>
      </w:r>
      <w:r w:rsidRPr="00D851F0">
        <w:t>366:520-9.</w:t>
      </w:r>
    </w:p>
    <w:p w14:paraId="181E4199" w14:textId="77777777" w:rsidR="00D851F0" w:rsidRDefault="00D851F0" w:rsidP="00D851F0">
      <w:pPr>
        <w:autoSpaceDE w:val="0"/>
        <w:autoSpaceDN w:val="0"/>
        <w:adjustRightInd w:val="0"/>
        <w:spacing w:after="0"/>
      </w:pPr>
    </w:p>
    <w:p w14:paraId="3974B480" w14:textId="3F9C047F" w:rsidR="00072F4C" w:rsidRDefault="00072F4C" w:rsidP="00072F4C">
      <w:r>
        <w:t xml:space="preserve">Fabian, C.J. (2007) The what, why and how of aromatase inhibitors: hormonal agents for treatment and prevention of breast cancer. </w:t>
      </w:r>
      <w:hyperlink r:id="rId18" w:history="1">
        <w:r w:rsidRPr="00072F4C">
          <w:t>Int J Clin Pract</w:t>
        </w:r>
      </w:hyperlink>
      <w:r w:rsidRPr="00072F4C">
        <w:t>. 61(12): 2051–2063.</w:t>
      </w:r>
    </w:p>
    <w:p w14:paraId="2F9E93B6" w14:textId="05BB6B63" w:rsidR="009549CB" w:rsidRPr="009549CB" w:rsidRDefault="009549CB" w:rsidP="009549CB">
      <w:pPr>
        <w:autoSpaceDE w:val="0"/>
        <w:autoSpaceDN w:val="0"/>
        <w:adjustRightInd w:val="0"/>
        <w:spacing w:after="0"/>
      </w:pPr>
      <w:r w:rsidRPr="00D4750D">
        <w:t xml:space="preserve">Hortobagyi, G.N. (2015) </w:t>
      </w:r>
      <w:r w:rsidRPr="009549CB">
        <w:t>Eve</w:t>
      </w:r>
      <w:r>
        <w:t xml:space="preserve">rolimus Plus Exemestane for the Treatment of Advanced Breast Cancer: A Review of Subanalyses from BOLERO-2. </w:t>
      </w:r>
      <w:r w:rsidRPr="009549CB">
        <w:t>Neoplasia (2015) 17, 279–288.</w:t>
      </w:r>
    </w:p>
    <w:p w14:paraId="25D65B04" w14:textId="5F6555AD" w:rsidR="00FE645A" w:rsidRPr="00092D53" w:rsidRDefault="00B86E0D" w:rsidP="00185131">
      <w:pPr>
        <w:rPr>
          <w:b/>
          <w:bCs/>
        </w:rPr>
      </w:pPr>
      <w:r w:rsidRPr="00B86E0D">
        <w:t>Tomas, R. and </w:t>
      </w:r>
      <w:hyperlink r:id="rId19" w:history="1">
        <w:r w:rsidRPr="00B86E0D">
          <w:t>Barrios</w:t>
        </w:r>
      </w:hyperlink>
      <w:r w:rsidRPr="00B86E0D">
        <w:t xml:space="preserve">, C.H. (2015) Optimal management of hormone receptor positive metastatic breast cancer in 2016. </w:t>
      </w:r>
      <w:hyperlink r:id="rId20" w:history="1">
        <w:r w:rsidRPr="00B86E0D">
          <w:t>Ther Adv Med Oncol</w:t>
        </w:r>
      </w:hyperlink>
      <w:r w:rsidRPr="00B86E0D">
        <w:t>. 7(6): 304–320.</w:t>
      </w:r>
    </w:p>
    <w:p w14:paraId="384A05A6" w14:textId="77777777" w:rsidR="00EF2850" w:rsidRDefault="00EF2850">
      <w:pPr>
        <w:spacing w:line="276" w:lineRule="auto"/>
      </w:pPr>
    </w:p>
    <w:p w14:paraId="662BCBEE" w14:textId="77777777" w:rsidR="00EF2850" w:rsidRDefault="00EF2850">
      <w:pPr>
        <w:spacing w:line="276" w:lineRule="auto"/>
        <w:sectPr w:rsidR="00EF2850" w:rsidSect="00DD188C">
          <w:footerReference w:type="even" r:id="rId21"/>
          <w:footerReference w:type="default" r:id="rId22"/>
          <w:footerReference w:type="first" r:id="rId23"/>
          <w:pgSz w:w="11906" w:h="16838"/>
          <w:pgMar w:top="1644" w:right="1361" w:bottom="1644" w:left="1588" w:header="709" w:footer="709" w:gutter="0"/>
          <w:cols w:space="708"/>
          <w:docGrid w:linePitch="360"/>
        </w:sectPr>
      </w:pPr>
    </w:p>
    <w:p w14:paraId="3C56F6CB" w14:textId="03229E03" w:rsidR="00BF381E" w:rsidRPr="006F579F" w:rsidRDefault="006F579F" w:rsidP="00BF381E">
      <w:pPr>
        <w:spacing w:line="276" w:lineRule="auto"/>
        <w:rPr>
          <w:b/>
          <w:sz w:val="28"/>
          <w:szCs w:val="28"/>
        </w:rPr>
      </w:pPr>
      <w:r w:rsidRPr="006F579F">
        <w:rPr>
          <w:b/>
          <w:sz w:val="28"/>
          <w:szCs w:val="28"/>
        </w:rPr>
        <w:lastRenderedPageBreak/>
        <w:t xml:space="preserve">Appendix </w:t>
      </w:r>
      <w:r w:rsidR="00FC1C4A" w:rsidRPr="006F579F">
        <w:rPr>
          <w:b/>
          <w:sz w:val="28"/>
          <w:szCs w:val="28"/>
        </w:rPr>
        <w:t>1</w:t>
      </w:r>
      <w:r w:rsidR="00EF2850" w:rsidRPr="006F579F">
        <w:rPr>
          <w:b/>
          <w:sz w:val="28"/>
          <w:szCs w:val="28"/>
        </w:rPr>
        <w:t>: Dose adjustment and monitoring requirements for everolimus and exemestane</w:t>
      </w:r>
    </w:p>
    <w:p w14:paraId="6F46A7A1" w14:textId="77777777" w:rsidR="00BF381E" w:rsidRDefault="00BF381E" w:rsidP="00BF381E">
      <w:r w:rsidRPr="002F61CA">
        <w:t xml:space="preserve">The current Product Information (PI) and Consumer Medicine Information (CMI) are available from </w:t>
      </w:r>
      <w:hyperlink r:id="rId24" w:history="1">
        <w:r>
          <w:rPr>
            <w:rStyle w:val="Hyperlink"/>
          </w:rPr>
          <w:t>the TGA (Product Information)</w:t>
        </w:r>
      </w:hyperlink>
      <w:r>
        <w:t xml:space="preserve"> and </w:t>
      </w:r>
      <w:hyperlink r:id="rId25" w:history="1">
        <w:r>
          <w:rPr>
            <w:rStyle w:val="Hyperlink"/>
          </w:rPr>
          <w:t>the TGA (Consumer Medicines Information)</w:t>
        </w:r>
      </w:hyperlink>
      <w:r>
        <w:t>.</w:t>
      </w:r>
    </w:p>
    <w:p w14:paraId="001B5938" w14:textId="77777777" w:rsidR="00EF2850" w:rsidRPr="00DE5656" w:rsidRDefault="00EF2850" w:rsidP="00EF2850">
      <w:pPr>
        <w:rPr>
          <w:u w:val="single"/>
        </w:rPr>
      </w:pPr>
      <w:r>
        <w:rPr>
          <w:u w:val="single"/>
        </w:rPr>
        <w:t>Everolimus</w:t>
      </w:r>
    </w:p>
    <w:p w14:paraId="343A596A" w14:textId="77777777" w:rsidR="00EF2850" w:rsidRDefault="00EF2850" w:rsidP="00EF2850">
      <w:r>
        <w:t>In the event of intolerable or severe adverse reactions to everolimus, the suggested dose reduction is 50% lower than the daily dose previously administered.</w:t>
      </w:r>
    </w:p>
    <w:p w14:paraId="3D850775" w14:textId="77777777" w:rsidR="00EF2850" w:rsidRDefault="00EF2850" w:rsidP="00EF2850">
      <w:r>
        <w:t>Dose reductions are required for everolimus for hepatic impairment, refer to the Product Information for further information.</w:t>
      </w:r>
    </w:p>
    <w:p w14:paraId="337BF476" w14:textId="77777777" w:rsidR="00EF2850" w:rsidRDefault="00EF2850" w:rsidP="00EF2850">
      <w:r>
        <w:t>No dosage adjustment is required for patients aged 65 years and over or for renal impairment.</w:t>
      </w:r>
    </w:p>
    <w:p w14:paraId="355E2E5B" w14:textId="77777777" w:rsidR="00EF2850" w:rsidRDefault="00EF2850" w:rsidP="00EF2850">
      <w:r>
        <w:t>The following table summarises the recommended monitoring for everolimus.</w:t>
      </w:r>
    </w:p>
    <w:tbl>
      <w:tblPr>
        <w:tblStyle w:val="TableGrid"/>
        <w:tblW w:w="0" w:type="auto"/>
        <w:tblLook w:val="04A0" w:firstRow="1" w:lastRow="0" w:firstColumn="1" w:lastColumn="0" w:noHBand="0" w:noVBand="1"/>
        <w:tblCaption w:val="Recommended monitoring for everolimus"/>
        <w:tblDescription w:val="Recommended monitoring for everolimus"/>
      </w:tblPr>
      <w:tblGrid>
        <w:gridCol w:w="4586"/>
        <w:gridCol w:w="4587"/>
      </w:tblGrid>
      <w:tr w:rsidR="00EF2850" w14:paraId="11AF67AD" w14:textId="77777777" w:rsidTr="00E73DDB">
        <w:trPr>
          <w:tblHeader/>
        </w:trPr>
        <w:tc>
          <w:tcPr>
            <w:tcW w:w="4586" w:type="dxa"/>
          </w:tcPr>
          <w:p w14:paraId="79252A94" w14:textId="77777777" w:rsidR="00EF2850" w:rsidRPr="00757480" w:rsidRDefault="00EF2850" w:rsidP="00245BE6">
            <w:pPr>
              <w:rPr>
                <w:b/>
                <w:sz w:val="20"/>
                <w:szCs w:val="20"/>
              </w:rPr>
            </w:pPr>
            <w:r w:rsidRPr="00757480">
              <w:rPr>
                <w:b/>
                <w:sz w:val="20"/>
                <w:szCs w:val="20"/>
              </w:rPr>
              <w:t>Associated outcome with everolimus</w:t>
            </w:r>
          </w:p>
        </w:tc>
        <w:tc>
          <w:tcPr>
            <w:tcW w:w="4587" w:type="dxa"/>
          </w:tcPr>
          <w:p w14:paraId="21DF6195" w14:textId="77777777" w:rsidR="00EF2850" w:rsidRPr="00757480" w:rsidRDefault="00EF2850" w:rsidP="00245BE6">
            <w:pPr>
              <w:rPr>
                <w:b/>
                <w:sz w:val="20"/>
                <w:szCs w:val="20"/>
              </w:rPr>
            </w:pPr>
            <w:r w:rsidRPr="00757480">
              <w:rPr>
                <w:b/>
                <w:sz w:val="20"/>
                <w:szCs w:val="20"/>
              </w:rPr>
              <w:t>Recommended monitoring in Product Information</w:t>
            </w:r>
          </w:p>
        </w:tc>
      </w:tr>
      <w:tr w:rsidR="00EF2850" w14:paraId="73764985" w14:textId="77777777" w:rsidTr="00245BE6">
        <w:tc>
          <w:tcPr>
            <w:tcW w:w="4586" w:type="dxa"/>
          </w:tcPr>
          <w:p w14:paraId="11290376" w14:textId="77777777" w:rsidR="00EF2850" w:rsidRPr="00757480" w:rsidRDefault="00EF2850" w:rsidP="00245BE6">
            <w:pPr>
              <w:rPr>
                <w:sz w:val="20"/>
                <w:szCs w:val="20"/>
              </w:rPr>
            </w:pPr>
            <w:r w:rsidRPr="00757480">
              <w:rPr>
                <w:sz w:val="20"/>
                <w:szCs w:val="20"/>
              </w:rPr>
              <w:t>Elevations in proteinuria and serum creatinine</w:t>
            </w:r>
          </w:p>
        </w:tc>
        <w:tc>
          <w:tcPr>
            <w:tcW w:w="4587" w:type="dxa"/>
          </w:tcPr>
          <w:p w14:paraId="6D766E67" w14:textId="77777777" w:rsidR="00EF2850" w:rsidRPr="00757480" w:rsidRDefault="00EF2850" w:rsidP="00245BE6">
            <w:pPr>
              <w:rPr>
                <w:sz w:val="20"/>
                <w:szCs w:val="20"/>
              </w:rPr>
            </w:pPr>
            <w:r w:rsidRPr="00757480">
              <w:rPr>
                <w:sz w:val="20"/>
                <w:szCs w:val="20"/>
              </w:rPr>
              <w:t>Renal function prior and periodically during treatment.</w:t>
            </w:r>
          </w:p>
        </w:tc>
      </w:tr>
      <w:tr w:rsidR="00EF2850" w14:paraId="7827D389" w14:textId="77777777" w:rsidTr="00245BE6">
        <w:tc>
          <w:tcPr>
            <w:tcW w:w="4586" w:type="dxa"/>
          </w:tcPr>
          <w:p w14:paraId="1BEF66EF" w14:textId="77777777" w:rsidR="00EF2850" w:rsidRPr="00757480" w:rsidRDefault="00EF2850" w:rsidP="00245BE6">
            <w:pPr>
              <w:rPr>
                <w:sz w:val="20"/>
                <w:szCs w:val="20"/>
              </w:rPr>
            </w:pPr>
            <w:r w:rsidRPr="00757480">
              <w:rPr>
                <w:sz w:val="20"/>
                <w:szCs w:val="20"/>
              </w:rPr>
              <w:t>Hyperglycaemia</w:t>
            </w:r>
          </w:p>
        </w:tc>
        <w:tc>
          <w:tcPr>
            <w:tcW w:w="4587" w:type="dxa"/>
          </w:tcPr>
          <w:p w14:paraId="4A4C9CCA" w14:textId="77777777" w:rsidR="00EF2850" w:rsidRPr="00757480" w:rsidRDefault="00EF2850" w:rsidP="00245BE6">
            <w:pPr>
              <w:rPr>
                <w:sz w:val="20"/>
                <w:szCs w:val="20"/>
              </w:rPr>
            </w:pPr>
            <w:r w:rsidRPr="00757480">
              <w:rPr>
                <w:sz w:val="20"/>
                <w:szCs w:val="20"/>
              </w:rPr>
              <w:t>Serum glucose prior and periodically during treatment.</w:t>
            </w:r>
          </w:p>
        </w:tc>
      </w:tr>
      <w:tr w:rsidR="00EF2850" w14:paraId="5FCD6217" w14:textId="77777777" w:rsidTr="00245BE6">
        <w:tc>
          <w:tcPr>
            <w:tcW w:w="4586" w:type="dxa"/>
          </w:tcPr>
          <w:p w14:paraId="2AEB2D06" w14:textId="0273917E" w:rsidR="00EF2850" w:rsidRPr="00757480" w:rsidRDefault="00EF2850" w:rsidP="00245BE6">
            <w:pPr>
              <w:rPr>
                <w:sz w:val="20"/>
                <w:szCs w:val="20"/>
              </w:rPr>
            </w:pPr>
            <w:r w:rsidRPr="00757480">
              <w:rPr>
                <w:sz w:val="20"/>
                <w:szCs w:val="20"/>
              </w:rPr>
              <w:t>Dyslipidemia</w:t>
            </w:r>
          </w:p>
        </w:tc>
        <w:tc>
          <w:tcPr>
            <w:tcW w:w="4587" w:type="dxa"/>
          </w:tcPr>
          <w:p w14:paraId="1B2B1B92" w14:textId="77777777" w:rsidR="00EF2850" w:rsidRPr="00757480" w:rsidRDefault="00EF2850" w:rsidP="00245BE6">
            <w:pPr>
              <w:rPr>
                <w:sz w:val="20"/>
                <w:szCs w:val="20"/>
              </w:rPr>
            </w:pPr>
            <w:r w:rsidRPr="00757480">
              <w:rPr>
                <w:sz w:val="20"/>
                <w:szCs w:val="20"/>
              </w:rPr>
              <w:t>Blood cholesterol and triglycerides prior and periodically during treatment.</w:t>
            </w:r>
          </w:p>
        </w:tc>
      </w:tr>
      <w:tr w:rsidR="00EF2850" w14:paraId="22115954" w14:textId="77777777" w:rsidTr="00245BE6">
        <w:tc>
          <w:tcPr>
            <w:tcW w:w="4586" w:type="dxa"/>
          </w:tcPr>
          <w:p w14:paraId="6538F315" w14:textId="77777777" w:rsidR="00EF2850" w:rsidRPr="00757480" w:rsidRDefault="00EF2850" w:rsidP="00245BE6">
            <w:pPr>
              <w:rPr>
                <w:sz w:val="20"/>
                <w:szCs w:val="20"/>
              </w:rPr>
            </w:pPr>
            <w:r w:rsidRPr="00757480">
              <w:rPr>
                <w:sz w:val="20"/>
                <w:szCs w:val="20"/>
              </w:rPr>
              <w:t>Decreased haemoglobin, lymphocytes, neutrophils and platelets</w:t>
            </w:r>
          </w:p>
        </w:tc>
        <w:tc>
          <w:tcPr>
            <w:tcW w:w="4587" w:type="dxa"/>
          </w:tcPr>
          <w:p w14:paraId="54D24797" w14:textId="77777777" w:rsidR="00EF2850" w:rsidRPr="00757480" w:rsidRDefault="00EF2850" w:rsidP="00245BE6">
            <w:pPr>
              <w:rPr>
                <w:sz w:val="20"/>
                <w:szCs w:val="20"/>
              </w:rPr>
            </w:pPr>
            <w:r w:rsidRPr="00757480">
              <w:rPr>
                <w:sz w:val="20"/>
                <w:szCs w:val="20"/>
              </w:rPr>
              <w:t>Complete blood count prior and periodically during treatment.</w:t>
            </w:r>
          </w:p>
        </w:tc>
      </w:tr>
    </w:tbl>
    <w:p w14:paraId="0E9CAD75" w14:textId="77777777" w:rsidR="00EF2850" w:rsidRDefault="00EF2850" w:rsidP="00EF2850">
      <w:pPr>
        <w:spacing w:after="0"/>
      </w:pPr>
    </w:p>
    <w:p w14:paraId="2BB70EFD" w14:textId="77777777" w:rsidR="00EF2850" w:rsidRPr="00251BB3" w:rsidRDefault="00EF2850" w:rsidP="00EF2850">
      <w:pPr>
        <w:rPr>
          <w:u w:val="single"/>
        </w:rPr>
      </w:pPr>
      <w:r>
        <w:rPr>
          <w:u w:val="single"/>
        </w:rPr>
        <w:t>Exemestane</w:t>
      </w:r>
    </w:p>
    <w:p w14:paraId="28C6BD34" w14:textId="77777777" w:rsidR="00EF2850" w:rsidRDefault="00EF2850" w:rsidP="00EF2850">
      <w:r>
        <w:t>No dose adjustments are required for exemestane for patients with hepatic or renal insufficiency.</w:t>
      </w:r>
    </w:p>
    <w:p w14:paraId="6B553DB1" w14:textId="77777777" w:rsidR="00EF2850" w:rsidRDefault="00EF2850" w:rsidP="00EF2850">
      <w:r>
        <w:t>The following table summarises the recommended monitoring for exemestane.</w:t>
      </w:r>
    </w:p>
    <w:tbl>
      <w:tblPr>
        <w:tblStyle w:val="TableGrid"/>
        <w:tblW w:w="0" w:type="auto"/>
        <w:tblLook w:val="04A0" w:firstRow="1" w:lastRow="0" w:firstColumn="1" w:lastColumn="0" w:noHBand="0" w:noVBand="1"/>
        <w:tblCaption w:val="Recommended monitoring for exemestane"/>
        <w:tblDescription w:val="Recommended monitoring for exemestane"/>
      </w:tblPr>
      <w:tblGrid>
        <w:gridCol w:w="4586"/>
        <w:gridCol w:w="4587"/>
      </w:tblGrid>
      <w:tr w:rsidR="00EF2850" w14:paraId="26E7CCDD" w14:textId="77777777" w:rsidTr="00E73DDB">
        <w:trPr>
          <w:tblHeader/>
        </w:trPr>
        <w:tc>
          <w:tcPr>
            <w:tcW w:w="4586" w:type="dxa"/>
          </w:tcPr>
          <w:p w14:paraId="402CAC48" w14:textId="77777777" w:rsidR="00EF2850" w:rsidRPr="00757480" w:rsidRDefault="00EF2850" w:rsidP="00245BE6">
            <w:pPr>
              <w:rPr>
                <w:b/>
                <w:sz w:val="20"/>
                <w:szCs w:val="20"/>
              </w:rPr>
            </w:pPr>
            <w:r>
              <w:rPr>
                <w:b/>
                <w:sz w:val="20"/>
                <w:szCs w:val="20"/>
              </w:rPr>
              <w:t>Associated outcome or precaution with exemestane</w:t>
            </w:r>
          </w:p>
        </w:tc>
        <w:tc>
          <w:tcPr>
            <w:tcW w:w="4587" w:type="dxa"/>
          </w:tcPr>
          <w:p w14:paraId="0CDA1F19" w14:textId="77777777" w:rsidR="00EF2850" w:rsidRPr="00757480" w:rsidRDefault="00EF2850" w:rsidP="00245BE6">
            <w:pPr>
              <w:rPr>
                <w:b/>
                <w:sz w:val="20"/>
                <w:szCs w:val="20"/>
              </w:rPr>
            </w:pPr>
            <w:r w:rsidRPr="00757480">
              <w:rPr>
                <w:b/>
                <w:sz w:val="20"/>
                <w:szCs w:val="20"/>
              </w:rPr>
              <w:t>Recommended monitoring in Product Information</w:t>
            </w:r>
          </w:p>
        </w:tc>
      </w:tr>
      <w:tr w:rsidR="00EF2850" w14:paraId="791DEE73" w14:textId="77777777" w:rsidTr="00245BE6">
        <w:tc>
          <w:tcPr>
            <w:tcW w:w="4586" w:type="dxa"/>
          </w:tcPr>
          <w:p w14:paraId="25AAF867" w14:textId="77777777" w:rsidR="00EF2850" w:rsidRPr="0020609E" w:rsidRDefault="00EF2850" w:rsidP="00245BE6">
            <w:pPr>
              <w:rPr>
                <w:sz w:val="20"/>
                <w:szCs w:val="20"/>
              </w:rPr>
            </w:pPr>
            <w:r w:rsidRPr="0020609E">
              <w:rPr>
                <w:sz w:val="20"/>
                <w:szCs w:val="20"/>
              </w:rPr>
              <w:t>Should not be administered to women with premenopausal endocrine status.</w:t>
            </w:r>
          </w:p>
        </w:tc>
        <w:tc>
          <w:tcPr>
            <w:tcW w:w="4587" w:type="dxa"/>
          </w:tcPr>
          <w:p w14:paraId="2B085126" w14:textId="77777777" w:rsidR="00EF2850" w:rsidRPr="0020609E" w:rsidRDefault="00EF2850" w:rsidP="00245BE6">
            <w:pPr>
              <w:rPr>
                <w:sz w:val="20"/>
                <w:szCs w:val="20"/>
              </w:rPr>
            </w:pPr>
            <w:r w:rsidRPr="0020609E">
              <w:rPr>
                <w:sz w:val="20"/>
                <w:szCs w:val="20"/>
              </w:rPr>
              <w:t>Confirmation of postmenopausal status may be required through laboratory testing of luteinising, follicle stimulating hormone and oestradiol levels.</w:t>
            </w:r>
          </w:p>
        </w:tc>
      </w:tr>
      <w:tr w:rsidR="00EF2850" w14:paraId="09786340" w14:textId="77777777" w:rsidTr="00245BE6">
        <w:tc>
          <w:tcPr>
            <w:tcW w:w="4586" w:type="dxa"/>
          </w:tcPr>
          <w:p w14:paraId="0C51B534" w14:textId="77777777" w:rsidR="00EF2850" w:rsidRPr="0020609E" w:rsidRDefault="00EF2850" w:rsidP="00245BE6">
            <w:pPr>
              <w:rPr>
                <w:sz w:val="20"/>
                <w:szCs w:val="20"/>
              </w:rPr>
            </w:pPr>
            <w:r w:rsidRPr="0020609E">
              <w:rPr>
                <w:sz w:val="20"/>
                <w:szCs w:val="20"/>
              </w:rPr>
              <w:t>Potent oestrogen lowering agent with possible reduction in bone mineral density.</w:t>
            </w:r>
          </w:p>
        </w:tc>
        <w:tc>
          <w:tcPr>
            <w:tcW w:w="4587" w:type="dxa"/>
          </w:tcPr>
          <w:p w14:paraId="35A1564C" w14:textId="77777777" w:rsidR="00EF2850" w:rsidRPr="0020609E" w:rsidRDefault="00EF2850" w:rsidP="00245BE6">
            <w:pPr>
              <w:rPr>
                <w:sz w:val="20"/>
                <w:szCs w:val="20"/>
              </w:rPr>
            </w:pPr>
            <w:r w:rsidRPr="0020609E">
              <w:rPr>
                <w:sz w:val="20"/>
                <w:szCs w:val="20"/>
              </w:rPr>
              <w:t>Bone densitometry at the commencement of treatment and at regular intervals thereafter.</w:t>
            </w:r>
          </w:p>
        </w:tc>
      </w:tr>
    </w:tbl>
    <w:p w14:paraId="7326568E" w14:textId="77777777" w:rsidR="000C2DCB" w:rsidRDefault="000C2DCB" w:rsidP="001273EC">
      <w:pPr>
        <w:rPr>
          <w:b/>
        </w:rPr>
        <w:sectPr w:rsidR="000C2DCB" w:rsidSect="00DD188C">
          <w:pgSz w:w="11906" w:h="16838"/>
          <w:pgMar w:top="1644" w:right="1361" w:bottom="1644" w:left="1588" w:header="709" w:footer="709" w:gutter="0"/>
          <w:cols w:space="708"/>
          <w:docGrid w:linePitch="360"/>
        </w:sectPr>
      </w:pPr>
    </w:p>
    <w:p w14:paraId="476304B1" w14:textId="62149BB3" w:rsidR="001273EC" w:rsidRPr="006F579F" w:rsidRDefault="006F579F" w:rsidP="001273EC">
      <w:pPr>
        <w:rPr>
          <w:b/>
          <w:sz w:val="28"/>
          <w:szCs w:val="28"/>
        </w:rPr>
      </w:pPr>
      <w:r w:rsidRPr="006F579F">
        <w:rPr>
          <w:b/>
          <w:sz w:val="28"/>
          <w:szCs w:val="28"/>
        </w:rPr>
        <w:lastRenderedPageBreak/>
        <w:t xml:space="preserve">Appendix </w:t>
      </w:r>
      <w:r w:rsidR="001273EC" w:rsidRPr="006F579F">
        <w:rPr>
          <w:b/>
          <w:sz w:val="28"/>
          <w:szCs w:val="28"/>
        </w:rPr>
        <w:t>2: Derivation of the forecasted utilisation of everolimus in combination with exemestane</w:t>
      </w:r>
    </w:p>
    <w:tbl>
      <w:tblPr>
        <w:tblStyle w:val="TableGrid"/>
        <w:tblW w:w="0" w:type="auto"/>
        <w:tblLayout w:type="fixed"/>
        <w:tblLook w:val="04A0" w:firstRow="1" w:lastRow="0" w:firstColumn="1" w:lastColumn="0" w:noHBand="0" w:noVBand="1"/>
        <w:tblCaption w:val="Appendix 2: Derivation of the forecasted utilisation of everolimus in combination with exemestane"/>
        <w:tblDescription w:val="Derivation of the forecasted utilisation of everolimus in combination with exemestane"/>
      </w:tblPr>
      <w:tblGrid>
        <w:gridCol w:w="1242"/>
        <w:gridCol w:w="1843"/>
        <w:gridCol w:w="992"/>
        <w:gridCol w:w="907"/>
        <w:gridCol w:w="992"/>
        <w:gridCol w:w="992"/>
        <w:gridCol w:w="993"/>
        <w:gridCol w:w="1078"/>
      </w:tblGrid>
      <w:tr w:rsidR="00EC3824" w14:paraId="761FCA66" w14:textId="77777777" w:rsidTr="009163A3">
        <w:trPr>
          <w:tblHeader/>
        </w:trPr>
        <w:tc>
          <w:tcPr>
            <w:tcW w:w="1242" w:type="dxa"/>
            <w:shd w:val="clear" w:color="auto" w:fill="F2F2F2" w:themeFill="background1" w:themeFillShade="F2"/>
          </w:tcPr>
          <w:p w14:paraId="3CB7D8B7" w14:textId="7E271889" w:rsidR="00EC3824" w:rsidRPr="001802A1" w:rsidRDefault="00EC3824" w:rsidP="00245BE6">
            <w:pPr>
              <w:jc w:val="center"/>
              <w:rPr>
                <w:rFonts w:ascii="Arial Narrow" w:hAnsi="Arial Narrow"/>
                <w:b/>
                <w:sz w:val="20"/>
                <w:szCs w:val="20"/>
              </w:rPr>
            </w:pPr>
            <w:r w:rsidRPr="00EC3824">
              <w:rPr>
                <w:rFonts w:ascii="Arial Narrow" w:hAnsi="Arial Narrow"/>
                <w:b/>
                <w:sz w:val="20"/>
                <w:szCs w:val="20"/>
                <w:highlight w:val="black"/>
              </w:rPr>
              <w:t>XXXXXXXX</w:t>
            </w:r>
          </w:p>
        </w:tc>
        <w:tc>
          <w:tcPr>
            <w:tcW w:w="1843" w:type="dxa"/>
            <w:shd w:val="clear" w:color="auto" w:fill="F2F2F2" w:themeFill="background1" w:themeFillShade="F2"/>
          </w:tcPr>
          <w:p w14:paraId="7401A9DC" w14:textId="5B69A36E" w:rsidR="00EC3824" w:rsidRPr="001802A1" w:rsidRDefault="00EC3824" w:rsidP="00245BE6">
            <w:pPr>
              <w:jc w:val="center"/>
              <w:rPr>
                <w:rFonts w:ascii="Arial Narrow" w:hAnsi="Arial Narrow"/>
                <w:b/>
                <w:sz w:val="20"/>
                <w:szCs w:val="20"/>
              </w:rPr>
            </w:pPr>
            <w:r w:rsidRPr="00EC3824">
              <w:rPr>
                <w:rFonts w:ascii="Arial Narrow" w:hAnsi="Arial Narrow"/>
                <w:b/>
                <w:sz w:val="20"/>
                <w:szCs w:val="20"/>
                <w:highlight w:val="black"/>
              </w:rPr>
              <w:t>X</w:t>
            </w:r>
            <w:r>
              <w:rPr>
                <w:rFonts w:ascii="Arial Narrow" w:hAnsi="Arial Narrow"/>
                <w:b/>
                <w:sz w:val="20"/>
                <w:szCs w:val="20"/>
                <w:highlight w:val="black"/>
              </w:rPr>
              <w:t>XXXXXXXXX</w:t>
            </w:r>
          </w:p>
        </w:tc>
        <w:tc>
          <w:tcPr>
            <w:tcW w:w="992" w:type="dxa"/>
            <w:shd w:val="clear" w:color="auto" w:fill="F2F2F2" w:themeFill="background1" w:themeFillShade="F2"/>
          </w:tcPr>
          <w:p w14:paraId="7EDE64C3" w14:textId="6A5D65B2" w:rsidR="00EC3824" w:rsidRPr="001802A1" w:rsidRDefault="00EC3824" w:rsidP="00245BE6">
            <w:pPr>
              <w:jc w:val="center"/>
              <w:rPr>
                <w:rFonts w:ascii="Arial Narrow" w:hAnsi="Arial Narrow"/>
                <w:b/>
                <w:sz w:val="20"/>
                <w:szCs w:val="20"/>
              </w:rPr>
            </w:pPr>
            <w:r w:rsidRPr="00142AD4">
              <w:rPr>
                <w:rFonts w:ascii="Arial Narrow" w:hAnsi="Arial Narrow"/>
                <w:b/>
                <w:sz w:val="20"/>
                <w:szCs w:val="20"/>
                <w:highlight w:val="black"/>
              </w:rPr>
              <w:t>X</w:t>
            </w:r>
            <w:r>
              <w:rPr>
                <w:rFonts w:ascii="Arial Narrow" w:hAnsi="Arial Narrow"/>
                <w:b/>
                <w:sz w:val="20"/>
                <w:szCs w:val="20"/>
                <w:highlight w:val="black"/>
              </w:rPr>
              <w:t>XXXXX</w:t>
            </w:r>
          </w:p>
        </w:tc>
        <w:tc>
          <w:tcPr>
            <w:tcW w:w="907" w:type="dxa"/>
            <w:shd w:val="clear" w:color="auto" w:fill="F2F2F2" w:themeFill="background1" w:themeFillShade="F2"/>
          </w:tcPr>
          <w:p w14:paraId="34CC992E" w14:textId="0D4448D7" w:rsidR="00EC3824" w:rsidRPr="001802A1" w:rsidRDefault="00EC3824" w:rsidP="00245BE6">
            <w:pPr>
              <w:jc w:val="center"/>
              <w:rPr>
                <w:rFonts w:ascii="Arial Narrow" w:hAnsi="Arial Narrow"/>
                <w:b/>
                <w:sz w:val="20"/>
                <w:szCs w:val="20"/>
              </w:rPr>
            </w:pPr>
            <w:r w:rsidRPr="00142AD4">
              <w:rPr>
                <w:rFonts w:ascii="Arial Narrow" w:hAnsi="Arial Narrow"/>
                <w:b/>
                <w:sz w:val="20"/>
                <w:szCs w:val="20"/>
                <w:highlight w:val="black"/>
              </w:rPr>
              <w:t>X</w:t>
            </w:r>
            <w:r>
              <w:rPr>
                <w:rFonts w:ascii="Arial Narrow" w:hAnsi="Arial Narrow"/>
                <w:b/>
                <w:sz w:val="20"/>
                <w:szCs w:val="20"/>
                <w:highlight w:val="black"/>
              </w:rPr>
              <w:t>XXXXX</w:t>
            </w:r>
          </w:p>
        </w:tc>
        <w:tc>
          <w:tcPr>
            <w:tcW w:w="992" w:type="dxa"/>
            <w:shd w:val="clear" w:color="auto" w:fill="F2F2F2" w:themeFill="background1" w:themeFillShade="F2"/>
          </w:tcPr>
          <w:p w14:paraId="281D5BCB" w14:textId="01B332F4" w:rsidR="00EC3824" w:rsidRPr="001802A1" w:rsidRDefault="00EC3824" w:rsidP="00245BE6">
            <w:pPr>
              <w:jc w:val="center"/>
              <w:rPr>
                <w:rFonts w:ascii="Arial Narrow" w:hAnsi="Arial Narrow"/>
                <w:b/>
                <w:sz w:val="20"/>
                <w:szCs w:val="20"/>
              </w:rPr>
            </w:pPr>
            <w:r w:rsidRPr="00142AD4">
              <w:rPr>
                <w:rFonts w:ascii="Arial Narrow" w:hAnsi="Arial Narrow"/>
                <w:b/>
                <w:sz w:val="20"/>
                <w:szCs w:val="20"/>
                <w:highlight w:val="black"/>
              </w:rPr>
              <w:t>X</w:t>
            </w:r>
            <w:r>
              <w:rPr>
                <w:rFonts w:ascii="Arial Narrow" w:hAnsi="Arial Narrow"/>
                <w:b/>
                <w:sz w:val="20"/>
                <w:szCs w:val="20"/>
                <w:highlight w:val="black"/>
              </w:rPr>
              <w:t>XXXXXX</w:t>
            </w:r>
          </w:p>
        </w:tc>
        <w:tc>
          <w:tcPr>
            <w:tcW w:w="992" w:type="dxa"/>
            <w:shd w:val="clear" w:color="auto" w:fill="F2F2F2" w:themeFill="background1" w:themeFillShade="F2"/>
          </w:tcPr>
          <w:p w14:paraId="09574BAC" w14:textId="3C8DA663" w:rsidR="00EC3824" w:rsidRPr="001802A1" w:rsidRDefault="00EC3824" w:rsidP="00245BE6">
            <w:pPr>
              <w:jc w:val="center"/>
              <w:rPr>
                <w:rFonts w:ascii="Arial Narrow" w:hAnsi="Arial Narrow"/>
                <w:b/>
                <w:sz w:val="20"/>
                <w:szCs w:val="20"/>
              </w:rPr>
            </w:pPr>
            <w:r w:rsidRPr="00142AD4">
              <w:rPr>
                <w:rFonts w:ascii="Arial Narrow" w:hAnsi="Arial Narrow"/>
                <w:b/>
                <w:sz w:val="20"/>
                <w:szCs w:val="20"/>
                <w:highlight w:val="black"/>
              </w:rPr>
              <w:t>X</w:t>
            </w:r>
            <w:r>
              <w:rPr>
                <w:rFonts w:ascii="Arial Narrow" w:hAnsi="Arial Narrow"/>
                <w:b/>
                <w:sz w:val="20"/>
                <w:szCs w:val="20"/>
                <w:highlight w:val="black"/>
              </w:rPr>
              <w:t>XXXXXX</w:t>
            </w:r>
          </w:p>
        </w:tc>
        <w:tc>
          <w:tcPr>
            <w:tcW w:w="993" w:type="dxa"/>
            <w:shd w:val="clear" w:color="auto" w:fill="F2F2F2" w:themeFill="background1" w:themeFillShade="F2"/>
          </w:tcPr>
          <w:p w14:paraId="74FEBF8D" w14:textId="69BAA2E2" w:rsidR="00EC3824" w:rsidRPr="001802A1" w:rsidRDefault="00EC3824" w:rsidP="00245BE6">
            <w:pPr>
              <w:jc w:val="center"/>
              <w:rPr>
                <w:rFonts w:ascii="Arial Narrow" w:hAnsi="Arial Narrow"/>
                <w:b/>
                <w:sz w:val="20"/>
                <w:szCs w:val="20"/>
              </w:rPr>
            </w:pPr>
            <w:r w:rsidRPr="00142AD4">
              <w:rPr>
                <w:rFonts w:ascii="Arial Narrow" w:hAnsi="Arial Narrow"/>
                <w:b/>
                <w:sz w:val="20"/>
                <w:szCs w:val="20"/>
                <w:highlight w:val="black"/>
              </w:rPr>
              <w:t>X</w:t>
            </w:r>
            <w:r>
              <w:rPr>
                <w:rFonts w:ascii="Arial Narrow" w:hAnsi="Arial Narrow"/>
                <w:b/>
                <w:sz w:val="20"/>
                <w:szCs w:val="20"/>
                <w:highlight w:val="black"/>
              </w:rPr>
              <w:t>XXXXXX</w:t>
            </w:r>
          </w:p>
        </w:tc>
        <w:tc>
          <w:tcPr>
            <w:tcW w:w="1078" w:type="dxa"/>
            <w:shd w:val="clear" w:color="auto" w:fill="F2F2F2" w:themeFill="background1" w:themeFillShade="F2"/>
          </w:tcPr>
          <w:p w14:paraId="6C077BA8" w14:textId="1E902C37" w:rsidR="00EC3824" w:rsidRPr="001802A1" w:rsidRDefault="00EC3824" w:rsidP="00245BE6">
            <w:pPr>
              <w:jc w:val="center"/>
              <w:rPr>
                <w:rFonts w:ascii="Arial Narrow" w:hAnsi="Arial Narrow"/>
                <w:b/>
                <w:sz w:val="20"/>
                <w:szCs w:val="20"/>
              </w:rPr>
            </w:pPr>
            <w:r w:rsidRPr="00142AD4">
              <w:rPr>
                <w:rFonts w:ascii="Arial Narrow" w:hAnsi="Arial Narrow"/>
                <w:b/>
                <w:sz w:val="20"/>
                <w:szCs w:val="20"/>
                <w:highlight w:val="black"/>
              </w:rPr>
              <w:t>X</w:t>
            </w:r>
            <w:r>
              <w:rPr>
                <w:rFonts w:ascii="Arial Narrow" w:hAnsi="Arial Narrow"/>
                <w:b/>
                <w:sz w:val="20"/>
                <w:szCs w:val="20"/>
                <w:highlight w:val="black"/>
              </w:rPr>
              <w:t>XXXXXX</w:t>
            </w:r>
          </w:p>
        </w:tc>
      </w:tr>
      <w:tr w:rsidR="003320B0" w14:paraId="2DFA33A3" w14:textId="77777777" w:rsidTr="003320B0">
        <w:tc>
          <w:tcPr>
            <w:tcW w:w="1242" w:type="dxa"/>
            <w:tcBorders>
              <w:right w:val="nil"/>
            </w:tcBorders>
            <w:shd w:val="clear" w:color="auto" w:fill="F2F2F2" w:themeFill="background1" w:themeFillShade="F2"/>
          </w:tcPr>
          <w:p w14:paraId="264A7C93" w14:textId="64F4617C" w:rsidR="003320B0" w:rsidRPr="00A70DEC" w:rsidRDefault="003320B0" w:rsidP="00245BE6">
            <w:pPr>
              <w:rPr>
                <w:rFonts w:ascii="Arial Narrow" w:hAnsi="Arial Narrow"/>
                <w:sz w:val="20"/>
                <w:szCs w:val="20"/>
                <w:highlight w:val="black"/>
              </w:rPr>
            </w:pPr>
            <w:r>
              <w:rPr>
                <w:rFonts w:ascii="Arial Narrow" w:hAnsi="Arial Narrow"/>
                <w:b/>
                <w:sz w:val="20"/>
                <w:szCs w:val="20"/>
                <w:highlight w:val="black"/>
              </w:rPr>
              <w:t>XXXXXXXXX</w:t>
            </w:r>
          </w:p>
        </w:tc>
        <w:tc>
          <w:tcPr>
            <w:tcW w:w="1843" w:type="dxa"/>
            <w:tcBorders>
              <w:left w:val="nil"/>
              <w:right w:val="nil"/>
            </w:tcBorders>
            <w:shd w:val="clear" w:color="auto" w:fill="F2F2F2" w:themeFill="background1" w:themeFillShade="F2"/>
          </w:tcPr>
          <w:p w14:paraId="1299CEE6" w14:textId="77777777" w:rsidR="003320B0" w:rsidRDefault="003320B0" w:rsidP="00245BE6">
            <w:pPr>
              <w:rPr>
                <w:rFonts w:ascii="Arial Narrow" w:hAnsi="Arial Narrow"/>
                <w:sz w:val="20"/>
                <w:szCs w:val="20"/>
                <w:highlight w:val="black"/>
                <w:vertAlign w:val="superscript"/>
              </w:rPr>
            </w:pPr>
          </w:p>
        </w:tc>
        <w:tc>
          <w:tcPr>
            <w:tcW w:w="992" w:type="dxa"/>
            <w:tcBorders>
              <w:left w:val="nil"/>
              <w:right w:val="nil"/>
            </w:tcBorders>
            <w:shd w:val="clear" w:color="auto" w:fill="F2F2F2" w:themeFill="background1" w:themeFillShade="F2"/>
          </w:tcPr>
          <w:p w14:paraId="31A30993" w14:textId="77777777" w:rsidR="003320B0" w:rsidRPr="006E41FC" w:rsidRDefault="003320B0" w:rsidP="00245BE6">
            <w:pPr>
              <w:rPr>
                <w:rFonts w:ascii="Arial Narrow" w:hAnsi="Arial Narrow"/>
                <w:sz w:val="20"/>
                <w:szCs w:val="20"/>
              </w:rPr>
            </w:pPr>
          </w:p>
        </w:tc>
        <w:tc>
          <w:tcPr>
            <w:tcW w:w="907" w:type="dxa"/>
            <w:tcBorders>
              <w:left w:val="nil"/>
              <w:right w:val="nil"/>
            </w:tcBorders>
            <w:shd w:val="clear" w:color="auto" w:fill="F2F2F2" w:themeFill="background1" w:themeFillShade="F2"/>
          </w:tcPr>
          <w:p w14:paraId="56B312D5" w14:textId="77777777" w:rsidR="003320B0" w:rsidRPr="00E209E8" w:rsidRDefault="003320B0" w:rsidP="00245BE6">
            <w:pPr>
              <w:rPr>
                <w:rFonts w:ascii="Arial Narrow" w:hAnsi="Arial Narrow"/>
                <w:sz w:val="20"/>
                <w:szCs w:val="20"/>
                <w:highlight w:val="black"/>
              </w:rPr>
            </w:pPr>
          </w:p>
        </w:tc>
        <w:tc>
          <w:tcPr>
            <w:tcW w:w="992" w:type="dxa"/>
            <w:tcBorders>
              <w:left w:val="nil"/>
              <w:right w:val="nil"/>
            </w:tcBorders>
            <w:shd w:val="clear" w:color="auto" w:fill="F2F2F2" w:themeFill="background1" w:themeFillShade="F2"/>
          </w:tcPr>
          <w:p w14:paraId="2EE66BB1" w14:textId="77777777" w:rsidR="003320B0" w:rsidRPr="00E209E8" w:rsidRDefault="003320B0" w:rsidP="00245BE6">
            <w:pPr>
              <w:rPr>
                <w:rFonts w:ascii="Arial Narrow" w:hAnsi="Arial Narrow"/>
                <w:sz w:val="20"/>
                <w:szCs w:val="20"/>
                <w:highlight w:val="black"/>
              </w:rPr>
            </w:pPr>
          </w:p>
        </w:tc>
        <w:tc>
          <w:tcPr>
            <w:tcW w:w="992" w:type="dxa"/>
            <w:tcBorders>
              <w:left w:val="nil"/>
              <w:right w:val="nil"/>
            </w:tcBorders>
            <w:shd w:val="clear" w:color="auto" w:fill="F2F2F2" w:themeFill="background1" w:themeFillShade="F2"/>
          </w:tcPr>
          <w:p w14:paraId="58BE37DF" w14:textId="77777777" w:rsidR="003320B0" w:rsidRPr="00E209E8" w:rsidRDefault="003320B0" w:rsidP="00245BE6">
            <w:pPr>
              <w:rPr>
                <w:rFonts w:ascii="Arial Narrow" w:hAnsi="Arial Narrow"/>
                <w:sz w:val="20"/>
                <w:szCs w:val="20"/>
                <w:highlight w:val="black"/>
              </w:rPr>
            </w:pPr>
          </w:p>
        </w:tc>
        <w:tc>
          <w:tcPr>
            <w:tcW w:w="993" w:type="dxa"/>
            <w:tcBorders>
              <w:left w:val="nil"/>
              <w:right w:val="nil"/>
            </w:tcBorders>
            <w:shd w:val="clear" w:color="auto" w:fill="F2F2F2" w:themeFill="background1" w:themeFillShade="F2"/>
          </w:tcPr>
          <w:p w14:paraId="1472464C" w14:textId="77777777" w:rsidR="003320B0" w:rsidRPr="00E209E8" w:rsidRDefault="003320B0" w:rsidP="00245BE6">
            <w:pPr>
              <w:rPr>
                <w:rFonts w:ascii="Arial Narrow" w:hAnsi="Arial Narrow"/>
                <w:sz w:val="20"/>
                <w:szCs w:val="20"/>
                <w:highlight w:val="black"/>
              </w:rPr>
            </w:pPr>
          </w:p>
        </w:tc>
        <w:tc>
          <w:tcPr>
            <w:tcW w:w="1078" w:type="dxa"/>
            <w:tcBorders>
              <w:left w:val="nil"/>
            </w:tcBorders>
            <w:shd w:val="clear" w:color="auto" w:fill="F2F2F2" w:themeFill="background1" w:themeFillShade="F2"/>
          </w:tcPr>
          <w:p w14:paraId="7EFF94BE" w14:textId="77777777" w:rsidR="003320B0" w:rsidRPr="00E209E8" w:rsidRDefault="003320B0" w:rsidP="00245BE6">
            <w:pPr>
              <w:rPr>
                <w:rFonts w:ascii="Arial Narrow" w:hAnsi="Arial Narrow"/>
                <w:sz w:val="20"/>
                <w:szCs w:val="20"/>
                <w:highlight w:val="black"/>
              </w:rPr>
            </w:pPr>
          </w:p>
        </w:tc>
      </w:tr>
      <w:tr w:rsidR="00A70DEC" w14:paraId="707467FE" w14:textId="77777777" w:rsidTr="00473462">
        <w:tc>
          <w:tcPr>
            <w:tcW w:w="1242" w:type="dxa"/>
          </w:tcPr>
          <w:p w14:paraId="3BA62247" w14:textId="4BD62A31" w:rsidR="00A70DEC" w:rsidRPr="006E41FC"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00FB31BD" w14:textId="293C8928" w:rsidR="00A70DEC" w:rsidRPr="00A70DEC" w:rsidRDefault="00A70DEC" w:rsidP="00245BE6">
            <w:pPr>
              <w:rPr>
                <w:rFonts w:ascii="Arial Narrow" w:hAnsi="Arial Narrow"/>
                <w:sz w:val="20"/>
                <w:szCs w:val="20"/>
                <w:highlight w:val="black"/>
                <w:vertAlign w:val="superscript"/>
              </w:rPr>
            </w:pPr>
            <w:r>
              <w:rPr>
                <w:rFonts w:ascii="Arial Narrow" w:hAnsi="Arial Narrow"/>
                <w:sz w:val="20"/>
                <w:szCs w:val="20"/>
                <w:highlight w:val="black"/>
                <w:vertAlign w:val="superscript"/>
              </w:rPr>
              <w:t>XXXXXXXXXXXXXXXXX</w:t>
            </w:r>
          </w:p>
          <w:p w14:paraId="6F7DBFF4" w14:textId="54415A0C" w:rsidR="00A70DEC" w:rsidRPr="006E41FC" w:rsidRDefault="00A70DEC" w:rsidP="00245BE6">
            <w:pPr>
              <w:rPr>
                <w:rFonts w:ascii="Arial Narrow" w:hAnsi="Arial Narrow"/>
                <w:sz w:val="20"/>
                <w:szCs w:val="20"/>
                <w:vertAlign w:val="superscript"/>
              </w:rPr>
            </w:pPr>
            <w:r w:rsidRPr="00A70DEC">
              <w:rPr>
                <w:rFonts w:ascii="Arial Narrow" w:hAnsi="Arial Narrow"/>
                <w:sz w:val="20"/>
                <w:szCs w:val="20"/>
                <w:highlight w:val="black"/>
                <w:vertAlign w:val="superscript"/>
              </w:rPr>
              <w:t>XXXXXXXXXXXXX</w:t>
            </w:r>
          </w:p>
        </w:tc>
        <w:tc>
          <w:tcPr>
            <w:tcW w:w="992" w:type="dxa"/>
            <w:shd w:val="clear" w:color="auto" w:fill="F2F2F2" w:themeFill="background1" w:themeFillShade="F2"/>
          </w:tcPr>
          <w:p w14:paraId="4639DC64" w14:textId="77777777" w:rsidR="00A70DEC" w:rsidRPr="006E41FC" w:rsidRDefault="00A70DEC" w:rsidP="00245BE6">
            <w:pPr>
              <w:rPr>
                <w:rFonts w:ascii="Arial Narrow" w:hAnsi="Arial Narrow"/>
                <w:sz w:val="20"/>
                <w:szCs w:val="20"/>
              </w:rPr>
            </w:pPr>
          </w:p>
        </w:tc>
        <w:tc>
          <w:tcPr>
            <w:tcW w:w="907" w:type="dxa"/>
          </w:tcPr>
          <w:p w14:paraId="34C8BF9F" w14:textId="4B697B67" w:rsidR="00A70DEC" w:rsidRPr="006E41FC" w:rsidRDefault="00A70DEC" w:rsidP="00245BE6">
            <w:pPr>
              <w:rPr>
                <w:rFonts w:ascii="Arial Narrow" w:hAnsi="Arial Narrow"/>
                <w:sz w:val="20"/>
                <w:szCs w:val="20"/>
              </w:rPr>
            </w:pPr>
            <w:r w:rsidRPr="00E209E8">
              <w:rPr>
                <w:rFonts w:ascii="Arial Narrow" w:hAnsi="Arial Narrow"/>
                <w:sz w:val="20"/>
                <w:szCs w:val="20"/>
                <w:highlight w:val="black"/>
              </w:rPr>
              <w:t>xxxxx</w:t>
            </w:r>
          </w:p>
        </w:tc>
        <w:tc>
          <w:tcPr>
            <w:tcW w:w="992" w:type="dxa"/>
          </w:tcPr>
          <w:p w14:paraId="146C01B1" w14:textId="7FB1A637" w:rsidR="00A70DEC" w:rsidRPr="006E41FC" w:rsidRDefault="00A70DEC" w:rsidP="00245BE6">
            <w:pPr>
              <w:rPr>
                <w:rFonts w:ascii="Arial Narrow" w:hAnsi="Arial Narrow"/>
                <w:sz w:val="20"/>
                <w:szCs w:val="20"/>
              </w:rPr>
            </w:pPr>
            <w:r w:rsidRPr="00E209E8">
              <w:rPr>
                <w:rFonts w:ascii="Arial Narrow" w:hAnsi="Arial Narrow"/>
                <w:sz w:val="20"/>
                <w:szCs w:val="20"/>
                <w:highlight w:val="black"/>
              </w:rPr>
              <w:t>xxxxx</w:t>
            </w:r>
          </w:p>
        </w:tc>
        <w:tc>
          <w:tcPr>
            <w:tcW w:w="992" w:type="dxa"/>
          </w:tcPr>
          <w:p w14:paraId="0E89AF5B" w14:textId="5F531E70" w:rsidR="00A70DEC" w:rsidRPr="006E41FC" w:rsidRDefault="00A70DEC" w:rsidP="00245BE6">
            <w:pPr>
              <w:rPr>
                <w:rFonts w:ascii="Arial Narrow" w:hAnsi="Arial Narrow"/>
                <w:sz w:val="20"/>
                <w:szCs w:val="20"/>
              </w:rPr>
            </w:pPr>
            <w:r w:rsidRPr="00E209E8">
              <w:rPr>
                <w:rFonts w:ascii="Arial Narrow" w:hAnsi="Arial Narrow"/>
                <w:sz w:val="20"/>
                <w:szCs w:val="20"/>
                <w:highlight w:val="black"/>
              </w:rPr>
              <w:t>xxxxx</w:t>
            </w:r>
          </w:p>
        </w:tc>
        <w:tc>
          <w:tcPr>
            <w:tcW w:w="993" w:type="dxa"/>
          </w:tcPr>
          <w:p w14:paraId="5318F78C" w14:textId="73D203C5" w:rsidR="00A70DEC" w:rsidRPr="006E41FC" w:rsidRDefault="00A70DEC" w:rsidP="00245BE6">
            <w:pPr>
              <w:rPr>
                <w:rFonts w:ascii="Arial Narrow" w:hAnsi="Arial Narrow"/>
                <w:sz w:val="20"/>
                <w:szCs w:val="20"/>
              </w:rPr>
            </w:pPr>
            <w:r w:rsidRPr="00E209E8">
              <w:rPr>
                <w:rFonts w:ascii="Arial Narrow" w:hAnsi="Arial Narrow"/>
                <w:sz w:val="20"/>
                <w:szCs w:val="20"/>
                <w:highlight w:val="black"/>
              </w:rPr>
              <w:t>xxxxx</w:t>
            </w:r>
          </w:p>
        </w:tc>
        <w:tc>
          <w:tcPr>
            <w:tcW w:w="1078" w:type="dxa"/>
          </w:tcPr>
          <w:p w14:paraId="7FDD8641" w14:textId="01FA68CE" w:rsidR="00A70DEC" w:rsidRPr="006E41FC" w:rsidRDefault="00A70DEC" w:rsidP="00245BE6">
            <w:pPr>
              <w:rPr>
                <w:rFonts w:ascii="Arial Narrow" w:hAnsi="Arial Narrow"/>
                <w:sz w:val="20"/>
                <w:szCs w:val="20"/>
              </w:rPr>
            </w:pPr>
            <w:r w:rsidRPr="00E209E8">
              <w:rPr>
                <w:rFonts w:ascii="Arial Narrow" w:hAnsi="Arial Narrow"/>
                <w:sz w:val="20"/>
                <w:szCs w:val="20"/>
                <w:highlight w:val="black"/>
              </w:rPr>
              <w:t>xxxxx</w:t>
            </w:r>
          </w:p>
        </w:tc>
      </w:tr>
      <w:tr w:rsidR="00A70DEC" w14:paraId="6B9CD9C5" w14:textId="77777777" w:rsidTr="00A4710E">
        <w:tc>
          <w:tcPr>
            <w:tcW w:w="1242" w:type="dxa"/>
          </w:tcPr>
          <w:p w14:paraId="3CC66932" w14:textId="3FAFBF0E" w:rsidR="00A70DEC" w:rsidRPr="006E41FC"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7121A4B9" w14:textId="77777777" w:rsidR="00A70DEC" w:rsidRPr="00A70DEC" w:rsidRDefault="00A70DEC"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XXXXXXXXXXXXXXXXXXX</w:t>
            </w:r>
          </w:p>
          <w:p w14:paraId="22BE68A0" w14:textId="32B94192" w:rsidR="00A70DEC" w:rsidRPr="006E41FC" w:rsidRDefault="00A70DEC" w:rsidP="00245BE6">
            <w:pPr>
              <w:rPr>
                <w:rFonts w:ascii="Arial Narrow" w:hAnsi="Arial Narrow"/>
                <w:sz w:val="20"/>
                <w:szCs w:val="20"/>
                <w:vertAlign w:val="superscript"/>
              </w:rPr>
            </w:pPr>
            <w:r w:rsidRPr="00A70DEC">
              <w:rPr>
                <w:rFonts w:ascii="Arial Narrow" w:hAnsi="Arial Narrow"/>
                <w:sz w:val="20"/>
                <w:szCs w:val="20"/>
                <w:highlight w:val="black"/>
                <w:vertAlign w:val="superscript"/>
              </w:rPr>
              <w:t>XXXXXXXXXX</w:t>
            </w:r>
          </w:p>
        </w:tc>
        <w:tc>
          <w:tcPr>
            <w:tcW w:w="992" w:type="dxa"/>
          </w:tcPr>
          <w:p w14:paraId="7DC08435" w14:textId="68A9F82C" w:rsidR="00A70DEC" w:rsidRPr="006E41FC" w:rsidRDefault="00A70DEC" w:rsidP="00245BE6">
            <w:pPr>
              <w:rPr>
                <w:rFonts w:ascii="Arial Narrow" w:hAnsi="Arial Narrow"/>
                <w:sz w:val="20"/>
                <w:szCs w:val="20"/>
              </w:rPr>
            </w:pPr>
            <w:r w:rsidRPr="00990A13">
              <w:rPr>
                <w:rFonts w:ascii="Arial Narrow" w:hAnsi="Arial Narrow"/>
                <w:sz w:val="20"/>
                <w:szCs w:val="20"/>
                <w:highlight w:val="black"/>
              </w:rPr>
              <w:t>xxxxx</w:t>
            </w:r>
          </w:p>
        </w:tc>
        <w:tc>
          <w:tcPr>
            <w:tcW w:w="907" w:type="dxa"/>
          </w:tcPr>
          <w:p w14:paraId="5D9CED66" w14:textId="071AE37B" w:rsidR="00A70DEC" w:rsidRPr="006E41FC" w:rsidRDefault="00A70DEC" w:rsidP="00245BE6">
            <w:pPr>
              <w:rPr>
                <w:rFonts w:ascii="Arial Narrow" w:hAnsi="Arial Narrow"/>
                <w:sz w:val="20"/>
                <w:szCs w:val="20"/>
              </w:rPr>
            </w:pPr>
            <w:r w:rsidRPr="00990A13">
              <w:rPr>
                <w:rFonts w:ascii="Arial Narrow" w:hAnsi="Arial Narrow"/>
                <w:sz w:val="20"/>
                <w:szCs w:val="20"/>
                <w:highlight w:val="black"/>
              </w:rPr>
              <w:t>xxxxx</w:t>
            </w:r>
          </w:p>
        </w:tc>
        <w:tc>
          <w:tcPr>
            <w:tcW w:w="992" w:type="dxa"/>
          </w:tcPr>
          <w:p w14:paraId="684C3D8A" w14:textId="601300B4" w:rsidR="00A70DEC" w:rsidRPr="006E41FC" w:rsidRDefault="00A70DEC" w:rsidP="00245BE6">
            <w:pPr>
              <w:rPr>
                <w:rFonts w:ascii="Arial Narrow" w:hAnsi="Arial Narrow"/>
                <w:sz w:val="20"/>
                <w:szCs w:val="20"/>
              </w:rPr>
            </w:pPr>
            <w:r w:rsidRPr="00990A13">
              <w:rPr>
                <w:rFonts w:ascii="Arial Narrow" w:hAnsi="Arial Narrow"/>
                <w:sz w:val="20"/>
                <w:szCs w:val="20"/>
                <w:highlight w:val="black"/>
              </w:rPr>
              <w:t>xxxxx</w:t>
            </w:r>
          </w:p>
        </w:tc>
        <w:tc>
          <w:tcPr>
            <w:tcW w:w="992" w:type="dxa"/>
          </w:tcPr>
          <w:p w14:paraId="4FE1CF04" w14:textId="5796926F" w:rsidR="00A70DEC" w:rsidRPr="006E41FC" w:rsidRDefault="00A70DEC" w:rsidP="00245BE6">
            <w:pPr>
              <w:rPr>
                <w:rFonts w:ascii="Arial Narrow" w:hAnsi="Arial Narrow"/>
                <w:sz w:val="20"/>
                <w:szCs w:val="20"/>
              </w:rPr>
            </w:pPr>
            <w:r w:rsidRPr="00990A13">
              <w:rPr>
                <w:rFonts w:ascii="Arial Narrow" w:hAnsi="Arial Narrow"/>
                <w:sz w:val="20"/>
                <w:szCs w:val="20"/>
                <w:highlight w:val="black"/>
              </w:rPr>
              <w:t>xxxxx</w:t>
            </w:r>
          </w:p>
        </w:tc>
        <w:tc>
          <w:tcPr>
            <w:tcW w:w="993" w:type="dxa"/>
          </w:tcPr>
          <w:p w14:paraId="24CFBE45" w14:textId="31C0D01B" w:rsidR="00A70DEC" w:rsidRPr="006E41FC" w:rsidRDefault="00A70DEC" w:rsidP="00245BE6">
            <w:pPr>
              <w:rPr>
                <w:rFonts w:ascii="Arial Narrow" w:hAnsi="Arial Narrow"/>
                <w:sz w:val="20"/>
                <w:szCs w:val="20"/>
              </w:rPr>
            </w:pPr>
            <w:r w:rsidRPr="00990A13">
              <w:rPr>
                <w:rFonts w:ascii="Arial Narrow" w:hAnsi="Arial Narrow"/>
                <w:sz w:val="20"/>
                <w:szCs w:val="20"/>
                <w:highlight w:val="black"/>
              </w:rPr>
              <w:t>xxxxx</w:t>
            </w:r>
          </w:p>
        </w:tc>
        <w:tc>
          <w:tcPr>
            <w:tcW w:w="1078" w:type="dxa"/>
          </w:tcPr>
          <w:p w14:paraId="50C33388" w14:textId="081E2250" w:rsidR="00A70DEC" w:rsidRPr="006E41FC" w:rsidRDefault="00A70DEC" w:rsidP="00245BE6">
            <w:pPr>
              <w:rPr>
                <w:rFonts w:ascii="Arial Narrow" w:hAnsi="Arial Narrow"/>
                <w:sz w:val="20"/>
                <w:szCs w:val="20"/>
              </w:rPr>
            </w:pPr>
            <w:r w:rsidRPr="00990A13">
              <w:rPr>
                <w:rFonts w:ascii="Arial Narrow" w:hAnsi="Arial Narrow"/>
                <w:sz w:val="20"/>
                <w:szCs w:val="20"/>
                <w:highlight w:val="black"/>
              </w:rPr>
              <w:t>xxxxx</w:t>
            </w:r>
          </w:p>
        </w:tc>
      </w:tr>
      <w:tr w:rsidR="00A70DEC" w14:paraId="16EFA502" w14:textId="77777777" w:rsidTr="00BB3CCE">
        <w:tc>
          <w:tcPr>
            <w:tcW w:w="1242" w:type="dxa"/>
          </w:tcPr>
          <w:p w14:paraId="7B5B53F2" w14:textId="6C728A21" w:rsidR="00A70DEC" w:rsidRPr="009506FB"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365D5E76" w14:textId="77777777" w:rsidR="00A70DEC" w:rsidRPr="00A70DEC" w:rsidRDefault="00A70DEC"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XXXXXXXXXXXXXXXXXXXX</w:t>
            </w:r>
          </w:p>
          <w:p w14:paraId="3D692453" w14:textId="77777777" w:rsidR="00A70DEC" w:rsidRPr="00A70DEC" w:rsidRDefault="00A70DEC"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XXXXXXXXXXXXXXXX</w:t>
            </w:r>
          </w:p>
          <w:p w14:paraId="63F59200" w14:textId="77777777" w:rsidR="00A70DEC" w:rsidRPr="00A70DEC" w:rsidRDefault="00A70DEC"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w:t>
            </w:r>
          </w:p>
          <w:p w14:paraId="79B07501" w14:textId="101FE454" w:rsidR="00A70DEC" w:rsidRPr="009506FB" w:rsidRDefault="00A70DEC" w:rsidP="00245BE6">
            <w:pPr>
              <w:rPr>
                <w:rFonts w:ascii="Arial Narrow" w:hAnsi="Arial Narrow"/>
                <w:sz w:val="20"/>
                <w:szCs w:val="20"/>
              </w:rPr>
            </w:pPr>
            <w:r w:rsidRPr="00A70DEC">
              <w:rPr>
                <w:rFonts w:ascii="Arial Narrow" w:hAnsi="Arial Narrow"/>
                <w:sz w:val="20"/>
                <w:szCs w:val="20"/>
                <w:highlight w:val="black"/>
                <w:vertAlign w:val="superscript"/>
              </w:rPr>
              <w:t>XXXXXX</w:t>
            </w:r>
          </w:p>
        </w:tc>
        <w:tc>
          <w:tcPr>
            <w:tcW w:w="992" w:type="dxa"/>
          </w:tcPr>
          <w:p w14:paraId="01859E94" w14:textId="0E5D3BAA" w:rsidR="00A70DEC" w:rsidRPr="00A3474D" w:rsidRDefault="00A70DEC" w:rsidP="00245BE6">
            <w:pPr>
              <w:rPr>
                <w:rFonts w:ascii="Arial Narrow" w:hAnsi="Arial Narrow" w:cs="Arial"/>
                <w:sz w:val="20"/>
                <w:szCs w:val="20"/>
              </w:rPr>
            </w:pPr>
            <w:r w:rsidRPr="0091241A">
              <w:rPr>
                <w:rFonts w:ascii="Arial Narrow" w:hAnsi="Arial Narrow"/>
                <w:sz w:val="20"/>
                <w:szCs w:val="20"/>
                <w:highlight w:val="black"/>
              </w:rPr>
              <w:t>xxxxx</w:t>
            </w:r>
          </w:p>
        </w:tc>
        <w:tc>
          <w:tcPr>
            <w:tcW w:w="907" w:type="dxa"/>
          </w:tcPr>
          <w:p w14:paraId="7E2146F0" w14:textId="46D9D3A3" w:rsidR="00A70DEC" w:rsidRPr="00A3474D" w:rsidRDefault="00A70DEC" w:rsidP="00245BE6">
            <w:pPr>
              <w:rPr>
                <w:rFonts w:ascii="Arial Narrow" w:hAnsi="Arial Narrow" w:cs="Arial"/>
                <w:sz w:val="20"/>
                <w:szCs w:val="20"/>
              </w:rPr>
            </w:pPr>
            <w:r w:rsidRPr="0091241A">
              <w:rPr>
                <w:rFonts w:ascii="Arial Narrow" w:hAnsi="Arial Narrow"/>
                <w:sz w:val="20"/>
                <w:szCs w:val="20"/>
                <w:highlight w:val="black"/>
              </w:rPr>
              <w:t>xxxxx</w:t>
            </w:r>
          </w:p>
        </w:tc>
        <w:tc>
          <w:tcPr>
            <w:tcW w:w="992" w:type="dxa"/>
          </w:tcPr>
          <w:p w14:paraId="5DAB67B6" w14:textId="5E61A739" w:rsidR="00A70DEC" w:rsidRPr="00A3474D" w:rsidRDefault="00A70DEC" w:rsidP="00245BE6">
            <w:pPr>
              <w:rPr>
                <w:rFonts w:ascii="Arial Narrow" w:hAnsi="Arial Narrow" w:cs="Arial"/>
                <w:sz w:val="20"/>
                <w:szCs w:val="20"/>
              </w:rPr>
            </w:pPr>
            <w:r w:rsidRPr="0091241A">
              <w:rPr>
                <w:rFonts w:ascii="Arial Narrow" w:hAnsi="Arial Narrow"/>
                <w:sz w:val="20"/>
                <w:szCs w:val="20"/>
                <w:highlight w:val="black"/>
              </w:rPr>
              <w:t>xxxxx</w:t>
            </w:r>
          </w:p>
        </w:tc>
        <w:tc>
          <w:tcPr>
            <w:tcW w:w="992" w:type="dxa"/>
          </w:tcPr>
          <w:p w14:paraId="13B6A688" w14:textId="6CC727BC" w:rsidR="00A70DEC" w:rsidRPr="00A3474D" w:rsidRDefault="00A70DEC" w:rsidP="00245BE6">
            <w:pPr>
              <w:rPr>
                <w:rFonts w:ascii="Arial Narrow" w:hAnsi="Arial Narrow" w:cs="Arial"/>
                <w:sz w:val="20"/>
                <w:szCs w:val="20"/>
              </w:rPr>
            </w:pPr>
            <w:r w:rsidRPr="0091241A">
              <w:rPr>
                <w:rFonts w:ascii="Arial Narrow" w:hAnsi="Arial Narrow"/>
                <w:sz w:val="20"/>
                <w:szCs w:val="20"/>
                <w:highlight w:val="black"/>
              </w:rPr>
              <w:t>xxxxx</w:t>
            </w:r>
          </w:p>
        </w:tc>
        <w:tc>
          <w:tcPr>
            <w:tcW w:w="993" w:type="dxa"/>
          </w:tcPr>
          <w:p w14:paraId="611F7B15" w14:textId="1A4D8EB9" w:rsidR="00A70DEC" w:rsidRPr="00A3474D" w:rsidRDefault="00A70DEC" w:rsidP="00245BE6">
            <w:pPr>
              <w:rPr>
                <w:rFonts w:ascii="Arial Narrow" w:hAnsi="Arial Narrow" w:cs="Arial"/>
                <w:sz w:val="20"/>
                <w:szCs w:val="20"/>
              </w:rPr>
            </w:pPr>
            <w:r w:rsidRPr="0091241A">
              <w:rPr>
                <w:rFonts w:ascii="Arial Narrow" w:hAnsi="Arial Narrow"/>
                <w:sz w:val="20"/>
                <w:szCs w:val="20"/>
                <w:highlight w:val="black"/>
              </w:rPr>
              <w:t>xxxxx</w:t>
            </w:r>
          </w:p>
        </w:tc>
        <w:tc>
          <w:tcPr>
            <w:tcW w:w="1078" w:type="dxa"/>
          </w:tcPr>
          <w:p w14:paraId="0FC1C001" w14:textId="5328AA4A" w:rsidR="00A70DEC" w:rsidRPr="00A3474D" w:rsidRDefault="00A70DEC" w:rsidP="00245BE6">
            <w:pPr>
              <w:rPr>
                <w:rFonts w:ascii="Arial Narrow" w:hAnsi="Arial Narrow" w:cs="Arial"/>
                <w:sz w:val="20"/>
                <w:szCs w:val="20"/>
              </w:rPr>
            </w:pPr>
            <w:r w:rsidRPr="0091241A">
              <w:rPr>
                <w:rFonts w:ascii="Arial Narrow" w:hAnsi="Arial Narrow"/>
                <w:sz w:val="20"/>
                <w:szCs w:val="20"/>
                <w:highlight w:val="black"/>
              </w:rPr>
              <w:t>xxxxx</w:t>
            </w:r>
          </w:p>
        </w:tc>
      </w:tr>
      <w:tr w:rsidR="00A70DEC" w14:paraId="328159C5" w14:textId="77777777" w:rsidTr="004C69A0">
        <w:tc>
          <w:tcPr>
            <w:tcW w:w="1242" w:type="dxa"/>
          </w:tcPr>
          <w:p w14:paraId="0299EB83" w14:textId="5EEEF452" w:rsidR="00A70DEC" w:rsidRPr="009506FB"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06A19369" w14:textId="77777777" w:rsidR="00A70DEC" w:rsidRPr="00A70DEC" w:rsidRDefault="00A70DEC" w:rsidP="00245BE6">
            <w:pPr>
              <w:rPr>
                <w:rFonts w:ascii="Arial Narrow" w:hAnsi="Arial Narrow"/>
                <w:sz w:val="20"/>
                <w:szCs w:val="20"/>
                <w:highlight w:val="black"/>
              </w:rPr>
            </w:pPr>
            <w:r w:rsidRPr="00A70DEC">
              <w:rPr>
                <w:rFonts w:ascii="Arial Narrow" w:hAnsi="Arial Narrow"/>
                <w:sz w:val="20"/>
                <w:szCs w:val="20"/>
                <w:highlight w:val="black"/>
              </w:rPr>
              <w:t>XXXXXXXXXXXXXX</w:t>
            </w:r>
          </w:p>
          <w:p w14:paraId="5ADA4677" w14:textId="77777777" w:rsidR="00A70DEC" w:rsidRPr="00A70DEC" w:rsidRDefault="00A70DEC" w:rsidP="00245BE6">
            <w:pPr>
              <w:rPr>
                <w:rFonts w:ascii="Arial Narrow" w:hAnsi="Arial Narrow"/>
                <w:sz w:val="20"/>
                <w:szCs w:val="20"/>
                <w:highlight w:val="black"/>
              </w:rPr>
            </w:pPr>
            <w:r w:rsidRPr="00A70DEC">
              <w:rPr>
                <w:rFonts w:ascii="Arial Narrow" w:hAnsi="Arial Narrow"/>
                <w:sz w:val="20"/>
                <w:szCs w:val="20"/>
                <w:highlight w:val="black"/>
              </w:rPr>
              <w:t>XXXXXXXXX</w:t>
            </w:r>
          </w:p>
          <w:p w14:paraId="65ECB364" w14:textId="37D0D220" w:rsidR="00A70DEC" w:rsidRPr="009506FB" w:rsidRDefault="00A70DEC" w:rsidP="00245BE6">
            <w:pPr>
              <w:rPr>
                <w:rFonts w:ascii="Arial Narrow" w:hAnsi="Arial Narrow"/>
                <w:sz w:val="20"/>
                <w:szCs w:val="20"/>
              </w:rPr>
            </w:pPr>
            <w:r w:rsidRPr="00A70DEC">
              <w:rPr>
                <w:rFonts w:ascii="Arial Narrow" w:hAnsi="Arial Narrow"/>
                <w:sz w:val="20"/>
                <w:szCs w:val="20"/>
                <w:highlight w:val="black"/>
              </w:rPr>
              <w:t>XXXXXXX</w:t>
            </w:r>
          </w:p>
        </w:tc>
        <w:tc>
          <w:tcPr>
            <w:tcW w:w="992" w:type="dxa"/>
            <w:shd w:val="clear" w:color="auto" w:fill="F2F2F2" w:themeFill="background1" w:themeFillShade="F2"/>
          </w:tcPr>
          <w:p w14:paraId="44AAE304" w14:textId="77777777" w:rsidR="00A70DEC" w:rsidRPr="00A3474D" w:rsidRDefault="00A70DEC" w:rsidP="00245BE6">
            <w:pPr>
              <w:rPr>
                <w:rFonts w:ascii="Arial Narrow" w:hAnsi="Arial Narrow" w:cs="Arial"/>
                <w:sz w:val="20"/>
                <w:szCs w:val="20"/>
              </w:rPr>
            </w:pPr>
          </w:p>
        </w:tc>
        <w:tc>
          <w:tcPr>
            <w:tcW w:w="907" w:type="dxa"/>
          </w:tcPr>
          <w:p w14:paraId="6AD3D935" w14:textId="40B9C891" w:rsidR="00A70DEC" w:rsidRPr="00A3474D" w:rsidRDefault="00A70DEC" w:rsidP="00245BE6">
            <w:pPr>
              <w:rPr>
                <w:rFonts w:ascii="Arial Narrow" w:hAnsi="Arial Narrow" w:cs="Arial"/>
                <w:sz w:val="20"/>
                <w:szCs w:val="20"/>
              </w:rPr>
            </w:pPr>
            <w:r w:rsidRPr="000252E9">
              <w:rPr>
                <w:rFonts w:ascii="Arial Narrow" w:hAnsi="Arial Narrow"/>
                <w:sz w:val="20"/>
                <w:szCs w:val="20"/>
                <w:highlight w:val="black"/>
              </w:rPr>
              <w:t>xxxxx</w:t>
            </w:r>
          </w:p>
        </w:tc>
        <w:tc>
          <w:tcPr>
            <w:tcW w:w="992" w:type="dxa"/>
          </w:tcPr>
          <w:p w14:paraId="5C40AE67" w14:textId="4BC99EA4" w:rsidR="00A70DEC" w:rsidRPr="00A3474D" w:rsidRDefault="00A70DEC" w:rsidP="00245BE6">
            <w:pPr>
              <w:rPr>
                <w:rFonts w:ascii="Arial Narrow" w:hAnsi="Arial Narrow" w:cs="Arial"/>
                <w:sz w:val="20"/>
                <w:szCs w:val="20"/>
              </w:rPr>
            </w:pPr>
            <w:r w:rsidRPr="000252E9">
              <w:rPr>
                <w:rFonts w:ascii="Arial Narrow" w:hAnsi="Arial Narrow"/>
                <w:sz w:val="20"/>
                <w:szCs w:val="20"/>
                <w:highlight w:val="black"/>
              </w:rPr>
              <w:t>xxxxx</w:t>
            </w:r>
          </w:p>
        </w:tc>
        <w:tc>
          <w:tcPr>
            <w:tcW w:w="992" w:type="dxa"/>
          </w:tcPr>
          <w:p w14:paraId="386F91B1" w14:textId="43EA7521" w:rsidR="00A70DEC" w:rsidRPr="00A3474D" w:rsidRDefault="00A70DEC" w:rsidP="00245BE6">
            <w:pPr>
              <w:rPr>
                <w:rFonts w:ascii="Arial Narrow" w:hAnsi="Arial Narrow" w:cs="Arial"/>
                <w:sz w:val="20"/>
                <w:szCs w:val="20"/>
              </w:rPr>
            </w:pPr>
            <w:r w:rsidRPr="000252E9">
              <w:rPr>
                <w:rFonts w:ascii="Arial Narrow" w:hAnsi="Arial Narrow"/>
                <w:sz w:val="20"/>
                <w:szCs w:val="20"/>
                <w:highlight w:val="black"/>
              </w:rPr>
              <w:t>xxxxx</w:t>
            </w:r>
          </w:p>
        </w:tc>
        <w:tc>
          <w:tcPr>
            <w:tcW w:w="993" w:type="dxa"/>
          </w:tcPr>
          <w:p w14:paraId="2B34F8D6" w14:textId="495F0828" w:rsidR="00A70DEC" w:rsidRPr="00A3474D" w:rsidRDefault="00A70DEC" w:rsidP="00245BE6">
            <w:pPr>
              <w:rPr>
                <w:rFonts w:ascii="Arial Narrow" w:hAnsi="Arial Narrow" w:cs="Arial"/>
                <w:sz w:val="20"/>
                <w:szCs w:val="20"/>
              </w:rPr>
            </w:pPr>
            <w:r w:rsidRPr="000252E9">
              <w:rPr>
                <w:rFonts w:ascii="Arial Narrow" w:hAnsi="Arial Narrow"/>
                <w:sz w:val="20"/>
                <w:szCs w:val="20"/>
                <w:highlight w:val="black"/>
              </w:rPr>
              <w:t>xxxxx</w:t>
            </w:r>
          </w:p>
        </w:tc>
        <w:tc>
          <w:tcPr>
            <w:tcW w:w="1078" w:type="dxa"/>
          </w:tcPr>
          <w:p w14:paraId="2A3AF2CD" w14:textId="78805A14" w:rsidR="00A70DEC" w:rsidRPr="00A3474D" w:rsidRDefault="00A70DEC" w:rsidP="00245BE6">
            <w:pPr>
              <w:rPr>
                <w:rFonts w:ascii="Arial Narrow" w:hAnsi="Arial Narrow" w:cs="Arial"/>
                <w:sz w:val="20"/>
                <w:szCs w:val="20"/>
              </w:rPr>
            </w:pPr>
            <w:r w:rsidRPr="000252E9">
              <w:rPr>
                <w:rFonts w:ascii="Arial Narrow" w:hAnsi="Arial Narrow"/>
                <w:sz w:val="20"/>
                <w:szCs w:val="20"/>
                <w:highlight w:val="black"/>
              </w:rPr>
              <w:t>xxxxx</w:t>
            </w:r>
          </w:p>
        </w:tc>
      </w:tr>
      <w:tr w:rsidR="00A70DEC" w14:paraId="09C85C0B" w14:textId="77777777" w:rsidTr="00EE24C7">
        <w:tc>
          <w:tcPr>
            <w:tcW w:w="1242" w:type="dxa"/>
          </w:tcPr>
          <w:p w14:paraId="275DB65B" w14:textId="02CE1A3A" w:rsidR="00A70DEC" w:rsidRPr="009506FB"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3B6C0C40" w14:textId="77777777" w:rsidR="00A70DEC" w:rsidRPr="00A70DEC" w:rsidRDefault="00A70DEC"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XXXXXXXXXXXXXXXXXXXX</w:t>
            </w:r>
          </w:p>
          <w:p w14:paraId="270524A9" w14:textId="77777777" w:rsidR="00A70DEC" w:rsidRPr="00A70DEC" w:rsidRDefault="00A70DEC"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XXXXXXXXXXXXXXXXX</w:t>
            </w:r>
          </w:p>
          <w:p w14:paraId="51298817" w14:textId="695FB915" w:rsidR="00A70DEC" w:rsidRPr="006C0956" w:rsidRDefault="00A70DEC" w:rsidP="00245BE6">
            <w:pPr>
              <w:rPr>
                <w:rFonts w:ascii="Arial Narrow" w:hAnsi="Arial Narrow"/>
                <w:sz w:val="20"/>
                <w:szCs w:val="20"/>
                <w:vertAlign w:val="superscript"/>
              </w:rPr>
            </w:pPr>
            <w:r w:rsidRPr="00A70DEC">
              <w:rPr>
                <w:rFonts w:ascii="Arial Narrow" w:hAnsi="Arial Narrow"/>
                <w:sz w:val="20"/>
                <w:szCs w:val="20"/>
                <w:highlight w:val="black"/>
                <w:vertAlign w:val="superscript"/>
              </w:rPr>
              <w:t>XXXXXXXXXXXXXXX</w:t>
            </w:r>
          </w:p>
        </w:tc>
        <w:tc>
          <w:tcPr>
            <w:tcW w:w="992" w:type="dxa"/>
          </w:tcPr>
          <w:p w14:paraId="4156BBB0" w14:textId="2B1E6121" w:rsidR="00A70DEC" w:rsidRPr="00A3474D" w:rsidRDefault="00A70DEC" w:rsidP="00245BE6">
            <w:pPr>
              <w:rPr>
                <w:rFonts w:ascii="Arial Narrow" w:hAnsi="Arial Narrow" w:cs="Arial"/>
                <w:sz w:val="20"/>
                <w:szCs w:val="20"/>
              </w:rPr>
            </w:pPr>
            <w:r w:rsidRPr="00346696">
              <w:rPr>
                <w:rFonts w:ascii="Arial Narrow" w:hAnsi="Arial Narrow"/>
                <w:sz w:val="20"/>
                <w:szCs w:val="20"/>
                <w:highlight w:val="black"/>
              </w:rPr>
              <w:t>xxxxx</w:t>
            </w:r>
          </w:p>
        </w:tc>
        <w:tc>
          <w:tcPr>
            <w:tcW w:w="907" w:type="dxa"/>
          </w:tcPr>
          <w:p w14:paraId="376B26E7" w14:textId="38DE257C" w:rsidR="00A70DEC" w:rsidRPr="00A3474D" w:rsidRDefault="00A70DEC" w:rsidP="00245BE6">
            <w:pPr>
              <w:rPr>
                <w:rFonts w:ascii="Arial Narrow" w:hAnsi="Arial Narrow" w:cs="Arial"/>
                <w:sz w:val="20"/>
                <w:szCs w:val="20"/>
              </w:rPr>
            </w:pPr>
            <w:r w:rsidRPr="00346696">
              <w:rPr>
                <w:rFonts w:ascii="Arial Narrow" w:hAnsi="Arial Narrow"/>
                <w:sz w:val="20"/>
                <w:szCs w:val="20"/>
                <w:highlight w:val="black"/>
              </w:rPr>
              <w:t>xxxxx</w:t>
            </w:r>
          </w:p>
        </w:tc>
        <w:tc>
          <w:tcPr>
            <w:tcW w:w="992" w:type="dxa"/>
          </w:tcPr>
          <w:p w14:paraId="24C04F33" w14:textId="63E60AE9" w:rsidR="00A70DEC" w:rsidRPr="00A3474D" w:rsidRDefault="00A70DEC" w:rsidP="00245BE6">
            <w:pPr>
              <w:rPr>
                <w:rFonts w:ascii="Arial Narrow" w:hAnsi="Arial Narrow" w:cs="Arial"/>
                <w:sz w:val="20"/>
                <w:szCs w:val="20"/>
              </w:rPr>
            </w:pPr>
            <w:r w:rsidRPr="00346696">
              <w:rPr>
                <w:rFonts w:ascii="Arial Narrow" w:hAnsi="Arial Narrow"/>
                <w:sz w:val="20"/>
                <w:szCs w:val="20"/>
                <w:highlight w:val="black"/>
              </w:rPr>
              <w:t>xxxxx</w:t>
            </w:r>
          </w:p>
        </w:tc>
        <w:tc>
          <w:tcPr>
            <w:tcW w:w="992" w:type="dxa"/>
          </w:tcPr>
          <w:p w14:paraId="00AB24DC" w14:textId="4E8E6956" w:rsidR="00A70DEC" w:rsidRPr="00A3474D" w:rsidRDefault="00A70DEC" w:rsidP="00245BE6">
            <w:pPr>
              <w:rPr>
                <w:rFonts w:ascii="Arial Narrow" w:hAnsi="Arial Narrow" w:cs="Arial"/>
                <w:sz w:val="20"/>
                <w:szCs w:val="20"/>
              </w:rPr>
            </w:pPr>
            <w:r w:rsidRPr="00346696">
              <w:rPr>
                <w:rFonts w:ascii="Arial Narrow" w:hAnsi="Arial Narrow"/>
                <w:sz w:val="20"/>
                <w:szCs w:val="20"/>
                <w:highlight w:val="black"/>
              </w:rPr>
              <w:t>xxxxx</w:t>
            </w:r>
          </w:p>
        </w:tc>
        <w:tc>
          <w:tcPr>
            <w:tcW w:w="993" w:type="dxa"/>
          </w:tcPr>
          <w:p w14:paraId="40B1AA6B" w14:textId="70E0ADDD" w:rsidR="00A70DEC" w:rsidRPr="00A3474D" w:rsidRDefault="00A70DEC" w:rsidP="00245BE6">
            <w:pPr>
              <w:rPr>
                <w:rFonts w:ascii="Arial Narrow" w:hAnsi="Arial Narrow" w:cs="Arial"/>
                <w:sz w:val="20"/>
                <w:szCs w:val="20"/>
              </w:rPr>
            </w:pPr>
            <w:r w:rsidRPr="00346696">
              <w:rPr>
                <w:rFonts w:ascii="Arial Narrow" w:hAnsi="Arial Narrow"/>
                <w:sz w:val="20"/>
                <w:szCs w:val="20"/>
                <w:highlight w:val="black"/>
              </w:rPr>
              <w:t>xxxxx</w:t>
            </w:r>
          </w:p>
        </w:tc>
        <w:tc>
          <w:tcPr>
            <w:tcW w:w="1078" w:type="dxa"/>
          </w:tcPr>
          <w:p w14:paraId="7AE3A1F0" w14:textId="63E5E5A4" w:rsidR="00A70DEC" w:rsidRPr="00A3474D" w:rsidRDefault="00A70DEC" w:rsidP="00245BE6">
            <w:pPr>
              <w:rPr>
                <w:rFonts w:ascii="Arial Narrow" w:hAnsi="Arial Narrow" w:cs="Arial"/>
                <w:sz w:val="20"/>
                <w:szCs w:val="20"/>
              </w:rPr>
            </w:pPr>
            <w:r w:rsidRPr="00346696">
              <w:rPr>
                <w:rFonts w:ascii="Arial Narrow" w:hAnsi="Arial Narrow"/>
                <w:sz w:val="20"/>
                <w:szCs w:val="20"/>
                <w:highlight w:val="black"/>
              </w:rPr>
              <w:t>xxxxx</w:t>
            </w:r>
          </w:p>
        </w:tc>
      </w:tr>
      <w:tr w:rsidR="001273EC" w14:paraId="06A84347" w14:textId="77777777" w:rsidTr="009163A3">
        <w:tc>
          <w:tcPr>
            <w:tcW w:w="1242" w:type="dxa"/>
          </w:tcPr>
          <w:p w14:paraId="667FBC07" w14:textId="0B5C2763" w:rsidR="001273EC"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448D4BD1" w14:textId="77777777" w:rsidR="00A70DEC" w:rsidRPr="00A70DEC" w:rsidRDefault="00A70DEC" w:rsidP="00245BE6">
            <w:pPr>
              <w:rPr>
                <w:rFonts w:ascii="Arial Narrow" w:hAnsi="Arial Narrow"/>
                <w:sz w:val="20"/>
                <w:szCs w:val="20"/>
                <w:highlight w:val="black"/>
              </w:rPr>
            </w:pPr>
            <w:r w:rsidRPr="00A70DEC">
              <w:rPr>
                <w:rFonts w:ascii="Arial Narrow" w:hAnsi="Arial Narrow"/>
                <w:sz w:val="20"/>
                <w:szCs w:val="20"/>
                <w:highlight w:val="black"/>
              </w:rPr>
              <w:t>XXXXXXXXXXX</w:t>
            </w:r>
          </w:p>
          <w:p w14:paraId="4D5D54EC" w14:textId="5285E0BA" w:rsidR="00A70DEC" w:rsidRPr="00A70DEC" w:rsidRDefault="00A70DEC" w:rsidP="00245BE6">
            <w:pPr>
              <w:rPr>
                <w:rFonts w:ascii="Arial Narrow" w:hAnsi="Arial Narrow"/>
                <w:sz w:val="20"/>
                <w:szCs w:val="20"/>
              </w:rPr>
            </w:pPr>
            <w:r w:rsidRPr="00A70DEC">
              <w:rPr>
                <w:rFonts w:ascii="Arial Narrow" w:hAnsi="Arial Narrow"/>
                <w:sz w:val="20"/>
                <w:szCs w:val="20"/>
                <w:highlight w:val="black"/>
              </w:rPr>
              <w:t>XXXXXXXXXXXXXX</w:t>
            </w:r>
          </w:p>
        </w:tc>
        <w:tc>
          <w:tcPr>
            <w:tcW w:w="992" w:type="dxa"/>
          </w:tcPr>
          <w:p w14:paraId="108FCFA8" w14:textId="0E469493" w:rsidR="001273EC" w:rsidRPr="00A3474D" w:rsidRDefault="00A70DEC" w:rsidP="00245BE6">
            <w:pPr>
              <w:rPr>
                <w:rFonts w:ascii="Arial Narrow" w:hAnsi="Arial Narrow" w:cs="Arial"/>
                <w:sz w:val="20"/>
                <w:szCs w:val="20"/>
              </w:rPr>
            </w:pPr>
            <w:r w:rsidRPr="00A70DEC">
              <w:rPr>
                <w:rFonts w:ascii="Arial Narrow" w:hAnsi="Arial Narrow"/>
                <w:sz w:val="20"/>
                <w:szCs w:val="20"/>
                <w:highlight w:val="black"/>
              </w:rPr>
              <w:t>xxxxx</w:t>
            </w:r>
          </w:p>
        </w:tc>
        <w:tc>
          <w:tcPr>
            <w:tcW w:w="907" w:type="dxa"/>
            <w:shd w:val="clear" w:color="auto" w:fill="F2F2F2" w:themeFill="background1" w:themeFillShade="F2"/>
            <w:vAlign w:val="bottom"/>
          </w:tcPr>
          <w:p w14:paraId="781E2569" w14:textId="77777777" w:rsidR="001273EC" w:rsidRPr="00A3474D" w:rsidRDefault="001273EC" w:rsidP="00245BE6">
            <w:pPr>
              <w:rPr>
                <w:rFonts w:ascii="Arial Narrow" w:hAnsi="Arial Narrow" w:cs="Arial"/>
                <w:sz w:val="20"/>
                <w:szCs w:val="20"/>
              </w:rPr>
            </w:pPr>
          </w:p>
        </w:tc>
        <w:tc>
          <w:tcPr>
            <w:tcW w:w="992" w:type="dxa"/>
            <w:shd w:val="clear" w:color="auto" w:fill="F2F2F2" w:themeFill="background1" w:themeFillShade="F2"/>
            <w:vAlign w:val="bottom"/>
          </w:tcPr>
          <w:p w14:paraId="378E34FE" w14:textId="77777777" w:rsidR="001273EC" w:rsidRPr="00A3474D" w:rsidRDefault="001273EC" w:rsidP="00245BE6">
            <w:pPr>
              <w:rPr>
                <w:rFonts w:ascii="Arial Narrow" w:hAnsi="Arial Narrow" w:cs="Arial"/>
                <w:sz w:val="20"/>
                <w:szCs w:val="20"/>
              </w:rPr>
            </w:pPr>
          </w:p>
        </w:tc>
        <w:tc>
          <w:tcPr>
            <w:tcW w:w="992" w:type="dxa"/>
            <w:shd w:val="clear" w:color="auto" w:fill="F2F2F2" w:themeFill="background1" w:themeFillShade="F2"/>
            <w:vAlign w:val="bottom"/>
          </w:tcPr>
          <w:p w14:paraId="6593B3E3" w14:textId="77777777" w:rsidR="001273EC" w:rsidRPr="00A3474D" w:rsidRDefault="001273EC" w:rsidP="00245BE6">
            <w:pPr>
              <w:rPr>
                <w:rFonts w:ascii="Arial Narrow" w:hAnsi="Arial Narrow" w:cs="Arial"/>
                <w:sz w:val="20"/>
                <w:szCs w:val="20"/>
              </w:rPr>
            </w:pPr>
          </w:p>
        </w:tc>
        <w:tc>
          <w:tcPr>
            <w:tcW w:w="993" w:type="dxa"/>
            <w:shd w:val="clear" w:color="auto" w:fill="F2F2F2" w:themeFill="background1" w:themeFillShade="F2"/>
            <w:vAlign w:val="bottom"/>
          </w:tcPr>
          <w:p w14:paraId="6E68ED78" w14:textId="77777777" w:rsidR="001273EC" w:rsidRPr="00A3474D" w:rsidRDefault="001273EC" w:rsidP="00245BE6">
            <w:pPr>
              <w:rPr>
                <w:rFonts w:ascii="Arial Narrow" w:hAnsi="Arial Narrow" w:cs="Arial"/>
                <w:sz w:val="20"/>
                <w:szCs w:val="20"/>
              </w:rPr>
            </w:pPr>
          </w:p>
        </w:tc>
        <w:tc>
          <w:tcPr>
            <w:tcW w:w="1078" w:type="dxa"/>
            <w:shd w:val="clear" w:color="auto" w:fill="F2F2F2" w:themeFill="background1" w:themeFillShade="F2"/>
            <w:vAlign w:val="bottom"/>
          </w:tcPr>
          <w:p w14:paraId="4A6B04E9" w14:textId="77777777" w:rsidR="001273EC" w:rsidRPr="00A3474D" w:rsidRDefault="001273EC" w:rsidP="00245BE6">
            <w:pPr>
              <w:rPr>
                <w:rFonts w:ascii="Arial Narrow" w:hAnsi="Arial Narrow" w:cs="Arial"/>
                <w:sz w:val="20"/>
                <w:szCs w:val="20"/>
              </w:rPr>
            </w:pPr>
          </w:p>
        </w:tc>
      </w:tr>
      <w:tr w:rsidR="00A70DEC" w14:paraId="2E74BBB8" w14:textId="77777777" w:rsidTr="00E716CA">
        <w:tc>
          <w:tcPr>
            <w:tcW w:w="1242" w:type="dxa"/>
          </w:tcPr>
          <w:p w14:paraId="0029AC1A" w14:textId="7BA27660" w:rsidR="00A70DEC" w:rsidRPr="009506FB" w:rsidRDefault="00A70DEC" w:rsidP="00245BE6">
            <w:pPr>
              <w:rPr>
                <w:rFonts w:ascii="Arial Narrow" w:hAnsi="Arial Narrow"/>
                <w:sz w:val="20"/>
                <w:szCs w:val="20"/>
              </w:rPr>
            </w:pPr>
            <w:r w:rsidRPr="00A70DEC">
              <w:rPr>
                <w:rFonts w:ascii="Arial Narrow" w:hAnsi="Arial Narrow"/>
                <w:sz w:val="20"/>
                <w:szCs w:val="20"/>
                <w:highlight w:val="black"/>
              </w:rPr>
              <w:t>xxxxx</w:t>
            </w:r>
          </w:p>
        </w:tc>
        <w:tc>
          <w:tcPr>
            <w:tcW w:w="1843" w:type="dxa"/>
          </w:tcPr>
          <w:p w14:paraId="478F8F29" w14:textId="77777777" w:rsidR="00A70DEC" w:rsidRPr="00A70DEC" w:rsidRDefault="00A70DEC" w:rsidP="00245BE6">
            <w:pPr>
              <w:rPr>
                <w:rFonts w:ascii="Arial Narrow" w:hAnsi="Arial Narrow"/>
                <w:b/>
                <w:sz w:val="20"/>
                <w:szCs w:val="20"/>
                <w:highlight w:val="black"/>
              </w:rPr>
            </w:pPr>
            <w:r w:rsidRPr="00A70DEC">
              <w:rPr>
                <w:rFonts w:ascii="Arial Narrow" w:hAnsi="Arial Narrow"/>
                <w:b/>
                <w:sz w:val="20"/>
                <w:szCs w:val="20"/>
                <w:highlight w:val="black"/>
              </w:rPr>
              <w:t>XXXXXXXXXXXX</w:t>
            </w:r>
          </w:p>
          <w:p w14:paraId="59BC027D" w14:textId="1E196179" w:rsidR="00A70DEC" w:rsidRPr="004F2C03" w:rsidRDefault="00A70DEC" w:rsidP="00245BE6">
            <w:pPr>
              <w:rPr>
                <w:rFonts w:ascii="Arial Narrow" w:hAnsi="Arial Narrow"/>
                <w:b/>
                <w:sz w:val="20"/>
                <w:szCs w:val="20"/>
              </w:rPr>
            </w:pPr>
            <w:r w:rsidRPr="00A70DEC">
              <w:rPr>
                <w:rFonts w:ascii="Arial Narrow" w:hAnsi="Arial Narrow"/>
                <w:b/>
                <w:sz w:val="20"/>
                <w:szCs w:val="20"/>
                <w:highlight w:val="black"/>
              </w:rPr>
              <w:t>XXXXXXXX</w:t>
            </w:r>
          </w:p>
        </w:tc>
        <w:tc>
          <w:tcPr>
            <w:tcW w:w="992" w:type="dxa"/>
            <w:shd w:val="clear" w:color="auto" w:fill="F2F2F2" w:themeFill="background1" w:themeFillShade="F2"/>
          </w:tcPr>
          <w:p w14:paraId="1CB85339" w14:textId="77777777" w:rsidR="00A70DEC" w:rsidRPr="004F2C03" w:rsidRDefault="00A70DEC" w:rsidP="00245BE6">
            <w:pPr>
              <w:rPr>
                <w:rFonts w:ascii="Arial Narrow" w:hAnsi="Arial Narrow" w:cs="Arial"/>
                <w:b/>
                <w:sz w:val="20"/>
                <w:szCs w:val="20"/>
              </w:rPr>
            </w:pPr>
          </w:p>
        </w:tc>
        <w:tc>
          <w:tcPr>
            <w:tcW w:w="907" w:type="dxa"/>
          </w:tcPr>
          <w:p w14:paraId="665D8374" w14:textId="5C8CD6F8" w:rsidR="00A70DEC" w:rsidRPr="004F2C03" w:rsidRDefault="00A70DEC" w:rsidP="00245BE6">
            <w:pPr>
              <w:rPr>
                <w:rFonts w:ascii="Arial Narrow" w:hAnsi="Arial Narrow" w:cs="Arial"/>
                <w:b/>
                <w:sz w:val="20"/>
                <w:szCs w:val="20"/>
              </w:rPr>
            </w:pPr>
            <w:r w:rsidRPr="0067316A">
              <w:rPr>
                <w:rFonts w:ascii="Arial Narrow" w:hAnsi="Arial Narrow"/>
                <w:sz w:val="20"/>
                <w:szCs w:val="20"/>
                <w:highlight w:val="black"/>
              </w:rPr>
              <w:t>xxxxx</w:t>
            </w:r>
          </w:p>
        </w:tc>
        <w:tc>
          <w:tcPr>
            <w:tcW w:w="992" w:type="dxa"/>
          </w:tcPr>
          <w:p w14:paraId="2C88D980" w14:textId="37E9B94A" w:rsidR="00A70DEC" w:rsidRPr="004F2C03" w:rsidRDefault="00A70DEC" w:rsidP="00245BE6">
            <w:pPr>
              <w:rPr>
                <w:rFonts w:ascii="Arial Narrow" w:hAnsi="Arial Narrow" w:cs="Arial"/>
                <w:b/>
                <w:sz w:val="20"/>
                <w:szCs w:val="20"/>
              </w:rPr>
            </w:pPr>
            <w:r w:rsidRPr="0067316A">
              <w:rPr>
                <w:rFonts w:ascii="Arial Narrow" w:hAnsi="Arial Narrow"/>
                <w:sz w:val="20"/>
                <w:szCs w:val="20"/>
                <w:highlight w:val="black"/>
              </w:rPr>
              <w:t>xxxxx</w:t>
            </w:r>
          </w:p>
        </w:tc>
        <w:tc>
          <w:tcPr>
            <w:tcW w:w="992" w:type="dxa"/>
          </w:tcPr>
          <w:p w14:paraId="190CCD9B" w14:textId="7A9AC6FF" w:rsidR="00A70DEC" w:rsidRPr="004F2C03" w:rsidRDefault="00A70DEC" w:rsidP="00245BE6">
            <w:pPr>
              <w:rPr>
                <w:rFonts w:ascii="Arial Narrow" w:hAnsi="Arial Narrow" w:cs="Arial"/>
                <w:b/>
                <w:sz w:val="20"/>
                <w:szCs w:val="20"/>
              </w:rPr>
            </w:pPr>
            <w:r w:rsidRPr="0067316A">
              <w:rPr>
                <w:rFonts w:ascii="Arial Narrow" w:hAnsi="Arial Narrow"/>
                <w:sz w:val="20"/>
                <w:szCs w:val="20"/>
                <w:highlight w:val="black"/>
              </w:rPr>
              <w:t>xxxxx</w:t>
            </w:r>
          </w:p>
        </w:tc>
        <w:tc>
          <w:tcPr>
            <w:tcW w:w="993" w:type="dxa"/>
          </w:tcPr>
          <w:p w14:paraId="1B387F70" w14:textId="59CC8ED9" w:rsidR="00A70DEC" w:rsidRPr="004F2C03" w:rsidRDefault="00A70DEC" w:rsidP="00245BE6">
            <w:pPr>
              <w:rPr>
                <w:rFonts w:ascii="Arial Narrow" w:hAnsi="Arial Narrow" w:cs="Arial"/>
                <w:b/>
                <w:sz w:val="20"/>
                <w:szCs w:val="20"/>
              </w:rPr>
            </w:pPr>
            <w:r w:rsidRPr="0067316A">
              <w:rPr>
                <w:rFonts w:ascii="Arial Narrow" w:hAnsi="Arial Narrow"/>
                <w:sz w:val="20"/>
                <w:szCs w:val="20"/>
                <w:highlight w:val="black"/>
              </w:rPr>
              <w:t>xxxxx</w:t>
            </w:r>
          </w:p>
        </w:tc>
        <w:tc>
          <w:tcPr>
            <w:tcW w:w="1078" w:type="dxa"/>
          </w:tcPr>
          <w:p w14:paraId="617DB424" w14:textId="331AAD36" w:rsidR="00A70DEC" w:rsidRPr="004F2C03" w:rsidRDefault="00A70DEC" w:rsidP="00245BE6">
            <w:pPr>
              <w:rPr>
                <w:rFonts w:ascii="Arial Narrow" w:hAnsi="Arial Narrow" w:cs="Arial"/>
                <w:b/>
                <w:sz w:val="20"/>
                <w:szCs w:val="20"/>
              </w:rPr>
            </w:pPr>
            <w:r w:rsidRPr="0067316A">
              <w:rPr>
                <w:rFonts w:ascii="Arial Narrow" w:hAnsi="Arial Narrow"/>
                <w:sz w:val="20"/>
                <w:szCs w:val="20"/>
                <w:highlight w:val="black"/>
              </w:rPr>
              <w:t>xxxxx</w:t>
            </w:r>
          </w:p>
        </w:tc>
      </w:tr>
      <w:tr w:rsidR="003320B0" w14:paraId="0547F52E" w14:textId="77777777" w:rsidTr="003320B0">
        <w:tc>
          <w:tcPr>
            <w:tcW w:w="1242" w:type="dxa"/>
            <w:tcBorders>
              <w:right w:val="nil"/>
            </w:tcBorders>
            <w:shd w:val="clear" w:color="auto" w:fill="F2F2F2" w:themeFill="background1" w:themeFillShade="F2"/>
          </w:tcPr>
          <w:p w14:paraId="4AE76EF9" w14:textId="4953CB90" w:rsidR="003320B0" w:rsidRPr="003320B0" w:rsidRDefault="003320B0" w:rsidP="00245BE6">
            <w:pPr>
              <w:rPr>
                <w:rFonts w:ascii="Arial Narrow" w:hAnsi="Arial Narrow"/>
                <w:b/>
                <w:sz w:val="20"/>
                <w:szCs w:val="20"/>
                <w:highlight w:val="black"/>
              </w:rPr>
            </w:pPr>
            <w:r>
              <w:rPr>
                <w:rFonts w:ascii="Arial Narrow" w:hAnsi="Arial Narrow"/>
                <w:b/>
                <w:sz w:val="20"/>
                <w:szCs w:val="20"/>
                <w:highlight w:val="black"/>
              </w:rPr>
              <w:t>XXXXXXXXX</w:t>
            </w:r>
          </w:p>
        </w:tc>
        <w:tc>
          <w:tcPr>
            <w:tcW w:w="1843" w:type="dxa"/>
            <w:tcBorders>
              <w:left w:val="nil"/>
              <w:right w:val="nil"/>
            </w:tcBorders>
            <w:shd w:val="clear" w:color="auto" w:fill="F2F2F2" w:themeFill="background1" w:themeFillShade="F2"/>
          </w:tcPr>
          <w:p w14:paraId="2B99150F" w14:textId="77777777" w:rsidR="003320B0" w:rsidRPr="003320B0" w:rsidRDefault="003320B0" w:rsidP="00245BE6">
            <w:pPr>
              <w:rPr>
                <w:rFonts w:ascii="Arial Narrow" w:hAnsi="Arial Narrow"/>
                <w:b/>
                <w:sz w:val="20"/>
                <w:szCs w:val="20"/>
                <w:highlight w:val="black"/>
              </w:rPr>
            </w:pPr>
          </w:p>
        </w:tc>
        <w:tc>
          <w:tcPr>
            <w:tcW w:w="992" w:type="dxa"/>
            <w:tcBorders>
              <w:left w:val="nil"/>
              <w:right w:val="nil"/>
            </w:tcBorders>
            <w:shd w:val="clear" w:color="auto" w:fill="F2F2F2" w:themeFill="background1" w:themeFillShade="F2"/>
          </w:tcPr>
          <w:p w14:paraId="2AC9A8AF" w14:textId="77777777" w:rsidR="003320B0" w:rsidRPr="003320B0" w:rsidRDefault="003320B0" w:rsidP="00245BE6">
            <w:pPr>
              <w:rPr>
                <w:rFonts w:ascii="Arial Narrow" w:hAnsi="Arial Narrow"/>
                <w:b/>
                <w:sz w:val="20"/>
                <w:szCs w:val="20"/>
                <w:highlight w:val="black"/>
              </w:rPr>
            </w:pPr>
          </w:p>
        </w:tc>
        <w:tc>
          <w:tcPr>
            <w:tcW w:w="907" w:type="dxa"/>
            <w:tcBorders>
              <w:left w:val="nil"/>
              <w:right w:val="nil"/>
            </w:tcBorders>
            <w:shd w:val="clear" w:color="auto" w:fill="F2F2F2" w:themeFill="background1" w:themeFillShade="F2"/>
            <w:vAlign w:val="bottom"/>
          </w:tcPr>
          <w:p w14:paraId="1558F8F3" w14:textId="77777777" w:rsidR="003320B0" w:rsidRPr="003320B0" w:rsidRDefault="003320B0" w:rsidP="00245BE6">
            <w:pPr>
              <w:rPr>
                <w:rFonts w:ascii="Arial Narrow" w:hAnsi="Arial Narrow"/>
                <w:b/>
                <w:sz w:val="20"/>
                <w:szCs w:val="20"/>
                <w:highlight w:val="black"/>
              </w:rPr>
            </w:pPr>
          </w:p>
        </w:tc>
        <w:tc>
          <w:tcPr>
            <w:tcW w:w="992" w:type="dxa"/>
            <w:tcBorders>
              <w:left w:val="nil"/>
              <w:right w:val="nil"/>
            </w:tcBorders>
            <w:shd w:val="clear" w:color="auto" w:fill="F2F2F2" w:themeFill="background1" w:themeFillShade="F2"/>
            <w:vAlign w:val="bottom"/>
          </w:tcPr>
          <w:p w14:paraId="11533EAC" w14:textId="77777777" w:rsidR="003320B0" w:rsidRPr="003320B0" w:rsidRDefault="003320B0" w:rsidP="00245BE6">
            <w:pPr>
              <w:rPr>
                <w:rFonts w:ascii="Arial Narrow" w:hAnsi="Arial Narrow"/>
                <w:b/>
                <w:sz w:val="20"/>
                <w:szCs w:val="20"/>
                <w:highlight w:val="black"/>
              </w:rPr>
            </w:pPr>
          </w:p>
        </w:tc>
        <w:tc>
          <w:tcPr>
            <w:tcW w:w="992" w:type="dxa"/>
            <w:tcBorders>
              <w:left w:val="nil"/>
              <w:right w:val="nil"/>
            </w:tcBorders>
            <w:shd w:val="clear" w:color="auto" w:fill="F2F2F2" w:themeFill="background1" w:themeFillShade="F2"/>
            <w:vAlign w:val="bottom"/>
          </w:tcPr>
          <w:p w14:paraId="41980F65" w14:textId="77777777" w:rsidR="003320B0" w:rsidRPr="003320B0" w:rsidRDefault="003320B0" w:rsidP="00245BE6">
            <w:pPr>
              <w:rPr>
                <w:rFonts w:ascii="Arial Narrow" w:hAnsi="Arial Narrow"/>
                <w:b/>
                <w:sz w:val="20"/>
                <w:szCs w:val="20"/>
                <w:highlight w:val="black"/>
              </w:rPr>
            </w:pPr>
          </w:p>
        </w:tc>
        <w:tc>
          <w:tcPr>
            <w:tcW w:w="993" w:type="dxa"/>
            <w:tcBorders>
              <w:left w:val="nil"/>
              <w:right w:val="nil"/>
            </w:tcBorders>
            <w:shd w:val="clear" w:color="auto" w:fill="F2F2F2" w:themeFill="background1" w:themeFillShade="F2"/>
            <w:vAlign w:val="bottom"/>
          </w:tcPr>
          <w:p w14:paraId="01937767" w14:textId="77777777" w:rsidR="003320B0" w:rsidRPr="003320B0" w:rsidRDefault="003320B0" w:rsidP="00245BE6">
            <w:pPr>
              <w:rPr>
                <w:rFonts w:ascii="Arial Narrow" w:hAnsi="Arial Narrow"/>
                <w:b/>
                <w:sz w:val="20"/>
                <w:szCs w:val="20"/>
                <w:highlight w:val="black"/>
              </w:rPr>
            </w:pPr>
          </w:p>
        </w:tc>
        <w:tc>
          <w:tcPr>
            <w:tcW w:w="1078" w:type="dxa"/>
            <w:tcBorders>
              <w:left w:val="nil"/>
            </w:tcBorders>
            <w:shd w:val="clear" w:color="auto" w:fill="F2F2F2" w:themeFill="background1" w:themeFillShade="F2"/>
            <w:vAlign w:val="bottom"/>
          </w:tcPr>
          <w:p w14:paraId="11585881" w14:textId="77777777" w:rsidR="003320B0" w:rsidRPr="003320B0" w:rsidRDefault="003320B0" w:rsidP="00245BE6">
            <w:pPr>
              <w:rPr>
                <w:rFonts w:ascii="Arial Narrow" w:hAnsi="Arial Narrow"/>
                <w:b/>
                <w:sz w:val="20"/>
                <w:szCs w:val="20"/>
                <w:highlight w:val="black"/>
              </w:rPr>
            </w:pPr>
          </w:p>
        </w:tc>
      </w:tr>
      <w:tr w:rsidR="00EC3824" w14:paraId="10200456" w14:textId="77777777" w:rsidTr="009163A3">
        <w:tc>
          <w:tcPr>
            <w:tcW w:w="1242" w:type="dxa"/>
          </w:tcPr>
          <w:p w14:paraId="6D18B54E" w14:textId="1860D838" w:rsidR="00EC3824" w:rsidRPr="005B6390" w:rsidRDefault="00EC3824" w:rsidP="00245BE6">
            <w:pPr>
              <w:rPr>
                <w:rFonts w:ascii="Arial Narrow" w:hAnsi="Arial Narrow"/>
                <w:sz w:val="20"/>
                <w:szCs w:val="20"/>
              </w:rPr>
            </w:pPr>
            <w:r w:rsidRPr="007F107F">
              <w:rPr>
                <w:rFonts w:ascii="Arial Narrow" w:hAnsi="Arial Narrow"/>
                <w:sz w:val="20"/>
                <w:szCs w:val="20"/>
                <w:highlight w:val="black"/>
              </w:rPr>
              <w:t>xxxxx</w:t>
            </w:r>
          </w:p>
        </w:tc>
        <w:tc>
          <w:tcPr>
            <w:tcW w:w="1843" w:type="dxa"/>
          </w:tcPr>
          <w:p w14:paraId="4A6150FE" w14:textId="77777777" w:rsidR="00EC3824" w:rsidRPr="00A70DEC" w:rsidRDefault="00EC3824" w:rsidP="00245BE6">
            <w:pPr>
              <w:rPr>
                <w:rFonts w:ascii="Arial Narrow" w:hAnsi="Arial Narrow"/>
                <w:sz w:val="20"/>
                <w:szCs w:val="20"/>
                <w:highlight w:val="black"/>
              </w:rPr>
            </w:pPr>
            <w:r w:rsidRPr="00A70DEC">
              <w:rPr>
                <w:rFonts w:ascii="Arial Narrow" w:hAnsi="Arial Narrow"/>
                <w:sz w:val="20"/>
                <w:szCs w:val="20"/>
                <w:highlight w:val="black"/>
              </w:rPr>
              <w:t>XXXXXX</w:t>
            </w:r>
          </w:p>
          <w:p w14:paraId="777F5654" w14:textId="77777777" w:rsidR="00EC3824" w:rsidRPr="00A70DEC" w:rsidRDefault="00EC3824" w:rsidP="00245BE6">
            <w:pPr>
              <w:rPr>
                <w:rFonts w:ascii="Arial Narrow" w:hAnsi="Arial Narrow"/>
                <w:sz w:val="20"/>
                <w:szCs w:val="20"/>
                <w:highlight w:val="black"/>
              </w:rPr>
            </w:pPr>
            <w:r w:rsidRPr="00A70DEC">
              <w:rPr>
                <w:rFonts w:ascii="Arial Narrow" w:hAnsi="Arial Narrow"/>
                <w:sz w:val="20"/>
                <w:szCs w:val="20"/>
                <w:highlight w:val="black"/>
              </w:rPr>
              <w:t>XXXXXXXXXXXXXX</w:t>
            </w:r>
          </w:p>
          <w:p w14:paraId="3D647D48" w14:textId="77777777" w:rsidR="00EC3824" w:rsidRPr="00A70DEC" w:rsidRDefault="00EC3824" w:rsidP="00245BE6">
            <w:pPr>
              <w:rPr>
                <w:rFonts w:ascii="Arial Narrow" w:hAnsi="Arial Narrow"/>
                <w:sz w:val="20"/>
                <w:szCs w:val="20"/>
                <w:highlight w:val="black"/>
              </w:rPr>
            </w:pPr>
            <w:r w:rsidRPr="00A70DEC">
              <w:rPr>
                <w:rFonts w:ascii="Arial Narrow" w:hAnsi="Arial Narrow"/>
                <w:sz w:val="20"/>
                <w:szCs w:val="20"/>
                <w:highlight w:val="black"/>
              </w:rPr>
              <w:t>XXXXXXXXXXX</w:t>
            </w:r>
          </w:p>
          <w:p w14:paraId="67F054B0" w14:textId="1E3B4C84" w:rsidR="00EC3824" w:rsidRPr="00A70DEC" w:rsidRDefault="00EC3824" w:rsidP="00245BE6">
            <w:pPr>
              <w:rPr>
                <w:rFonts w:ascii="Arial Narrow" w:hAnsi="Arial Narrow"/>
                <w:sz w:val="20"/>
                <w:szCs w:val="20"/>
              </w:rPr>
            </w:pPr>
            <w:r w:rsidRPr="00A70DEC">
              <w:rPr>
                <w:rFonts w:ascii="Arial Narrow" w:hAnsi="Arial Narrow"/>
                <w:sz w:val="20"/>
                <w:szCs w:val="20"/>
                <w:highlight w:val="black"/>
              </w:rPr>
              <w:t>XXXXXX</w:t>
            </w:r>
          </w:p>
        </w:tc>
        <w:tc>
          <w:tcPr>
            <w:tcW w:w="992" w:type="dxa"/>
          </w:tcPr>
          <w:p w14:paraId="09EDDE99" w14:textId="72221C90" w:rsidR="00EC3824" w:rsidRPr="00063CC8" w:rsidRDefault="00EC3824" w:rsidP="00245BE6">
            <w:pPr>
              <w:rPr>
                <w:rFonts w:ascii="Arial Narrow" w:hAnsi="Arial Narrow" w:cs="Arial"/>
                <w:sz w:val="20"/>
                <w:szCs w:val="20"/>
              </w:rPr>
            </w:pPr>
            <w:r w:rsidRPr="00A70DEC">
              <w:rPr>
                <w:rFonts w:ascii="Arial Narrow" w:hAnsi="Arial Narrow"/>
                <w:sz w:val="20"/>
                <w:szCs w:val="20"/>
                <w:highlight w:val="black"/>
              </w:rPr>
              <w:t>xxxxx</w:t>
            </w:r>
          </w:p>
        </w:tc>
        <w:tc>
          <w:tcPr>
            <w:tcW w:w="907" w:type="dxa"/>
            <w:shd w:val="clear" w:color="auto" w:fill="F2F2F2" w:themeFill="background1" w:themeFillShade="F2"/>
            <w:vAlign w:val="bottom"/>
          </w:tcPr>
          <w:p w14:paraId="05815453" w14:textId="77777777" w:rsidR="00EC3824" w:rsidRPr="00CB773D"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4D8CA53B" w14:textId="77777777" w:rsidR="00EC3824" w:rsidRPr="00CB773D"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27ABA14D" w14:textId="77777777" w:rsidR="00EC3824" w:rsidRPr="00CB773D" w:rsidRDefault="00EC3824" w:rsidP="00245BE6">
            <w:pPr>
              <w:rPr>
                <w:rFonts w:ascii="Arial Narrow" w:hAnsi="Arial Narrow" w:cs="Arial"/>
                <w:sz w:val="20"/>
                <w:szCs w:val="20"/>
              </w:rPr>
            </w:pPr>
          </w:p>
        </w:tc>
        <w:tc>
          <w:tcPr>
            <w:tcW w:w="993" w:type="dxa"/>
            <w:shd w:val="clear" w:color="auto" w:fill="F2F2F2" w:themeFill="background1" w:themeFillShade="F2"/>
            <w:vAlign w:val="bottom"/>
          </w:tcPr>
          <w:p w14:paraId="7E57CAC7" w14:textId="77777777" w:rsidR="00EC3824" w:rsidRPr="00CB773D" w:rsidRDefault="00EC3824" w:rsidP="00245BE6">
            <w:pPr>
              <w:rPr>
                <w:rFonts w:ascii="Arial Narrow" w:hAnsi="Arial Narrow" w:cs="Arial"/>
                <w:sz w:val="20"/>
                <w:szCs w:val="20"/>
              </w:rPr>
            </w:pPr>
          </w:p>
        </w:tc>
        <w:tc>
          <w:tcPr>
            <w:tcW w:w="1078" w:type="dxa"/>
            <w:shd w:val="clear" w:color="auto" w:fill="F2F2F2" w:themeFill="background1" w:themeFillShade="F2"/>
            <w:vAlign w:val="bottom"/>
          </w:tcPr>
          <w:p w14:paraId="090B4343" w14:textId="77777777" w:rsidR="00EC3824" w:rsidRPr="00CB773D" w:rsidRDefault="00EC3824" w:rsidP="00245BE6">
            <w:pPr>
              <w:rPr>
                <w:rFonts w:ascii="Arial Narrow" w:hAnsi="Arial Narrow" w:cs="Arial"/>
                <w:sz w:val="20"/>
                <w:szCs w:val="20"/>
              </w:rPr>
            </w:pPr>
          </w:p>
        </w:tc>
      </w:tr>
      <w:tr w:rsidR="00EC3824" w14:paraId="53FBDE36" w14:textId="77777777" w:rsidTr="009163A3">
        <w:tc>
          <w:tcPr>
            <w:tcW w:w="1242" w:type="dxa"/>
          </w:tcPr>
          <w:p w14:paraId="3753040D" w14:textId="5FFA8EDD" w:rsidR="00EC3824" w:rsidRPr="005B6390" w:rsidRDefault="00EC3824" w:rsidP="00245BE6">
            <w:pPr>
              <w:rPr>
                <w:rFonts w:ascii="Arial Narrow" w:hAnsi="Arial Narrow"/>
                <w:sz w:val="20"/>
                <w:szCs w:val="20"/>
              </w:rPr>
            </w:pPr>
            <w:r w:rsidRPr="007F107F">
              <w:rPr>
                <w:rFonts w:ascii="Arial Narrow" w:hAnsi="Arial Narrow"/>
                <w:sz w:val="20"/>
                <w:szCs w:val="20"/>
                <w:highlight w:val="black"/>
              </w:rPr>
              <w:t>xxxxx</w:t>
            </w:r>
          </w:p>
        </w:tc>
        <w:tc>
          <w:tcPr>
            <w:tcW w:w="1843" w:type="dxa"/>
          </w:tcPr>
          <w:p w14:paraId="011E59E5" w14:textId="77777777" w:rsidR="00EC3824" w:rsidRPr="00A70DEC" w:rsidRDefault="00EC3824" w:rsidP="00245BE6">
            <w:pPr>
              <w:rPr>
                <w:rFonts w:ascii="Arial Narrow" w:hAnsi="Arial Narrow"/>
                <w:sz w:val="20"/>
                <w:szCs w:val="20"/>
                <w:highlight w:val="black"/>
              </w:rPr>
            </w:pPr>
            <w:r w:rsidRPr="00A70DEC">
              <w:rPr>
                <w:rFonts w:ascii="Arial Narrow" w:hAnsi="Arial Narrow"/>
                <w:sz w:val="20"/>
                <w:szCs w:val="20"/>
                <w:highlight w:val="black"/>
              </w:rPr>
              <w:t>XXXXXXXXXXX</w:t>
            </w:r>
          </w:p>
          <w:p w14:paraId="06CF3208" w14:textId="23E057DE" w:rsidR="00EC3824" w:rsidRPr="005B6390" w:rsidRDefault="00EC3824" w:rsidP="00245BE6">
            <w:pPr>
              <w:rPr>
                <w:rFonts w:ascii="Arial Narrow" w:hAnsi="Arial Narrow"/>
                <w:sz w:val="20"/>
                <w:szCs w:val="20"/>
              </w:rPr>
            </w:pPr>
            <w:r w:rsidRPr="00A70DEC">
              <w:rPr>
                <w:rFonts w:ascii="Arial Narrow" w:hAnsi="Arial Narrow"/>
                <w:sz w:val="20"/>
                <w:szCs w:val="20"/>
                <w:highlight w:val="black"/>
              </w:rPr>
              <w:t>XXXXXXXXXXX</w:t>
            </w:r>
          </w:p>
        </w:tc>
        <w:tc>
          <w:tcPr>
            <w:tcW w:w="992" w:type="dxa"/>
          </w:tcPr>
          <w:p w14:paraId="55BEFF13" w14:textId="4425A747" w:rsidR="00EC3824" w:rsidRPr="00063CC8" w:rsidRDefault="00EC3824" w:rsidP="00245BE6">
            <w:pPr>
              <w:rPr>
                <w:rFonts w:ascii="Arial Narrow" w:hAnsi="Arial Narrow" w:cs="Arial"/>
                <w:sz w:val="20"/>
                <w:szCs w:val="20"/>
              </w:rPr>
            </w:pPr>
            <w:r w:rsidRPr="00A70DEC">
              <w:rPr>
                <w:rFonts w:ascii="Arial Narrow" w:hAnsi="Arial Narrow"/>
                <w:sz w:val="20"/>
                <w:szCs w:val="20"/>
                <w:highlight w:val="black"/>
              </w:rPr>
              <w:t>xxxxx</w:t>
            </w:r>
          </w:p>
        </w:tc>
        <w:tc>
          <w:tcPr>
            <w:tcW w:w="907" w:type="dxa"/>
            <w:shd w:val="clear" w:color="auto" w:fill="F2F2F2" w:themeFill="background1" w:themeFillShade="F2"/>
          </w:tcPr>
          <w:p w14:paraId="1B4C4F26"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59853713"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669EBEAC" w14:textId="77777777" w:rsidR="00EC3824" w:rsidRPr="00063CC8" w:rsidRDefault="00EC3824" w:rsidP="00245BE6">
            <w:pPr>
              <w:rPr>
                <w:rFonts w:ascii="Arial Narrow" w:hAnsi="Arial Narrow" w:cs="Arial"/>
                <w:sz w:val="20"/>
                <w:szCs w:val="20"/>
              </w:rPr>
            </w:pPr>
          </w:p>
        </w:tc>
        <w:tc>
          <w:tcPr>
            <w:tcW w:w="993" w:type="dxa"/>
            <w:shd w:val="clear" w:color="auto" w:fill="F2F2F2" w:themeFill="background1" w:themeFillShade="F2"/>
          </w:tcPr>
          <w:p w14:paraId="7305C677" w14:textId="77777777" w:rsidR="00EC3824" w:rsidRPr="00063CC8" w:rsidRDefault="00EC3824" w:rsidP="00245BE6">
            <w:pPr>
              <w:rPr>
                <w:rFonts w:ascii="Arial Narrow" w:hAnsi="Arial Narrow" w:cs="Arial"/>
                <w:sz w:val="20"/>
                <w:szCs w:val="20"/>
              </w:rPr>
            </w:pPr>
          </w:p>
        </w:tc>
        <w:tc>
          <w:tcPr>
            <w:tcW w:w="1078" w:type="dxa"/>
            <w:shd w:val="clear" w:color="auto" w:fill="F2F2F2" w:themeFill="background1" w:themeFillShade="F2"/>
          </w:tcPr>
          <w:p w14:paraId="3F9BB858" w14:textId="77777777" w:rsidR="00EC3824" w:rsidRPr="00063CC8" w:rsidRDefault="00EC3824" w:rsidP="00245BE6">
            <w:pPr>
              <w:rPr>
                <w:rFonts w:ascii="Arial Narrow" w:hAnsi="Arial Narrow" w:cs="Arial"/>
                <w:sz w:val="20"/>
                <w:szCs w:val="20"/>
              </w:rPr>
            </w:pPr>
          </w:p>
        </w:tc>
      </w:tr>
      <w:tr w:rsidR="00EC3824" w14:paraId="111DDA63" w14:textId="77777777" w:rsidTr="00E546E2">
        <w:tc>
          <w:tcPr>
            <w:tcW w:w="1242" w:type="dxa"/>
          </w:tcPr>
          <w:p w14:paraId="00889A15" w14:textId="17BF40CE" w:rsidR="00EC3824" w:rsidRPr="005B6390" w:rsidRDefault="00EC3824" w:rsidP="00245BE6">
            <w:pPr>
              <w:rPr>
                <w:rFonts w:ascii="Arial Narrow" w:hAnsi="Arial Narrow"/>
                <w:sz w:val="20"/>
                <w:szCs w:val="20"/>
              </w:rPr>
            </w:pPr>
            <w:r w:rsidRPr="007F107F">
              <w:rPr>
                <w:rFonts w:ascii="Arial Narrow" w:hAnsi="Arial Narrow"/>
                <w:sz w:val="20"/>
                <w:szCs w:val="20"/>
                <w:highlight w:val="black"/>
              </w:rPr>
              <w:t>xxxxx</w:t>
            </w:r>
          </w:p>
        </w:tc>
        <w:tc>
          <w:tcPr>
            <w:tcW w:w="1843" w:type="dxa"/>
          </w:tcPr>
          <w:p w14:paraId="138BD0A7" w14:textId="3435C1DA" w:rsidR="00EC3824" w:rsidRPr="005B6390" w:rsidRDefault="00EC3824" w:rsidP="00245BE6">
            <w:pPr>
              <w:rPr>
                <w:rFonts w:ascii="Arial Narrow" w:hAnsi="Arial Narrow"/>
                <w:sz w:val="20"/>
                <w:szCs w:val="20"/>
              </w:rPr>
            </w:pPr>
            <w:r w:rsidRPr="00A70DEC">
              <w:rPr>
                <w:rFonts w:ascii="Arial Narrow" w:hAnsi="Arial Narrow"/>
                <w:sz w:val="20"/>
                <w:szCs w:val="20"/>
                <w:highlight w:val="black"/>
              </w:rPr>
              <w:t>XXXXXXXXXXXXXX</w:t>
            </w:r>
          </w:p>
        </w:tc>
        <w:tc>
          <w:tcPr>
            <w:tcW w:w="992" w:type="dxa"/>
            <w:shd w:val="clear" w:color="auto" w:fill="F2F2F2" w:themeFill="background1" w:themeFillShade="F2"/>
          </w:tcPr>
          <w:p w14:paraId="75D052E9" w14:textId="77777777" w:rsidR="00EC3824" w:rsidRPr="00063CC8" w:rsidRDefault="00EC3824" w:rsidP="00245BE6">
            <w:pPr>
              <w:rPr>
                <w:rFonts w:ascii="Arial Narrow" w:hAnsi="Arial Narrow" w:cs="Arial"/>
                <w:sz w:val="20"/>
                <w:szCs w:val="20"/>
              </w:rPr>
            </w:pPr>
          </w:p>
        </w:tc>
        <w:tc>
          <w:tcPr>
            <w:tcW w:w="907" w:type="dxa"/>
          </w:tcPr>
          <w:p w14:paraId="54099B7C" w14:textId="72EB4445" w:rsidR="00EC3824" w:rsidRPr="00063CC8" w:rsidRDefault="00EC3824" w:rsidP="00245BE6">
            <w:pPr>
              <w:rPr>
                <w:rFonts w:ascii="Arial Narrow" w:hAnsi="Arial Narrow" w:cs="Arial"/>
                <w:sz w:val="20"/>
                <w:szCs w:val="20"/>
              </w:rPr>
            </w:pPr>
            <w:r w:rsidRPr="002A6A3C">
              <w:rPr>
                <w:rFonts w:ascii="Arial Narrow" w:hAnsi="Arial Narrow"/>
                <w:sz w:val="20"/>
                <w:szCs w:val="20"/>
                <w:highlight w:val="black"/>
              </w:rPr>
              <w:t>xxxxx</w:t>
            </w:r>
          </w:p>
        </w:tc>
        <w:tc>
          <w:tcPr>
            <w:tcW w:w="992" w:type="dxa"/>
          </w:tcPr>
          <w:p w14:paraId="0F9EB63F" w14:textId="1128EAA9" w:rsidR="00EC3824" w:rsidRPr="00063CC8" w:rsidRDefault="00EC3824" w:rsidP="00245BE6">
            <w:pPr>
              <w:rPr>
                <w:rFonts w:ascii="Arial Narrow" w:hAnsi="Arial Narrow" w:cs="Arial"/>
                <w:sz w:val="20"/>
                <w:szCs w:val="20"/>
              </w:rPr>
            </w:pPr>
            <w:r w:rsidRPr="002A6A3C">
              <w:rPr>
                <w:rFonts w:ascii="Arial Narrow" w:hAnsi="Arial Narrow"/>
                <w:sz w:val="20"/>
                <w:szCs w:val="20"/>
                <w:highlight w:val="black"/>
              </w:rPr>
              <w:t>xxxxx</w:t>
            </w:r>
          </w:p>
        </w:tc>
        <w:tc>
          <w:tcPr>
            <w:tcW w:w="992" w:type="dxa"/>
          </w:tcPr>
          <w:p w14:paraId="56C24C54" w14:textId="63D4E160" w:rsidR="00EC3824" w:rsidRPr="00063CC8" w:rsidRDefault="00EC3824" w:rsidP="00245BE6">
            <w:pPr>
              <w:rPr>
                <w:rFonts w:ascii="Arial Narrow" w:hAnsi="Arial Narrow" w:cs="Arial"/>
                <w:sz w:val="20"/>
                <w:szCs w:val="20"/>
              </w:rPr>
            </w:pPr>
            <w:r w:rsidRPr="002A6A3C">
              <w:rPr>
                <w:rFonts w:ascii="Arial Narrow" w:hAnsi="Arial Narrow"/>
                <w:sz w:val="20"/>
                <w:szCs w:val="20"/>
                <w:highlight w:val="black"/>
              </w:rPr>
              <w:t>xxxxx</w:t>
            </w:r>
          </w:p>
        </w:tc>
        <w:tc>
          <w:tcPr>
            <w:tcW w:w="993" w:type="dxa"/>
          </w:tcPr>
          <w:p w14:paraId="76F70A41" w14:textId="6E05274F" w:rsidR="00EC3824" w:rsidRPr="00063CC8" w:rsidRDefault="00EC3824" w:rsidP="00245BE6">
            <w:pPr>
              <w:rPr>
                <w:rFonts w:ascii="Arial Narrow" w:hAnsi="Arial Narrow" w:cs="Arial"/>
                <w:sz w:val="20"/>
                <w:szCs w:val="20"/>
              </w:rPr>
            </w:pPr>
            <w:r w:rsidRPr="002A6A3C">
              <w:rPr>
                <w:rFonts w:ascii="Arial Narrow" w:hAnsi="Arial Narrow"/>
                <w:sz w:val="20"/>
                <w:szCs w:val="20"/>
                <w:highlight w:val="black"/>
              </w:rPr>
              <w:t>xxxxx</w:t>
            </w:r>
          </w:p>
        </w:tc>
        <w:tc>
          <w:tcPr>
            <w:tcW w:w="1078" w:type="dxa"/>
          </w:tcPr>
          <w:p w14:paraId="7E515459" w14:textId="695D28DB" w:rsidR="00EC3824" w:rsidRPr="00063CC8" w:rsidRDefault="00EC3824" w:rsidP="00245BE6">
            <w:pPr>
              <w:rPr>
                <w:rFonts w:ascii="Arial Narrow" w:hAnsi="Arial Narrow" w:cs="Arial"/>
                <w:sz w:val="20"/>
                <w:szCs w:val="20"/>
              </w:rPr>
            </w:pPr>
            <w:r w:rsidRPr="002A6A3C">
              <w:rPr>
                <w:rFonts w:ascii="Arial Narrow" w:hAnsi="Arial Narrow"/>
                <w:sz w:val="20"/>
                <w:szCs w:val="20"/>
                <w:highlight w:val="black"/>
              </w:rPr>
              <w:t>xxxxx</w:t>
            </w:r>
          </w:p>
        </w:tc>
      </w:tr>
      <w:tr w:rsidR="00EC3824" w14:paraId="148B196D" w14:textId="77777777" w:rsidTr="006B01A2">
        <w:tc>
          <w:tcPr>
            <w:tcW w:w="1242" w:type="dxa"/>
          </w:tcPr>
          <w:p w14:paraId="414FCBC6" w14:textId="0C9CCF39" w:rsidR="00EC3824" w:rsidRPr="005B6390" w:rsidRDefault="00EC3824" w:rsidP="00245BE6">
            <w:pPr>
              <w:rPr>
                <w:rFonts w:ascii="Arial Narrow" w:hAnsi="Arial Narrow"/>
                <w:sz w:val="20"/>
                <w:szCs w:val="20"/>
              </w:rPr>
            </w:pPr>
            <w:r w:rsidRPr="007F107F">
              <w:rPr>
                <w:rFonts w:ascii="Arial Narrow" w:hAnsi="Arial Narrow"/>
                <w:sz w:val="20"/>
                <w:szCs w:val="20"/>
                <w:highlight w:val="black"/>
              </w:rPr>
              <w:t>xxxxx</w:t>
            </w:r>
          </w:p>
        </w:tc>
        <w:tc>
          <w:tcPr>
            <w:tcW w:w="1843" w:type="dxa"/>
          </w:tcPr>
          <w:p w14:paraId="66E1FDA4" w14:textId="77777777" w:rsidR="00EC3824" w:rsidRPr="00A70DEC" w:rsidRDefault="00EC3824" w:rsidP="00245BE6">
            <w:pPr>
              <w:rPr>
                <w:rFonts w:ascii="Arial Narrow" w:hAnsi="Arial Narrow"/>
                <w:b/>
                <w:sz w:val="20"/>
                <w:szCs w:val="20"/>
                <w:highlight w:val="black"/>
              </w:rPr>
            </w:pPr>
            <w:r w:rsidRPr="00A70DEC">
              <w:rPr>
                <w:rFonts w:ascii="Arial Narrow" w:hAnsi="Arial Narrow"/>
                <w:b/>
                <w:sz w:val="20"/>
                <w:szCs w:val="20"/>
                <w:highlight w:val="black"/>
              </w:rPr>
              <w:t>XXXXXXXXXXXXX</w:t>
            </w:r>
          </w:p>
          <w:p w14:paraId="2D495388" w14:textId="6B04970C" w:rsidR="00EC3824" w:rsidRPr="00323431" w:rsidRDefault="00EC3824" w:rsidP="00245BE6">
            <w:pPr>
              <w:rPr>
                <w:rFonts w:ascii="Arial Narrow" w:hAnsi="Arial Narrow"/>
                <w:b/>
                <w:sz w:val="20"/>
                <w:szCs w:val="20"/>
              </w:rPr>
            </w:pPr>
            <w:r w:rsidRPr="00A70DEC">
              <w:rPr>
                <w:rFonts w:ascii="Arial Narrow" w:hAnsi="Arial Narrow"/>
                <w:b/>
                <w:sz w:val="20"/>
                <w:szCs w:val="20"/>
                <w:highlight w:val="black"/>
              </w:rPr>
              <w:t>XXXXXX</w:t>
            </w:r>
          </w:p>
        </w:tc>
        <w:tc>
          <w:tcPr>
            <w:tcW w:w="992" w:type="dxa"/>
            <w:shd w:val="clear" w:color="auto" w:fill="F2F2F2" w:themeFill="background1" w:themeFillShade="F2"/>
          </w:tcPr>
          <w:p w14:paraId="711651C2" w14:textId="77777777" w:rsidR="00EC3824" w:rsidRPr="00323431" w:rsidRDefault="00EC3824" w:rsidP="00245BE6">
            <w:pPr>
              <w:rPr>
                <w:rFonts w:ascii="Arial Narrow" w:hAnsi="Arial Narrow" w:cs="Arial"/>
                <w:b/>
                <w:sz w:val="20"/>
                <w:szCs w:val="20"/>
              </w:rPr>
            </w:pPr>
          </w:p>
        </w:tc>
        <w:tc>
          <w:tcPr>
            <w:tcW w:w="907" w:type="dxa"/>
          </w:tcPr>
          <w:p w14:paraId="004B7904" w14:textId="58BD56F3" w:rsidR="00EC3824" w:rsidRPr="00323431" w:rsidRDefault="00EC3824" w:rsidP="00245BE6">
            <w:pPr>
              <w:rPr>
                <w:rFonts w:ascii="Arial Narrow" w:hAnsi="Arial Narrow" w:cs="Arial"/>
                <w:b/>
                <w:sz w:val="20"/>
                <w:szCs w:val="20"/>
              </w:rPr>
            </w:pPr>
            <w:r w:rsidRPr="003079EA">
              <w:rPr>
                <w:rFonts w:ascii="Arial Narrow" w:hAnsi="Arial Narrow"/>
                <w:sz w:val="20"/>
                <w:szCs w:val="20"/>
                <w:highlight w:val="black"/>
              </w:rPr>
              <w:t>xxxxx</w:t>
            </w:r>
          </w:p>
        </w:tc>
        <w:tc>
          <w:tcPr>
            <w:tcW w:w="992" w:type="dxa"/>
          </w:tcPr>
          <w:p w14:paraId="6A6E3364" w14:textId="6A63B402" w:rsidR="00EC3824" w:rsidRPr="00323431" w:rsidRDefault="00EC3824" w:rsidP="00245BE6">
            <w:pPr>
              <w:rPr>
                <w:rFonts w:ascii="Arial Narrow" w:hAnsi="Arial Narrow" w:cs="Arial"/>
                <w:b/>
                <w:sz w:val="20"/>
                <w:szCs w:val="20"/>
              </w:rPr>
            </w:pPr>
            <w:r w:rsidRPr="003079EA">
              <w:rPr>
                <w:rFonts w:ascii="Arial Narrow" w:hAnsi="Arial Narrow"/>
                <w:sz w:val="20"/>
                <w:szCs w:val="20"/>
                <w:highlight w:val="black"/>
              </w:rPr>
              <w:t>xxxxx</w:t>
            </w:r>
          </w:p>
        </w:tc>
        <w:tc>
          <w:tcPr>
            <w:tcW w:w="992" w:type="dxa"/>
          </w:tcPr>
          <w:p w14:paraId="20B6723A" w14:textId="57823741" w:rsidR="00EC3824" w:rsidRPr="00323431" w:rsidRDefault="00EC3824" w:rsidP="00245BE6">
            <w:pPr>
              <w:rPr>
                <w:rFonts w:ascii="Arial Narrow" w:hAnsi="Arial Narrow" w:cs="Arial"/>
                <w:b/>
                <w:sz w:val="20"/>
                <w:szCs w:val="20"/>
              </w:rPr>
            </w:pPr>
            <w:r w:rsidRPr="003079EA">
              <w:rPr>
                <w:rFonts w:ascii="Arial Narrow" w:hAnsi="Arial Narrow"/>
                <w:sz w:val="20"/>
                <w:szCs w:val="20"/>
                <w:highlight w:val="black"/>
              </w:rPr>
              <w:t>xxxxx</w:t>
            </w:r>
          </w:p>
        </w:tc>
        <w:tc>
          <w:tcPr>
            <w:tcW w:w="993" w:type="dxa"/>
          </w:tcPr>
          <w:p w14:paraId="1248D657" w14:textId="2EE2AED0" w:rsidR="00EC3824" w:rsidRPr="00323431" w:rsidRDefault="00EC3824" w:rsidP="00245BE6">
            <w:pPr>
              <w:rPr>
                <w:rFonts w:ascii="Arial Narrow" w:hAnsi="Arial Narrow" w:cs="Arial"/>
                <w:b/>
                <w:sz w:val="20"/>
                <w:szCs w:val="20"/>
              </w:rPr>
            </w:pPr>
            <w:r w:rsidRPr="003079EA">
              <w:rPr>
                <w:rFonts w:ascii="Arial Narrow" w:hAnsi="Arial Narrow"/>
                <w:sz w:val="20"/>
                <w:szCs w:val="20"/>
                <w:highlight w:val="black"/>
              </w:rPr>
              <w:t>xxxxx</w:t>
            </w:r>
          </w:p>
        </w:tc>
        <w:tc>
          <w:tcPr>
            <w:tcW w:w="1078" w:type="dxa"/>
          </w:tcPr>
          <w:p w14:paraId="0F539516" w14:textId="7C910F62" w:rsidR="00EC3824" w:rsidRPr="00323431" w:rsidRDefault="00EC3824" w:rsidP="00245BE6">
            <w:pPr>
              <w:rPr>
                <w:rFonts w:ascii="Arial Narrow" w:hAnsi="Arial Narrow" w:cs="Arial"/>
                <w:b/>
                <w:sz w:val="20"/>
                <w:szCs w:val="20"/>
              </w:rPr>
            </w:pPr>
            <w:r w:rsidRPr="003079EA">
              <w:rPr>
                <w:rFonts w:ascii="Arial Narrow" w:hAnsi="Arial Narrow"/>
                <w:sz w:val="20"/>
                <w:szCs w:val="20"/>
                <w:highlight w:val="black"/>
              </w:rPr>
              <w:t>xxxxx</w:t>
            </w:r>
          </w:p>
        </w:tc>
      </w:tr>
      <w:tr w:rsidR="003320B0" w14:paraId="2B38B9C6" w14:textId="77777777" w:rsidTr="003320B0">
        <w:tc>
          <w:tcPr>
            <w:tcW w:w="1242" w:type="dxa"/>
            <w:tcBorders>
              <w:right w:val="nil"/>
            </w:tcBorders>
            <w:shd w:val="clear" w:color="auto" w:fill="F2F2F2" w:themeFill="background1" w:themeFillShade="F2"/>
          </w:tcPr>
          <w:p w14:paraId="69C21796" w14:textId="67C2AABE" w:rsidR="003320B0" w:rsidRPr="0081046F" w:rsidRDefault="003320B0" w:rsidP="00245BE6">
            <w:pPr>
              <w:rPr>
                <w:rFonts w:ascii="Arial Narrow" w:hAnsi="Arial Narrow"/>
                <w:sz w:val="20"/>
                <w:szCs w:val="20"/>
                <w:highlight w:val="black"/>
              </w:rPr>
            </w:pPr>
            <w:r>
              <w:rPr>
                <w:rFonts w:ascii="Arial Narrow" w:hAnsi="Arial Narrow"/>
                <w:b/>
                <w:sz w:val="20"/>
                <w:szCs w:val="20"/>
                <w:highlight w:val="black"/>
              </w:rPr>
              <w:t>XXXXXXXXX</w:t>
            </w:r>
          </w:p>
        </w:tc>
        <w:tc>
          <w:tcPr>
            <w:tcW w:w="1843" w:type="dxa"/>
            <w:tcBorders>
              <w:left w:val="nil"/>
              <w:right w:val="nil"/>
            </w:tcBorders>
            <w:shd w:val="clear" w:color="auto" w:fill="F2F2F2" w:themeFill="background1" w:themeFillShade="F2"/>
          </w:tcPr>
          <w:p w14:paraId="560FC848" w14:textId="77777777" w:rsidR="003320B0" w:rsidRPr="00A70DEC" w:rsidRDefault="003320B0" w:rsidP="00245BE6">
            <w:pPr>
              <w:rPr>
                <w:rFonts w:ascii="Arial Narrow" w:hAnsi="Arial Narrow"/>
                <w:sz w:val="20"/>
                <w:szCs w:val="20"/>
                <w:highlight w:val="black"/>
              </w:rPr>
            </w:pPr>
          </w:p>
        </w:tc>
        <w:tc>
          <w:tcPr>
            <w:tcW w:w="992" w:type="dxa"/>
            <w:tcBorders>
              <w:left w:val="nil"/>
              <w:right w:val="nil"/>
            </w:tcBorders>
            <w:shd w:val="clear" w:color="auto" w:fill="F2F2F2" w:themeFill="background1" w:themeFillShade="F2"/>
          </w:tcPr>
          <w:p w14:paraId="3683567C" w14:textId="77777777" w:rsidR="003320B0" w:rsidRPr="00A70DEC" w:rsidRDefault="003320B0" w:rsidP="00245BE6">
            <w:pPr>
              <w:rPr>
                <w:rFonts w:ascii="Arial Narrow" w:hAnsi="Arial Narrow"/>
                <w:sz w:val="20"/>
                <w:szCs w:val="20"/>
                <w:highlight w:val="black"/>
              </w:rPr>
            </w:pPr>
          </w:p>
        </w:tc>
        <w:tc>
          <w:tcPr>
            <w:tcW w:w="907" w:type="dxa"/>
            <w:tcBorders>
              <w:left w:val="nil"/>
              <w:right w:val="nil"/>
            </w:tcBorders>
            <w:shd w:val="clear" w:color="auto" w:fill="F2F2F2" w:themeFill="background1" w:themeFillShade="F2"/>
          </w:tcPr>
          <w:p w14:paraId="6799B533" w14:textId="77777777" w:rsidR="003320B0" w:rsidRPr="00063CC8" w:rsidRDefault="003320B0" w:rsidP="00245BE6">
            <w:pPr>
              <w:rPr>
                <w:rFonts w:ascii="Arial Narrow" w:hAnsi="Arial Narrow" w:cs="Arial"/>
                <w:sz w:val="20"/>
                <w:szCs w:val="20"/>
              </w:rPr>
            </w:pPr>
          </w:p>
        </w:tc>
        <w:tc>
          <w:tcPr>
            <w:tcW w:w="992" w:type="dxa"/>
            <w:tcBorders>
              <w:left w:val="nil"/>
              <w:right w:val="nil"/>
            </w:tcBorders>
            <w:shd w:val="clear" w:color="auto" w:fill="F2F2F2" w:themeFill="background1" w:themeFillShade="F2"/>
          </w:tcPr>
          <w:p w14:paraId="0EC963C9" w14:textId="77777777" w:rsidR="003320B0" w:rsidRPr="00063CC8" w:rsidRDefault="003320B0" w:rsidP="00245BE6">
            <w:pPr>
              <w:rPr>
                <w:rFonts w:ascii="Arial Narrow" w:hAnsi="Arial Narrow" w:cs="Arial"/>
                <w:sz w:val="20"/>
                <w:szCs w:val="20"/>
              </w:rPr>
            </w:pPr>
          </w:p>
        </w:tc>
        <w:tc>
          <w:tcPr>
            <w:tcW w:w="992" w:type="dxa"/>
            <w:tcBorders>
              <w:left w:val="nil"/>
              <w:right w:val="nil"/>
            </w:tcBorders>
            <w:shd w:val="clear" w:color="auto" w:fill="F2F2F2" w:themeFill="background1" w:themeFillShade="F2"/>
          </w:tcPr>
          <w:p w14:paraId="5F05CBF7" w14:textId="77777777" w:rsidR="003320B0" w:rsidRPr="00063CC8" w:rsidRDefault="003320B0" w:rsidP="00245BE6">
            <w:pPr>
              <w:rPr>
                <w:rFonts w:ascii="Arial Narrow" w:hAnsi="Arial Narrow" w:cs="Arial"/>
                <w:sz w:val="20"/>
                <w:szCs w:val="20"/>
              </w:rPr>
            </w:pPr>
          </w:p>
        </w:tc>
        <w:tc>
          <w:tcPr>
            <w:tcW w:w="993" w:type="dxa"/>
            <w:tcBorders>
              <w:left w:val="nil"/>
              <w:right w:val="nil"/>
            </w:tcBorders>
            <w:shd w:val="clear" w:color="auto" w:fill="F2F2F2" w:themeFill="background1" w:themeFillShade="F2"/>
          </w:tcPr>
          <w:p w14:paraId="7C6EBA8A" w14:textId="77777777" w:rsidR="003320B0" w:rsidRPr="00063CC8" w:rsidRDefault="003320B0" w:rsidP="00245BE6">
            <w:pPr>
              <w:rPr>
                <w:rFonts w:ascii="Arial Narrow" w:hAnsi="Arial Narrow" w:cs="Arial"/>
                <w:sz w:val="20"/>
                <w:szCs w:val="20"/>
              </w:rPr>
            </w:pPr>
          </w:p>
        </w:tc>
        <w:tc>
          <w:tcPr>
            <w:tcW w:w="1078" w:type="dxa"/>
            <w:tcBorders>
              <w:left w:val="nil"/>
            </w:tcBorders>
            <w:shd w:val="clear" w:color="auto" w:fill="F2F2F2" w:themeFill="background1" w:themeFillShade="F2"/>
          </w:tcPr>
          <w:p w14:paraId="3EF72AFB" w14:textId="77777777" w:rsidR="003320B0" w:rsidRPr="00063CC8" w:rsidRDefault="003320B0" w:rsidP="00245BE6">
            <w:pPr>
              <w:rPr>
                <w:rFonts w:ascii="Arial Narrow" w:hAnsi="Arial Narrow" w:cs="Arial"/>
                <w:sz w:val="20"/>
                <w:szCs w:val="20"/>
              </w:rPr>
            </w:pPr>
          </w:p>
        </w:tc>
      </w:tr>
      <w:tr w:rsidR="00EC3824" w14:paraId="7DF87FAE" w14:textId="77777777" w:rsidTr="009163A3">
        <w:tc>
          <w:tcPr>
            <w:tcW w:w="1242" w:type="dxa"/>
          </w:tcPr>
          <w:p w14:paraId="1B252AE3" w14:textId="64D8D815"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7BEB03FA" w14:textId="3014A835" w:rsidR="00EC3824" w:rsidRPr="00A70DEC" w:rsidRDefault="00EC3824" w:rsidP="00245BE6">
            <w:pPr>
              <w:rPr>
                <w:rFonts w:ascii="Arial Narrow" w:hAnsi="Arial Narrow"/>
                <w:sz w:val="20"/>
                <w:szCs w:val="20"/>
              </w:rPr>
            </w:pPr>
            <w:r w:rsidRPr="00A70DEC">
              <w:rPr>
                <w:rFonts w:ascii="Arial Narrow" w:hAnsi="Arial Narrow"/>
                <w:sz w:val="20"/>
                <w:szCs w:val="20"/>
                <w:highlight w:val="black"/>
              </w:rPr>
              <w:t>XXXXXXXXXXXXXXXXXXXXXXXXXXXX</w:t>
            </w:r>
          </w:p>
        </w:tc>
        <w:tc>
          <w:tcPr>
            <w:tcW w:w="992" w:type="dxa"/>
          </w:tcPr>
          <w:p w14:paraId="04842573" w14:textId="27150B9F"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xxxxx</w:t>
            </w:r>
            <w:r w:rsidRPr="00B51F44">
              <w:rPr>
                <w:rFonts w:ascii="Arial Narrow" w:hAnsi="Arial Narrow"/>
                <w:sz w:val="20"/>
                <w:szCs w:val="20"/>
              </w:rPr>
              <w:t xml:space="preserve"> </w:t>
            </w:r>
          </w:p>
        </w:tc>
        <w:tc>
          <w:tcPr>
            <w:tcW w:w="907" w:type="dxa"/>
            <w:shd w:val="clear" w:color="auto" w:fill="F2F2F2" w:themeFill="background1" w:themeFillShade="F2"/>
          </w:tcPr>
          <w:p w14:paraId="5C9D607B"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1C8B25E6"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2139A4E0" w14:textId="77777777" w:rsidR="00EC3824" w:rsidRPr="00063CC8" w:rsidRDefault="00EC3824" w:rsidP="00245BE6">
            <w:pPr>
              <w:rPr>
                <w:rFonts w:ascii="Arial Narrow" w:hAnsi="Arial Narrow" w:cs="Arial"/>
                <w:sz w:val="20"/>
                <w:szCs w:val="20"/>
              </w:rPr>
            </w:pPr>
          </w:p>
        </w:tc>
        <w:tc>
          <w:tcPr>
            <w:tcW w:w="993" w:type="dxa"/>
            <w:shd w:val="clear" w:color="auto" w:fill="F2F2F2" w:themeFill="background1" w:themeFillShade="F2"/>
          </w:tcPr>
          <w:p w14:paraId="3B76E151" w14:textId="77777777" w:rsidR="00EC3824" w:rsidRPr="00063CC8" w:rsidRDefault="00EC3824" w:rsidP="00245BE6">
            <w:pPr>
              <w:rPr>
                <w:rFonts w:ascii="Arial Narrow" w:hAnsi="Arial Narrow" w:cs="Arial"/>
                <w:sz w:val="20"/>
                <w:szCs w:val="20"/>
              </w:rPr>
            </w:pPr>
          </w:p>
        </w:tc>
        <w:tc>
          <w:tcPr>
            <w:tcW w:w="1078" w:type="dxa"/>
            <w:shd w:val="clear" w:color="auto" w:fill="F2F2F2" w:themeFill="background1" w:themeFillShade="F2"/>
          </w:tcPr>
          <w:p w14:paraId="5AAEC641" w14:textId="77777777" w:rsidR="00EC3824" w:rsidRPr="00063CC8" w:rsidRDefault="00EC3824" w:rsidP="00245BE6">
            <w:pPr>
              <w:rPr>
                <w:rFonts w:ascii="Arial Narrow" w:hAnsi="Arial Narrow" w:cs="Arial"/>
                <w:sz w:val="20"/>
                <w:szCs w:val="20"/>
              </w:rPr>
            </w:pPr>
          </w:p>
        </w:tc>
      </w:tr>
      <w:tr w:rsidR="00EC3824" w14:paraId="650A43BD" w14:textId="77777777" w:rsidTr="009163A3">
        <w:tc>
          <w:tcPr>
            <w:tcW w:w="1242" w:type="dxa"/>
          </w:tcPr>
          <w:p w14:paraId="41472EC5" w14:textId="3E84BCA0"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62DA1F72" w14:textId="43A6E35B"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XXXXXXXXXXXXXXXXXXXXXXXXXXXX</w:t>
            </w:r>
            <w:r w:rsidRPr="00B51F44">
              <w:rPr>
                <w:rFonts w:ascii="Arial Narrow" w:hAnsi="Arial Narrow"/>
                <w:sz w:val="20"/>
                <w:szCs w:val="20"/>
              </w:rPr>
              <w:t xml:space="preserve"> </w:t>
            </w:r>
          </w:p>
        </w:tc>
        <w:tc>
          <w:tcPr>
            <w:tcW w:w="992" w:type="dxa"/>
          </w:tcPr>
          <w:p w14:paraId="2E5090E1" w14:textId="27F279ED"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xxxxx</w:t>
            </w:r>
            <w:r w:rsidRPr="00B51F44">
              <w:rPr>
                <w:rFonts w:ascii="Arial Narrow" w:hAnsi="Arial Narrow"/>
                <w:sz w:val="20"/>
                <w:szCs w:val="20"/>
              </w:rPr>
              <w:t xml:space="preserve"> </w:t>
            </w:r>
          </w:p>
        </w:tc>
        <w:tc>
          <w:tcPr>
            <w:tcW w:w="907" w:type="dxa"/>
            <w:shd w:val="clear" w:color="auto" w:fill="F2F2F2" w:themeFill="background1" w:themeFillShade="F2"/>
          </w:tcPr>
          <w:p w14:paraId="63D2E1CD"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2C2D5C0D"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63312BBF" w14:textId="77777777" w:rsidR="00EC3824" w:rsidRPr="00063CC8" w:rsidRDefault="00EC3824" w:rsidP="00245BE6">
            <w:pPr>
              <w:rPr>
                <w:rFonts w:ascii="Arial Narrow" w:hAnsi="Arial Narrow" w:cs="Arial"/>
                <w:sz w:val="20"/>
                <w:szCs w:val="20"/>
              </w:rPr>
            </w:pPr>
          </w:p>
        </w:tc>
        <w:tc>
          <w:tcPr>
            <w:tcW w:w="993" w:type="dxa"/>
            <w:shd w:val="clear" w:color="auto" w:fill="F2F2F2" w:themeFill="background1" w:themeFillShade="F2"/>
          </w:tcPr>
          <w:p w14:paraId="70683419" w14:textId="77777777" w:rsidR="00EC3824" w:rsidRPr="00063CC8" w:rsidRDefault="00EC3824" w:rsidP="00245BE6">
            <w:pPr>
              <w:rPr>
                <w:rFonts w:ascii="Arial Narrow" w:hAnsi="Arial Narrow" w:cs="Arial"/>
                <w:sz w:val="20"/>
                <w:szCs w:val="20"/>
              </w:rPr>
            </w:pPr>
          </w:p>
        </w:tc>
        <w:tc>
          <w:tcPr>
            <w:tcW w:w="1078" w:type="dxa"/>
            <w:shd w:val="clear" w:color="auto" w:fill="F2F2F2" w:themeFill="background1" w:themeFillShade="F2"/>
          </w:tcPr>
          <w:p w14:paraId="68A38AA1" w14:textId="77777777" w:rsidR="00EC3824" w:rsidRPr="00063CC8" w:rsidRDefault="00EC3824" w:rsidP="00245BE6">
            <w:pPr>
              <w:rPr>
                <w:rFonts w:ascii="Arial Narrow" w:hAnsi="Arial Narrow" w:cs="Arial"/>
                <w:sz w:val="20"/>
                <w:szCs w:val="20"/>
              </w:rPr>
            </w:pPr>
          </w:p>
        </w:tc>
      </w:tr>
      <w:tr w:rsidR="00EC3824" w14:paraId="5D1A2BC2" w14:textId="77777777" w:rsidTr="009163A3">
        <w:tc>
          <w:tcPr>
            <w:tcW w:w="1242" w:type="dxa"/>
          </w:tcPr>
          <w:p w14:paraId="55D59029" w14:textId="49BF8331"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7D086150" w14:textId="11F55A51" w:rsidR="00EC3824" w:rsidRPr="00B51F44" w:rsidRDefault="00EC3824" w:rsidP="00245BE6">
            <w:pPr>
              <w:rPr>
                <w:rFonts w:ascii="Arial Narrow" w:hAnsi="Arial Narrow"/>
                <w:sz w:val="20"/>
                <w:szCs w:val="20"/>
                <w:vertAlign w:val="superscript"/>
              </w:rPr>
            </w:pPr>
            <w:r w:rsidRPr="00A70DEC">
              <w:rPr>
                <w:rFonts w:ascii="Arial Narrow" w:hAnsi="Arial Narrow"/>
                <w:sz w:val="20"/>
                <w:szCs w:val="20"/>
                <w:highlight w:val="black"/>
              </w:rPr>
              <w:t>XXXXXXXXXXXXXXXXXXXXXXXXXXXX</w:t>
            </w:r>
          </w:p>
        </w:tc>
        <w:tc>
          <w:tcPr>
            <w:tcW w:w="992" w:type="dxa"/>
          </w:tcPr>
          <w:p w14:paraId="458A33E5" w14:textId="5134C1E4"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xxxxx</w:t>
            </w:r>
          </w:p>
        </w:tc>
        <w:tc>
          <w:tcPr>
            <w:tcW w:w="907" w:type="dxa"/>
            <w:shd w:val="clear" w:color="auto" w:fill="F2F2F2" w:themeFill="background1" w:themeFillShade="F2"/>
          </w:tcPr>
          <w:p w14:paraId="61F5BF5E"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2BBB578F"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tcPr>
          <w:p w14:paraId="4D1ADDB1" w14:textId="77777777" w:rsidR="00EC3824" w:rsidRPr="00063CC8" w:rsidRDefault="00EC3824" w:rsidP="00245BE6">
            <w:pPr>
              <w:rPr>
                <w:rFonts w:ascii="Arial Narrow" w:hAnsi="Arial Narrow" w:cs="Arial"/>
                <w:sz w:val="20"/>
                <w:szCs w:val="20"/>
              </w:rPr>
            </w:pPr>
          </w:p>
        </w:tc>
        <w:tc>
          <w:tcPr>
            <w:tcW w:w="993" w:type="dxa"/>
            <w:shd w:val="clear" w:color="auto" w:fill="F2F2F2" w:themeFill="background1" w:themeFillShade="F2"/>
          </w:tcPr>
          <w:p w14:paraId="1AB7B9DA" w14:textId="77777777" w:rsidR="00EC3824" w:rsidRPr="00063CC8" w:rsidRDefault="00EC3824" w:rsidP="00245BE6">
            <w:pPr>
              <w:rPr>
                <w:rFonts w:ascii="Arial Narrow" w:hAnsi="Arial Narrow" w:cs="Arial"/>
                <w:sz w:val="20"/>
                <w:szCs w:val="20"/>
              </w:rPr>
            </w:pPr>
          </w:p>
        </w:tc>
        <w:tc>
          <w:tcPr>
            <w:tcW w:w="1078" w:type="dxa"/>
            <w:shd w:val="clear" w:color="auto" w:fill="F2F2F2" w:themeFill="background1" w:themeFillShade="F2"/>
          </w:tcPr>
          <w:p w14:paraId="15619EEA" w14:textId="77777777" w:rsidR="00EC3824" w:rsidRPr="00063CC8" w:rsidRDefault="00EC3824" w:rsidP="00245BE6">
            <w:pPr>
              <w:rPr>
                <w:rFonts w:ascii="Arial Narrow" w:hAnsi="Arial Narrow" w:cs="Arial"/>
                <w:sz w:val="20"/>
                <w:szCs w:val="20"/>
              </w:rPr>
            </w:pPr>
          </w:p>
        </w:tc>
      </w:tr>
      <w:tr w:rsidR="00EC3824" w14:paraId="5B0B474E" w14:textId="77777777" w:rsidTr="009163A3">
        <w:tc>
          <w:tcPr>
            <w:tcW w:w="1242" w:type="dxa"/>
          </w:tcPr>
          <w:p w14:paraId="500D8685" w14:textId="7AF834AD"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31EE7C60" w14:textId="082B3F48"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XXXXXXXXXXXXXXXXXXXXXXXXXXXX</w:t>
            </w:r>
          </w:p>
        </w:tc>
        <w:tc>
          <w:tcPr>
            <w:tcW w:w="992" w:type="dxa"/>
            <w:shd w:val="clear" w:color="auto" w:fill="F2F2F2" w:themeFill="background1" w:themeFillShade="F2"/>
          </w:tcPr>
          <w:p w14:paraId="25264379" w14:textId="77777777" w:rsidR="00EC3824" w:rsidRPr="00B51F44" w:rsidRDefault="00EC3824" w:rsidP="00245BE6">
            <w:pPr>
              <w:rPr>
                <w:rFonts w:ascii="Arial Narrow" w:hAnsi="Arial Narrow"/>
                <w:sz w:val="20"/>
                <w:szCs w:val="20"/>
              </w:rPr>
            </w:pPr>
          </w:p>
        </w:tc>
        <w:tc>
          <w:tcPr>
            <w:tcW w:w="907" w:type="dxa"/>
            <w:vAlign w:val="bottom"/>
          </w:tcPr>
          <w:p w14:paraId="47F72F34" w14:textId="4EEDCDE3" w:rsidR="00EC3824" w:rsidRPr="00B51F44" w:rsidRDefault="00EC3824" w:rsidP="00245BE6">
            <w:pPr>
              <w:rPr>
                <w:rFonts w:ascii="Arial Narrow" w:hAnsi="Arial Narrow" w:cs="Arial"/>
                <w:sz w:val="20"/>
                <w:szCs w:val="20"/>
              </w:rPr>
            </w:pPr>
            <w:r w:rsidRPr="00A70DEC">
              <w:rPr>
                <w:rFonts w:ascii="Arial Narrow" w:hAnsi="Arial Narrow"/>
                <w:sz w:val="20"/>
                <w:szCs w:val="20"/>
                <w:highlight w:val="black"/>
              </w:rPr>
              <w:t>xxxxx</w:t>
            </w:r>
          </w:p>
        </w:tc>
        <w:tc>
          <w:tcPr>
            <w:tcW w:w="992" w:type="dxa"/>
            <w:shd w:val="clear" w:color="auto" w:fill="F2F2F2" w:themeFill="background1" w:themeFillShade="F2"/>
            <w:vAlign w:val="bottom"/>
          </w:tcPr>
          <w:p w14:paraId="70DACB35" w14:textId="77777777" w:rsidR="00EC3824" w:rsidRPr="00B51F44"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14B2B0FC" w14:textId="77777777" w:rsidR="00EC3824" w:rsidRPr="00B51F44" w:rsidRDefault="00EC3824" w:rsidP="00245BE6">
            <w:pPr>
              <w:rPr>
                <w:rFonts w:ascii="Arial Narrow" w:hAnsi="Arial Narrow" w:cs="Arial"/>
                <w:sz w:val="20"/>
                <w:szCs w:val="20"/>
              </w:rPr>
            </w:pPr>
          </w:p>
        </w:tc>
        <w:tc>
          <w:tcPr>
            <w:tcW w:w="993" w:type="dxa"/>
            <w:shd w:val="clear" w:color="auto" w:fill="F2F2F2" w:themeFill="background1" w:themeFillShade="F2"/>
            <w:vAlign w:val="bottom"/>
          </w:tcPr>
          <w:p w14:paraId="263C6946" w14:textId="77777777" w:rsidR="00EC3824" w:rsidRPr="00B51F44" w:rsidRDefault="00EC3824" w:rsidP="00245BE6">
            <w:pPr>
              <w:rPr>
                <w:rFonts w:ascii="Arial Narrow" w:hAnsi="Arial Narrow" w:cs="Arial"/>
                <w:sz w:val="20"/>
                <w:szCs w:val="20"/>
              </w:rPr>
            </w:pPr>
          </w:p>
        </w:tc>
        <w:tc>
          <w:tcPr>
            <w:tcW w:w="1078" w:type="dxa"/>
            <w:shd w:val="clear" w:color="auto" w:fill="F2F2F2" w:themeFill="background1" w:themeFillShade="F2"/>
            <w:vAlign w:val="bottom"/>
          </w:tcPr>
          <w:p w14:paraId="769F5EF8" w14:textId="77777777" w:rsidR="00EC3824" w:rsidRPr="00B51F44" w:rsidRDefault="00EC3824" w:rsidP="00245BE6">
            <w:pPr>
              <w:rPr>
                <w:rFonts w:ascii="Arial Narrow" w:hAnsi="Arial Narrow" w:cs="Arial"/>
                <w:sz w:val="20"/>
                <w:szCs w:val="20"/>
              </w:rPr>
            </w:pPr>
          </w:p>
        </w:tc>
      </w:tr>
      <w:tr w:rsidR="00EC3824" w14:paraId="3BEAB689" w14:textId="77777777" w:rsidTr="00D27481">
        <w:tc>
          <w:tcPr>
            <w:tcW w:w="1242" w:type="dxa"/>
          </w:tcPr>
          <w:p w14:paraId="5ABB54E0" w14:textId="5438CD67"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4682463B" w14:textId="77777777" w:rsidR="00EC3824" w:rsidRPr="00A70DEC" w:rsidRDefault="00EC3824" w:rsidP="00245BE6">
            <w:pPr>
              <w:rPr>
                <w:rFonts w:ascii="Arial Narrow" w:hAnsi="Arial Narrow"/>
                <w:sz w:val="20"/>
                <w:szCs w:val="20"/>
                <w:highlight w:val="black"/>
              </w:rPr>
            </w:pPr>
            <w:r w:rsidRPr="00A70DEC">
              <w:rPr>
                <w:rFonts w:ascii="Arial Narrow" w:hAnsi="Arial Narrow"/>
                <w:sz w:val="20"/>
                <w:szCs w:val="20"/>
                <w:highlight w:val="black"/>
              </w:rPr>
              <w:t>XXXXXXXX</w:t>
            </w:r>
          </w:p>
          <w:p w14:paraId="705D7945" w14:textId="77777777" w:rsidR="00EC3824" w:rsidRPr="00A70DEC" w:rsidRDefault="00EC3824" w:rsidP="00245BE6">
            <w:pPr>
              <w:rPr>
                <w:rFonts w:ascii="Arial Narrow" w:hAnsi="Arial Narrow"/>
                <w:sz w:val="20"/>
                <w:szCs w:val="20"/>
                <w:highlight w:val="black"/>
              </w:rPr>
            </w:pPr>
            <w:r w:rsidRPr="00A70DEC">
              <w:rPr>
                <w:rFonts w:ascii="Arial Narrow" w:hAnsi="Arial Narrow"/>
                <w:sz w:val="20"/>
                <w:szCs w:val="20"/>
                <w:highlight w:val="black"/>
              </w:rPr>
              <w:t>XXXXXXXXXXXXXX</w:t>
            </w:r>
          </w:p>
          <w:p w14:paraId="5FB3F189" w14:textId="688BAEF9"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w:t>
            </w:r>
          </w:p>
        </w:tc>
        <w:tc>
          <w:tcPr>
            <w:tcW w:w="992" w:type="dxa"/>
            <w:shd w:val="clear" w:color="auto" w:fill="F2F2F2" w:themeFill="background1" w:themeFillShade="F2"/>
          </w:tcPr>
          <w:p w14:paraId="1545FEA5" w14:textId="77777777" w:rsidR="00EC3824" w:rsidRPr="00B51F44" w:rsidRDefault="00EC3824" w:rsidP="00245BE6">
            <w:pPr>
              <w:rPr>
                <w:rFonts w:ascii="Arial Narrow" w:hAnsi="Arial Narrow"/>
                <w:sz w:val="20"/>
                <w:szCs w:val="20"/>
              </w:rPr>
            </w:pPr>
          </w:p>
        </w:tc>
        <w:tc>
          <w:tcPr>
            <w:tcW w:w="907" w:type="dxa"/>
          </w:tcPr>
          <w:p w14:paraId="3946CCAB" w14:textId="166F1C8F" w:rsidR="00EC3824" w:rsidRPr="00063CC8" w:rsidRDefault="00EC3824" w:rsidP="00245BE6">
            <w:pPr>
              <w:rPr>
                <w:rFonts w:ascii="Arial Narrow" w:hAnsi="Arial Narrow" w:cs="Arial"/>
                <w:sz w:val="20"/>
                <w:szCs w:val="20"/>
              </w:rPr>
            </w:pPr>
            <w:r w:rsidRPr="00A201C0">
              <w:rPr>
                <w:rFonts w:ascii="Arial Narrow" w:hAnsi="Arial Narrow"/>
                <w:sz w:val="20"/>
                <w:szCs w:val="20"/>
                <w:highlight w:val="black"/>
              </w:rPr>
              <w:t>xxxxx</w:t>
            </w:r>
            <w:r w:rsidRPr="00A201C0">
              <w:rPr>
                <w:rFonts w:ascii="Arial Narrow" w:hAnsi="Arial Narrow"/>
                <w:sz w:val="20"/>
                <w:szCs w:val="20"/>
              </w:rPr>
              <w:t xml:space="preserve"> </w:t>
            </w:r>
          </w:p>
        </w:tc>
        <w:tc>
          <w:tcPr>
            <w:tcW w:w="992" w:type="dxa"/>
          </w:tcPr>
          <w:p w14:paraId="6C2695F5" w14:textId="12E462A8" w:rsidR="00EC3824" w:rsidRPr="00063CC8" w:rsidRDefault="00EC3824" w:rsidP="00245BE6">
            <w:pPr>
              <w:rPr>
                <w:rFonts w:ascii="Arial Narrow" w:hAnsi="Arial Narrow" w:cs="Arial"/>
                <w:sz w:val="20"/>
                <w:szCs w:val="20"/>
              </w:rPr>
            </w:pPr>
            <w:r w:rsidRPr="00A201C0">
              <w:rPr>
                <w:rFonts w:ascii="Arial Narrow" w:hAnsi="Arial Narrow"/>
                <w:sz w:val="20"/>
                <w:szCs w:val="20"/>
                <w:highlight w:val="black"/>
              </w:rPr>
              <w:t>xxxxx</w:t>
            </w:r>
            <w:r w:rsidRPr="00A201C0">
              <w:rPr>
                <w:rFonts w:ascii="Arial Narrow" w:hAnsi="Arial Narrow"/>
                <w:sz w:val="20"/>
                <w:szCs w:val="20"/>
              </w:rPr>
              <w:t xml:space="preserve"> </w:t>
            </w:r>
          </w:p>
        </w:tc>
        <w:tc>
          <w:tcPr>
            <w:tcW w:w="992" w:type="dxa"/>
          </w:tcPr>
          <w:p w14:paraId="1F53D00B" w14:textId="2909A52A" w:rsidR="00EC3824" w:rsidRPr="00063CC8" w:rsidRDefault="00EC3824" w:rsidP="00245BE6">
            <w:pPr>
              <w:rPr>
                <w:rFonts w:ascii="Arial Narrow" w:hAnsi="Arial Narrow" w:cs="Arial"/>
                <w:sz w:val="20"/>
                <w:szCs w:val="20"/>
              </w:rPr>
            </w:pPr>
            <w:r w:rsidRPr="00A201C0">
              <w:rPr>
                <w:rFonts w:ascii="Arial Narrow" w:hAnsi="Arial Narrow"/>
                <w:sz w:val="20"/>
                <w:szCs w:val="20"/>
                <w:highlight w:val="black"/>
              </w:rPr>
              <w:t>xxxxx</w:t>
            </w:r>
            <w:r w:rsidRPr="00A201C0">
              <w:rPr>
                <w:rFonts w:ascii="Arial Narrow" w:hAnsi="Arial Narrow"/>
                <w:sz w:val="20"/>
                <w:szCs w:val="20"/>
              </w:rPr>
              <w:t xml:space="preserve"> </w:t>
            </w:r>
          </w:p>
        </w:tc>
        <w:tc>
          <w:tcPr>
            <w:tcW w:w="993" w:type="dxa"/>
          </w:tcPr>
          <w:p w14:paraId="6D60E905" w14:textId="38AA887E" w:rsidR="00EC3824" w:rsidRPr="00063CC8" w:rsidRDefault="00EC3824" w:rsidP="00245BE6">
            <w:pPr>
              <w:rPr>
                <w:rFonts w:ascii="Arial Narrow" w:hAnsi="Arial Narrow" w:cs="Arial"/>
                <w:sz w:val="20"/>
                <w:szCs w:val="20"/>
              </w:rPr>
            </w:pPr>
            <w:r w:rsidRPr="00A201C0">
              <w:rPr>
                <w:rFonts w:ascii="Arial Narrow" w:hAnsi="Arial Narrow"/>
                <w:sz w:val="20"/>
                <w:szCs w:val="20"/>
                <w:highlight w:val="black"/>
              </w:rPr>
              <w:t>xxxxx</w:t>
            </w:r>
            <w:r w:rsidRPr="00A201C0">
              <w:rPr>
                <w:rFonts w:ascii="Arial Narrow" w:hAnsi="Arial Narrow"/>
                <w:sz w:val="20"/>
                <w:szCs w:val="20"/>
              </w:rPr>
              <w:t xml:space="preserve"> </w:t>
            </w:r>
          </w:p>
        </w:tc>
        <w:tc>
          <w:tcPr>
            <w:tcW w:w="1078" w:type="dxa"/>
          </w:tcPr>
          <w:p w14:paraId="39D85968" w14:textId="0416B99D" w:rsidR="00EC3824" w:rsidRPr="00063CC8" w:rsidRDefault="00EC3824" w:rsidP="00245BE6">
            <w:pPr>
              <w:rPr>
                <w:rFonts w:ascii="Arial Narrow" w:hAnsi="Arial Narrow" w:cs="Arial"/>
                <w:sz w:val="20"/>
                <w:szCs w:val="20"/>
              </w:rPr>
            </w:pPr>
            <w:r w:rsidRPr="00A201C0">
              <w:rPr>
                <w:rFonts w:ascii="Arial Narrow" w:hAnsi="Arial Narrow"/>
                <w:sz w:val="20"/>
                <w:szCs w:val="20"/>
                <w:highlight w:val="black"/>
              </w:rPr>
              <w:t>xxxxx</w:t>
            </w:r>
            <w:r w:rsidRPr="00A201C0">
              <w:rPr>
                <w:rFonts w:ascii="Arial Narrow" w:hAnsi="Arial Narrow"/>
                <w:sz w:val="20"/>
                <w:szCs w:val="20"/>
              </w:rPr>
              <w:t xml:space="preserve"> </w:t>
            </w:r>
          </w:p>
        </w:tc>
      </w:tr>
      <w:tr w:rsidR="00EC3824" w14:paraId="416172FB" w14:textId="77777777" w:rsidTr="00F66C74">
        <w:tc>
          <w:tcPr>
            <w:tcW w:w="1242" w:type="dxa"/>
          </w:tcPr>
          <w:p w14:paraId="366971BF" w14:textId="2C4A36F3"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76C5E8BC" w14:textId="77777777" w:rsidR="00EC3824" w:rsidRPr="00A70DEC" w:rsidRDefault="00EC3824" w:rsidP="00245BE6">
            <w:pPr>
              <w:rPr>
                <w:rFonts w:ascii="Arial Narrow" w:hAnsi="Arial Narrow"/>
                <w:b/>
                <w:sz w:val="20"/>
                <w:szCs w:val="20"/>
                <w:highlight w:val="black"/>
              </w:rPr>
            </w:pPr>
            <w:r w:rsidRPr="00A70DEC">
              <w:rPr>
                <w:rFonts w:ascii="Arial Narrow" w:hAnsi="Arial Narrow"/>
                <w:b/>
                <w:sz w:val="20"/>
                <w:szCs w:val="20"/>
                <w:highlight w:val="black"/>
              </w:rPr>
              <w:t>XXXXXXXXXXXXXX</w:t>
            </w:r>
          </w:p>
          <w:p w14:paraId="063D8D46" w14:textId="08CCE0C2" w:rsidR="00EC3824" w:rsidRPr="00393200" w:rsidRDefault="00EC3824" w:rsidP="00245BE6">
            <w:pPr>
              <w:rPr>
                <w:rFonts w:ascii="Arial Narrow" w:hAnsi="Arial Narrow"/>
                <w:b/>
                <w:sz w:val="20"/>
                <w:szCs w:val="20"/>
              </w:rPr>
            </w:pPr>
            <w:r w:rsidRPr="00A70DEC">
              <w:rPr>
                <w:rFonts w:ascii="Arial Narrow" w:hAnsi="Arial Narrow"/>
                <w:b/>
                <w:sz w:val="20"/>
                <w:szCs w:val="20"/>
                <w:highlight w:val="black"/>
              </w:rPr>
              <w:t>XXXXXXX</w:t>
            </w:r>
          </w:p>
        </w:tc>
        <w:tc>
          <w:tcPr>
            <w:tcW w:w="992" w:type="dxa"/>
            <w:shd w:val="clear" w:color="auto" w:fill="F2F2F2" w:themeFill="background1" w:themeFillShade="F2"/>
          </w:tcPr>
          <w:p w14:paraId="02616497" w14:textId="77777777" w:rsidR="00EC3824" w:rsidRPr="00393200" w:rsidRDefault="00EC3824" w:rsidP="00245BE6">
            <w:pPr>
              <w:rPr>
                <w:rFonts w:ascii="Arial Narrow" w:hAnsi="Arial Narrow"/>
                <w:b/>
                <w:sz w:val="20"/>
                <w:szCs w:val="20"/>
              </w:rPr>
            </w:pPr>
          </w:p>
        </w:tc>
        <w:tc>
          <w:tcPr>
            <w:tcW w:w="907" w:type="dxa"/>
          </w:tcPr>
          <w:p w14:paraId="6D5CA422" w14:textId="2311D11C" w:rsidR="00EC3824" w:rsidRPr="00393200" w:rsidRDefault="00EC3824" w:rsidP="00245BE6">
            <w:pPr>
              <w:rPr>
                <w:rFonts w:ascii="Arial Narrow" w:hAnsi="Arial Narrow" w:cs="Arial"/>
                <w:b/>
                <w:sz w:val="20"/>
                <w:szCs w:val="20"/>
              </w:rPr>
            </w:pPr>
            <w:r w:rsidRPr="00C0662D">
              <w:rPr>
                <w:rFonts w:ascii="Arial Narrow" w:hAnsi="Arial Narrow"/>
                <w:sz w:val="20"/>
                <w:szCs w:val="20"/>
                <w:highlight w:val="black"/>
              </w:rPr>
              <w:t>xxxxx</w:t>
            </w:r>
            <w:r w:rsidRPr="00C0662D">
              <w:rPr>
                <w:rFonts w:ascii="Arial Narrow" w:hAnsi="Arial Narrow"/>
                <w:sz w:val="20"/>
                <w:szCs w:val="20"/>
              </w:rPr>
              <w:t xml:space="preserve"> </w:t>
            </w:r>
          </w:p>
        </w:tc>
        <w:tc>
          <w:tcPr>
            <w:tcW w:w="992" w:type="dxa"/>
          </w:tcPr>
          <w:p w14:paraId="16119DCC" w14:textId="1684A2F2" w:rsidR="00EC3824" w:rsidRPr="00393200" w:rsidRDefault="00EC3824" w:rsidP="00245BE6">
            <w:pPr>
              <w:rPr>
                <w:rFonts w:ascii="Arial Narrow" w:hAnsi="Arial Narrow" w:cs="Arial"/>
                <w:b/>
                <w:sz w:val="20"/>
                <w:szCs w:val="20"/>
              </w:rPr>
            </w:pPr>
            <w:r w:rsidRPr="00C0662D">
              <w:rPr>
                <w:rFonts w:ascii="Arial Narrow" w:hAnsi="Arial Narrow"/>
                <w:sz w:val="20"/>
                <w:szCs w:val="20"/>
                <w:highlight w:val="black"/>
              </w:rPr>
              <w:t>xxxxx</w:t>
            </w:r>
            <w:r w:rsidRPr="00C0662D">
              <w:rPr>
                <w:rFonts w:ascii="Arial Narrow" w:hAnsi="Arial Narrow"/>
                <w:sz w:val="20"/>
                <w:szCs w:val="20"/>
              </w:rPr>
              <w:t xml:space="preserve"> </w:t>
            </w:r>
          </w:p>
        </w:tc>
        <w:tc>
          <w:tcPr>
            <w:tcW w:w="992" w:type="dxa"/>
          </w:tcPr>
          <w:p w14:paraId="3CDF65AA" w14:textId="3BD91222" w:rsidR="00EC3824" w:rsidRPr="00393200" w:rsidRDefault="00EC3824" w:rsidP="00245BE6">
            <w:pPr>
              <w:rPr>
                <w:rFonts w:ascii="Arial Narrow" w:hAnsi="Arial Narrow" w:cs="Arial"/>
                <w:b/>
                <w:sz w:val="20"/>
                <w:szCs w:val="20"/>
              </w:rPr>
            </w:pPr>
            <w:r w:rsidRPr="00C0662D">
              <w:rPr>
                <w:rFonts w:ascii="Arial Narrow" w:hAnsi="Arial Narrow"/>
                <w:sz w:val="20"/>
                <w:szCs w:val="20"/>
                <w:highlight w:val="black"/>
              </w:rPr>
              <w:t>xxxxx</w:t>
            </w:r>
            <w:r w:rsidRPr="00C0662D">
              <w:rPr>
                <w:rFonts w:ascii="Arial Narrow" w:hAnsi="Arial Narrow"/>
                <w:sz w:val="20"/>
                <w:szCs w:val="20"/>
              </w:rPr>
              <w:t xml:space="preserve"> </w:t>
            </w:r>
          </w:p>
        </w:tc>
        <w:tc>
          <w:tcPr>
            <w:tcW w:w="993" w:type="dxa"/>
          </w:tcPr>
          <w:p w14:paraId="614BFA54" w14:textId="487D72A1" w:rsidR="00EC3824" w:rsidRPr="00393200" w:rsidRDefault="00EC3824" w:rsidP="00245BE6">
            <w:pPr>
              <w:rPr>
                <w:rFonts w:ascii="Arial Narrow" w:hAnsi="Arial Narrow" w:cs="Arial"/>
                <w:b/>
                <w:sz w:val="20"/>
                <w:szCs w:val="20"/>
              </w:rPr>
            </w:pPr>
            <w:r w:rsidRPr="00C0662D">
              <w:rPr>
                <w:rFonts w:ascii="Arial Narrow" w:hAnsi="Arial Narrow"/>
                <w:sz w:val="20"/>
                <w:szCs w:val="20"/>
                <w:highlight w:val="black"/>
              </w:rPr>
              <w:t>xxxxx</w:t>
            </w:r>
            <w:r w:rsidRPr="00C0662D">
              <w:rPr>
                <w:rFonts w:ascii="Arial Narrow" w:hAnsi="Arial Narrow"/>
                <w:sz w:val="20"/>
                <w:szCs w:val="20"/>
              </w:rPr>
              <w:t xml:space="preserve"> </w:t>
            </w:r>
          </w:p>
        </w:tc>
        <w:tc>
          <w:tcPr>
            <w:tcW w:w="1078" w:type="dxa"/>
          </w:tcPr>
          <w:p w14:paraId="3ACF64F9" w14:textId="0824D506" w:rsidR="00EC3824" w:rsidRPr="00393200" w:rsidRDefault="00EC3824" w:rsidP="00245BE6">
            <w:pPr>
              <w:rPr>
                <w:rFonts w:ascii="Arial Narrow" w:hAnsi="Arial Narrow" w:cs="Arial"/>
                <w:b/>
                <w:sz w:val="20"/>
                <w:szCs w:val="20"/>
              </w:rPr>
            </w:pPr>
            <w:r w:rsidRPr="00C0662D">
              <w:rPr>
                <w:rFonts w:ascii="Arial Narrow" w:hAnsi="Arial Narrow"/>
                <w:sz w:val="20"/>
                <w:szCs w:val="20"/>
                <w:highlight w:val="black"/>
              </w:rPr>
              <w:t>xxxxx</w:t>
            </w:r>
            <w:r w:rsidRPr="00C0662D">
              <w:rPr>
                <w:rFonts w:ascii="Arial Narrow" w:hAnsi="Arial Narrow"/>
                <w:sz w:val="20"/>
                <w:szCs w:val="20"/>
              </w:rPr>
              <w:t xml:space="preserve"> </w:t>
            </w:r>
          </w:p>
        </w:tc>
      </w:tr>
      <w:tr w:rsidR="00EC3824" w14:paraId="695483FF" w14:textId="77777777" w:rsidTr="009163A3">
        <w:tc>
          <w:tcPr>
            <w:tcW w:w="1242" w:type="dxa"/>
          </w:tcPr>
          <w:p w14:paraId="5284EECF" w14:textId="23266D9F"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75484549" w14:textId="77777777" w:rsidR="00EC3824" w:rsidRPr="00A70DEC" w:rsidRDefault="00EC3824" w:rsidP="00245BE6">
            <w:pPr>
              <w:rPr>
                <w:rFonts w:ascii="Arial Narrow" w:hAnsi="Arial Narrow"/>
                <w:sz w:val="20"/>
                <w:szCs w:val="20"/>
                <w:highlight w:val="black"/>
                <w:vertAlign w:val="superscript"/>
              </w:rPr>
            </w:pPr>
            <w:r w:rsidRPr="00A70DEC">
              <w:rPr>
                <w:rFonts w:ascii="Arial Narrow" w:hAnsi="Arial Narrow"/>
                <w:sz w:val="20"/>
                <w:szCs w:val="20"/>
                <w:highlight w:val="black"/>
                <w:vertAlign w:val="superscript"/>
              </w:rPr>
              <w:t>XXXXXXXXXXXXXXXXXXXX</w:t>
            </w:r>
          </w:p>
          <w:p w14:paraId="50CA5D0E" w14:textId="7A2C2149" w:rsidR="00EC3824" w:rsidRPr="00B51F44" w:rsidRDefault="00EC3824" w:rsidP="00245BE6">
            <w:pPr>
              <w:rPr>
                <w:rFonts w:ascii="Arial Narrow" w:hAnsi="Arial Narrow"/>
                <w:sz w:val="20"/>
                <w:szCs w:val="20"/>
              </w:rPr>
            </w:pPr>
            <w:r>
              <w:rPr>
                <w:rFonts w:ascii="Arial Narrow" w:hAnsi="Arial Narrow"/>
                <w:sz w:val="20"/>
                <w:szCs w:val="20"/>
                <w:highlight w:val="black"/>
                <w:vertAlign w:val="superscript"/>
              </w:rPr>
              <w:t>XXXXXXXXXXXXXXXXX</w:t>
            </w:r>
          </w:p>
        </w:tc>
        <w:tc>
          <w:tcPr>
            <w:tcW w:w="992" w:type="dxa"/>
            <w:shd w:val="clear" w:color="auto" w:fill="F2F2F2" w:themeFill="background1" w:themeFillShade="F2"/>
          </w:tcPr>
          <w:p w14:paraId="7E60C477" w14:textId="77777777" w:rsidR="00EC3824" w:rsidRPr="00B51F44" w:rsidRDefault="00EC3824" w:rsidP="00245BE6">
            <w:pPr>
              <w:rPr>
                <w:rFonts w:ascii="Arial Narrow" w:hAnsi="Arial Narrow"/>
                <w:sz w:val="20"/>
                <w:szCs w:val="20"/>
              </w:rPr>
            </w:pPr>
          </w:p>
        </w:tc>
        <w:tc>
          <w:tcPr>
            <w:tcW w:w="907" w:type="dxa"/>
            <w:vAlign w:val="bottom"/>
          </w:tcPr>
          <w:p w14:paraId="615DF606" w14:textId="72BFAA4F" w:rsidR="00EC3824" w:rsidRPr="00B51F44" w:rsidRDefault="00EC3824" w:rsidP="00245BE6">
            <w:pPr>
              <w:rPr>
                <w:rFonts w:ascii="Arial Narrow" w:hAnsi="Arial Narrow" w:cs="Arial"/>
                <w:sz w:val="20"/>
                <w:szCs w:val="20"/>
              </w:rPr>
            </w:pPr>
            <w:r w:rsidRPr="00A70DEC">
              <w:rPr>
                <w:rFonts w:ascii="Arial Narrow" w:hAnsi="Arial Narrow"/>
                <w:sz w:val="20"/>
                <w:szCs w:val="20"/>
                <w:highlight w:val="black"/>
              </w:rPr>
              <w:t>xxxxx</w:t>
            </w:r>
          </w:p>
        </w:tc>
        <w:tc>
          <w:tcPr>
            <w:tcW w:w="992" w:type="dxa"/>
            <w:shd w:val="clear" w:color="auto" w:fill="F2F2F2" w:themeFill="background1" w:themeFillShade="F2"/>
            <w:vAlign w:val="bottom"/>
          </w:tcPr>
          <w:p w14:paraId="6CB43A7D" w14:textId="77777777" w:rsidR="00EC3824" w:rsidRPr="00B51F44"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5934C658" w14:textId="77777777" w:rsidR="00EC3824" w:rsidRPr="00B51F44" w:rsidRDefault="00EC3824" w:rsidP="00245BE6">
            <w:pPr>
              <w:rPr>
                <w:rFonts w:ascii="Arial Narrow" w:hAnsi="Arial Narrow" w:cs="Arial"/>
                <w:sz w:val="20"/>
                <w:szCs w:val="20"/>
              </w:rPr>
            </w:pPr>
          </w:p>
        </w:tc>
        <w:tc>
          <w:tcPr>
            <w:tcW w:w="993" w:type="dxa"/>
            <w:shd w:val="clear" w:color="auto" w:fill="F2F2F2" w:themeFill="background1" w:themeFillShade="F2"/>
            <w:vAlign w:val="bottom"/>
          </w:tcPr>
          <w:p w14:paraId="58A9FE40" w14:textId="77777777" w:rsidR="00EC3824" w:rsidRPr="00B51F44" w:rsidRDefault="00EC3824" w:rsidP="00245BE6">
            <w:pPr>
              <w:rPr>
                <w:rFonts w:ascii="Arial Narrow" w:hAnsi="Arial Narrow" w:cs="Arial"/>
                <w:sz w:val="20"/>
                <w:szCs w:val="20"/>
              </w:rPr>
            </w:pPr>
          </w:p>
        </w:tc>
        <w:tc>
          <w:tcPr>
            <w:tcW w:w="1078" w:type="dxa"/>
            <w:shd w:val="clear" w:color="auto" w:fill="F2F2F2" w:themeFill="background1" w:themeFillShade="F2"/>
            <w:vAlign w:val="bottom"/>
          </w:tcPr>
          <w:p w14:paraId="0C8BC6C1" w14:textId="77777777" w:rsidR="00EC3824" w:rsidRPr="00B51F44" w:rsidRDefault="00EC3824" w:rsidP="00245BE6">
            <w:pPr>
              <w:rPr>
                <w:rFonts w:ascii="Arial Narrow" w:hAnsi="Arial Narrow" w:cs="Arial"/>
                <w:sz w:val="20"/>
                <w:szCs w:val="20"/>
              </w:rPr>
            </w:pPr>
          </w:p>
        </w:tc>
      </w:tr>
      <w:tr w:rsidR="00EC3824" w14:paraId="484FEE0E" w14:textId="77777777" w:rsidTr="00F26090">
        <w:tc>
          <w:tcPr>
            <w:tcW w:w="1242" w:type="dxa"/>
          </w:tcPr>
          <w:p w14:paraId="6A58BC14" w14:textId="2E9C2F3D"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Pr>
          <w:p w14:paraId="1E333E57" w14:textId="77777777" w:rsidR="00EC3824" w:rsidRPr="00747C5E" w:rsidRDefault="00EC3824" w:rsidP="00245BE6">
            <w:pPr>
              <w:rPr>
                <w:rFonts w:ascii="Arial Narrow" w:hAnsi="Arial Narrow"/>
                <w:sz w:val="20"/>
                <w:szCs w:val="20"/>
                <w:highlight w:val="black"/>
              </w:rPr>
            </w:pPr>
            <w:r w:rsidRPr="00747C5E">
              <w:rPr>
                <w:rFonts w:ascii="Arial Narrow" w:hAnsi="Arial Narrow"/>
                <w:sz w:val="20"/>
                <w:szCs w:val="20"/>
                <w:highlight w:val="black"/>
              </w:rPr>
              <w:t>XXXXXXXX</w:t>
            </w:r>
          </w:p>
          <w:p w14:paraId="6934416D" w14:textId="12F4E8BE" w:rsidR="00EC3824" w:rsidRPr="00B51F44" w:rsidRDefault="00EC3824" w:rsidP="00245BE6">
            <w:pPr>
              <w:rPr>
                <w:rFonts w:ascii="Arial Narrow" w:hAnsi="Arial Narrow"/>
                <w:sz w:val="20"/>
                <w:szCs w:val="20"/>
              </w:rPr>
            </w:pPr>
            <w:r w:rsidRPr="00747C5E">
              <w:rPr>
                <w:rFonts w:ascii="Arial Narrow" w:hAnsi="Arial Narrow"/>
                <w:sz w:val="20"/>
                <w:szCs w:val="20"/>
                <w:highlight w:val="black"/>
              </w:rPr>
              <w:t>XXXXXXXXXXXXXX</w:t>
            </w:r>
          </w:p>
        </w:tc>
        <w:tc>
          <w:tcPr>
            <w:tcW w:w="992" w:type="dxa"/>
            <w:shd w:val="clear" w:color="auto" w:fill="F2F2F2" w:themeFill="background1" w:themeFillShade="F2"/>
          </w:tcPr>
          <w:p w14:paraId="14BEDD99" w14:textId="77777777" w:rsidR="00EC3824" w:rsidRPr="00B51F44" w:rsidRDefault="00EC3824" w:rsidP="00245BE6">
            <w:pPr>
              <w:rPr>
                <w:rFonts w:ascii="Arial Narrow" w:hAnsi="Arial Narrow"/>
                <w:sz w:val="20"/>
                <w:szCs w:val="20"/>
              </w:rPr>
            </w:pPr>
          </w:p>
        </w:tc>
        <w:tc>
          <w:tcPr>
            <w:tcW w:w="907" w:type="dxa"/>
          </w:tcPr>
          <w:p w14:paraId="7947F8BE" w14:textId="2A1FF8E5" w:rsidR="00EC3824" w:rsidRPr="00063CC8" w:rsidRDefault="00EC3824" w:rsidP="00245BE6">
            <w:pPr>
              <w:rPr>
                <w:rFonts w:ascii="Arial Narrow" w:hAnsi="Arial Narrow" w:cs="Arial"/>
                <w:sz w:val="20"/>
                <w:szCs w:val="20"/>
              </w:rPr>
            </w:pPr>
            <w:r w:rsidRPr="00624ED1">
              <w:rPr>
                <w:rFonts w:ascii="Arial Narrow" w:hAnsi="Arial Narrow"/>
                <w:sz w:val="20"/>
                <w:szCs w:val="20"/>
                <w:highlight w:val="black"/>
              </w:rPr>
              <w:t>xxxxx</w:t>
            </w:r>
            <w:r w:rsidRPr="00624ED1">
              <w:rPr>
                <w:rFonts w:ascii="Arial Narrow" w:hAnsi="Arial Narrow"/>
                <w:sz w:val="20"/>
                <w:szCs w:val="20"/>
              </w:rPr>
              <w:t xml:space="preserve"> </w:t>
            </w:r>
          </w:p>
        </w:tc>
        <w:tc>
          <w:tcPr>
            <w:tcW w:w="992" w:type="dxa"/>
          </w:tcPr>
          <w:p w14:paraId="591E79C6" w14:textId="30CFDB10" w:rsidR="00EC3824" w:rsidRPr="00063CC8" w:rsidRDefault="00EC3824" w:rsidP="00245BE6">
            <w:pPr>
              <w:rPr>
                <w:rFonts w:ascii="Arial Narrow" w:hAnsi="Arial Narrow" w:cs="Arial"/>
                <w:sz w:val="20"/>
                <w:szCs w:val="20"/>
              </w:rPr>
            </w:pPr>
            <w:r w:rsidRPr="00624ED1">
              <w:rPr>
                <w:rFonts w:ascii="Arial Narrow" w:hAnsi="Arial Narrow"/>
                <w:sz w:val="20"/>
                <w:szCs w:val="20"/>
                <w:highlight w:val="black"/>
              </w:rPr>
              <w:t>xxxxx</w:t>
            </w:r>
            <w:r w:rsidRPr="00624ED1">
              <w:rPr>
                <w:rFonts w:ascii="Arial Narrow" w:hAnsi="Arial Narrow"/>
                <w:sz w:val="20"/>
                <w:szCs w:val="20"/>
              </w:rPr>
              <w:t xml:space="preserve"> </w:t>
            </w:r>
          </w:p>
        </w:tc>
        <w:tc>
          <w:tcPr>
            <w:tcW w:w="992" w:type="dxa"/>
          </w:tcPr>
          <w:p w14:paraId="0132783A" w14:textId="5D620B91" w:rsidR="00EC3824" w:rsidRPr="00063CC8" w:rsidRDefault="00EC3824" w:rsidP="00245BE6">
            <w:pPr>
              <w:rPr>
                <w:rFonts w:ascii="Arial Narrow" w:hAnsi="Arial Narrow" w:cs="Arial"/>
                <w:sz w:val="20"/>
                <w:szCs w:val="20"/>
              </w:rPr>
            </w:pPr>
            <w:r w:rsidRPr="00624ED1">
              <w:rPr>
                <w:rFonts w:ascii="Arial Narrow" w:hAnsi="Arial Narrow"/>
                <w:sz w:val="20"/>
                <w:szCs w:val="20"/>
                <w:highlight w:val="black"/>
              </w:rPr>
              <w:t>xxxxx</w:t>
            </w:r>
            <w:r w:rsidRPr="00624ED1">
              <w:rPr>
                <w:rFonts w:ascii="Arial Narrow" w:hAnsi="Arial Narrow"/>
                <w:sz w:val="20"/>
                <w:szCs w:val="20"/>
              </w:rPr>
              <w:t xml:space="preserve"> </w:t>
            </w:r>
          </w:p>
        </w:tc>
        <w:tc>
          <w:tcPr>
            <w:tcW w:w="993" w:type="dxa"/>
          </w:tcPr>
          <w:p w14:paraId="083AEDA4" w14:textId="0348EF0A" w:rsidR="00EC3824" w:rsidRPr="00063CC8" w:rsidRDefault="00EC3824" w:rsidP="00245BE6">
            <w:pPr>
              <w:rPr>
                <w:rFonts w:ascii="Arial Narrow" w:hAnsi="Arial Narrow" w:cs="Arial"/>
                <w:sz w:val="20"/>
                <w:szCs w:val="20"/>
              </w:rPr>
            </w:pPr>
            <w:r w:rsidRPr="00624ED1">
              <w:rPr>
                <w:rFonts w:ascii="Arial Narrow" w:hAnsi="Arial Narrow"/>
                <w:sz w:val="20"/>
                <w:szCs w:val="20"/>
                <w:highlight w:val="black"/>
              </w:rPr>
              <w:t>xxxxx</w:t>
            </w:r>
            <w:r w:rsidRPr="00624ED1">
              <w:rPr>
                <w:rFonts w:ascii="Arial Narrow" w:hAnsi="Arial Narrow"/>
                <w:sz w:val="20"/>
                <w:szCs w:val="20"/>
              </w:rPr>
              <w:t xml:space="preserve"> </w:t>
            </w:r>
          </w:p>
        </w:tc>
        <w:tc>
          <w:tcPr>
            <w:tcW w:w="1078" w:type="dxa"/>
          </w:tcPr>
          <w:p w14:paraId="57BB5244" w14:textId="4AAFD8C2" w:rsidR="00EC3824" w:rsidRPr="00063CC8" w:rsidRDefault="00EC3824" w:rsidP="00245BE6">
            <w:pPr>
              <w:rPr>
                <w:rFonts w:ascii="Arial Narrow" w:hAnsi="Arial Narrow" w:cs="Arial"/>
                <w:sz w:val="20"/>
                <w:szCs w:val="20"/>
              </w:rPr>
            </w:pPr>
            <w:r w:rsidRPr="00624ED1">
              <w:rPr>
                <w:rFonts w:ascii="Arial Narrow" w:hAnsi="Arial Narrow"/>
                <w:sz w:val="20"/>
                <w:szCs w:val="20"/>
                <w:highlight w:val="black"/>
              </w:rPr>
              <w:t>xxxxx</w:t>
            </w:r>
            <w:r w:rsidRPr="00624ED1">
              <w:rPr>
                <w:rFonts w:ascii="Arial Narrow" w:hAnsi="Arial Narrow"/>
                <w:sz w:val="20"/>
                <w:szCs w:val="20"/>
              </w:rPr>
              <w:t xml:space="preserve"> </w:t>
            </w:r>
          </w:p>
        </w:tc>
      </w:tr>
      <w:tr w:rsidR="00EC3824" w14:paraId="60B4767E" w14:textId="77777777" w:rsidTr="003320B0">
        <w:tc>
          <w:tcPr>
            <w:tcW w:w="1242" w:type="dxa"/>
            <w:tcBorders>
              <w:bottom w:val="single" w:sz="4" w:space="0" w:color="auto"/>
            </w:tcBorders>
          </w:tcPr>
          <w:p w14:paraId="3D6C6E2C" w14:textId="2B407F22" w:rsidR="00EC3824" w:rsidRPr="00B51F44" w:rsidRDefault="00EC3824" w:rsidP="00245BE6">
            <w:pPr>
              <w:rPr>
                <w:rFonts w:ascii="Arial Narrow" w:hAnsi="Arial Narrow"/>
                <w:sz w:val="20"/>
                <w:szCs w:val="20"/>
              </w:rPr>
            </w:pPr>
            <w:r w:rsidRPr="0081046F">
              <w:rPr>
                <w:rFonts w:ascii="Arial Narrow" w:hAnsi="Arial Narrow"/>
                <w:sz w:val="20"/>
                <w:szCs w:val="20"/>
                <w:highlight w:val="black"/>
              </w:rPr>
              <w:t>xxxxx</w:t>
            </w:r>
          </w:p>
        </w:tc>
        <w:tc>
          <w:tcPr>
            <w:tcW w:w="1843" w:type="dxa"/>
            <w:tcBorders>
              <w:bottom w:val="single" w:sz="4" w:space="0" w:color="auto"/>
            </w:tcBorders>
          </w:tcPr>
          <w:p w14:paraId="03CB54B8" w14:textId="25A34772" w:rsidR="00EC3824" w:rsidRPr="00393200" w:rsidRDefault="00EC3824" w:rsidP="00245BE6">
            <w:pPr>
              <w:rPr>
                <w:rFonts w:ascii="Arial Narrow" w:hAnsi="Arial Narrow"/>
                <w:b/>
                <w:sz w:val="20"/>
                <w:szCs w:val="20"/>
              </w:rPr>
            </w:pPr>
            <w:r w:rsidRPr="00EC3824">
              <w:rPr>
                <w:rFonts w:ascii="Arial Narrow" w:hAnsi="Arial Narrow"/>
                <w:b/>
                <w:sz w:val="20"/>
                <w:szCs w:val="20"/>
                <w:highlight w:val="black"/>
              </w:rPr>
              <w:t>XXXXXXXXXXXXXXXXXXXX</w:t>
            </w:r>
          </w:p>
        </w:tc>
        <w:tc>
          <w:tcPr>
            <w:tcW w:w="992" w:type="dxa"/>
            <w:tcBorders>
              <w:bottom w:val="single" w:sz="4" w:space="0" w:color="auto"/>
            </w:tcBorders>
            <w:shd w:val="clear" w:color="auto" w:fill="F2F2F2" w:themeFill="background1" w:themeFillShade="F2"/>
          </w:tcPr>
          <w:p w14:paraId="2A7DDC4E" w14:textId="77777777" w:rsidR="00EC3824" w:rsidRPr="00393200" w:rsidRDefault="00EC3824" w:rsidP="00245BE6">
            <w:pPr>
              <w:rPr>
                <w:rFonts w:ascii="Arial Narrow" w:hAnsi="Arial Narrow"/>
                <w:b/>
                <w:sz w:val="20"/>
                <w:szCs w:val="20"/>
              </w:rPr>
            </w:pPr>
          </w:p>
        </w:tc>
        <w:tc>
          <w:tcPr>
            <w:tcW w:w="907" w:type="dxa"/>
            <w:tcBorders>
              <w:bottom w:val="single" w:sz="4" w:space="0" w:color="auto"/>
            </w:tcBorders>
          </w:tcPr>
          <w:p w14:paraId="39795E6C" w14:textId="0ED4F5A7" w:rsidR="00EC3824" w:rsidRPr="00393200" w:rsidRDefault="00EC3824" w:rsidP="00245BE6">
            <w:pPr>
              <w:rPr>
                <w:rFonts w:ascii="Arial Narrow" w:hAnsi="Arial Narrow" w:cs="Arial"/>
                <w:b/>
                <w:sz w:val="20"/>
                <w:szCs w:val="20"/>
              </w:rPr>
            </w:pPr>
            <w:r w:rsidRPr="00594163">
              <w:rPr>
                <w:rFonts w:ascii="Arial Narrow" w:hAnsi="Arial Narrow"/>
                <w:sz w:val="20"/>
                <w:szCs w:val="20"/>
                <w:highlight w:val="black"/>
              </w:rPr>
              <w:t>xxxxx</w:t>
            </w:r>
            <w:r w:rsidRPr="00594163">
              <w:rPr>
                <w:rFonts w:ascii="Arial Narrow" w:hAnsi="Arial Narrow"/>
                <w:sz w:val="20"/>
                <w:szCs w:val="20"/>
              </w:rPr>
              <w:t xml:space="preserve"> </w:t>
            </w:r>
          </w:p>
        </w:tc>
        <w:tc>
          <w:tcPr>
            <w:tcW w:w="992" w:type="dxa"/>
            <w:tcBorders>
              <w:bottom w:val="single" w:sz="4" w:space="0" w:color="auto"/>
            </w:tcBorders>
          </w:tcPr>
          <w:p w14:paraId="00283705" w14:textId="3AA36A2D" w:rsidR="00EC3824" w:rsidRPr="00393200" w:rsidRDefault="00EC3824" w:rsidP="00245BE6">
            <w:pPr>
              <w:rPr>
                <w:rFonts w:ascii="Arial Narrow" w:hAnsi="Arial Narrow" w:cs="Arial"/>
                <w:b/>
                <w:sz w:val="20"/>
                <w:szCs w:val="20"/>
              </w:rPr>
            </w:pPr>
            <w:r w:rsidRPr="00594163">
              <w:rPr>
                <w:rFonts w:ascii="Arial Narrow" w:hAnsi="Arial Narrow"/>
                <w:sz w:val="20"/>
                <w:szCs w:val="20"/>
                <w:highlight w:val="black"/>
              </w:rPr>
              <w:t>xxxxx</w:t>
            </w:r>
            <w:r w:rsidRPr="00594163">
              <w:rPr>
                <w:rFonts w:ascii="Arial Narrow" w:hAnsi="Arial Narrow"/>
                <w:sz w:val="20"/>
                <w:szCs w:val="20"/>
              </w:rPr>
              <w:t xml:space="preserve"> </w:t>
            </w:r>
          </w:p>
        </w:tc>
        <w:tc>
          <w:tcPr>
            <w:tcW w:w="992" w:type="dxa"/>
            <w:tcBorders>
              <w:bottom w:val="single" w:sz="4" w:space="0" w:color="auto"/>
            </w:tcBorders>
          </w:tcPr>
          <w:p w14:paraId="21D36FDE" w14:textId="1BBD7E5E" w:rsidR="00EC3824" w:rsidRPr="00393200" w:rsidRDefault="00EC3824" w:rsidP="00245BE6">
            <w:pPr>
              <w:rPr>
                <w:rFonts w:ascii="Arial Narrow" w:hAnsi="Arial Narrow" w:cs="Arial"/>
                <w:b/>
                <w:sz w:val="20"/>
                <w:szCs w:val="20"/>
              </w:rPr>
            </w:pPr>
            <w:r w:rsidRPr="00594163">
              <w:rPr>
                <w:rFonts w:ascii="Arial Narrow" w:hAnsi="Arial Narrow"/>
                <w:sz w:val="20"/>
                <w:szCs w:val="20"/>
                <w:highlight w:val="black"/>
              </w:rPr>
              <w:t>xxxxx</w:t>
            </w:r>
            <w:r w:rsidRPr="00594163">
              <w:rPr>
                <w:rFonts w:ascii="Arial Narrow" w:hAnsi="Arial Narrow"/>
                <w:sz w:val="20"/>
                <w:szCs w:val="20"/>
              </w:rPr>
              <w:t xml:space="preserve"> </w:t>
            </w:r>
          </w:p>
        </w:tc>
        <w:tc>
          <w:tcPr>
            <w:tcW w:w="993" w:type="dxa"/>
            <w:tcBorders>
              <w:bottom w:val="single" w:sz="4" w:space="0" w:color="auto"/>
            </w:tcBorders>
          </w:tcPr>
          <w:p w14:paraId="47776234" w14:textId="1EFC4DDC" w:rsidR="00EC3824" w:rsidRPr="00393200" w:rsidRDefault="00EC3824" w:rsidP="00245BE6">
            <w:pPr>
              <w:rPr>
                <w:rFonts w:ascii="Arial Narrow" w:hAnsi="Arial Narrow" w:cs="Arial"/>
                <w:b/>
                <w:sz w:val="20"/>
                <w:szCs w:val="20"/>
              </w:rPr>
            </w:pPr>
            <w:r w:rsidRPr="00594163">
              <w:rPr>
                <w:rFonts w:ascii="Arial Narrow" w:hAnsi="Arial Narrow"/>
                <w:sz w:val="20"/>
                <w:szCs w:val="20"/>
                <w:highlight w:val="black"/>
              </w:rPr>
              <w:t>xxxxx</w:t>
            </w:r>
            <w:r w:rsidRPr="00594163">
              <w:rPr>
                <w:rFonts w:ascii="Arial Narrow" w:hAnsi="Arial Narrow"/>
                <w:sz w:val="20"/>
                <w:szCs w:val="20"/>
              </w:rPr>
              <w:t xml:space="preserve"> </w:t>
            </w:r>
          </w:p>
        </w:tc>
        <w:tc>
          <w:tcPr>
            <w:tcW w:w="1078" w:type="dxa"/>
            <w:tcBorders>
              <w:bottom w:val="single" w:sz="4" w:space="0" w:color="auto"/>
            </w:tcBorders>
          </w:tcPr>
          <w:p w14:paraId="49FF42DA" w14:textId="4D8B1449" w:rsidR="00EC3824" w:rsidRPr="00393200" w:rsidRDefault="00EC3824" w:rsidP="00245BE6">
            <w:pPr>
              <w:rPr>
                <w:rFonts w:ascii="Arial Narrow" w:hAnsi="Arial Narrow" w:cs="Arial"/>
                <w:b/>
                <w:sz w:val="20"/>
                <w:szCs w:val="20"/>
              </w:rPr>
            </w:pPr>
            <w:r w:rsidRPr="00594163">
              <w:rPr>
                <w:rFonts w:ascii="Arial Narrow" w:hAnsi="Arial Narrow"/>
                <w:sz w:val="20"/>
                <w:szCs w:val="20"/>
                <w:highlight w:val="black"/>
              </w:rPr>
              <w:t>xxxxx</w:t>
            </w:r>
            <w:r w:rsidRPr="00594163">
              <w:rPr>
                <w:rFonts w:ascii="Arial Narrow" w:hAnsi="Arial Narrow"/>
                <w:sz w:val="20"/>
                <w:szCs w:val="20"/>
              </w:rPr>
              <w:t xml:space="preserve"> </w:t>
            </w:r>
          </w:p>
        </w:tc>
      </w:tr>
      <w:tr w:rsidR="003320B0" w14:paraId="2445316E" w14:textId="77777777" w:rsidTr="003320B0">
        <w:tc>
          <w:tcPr>
            <w:tcW w:w="1242" w:type="dxa"/>
            <w:tcBorders>
              <w:right w:val="nil"/>
            </w:tcBorders>
            <w:shd w:val="clear" w:color="auto" w:fill="F2F2F2" w:themeFill="background1" w:themeFillShade="F2"/>
          </w:tcPr>
          <w:p w14:paraId="5497C54A" w14:textId="318B7445" w:rsidR="003320B0" w:rsidRPr="0081046F" w:rsidRDefault="003320B0" w:rsidP="00245BE6">
            <w:pPr>
              <w:rPr>
                <w:rFonts w:ascii="Arial Narrow" w:hAnsi="Arial Narrow"/>
                <w:sz w:val="20"/>
                <w:szCs w:val="20"/>
                <w:highlight w:val="black"/>
              </w:rPr>
            </w:pPr>
            <w:r>
              <w:rPr>
                <w:rFonts w:ascii="Arial Narrow" w:hAnsi="Arial Narrow"/>
                <w:b/>
                <w:sz w:val="20"/>
                <w:szCs w:val="20"/>
                <w:highlight w:val="black"/>
              </w:rPr>
              <w:t>XXXXXXXXX</w:t>
            </w:r>
          </w:p>
        </w:tc>
        <w:tc>
          <w:tcPr>
            <w:tcW w:w="1843" w:type="dxa"/>
            <w:tcBorders>
              <w:left w:val="nil"/>
              <w:right w:val="nil"/>
            </w:tcBorders>
            <w:shd w:val="clear" w:color="auto" w:fill="F2F2F2" w:themeFill="background1" w:themeFillShade="F2"/>
          </w:tcPr>
          <w:p w14:paraId="5D787C7A" w14:textId="77777777" w:rsidR="003320B0" w:rsidRPr="00EC3824" w:rsidRDefault="003320B0" w:rsidP="00245BE6">
            <w:pPr>
              <w:rPr>
                <w:rFonts w:ascii="Arial Narrow" w:hAnsi="Arial Narrow"/>
                <w:b/>
                <w:sz w:val="20"/>
                <w:szCs w:val="20"/>
                <w:highlight w:val="black"/>
              </w:rPr>
            </w:pPr>
          </w:p>
        </w:tc>
        <w:tc>
          <w:tcPr>
            <w:tcW w:w="992" w:type="dxa"/>
            <w:tcBorders>
              <w:left w:val="nil"/>
              <w:right w:val="nil"/>
            </w:tcBorders>
            <w:shd w:val="clear" w:color="auto" w:fill="F2F2F2" w:themeFill="background1" w:themeFillShade="F2"/>
          </w:tcPr>
          <w:p w14:paraId="724C30EE" w14:textId="77777777" w:rsidR="003320B0" w:rsidRPr="00393200" w:rsidRDefault="003320B0" w:rsidP="00245BE6">
            <w:pPr>
              <w:rPr>
                <w:rFonts w:ascii="Arial Narrow" w:hAnsi="Arial Narrow"/>
                <w:b/>
                <w:sz w:val="20"/>
                <w:szCs w:val="20"/>
              </w:rPr>
            </w:pPr>
          </w:p>
        </w:tc>
        <w:tc>
          <w:tcPr>
            <w:tcW w:w="907" w:type="dxa"/>
            <w:tcBorders>
              <w:left w:val="nil"/>
              <w:right w:val="nil"/>
            </w:tcBorders>
            <w:shd w:val="clear" w:color="auto" w:fill="F2F2F2" w:themeFill="background1" w:themeFillShade="F2"/>
          </w:tcPr>
          <w:p w14:paraId="6FFE07C7" w14:textId="77777777" w:rsidR="003320B0" w:rsidRPr="00594163" w:rsidRDefault="003320B0" w:rsidP="00245BE6">
            <w:pPr>
              <w:rPr>
                <w:rFonts w:ascii="Arial Narrow" w:hAnsi="Arial Narrow"/>
                <w:sz w:val="20"/>
                <w:szCs w:val="20"/>
                <w:highlight w:val="black"/>
              </w:rPr>
            </w:pPr>
          </w:p>
        </w:tc>
        <w:tc>
          <w:tcPr>
            <w:tcW w:w="992" w:type="dxa"/>
            <w:tcBorders>
              <w:left w:val="nil"/>
              <w:right w:val="nil"/>
            </w:tcBorders>
            <w:shd w:val="clear" w:color="auto" w:fill="F2F2F2" w:themeFill="background1" w:themeFillShade="F2"/>
          </w:tcPr>
          <w:p w14:paraId="7F7D5E17" w14:textId="77777777" w:rsidR="003320B0" w:rsidRPr="00594163" w:rsidRDefault="003320B0" w:rsidP="00245BE6">
            <w:pPr>
              <w:rPr>
                <w:rFonts w:ascii="Arial Narrow" w:hAnsi="Arial Narrow"/>
                <w:sz w:val="20"/>
                <w:szCs w:val="20"/>
                <w:highlight w:val="black"/>
              </w:rPr>
            </w:pPr>
          </w:p>
        </w:tc>
        <w:tc>
          <w:tcPr>
            <w:tcW w:w="992" w:type="dxa"/>
            <w:tcBorders>
              <w:left w:val="nil"/>
              <w:right w:val="nil"/>
            </w:tcBorders>
            <w:shd w:val="clear" w:color="auto" w:fill="F2F2F2" w:themeFill="background1" w:themeFillShade="F2"/>
          </w:tcPr>
          <w:p w14:paraId="078FA1DA" w14:textId="77777777" w:rsidR="003320B0" w:rsidRPr="00594163" w:rsidRDefault="003320B0" w:rsidP="00245BE6">
            <w:pPr>
              <w:rPr>
                <w:rFonts w:ascii="Arial Narrow" w:hAnsi="Arial Narrow"/>
                <w:sz w:val="20"/>
                <w:szCs w:val="20"/>
                <w:highlight w:val="black"/>
              </w:rPr>
            </w:pPr>
          </w:p>
        </w:tc>
        <w:tc>
          <w:tcPr>
            <w:tcW w:w="993" w:type="dxa"/>
            <w:tcBorders>
              <w:left w:val="nil"/>
              <w:right w:val="nil"/>
            </w:tcBorders>
            <w:shd w:val="clear" w:color="auto" w:fill="F2F2F2" w:themeFill="background1" w:themeFillShade="F2"/>
          </w:tcPr>
          <w:p w14:paraId="2C40E7A9" w14:textId="77777777" w:rsidR="003320B0" w:rsidRPr="00594163" w:rsidRDefault="003320B0" w:rsidP="00245BE6">
            <w:pPr>
              <w:rPr>
                <w:rFonts w:ascii="Arial Narrow" w:hAnsi="Arial Narrow"/>
                <w:sz w:val="20"/>
                <w:szCs w:val="20"/>
                <w:highlight w:val="black"/>
              </w:rPr>
            </w:pPr>
          </w:p>
        </w:tc>
        <w:tc>
          <w:tcPr>
            <w:tcW w:w="1078" w:type="dxa"/>
            <w:tcBorders>
              <w:left w:val="nil"/>
            </w:tcBorders>
            <w:shd w:val="clear" w:color="auto" w:fill="F2F2F2" w:themeFill="background1" w:themeFillShade="F2"/>
          </w:tcPr>
          <w:p w14:paraId="51041277" w14:textId="77777777" w:rsidR="003320B0" w:rsidRPr="00594163" w:rsidRDefault="003320B0" w:rsidP="00245BE6">
            <w:pPr>
              <w:rPr>
                <w:rFonts w:ascii="Arial Narrow" w:hAnsi="Arial Narrow"/>
                <w:sz w:val="20"/>
                <w:szCs w:val="20"/>
                <w:highlight w:val="black"/>
              </w:rPr>
            </w:pPr>
          </w:p>
        </w:tc>
      </w:tr>
      <w:tr w:rsidR="00EC3824" w14:paraId="26A5947C" w14:textId="77777777" w:rsidTr="009163A3">
        <w:tc>
          <w:tcPr>
            <w:tcW w:w="1242" w:type="dxa"/>
          </w:tcPr>
          <w:p w14:paraId="656207A9" w14:textId="44E0F913" w:rsidR="00EC3824" w:rsidRPr="00B51F44" w:rsidRDefault="00EC3824" w:rsidP="00245BE6">
            <w:pPr>
              <w:rPr>
                <w:rFonts w:ascii="Arial Narrow" w:hAnsi="Arial Narrow"/>
                <w:sz w:val="20"/>
                <w:szCs w:val="20"/>
              </w:rPr>
            </w:pPr>
            <w:r w:rsidRPr="00E21D6C">
              <w:rPr>
                <w:rFonts w:ascii="Arial Narrow" w:hAnsi="Arial Narrow"/>
                <w:sz w:val="20"/>
                <w:szCs w:val="20"/>
                <w:highlight w:val="black"/>
              </w:rPr>
              <w:t>xxxxx</w:t>
            </w:r>
          </w:p>
        </w:tc>
        <w:tc>
          <w:tcPr>
            <w:tcW w:w="1843" w:type="dxa"/>
          </w:tcPr>
          <w:p w14:paraId="614E6BBA" w14:textId="77777777" w:rsidR="00EC3824" w:rsidRPr="00747C5E" w:rsidRDefault="00EC3824" w:rsidP="00245BE6">
            <w:pPr>
              <w:rPr>
                <w:rFonts w:ascii="Arial Narrow" w:hAnsi="Arial Narrow"/>
                <w:sz w:val="20"/>
                <w:szCs w:val="20"/>
                <w:highlight w:val="black"/>
              </w:rPr>
            </w:pPr>
            <w:r w:rsidRPr="00747C5E">
              <w:rPr>
                <w:rFonts w:ascii="Arial Narrow" w:hAnsi="Arial Narrow"/>
                <w:sz w:val="20"/>
                <w:szCs w:val="20"/>
                <w:highlight w:val="black"/>
              </w:rPr>
              <w:t>XXXXXXXXXXXX</w:t>
            </w:r>
          </w:p>
          <w:p w14:paraId="28DFB86D" w14:textId="77777777" w:rsidR="00EC3824" w:rsidRPr="00747C5E" w:rsidRDefault="00EC3824" w:rsidP="00245BE6">
            <w:pPr>
              <w:rPr>
                <w:rFonts w:ascii="Arial Narrow" w:hAnsi="Arial Narrow"/>
                <w:sz w:val="20"/>
                <w:szCs w:val="20"/>
                <w:highlight w:val="black"/>
              </w:rPr>
            </w:pPr>
            <w:r w:rsidRPr="00747C5E">
              <w:rPr>
                <w:rFonts w:ascii="Arial Narrow" w:hAnsi="Arial Narrow"/>
                <w:sz w:val="20"/>
                <w:szCs w:val="20"/>
                <w:highlight w:val="black"/>
              </w:rPr>
              <w:t>XXXXXXXXXXXXXXXXXXXXXXXXXX</w:t>
            </w:r>
          </w:p>
          <w:p w14:paraId="7CCCBBFA" w14:textId="501234D2" w:rsidR="00EC3824" w:rsidRPr="00B51F44" w:rsidRDefault="00EC3824" w:rsidP="00245BE6">
            <w:pPr>
              <w:rPr>
                <w:rFonts w:ascii="Arial Narrow" w:hAnsi="Arial Narrow"/>
                <w:sz w:val="20"/>
                <w:szCs w:val="20"/>
              </w:rPr>
            </w:pPr>
            <w:r w:rsidRPr="00747C5E">
              <w:rPr>
                <w:rFonts w:ascii="Arial Narrow" w:hAnsi="Arial Narrow"/>
                <w:sz w:val="20"/>
                <w:szCs w:val="20"/>
                <w:highlight w:val="black"/>
              </w:rPr>
              <w:lastRenderedPageBreak/>
              <w:t>XXXXXXXXXXX</w:t>
            </w:r>
          </w:p>
        </w:tc>
        <w:tc>
          <w:tcPr>
            <w:tcW w:w="992" w:type="dxa"/>
          </w:tcPr>
          <w:p w14:paraId="55546100" w14:textId="52DFB267" w:rsidR="00EC3824" w:rsidRPr="00852598" w:rsidRDefault="00EC3824" w:rsidP="00245BE6">
            <w:pPr>
              <w:rPr>
                <w:rFonts w:ascii="Arial Narrow" w:hAnsi="Arial Narrow" w:cs="Arial"/>
                <w:sz w:val="20"/>
                <w:szCs w:val="20"/>
              </w:rPr>
            </w:pPr>
            <w:r w:rsidRPr="00A70DEC">
              <w:rPr>
                <w:rFonts w:ascii="Arial Narrow" w:hAnsi="Arial Narrow"/>
                <w:sz w:val="20"/>
                <w:szCs w:val="20"/>
                <w:highlight w:val="black"/>
              </w:rPr>
              <w:lastRenderedPageBreak/>
              <w:t>xxxxx</w:t>
            </w:r>
          </w:p>
        </w:tc>
        <w:tc>
          <w:tcPr>
            <w:tcW w:w="907" w:type="dxa"/>
            <w:shd w:val="clear" w:color="auto" w:fill="F2F2F2" w:themeFill="background1" w:themeFillShade="F2"/>
            <w:vAlign w:val="bottom"/>
          </w:tcPr>
          <w:p w14:paraId="211A2E85"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04775EEA"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7280EC21" w14:textId="77777777" w:rsidR="00EC3824" w:rsidRPr="00063CC8" w:rsidRDefault="00EC3824" w:rsidP="00245BE6">
            <w:pPr>
              <w:rPr>
                <w:rFonts w:ascii="Arial Narrow" w:hAnsi="Arial Narrow" w:cs="Arial"/>
                <w:sz w:val="20"/>
                <w:szCs w:val="20"/>
              </w:rPr>
            </w:pPr>
          </w:p>
        </w:tc>
        <w:tc>
          <w:tcPr>
            <w:tcW w:w="993" w:type="dxa"/>
            <w:shd w:val="clear" w:color="auto" w:fill="F2F2F2" w:themeFill="background1" w:themeFillShade="F2"/>
            <w:vAlign w:val="bottom"/>
          </w:tcPr>
          <w:p w14:paraId="56EFA5DF" w14:textId="77777777" w:rsidR="00EC3824" w:rsidRPr="00063CC8" w:rsidRDefault="00EC3824" w:rsidP="00245BE6">
            <w:pPr>
              <w:rPr>
                <w:rFonts w:ascii="Arial Narrow" w:hAnsi="Arial Narrow" w:cs="Arial"/>
                <w:sz w:val="20"/>
                <w:szCs w:val="20"/>
              </w:rPr>
            </w:pPr>
          </w:p>
        </w:tc>
        <w:tc>
          <w:tcPr>
            <w:tcW w:w="1078" w:type="dxa"/>
            <w:shd w:val="clear" w:color="auto" w:fill="F2F2F2" w:themeFill="background1" w:themeFillShade="F2"/>
            <w:vAlign w:val="bottom"/>
          </w:tcPr>
          <w:p w14:paraId="42BB4DD4" w14:textId="77777777" w:rsidR="00EC3824" w:rsidRPr="00063CC8" w:rsidRDefault="00EC3824" w:rsidP="00245BE6">
            <w:pPr>
              <w:rPr>
                <w:rFonts w:ascii="Arial Narrow" w:hAnsi="Arial Narrow" w:cs="Arial"/>
                <w:sz w:val="20"/>
                <w:szCs w:val="20"/>
              </w:rPr>
            </w:pPr>
          </w:p>
        </w:tc>
      </w:tr>
      <w:tr w:rsidR="00EC3824" w14:paraId="38B4CF76" w14:textId="77777777" w:rsidTr="009163A3">
        <w:tc>
          <w:tcPr>
            <w:tcW w:w="1242" w:type="dxa"/>
          </w:tcPr>
          <w:p w14:paraId="393E240D" w14:textId="35E72B09" w:rsidR="00EC3824" w:rsidRPr="00B51F44" w:rsidRDefault="00EC3824" w:rsidP="00245BE6">
            <w:pPr>
              <w:rPr>
                <w:rFonts w:ascii="Arial Narrow" w:hAnsi="Arial Narrow"/>
                <w:sz w:val="20"/>
                <w:szCs w:val="20"/>
              </w:rPr>
            </w:pPr>
            <w:r w:rsidRPr="00E21D6C">
              <w:rPr>
                <w:rFonts w:ascii="Arial Narrow" w:hAnsi="Arial Narrow"/>
                <w:sz w:val="20"/>
                <w:szCs w:val="20"/>
                <w:highlight w:val="black"/>
              </w:rPr>
              <w:lastRenderedPageBreak/>
              <w:t>xxxxx</w:t>
            </w:r>
          </w:p>
        </w:tc>
        <w:tc>
          <w:tcPr>
            <w:tcW w:w="1843" w:type="dxa"/>
          </w:tcPr>
          <w:p w14:paraId="117272D1" w14:textId="77777777" w:rsidR="00EC3824" w:rsidRPr="00747C5E" w:rsidRDefault="00EC3824" w:rsidP="00747C5E">
            <w:pPr>
              <w:rPr>
                <w:rFonts w:ascii="Arial Narrow" w:hAnsi="Arial Narrow"/>
                <w:sz w:val="20"/>
                <w:szCs w:val="20"/>
                <w:highlight w:val="black"/>
              </w:rPr>
            </w:pPr>
            <w:r w:rsidRPr="00747C5E">
              <w:rPr>
                <w:rFonts w:ascii="Arial Narrow" w:hAnsi="Arial Narrow"/>
                <w:sz w:val="20"/>
                <w:szCs w:val="20"/>
                <w:highlight w:val="black"/>
              </w:rPr>
              <w:t>XXXXXXXXXXXX</w:t>
            </w:r>
          </w:p>
          <w:p w14:paraId="6EAB820E" w14:textId="77777777" w:rsidR="00EC3824" w:rsidRPr="00747C5E" w:rsidRDefault="00EC3824" w:rsidP="00747C5E">
            <w:pPr>
              <w:rPr>
                <w:rFonts w:ascii="Arial Narrow" w:hAnsi="Arial Narrow"/>
                <w:sz w:val="20"/>
                <w:szCs w:val="20"/>
                <w:highlight w:val="black"/>
              </w:rPr>
            </w:pPr>
            <w:r w:rsidRPr="00747C5E">
              <w:rPr>
                <w:rFonts w:ascii="Arial Narrow" w:hAnsi="Arial Narrow"/>
                <w:sz w:val="20"/>
                <w:szCs w:val="20"/>
                <w:highlight w:val="black"/>
              </w:rPr>
              <w:t>XXXXXXXXXXXXXXXXXXXXXXXXXX</w:t>
            </w:r>
          </w:p>
          <w:p w14:paraId="1FF9D9BF" w14:textId="2F040E99" w:rsidR="00EC3824" w:rsidRPr="00B51F44" w:rsidRDefault="00EC3824" w:rsidP="00747C5E">
            <w:pPr>
              <w:rPr>
                <w:rFonts w:ascii="Arial Narrow" w:hAnsi="Arial Narrow"/>
                <w:sz w:val="20"/>
                <w:szCs w:val="20"/>
              </w:rPr>
            </w:pPr>
            <w:r w:rsidRPr="00747C5E">
              <w:rPr>
                <w:rFonts w:ascii="Arial Narrow" w:hAnsi="Arial Narrow"/>
                <w:sz w:val="20"/>
                <w:szCs w:val="20"/>
                <w:highlight w:val="black"/>
              </w:rPr>
              <w:t>XXXXXXXXXXX</w:t>
            </w:r>
            <w:r w:rsidRPr="00B51F44">
              <w:rPr>
                <w:rFonts w:ascii="Arial Narrow" w:hAnsi="Arial Narrow"/>
                <w:sz w:val="20"/>
                <w:szCs w:val="20"/>
              </w:rPr>
              <w:t xml:space="preserve"> </w:t>
            </w:r>
          </w:p>
        </w:tc>
        <w:tc>
          <w:tcPr>
            <w:tcW w:w="992" w:type="dxa"/>
          </w:tcPr>
          <w:p w14:paraId="143889E4" w14:textId="6ACBF953" w:rsidR="00EC3824" w:rsidRPr="00B51F44" w:rsidRDefault="00EC3824" w:rsidP="00245BE6">
            <w:pPr>
              <w:rPr>
                <w:rFonts w:ascii="Arial Narrow" w:hAnsi="Arial Narrow"/>
                <w:sz w:val="20"/>
                <w:szCs w:val="20"/>
              </w:rPr>
            </w:pPr>
            <w:r w:rsidRPr="00A70DEC">
              <w:rPr>
                <w:rFonts w:ascii="Arial Narrow" w:hAnsi="Arial Narrow"/>
                <w:sz w:val="20"/>
                <w:szCs w:val="20"/>
                <w:highlight w:val="black"/>
              </w:rPr>
              <w:t>xxxxx</w:t>
            </w:r>
            <w:r w:rsidRPr="00B51F44">
              <w:rPr>
                <w:rFonts w:ascii="Arial Narrow" w:hAnsi="Arial Narrow"/>
                <w:sz w:val="20"/>
                <w:szCs w:val="20"/>
              </w:rPr>
              <w:t xml:space="preserve"> </w:t>
            </w:r>
          </w:p>
        </w:tc>
        <w:tc>
          <w:tcPr>
            <w:tcW w:w="907" w:type="dxa"/>
            <w:shd w:val="clear" w:color="auto" w:fill="F2F2F2" w:themeFill="background1" w:themeFillShade="F2"/>
            <w:vAlign w:val="bottom"/>
          </w:tcPr>
          <w:p w14:paraId="580E9BF6"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438205AF" w14:textId="77777777" w:rsidR="00EC3824" w:rsidRPr="00063CC8" w:rsidRDefault="00EC3824" w:rsidP="00245BE6">
            <w:pPr>
              <w:rPr>
                <w:rFonts w:ascii="Arial Narrow" w:hAnsi="Arial Narrow" w:cs="Arial"/>
                <w:sz w:val="20"/>
                <w:szCs w:val="20"/>
              </w:rPr>
            </w:pPr>
          </w:p>
        </w:tc>
        <w:tc>
          <w:tcPr>
            <w:tcW w:w="992" w:type="dxa"/>
            <w:shd w:val="clear" w:color="auto" w:fill="F2F2F2" w:themeFill="background1" w:themeFillShade="F2"/>
            <w:vAlign w:val="bottom"/>
          </w:tcPr>
          <w:p w14:paraId="6E20D1D4" w14:textId="77777777" w:rsidR="00EC3824" w:rsidRPr="00063CC8" w:rsidRDefault="00EC3824" w:rsidP="00245BE6">
            <w:pPr>
              <w:rPr>
                <w:rFonts w:ascii="Arial Narrow" w:hAnsi="Arial Narrow" w:cs="Arial"/>
                <w:sz w:val="20"/>
                <w:szCs w:val="20"/>
              </w:rPr>
            </w:pPr>
          </w:p>
        </w:tc>
        <w:tc>
          <w:tcPr>
            <w:tcW w:w="993" w:type="dxa"/>
            <w:shd w:val="clear" w:color="auto" w:fill="F2F2F2" w:themeFill="background1" w:themeFillShade="F2"/>
            <w:vAlign w:val="bottom"/>
          </w:tcPr>
          <w:p w14:paraId="7C1EA840" w14:textId="77777777" w:rsidR="00EC3824" w:rsidRPr="00063CC8" w:rsidRDefault="00EC3824" w:rsidP="00245BE6">
            <w:pPr>
              <w:rPr>
                <w:rFonts w:ascii="Arial Narrow" w:hAnsi="Arial Narrow" w:cs="Arial"/>
                <w:sz w:val="20"/>
                <w:szCs w:val="20"/>
              </w:rPr>
            </w:pPr>
          </w:p>
        </w:tc>
        <w:tc>
          <w:tcPr>
            <w:tcW w:w="1078" w:type="dxa"/>
            <w:shd w:val="clear" w:color="auto" w:fill="F2F2F2" w:themeFill="background1" w:themeFillShade="F2"/>
            <w:vAlign w:val="bottom"/>
          </w:tcPr>
          <w:p w14:paraId="3F299137" w14:textId="77777777" w:rsidR="00EC3824" w:rsidRPr="00063CC8" w:rsidRDefault="00EC3824" w:rsidP="00245BE6">
            <w:pPr>
              <w:rPr>
                <w:rFonts w:ascii="Arial Narrow" w:hAnsi="Arial Narrow" w:cs="Arial"/>
                <w:sz w:val="20"/>
                <w:szCs w:val="20"/>
              </w:rPr>
            </w:pPr>
          </w:p>
        </w:tc>
      </w:tr>
      <w:tr w:rsidR="00EC3824" w14:paraId="6BB08ACC" w14:textId="77777777" w:rsidTr="009700AC">
        <w:tc>
          <w:tcPr>
            <w:tcW w:w="1242" w:type="dxa"/>
          </w:tcPr>
          <w:p w14:paraId="0B87AB9A" w14:textId="1B64C0DB" w:rsidR="00EC3824" w:rsidRPr="00B51F44" w:rsidRDefault="00EC3824" w:rsidP="00245BE6">
            <w:pPr>
              <w:rPr>
                <w:rFonts w:ascii="Arial Narrow" w:hAnsi="Arial Narrow"/>
                <w:sz w:val="20"/>
                <w:szCs w:val="20"/>
              </w:rPr>
            </w:pPr>
            <w:r w:rsidRPr="00E21D6C">
              <w:rPr>
                <w:rFonts w:ascii="Arial Narrow" w:hAnsi="Arial Narrow"/>
                <w:sz w:val="20"/>
                <w:szCs w:val="20"/>
                <w:highlight w:val="black"/>
              </w:rPr>
              <w:t>xxxxx</w:t>
            </w:r>
          </w:p>
        </w:tc>
        <w:tc>
          <w:tcPr>
            <w:tcW w:w="1843" w:type="dxa"/>
          </w:tcPr>
          <w:p w14:paraId="6ECEDC3A" w14:textId="1D349790" w:rsidR="00EC3824" w:rsidRPr="00B51F44" w:rsidRDefault="00EC3824" w:rsidP="00245BE6">
            <w:pPr>
              <w:rPr>
                <w:rFonts w:ascii="Arial Narrow" w:hAnsi="Arial Narrow"/>
                <w:sz w:val="20"/>
                <w:szCs w:val="20"/>
              </w:rPr>
            </w:pPr>
            <w:r w:rsidRPr="00747C5E">
              <w:rPr>
                <w:rFonts w:ascii="Arial Narrow" w:hAnsi="Arial Narrow"/>
                <w:sz w:val="20"/>
                <w:szCs w:val="20"/>
                <w:highlight w:val="black"/>
              </w:rPr>
              <w:t>XXXXXXXXXXXXXXXXXXXXXXX</w:t>
            </w:r>
          </w:p>
        </w:tc>
        <w:tc>
          <w:tcPr>
            <w:tcW w:w="992" w:type="dxa"/>
            <w:shd w:val="clear" w:color="auto" w:fill="F2F2F2" w:themeFill="background1" w:themeFillShade="F2"/>
          </w:tcPr>
          <w:p w14:paraId="10E3A07F" w14:textId="77777777" w:rsidR="00EC3824" w:rsidRPr="0038743A" w:rsidRDefault="00EC3824" w:rsidP="00245BE6">
            <w:pPr>
              <w:rPr>
                <w:rFonts w:ascii="Arial Narrow" w:hAnsi="Arial Narrow"/>
                <w:sz w:val="20"/>
                <w:szCs w:val="20"/>
              </w:rPr>
            </w:pPr>
          </w:p>
        </w:tc>
        <w:tc>
          <w:tcPr>
            <w:tcW w:w="907" w:type="dxa"/>
          </w:tcPr>
          <w:p w14:paraId="0790F28B" w14:textId="03D5B5FE" w:rsidR="00EC3824" w:rsidRPr="0038743A"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2" w:type="dxa"/>
          </w:tcPr>
          <w:p w14:paraId="5EB58022" w14:textId="06B40AAE" w:rsidR="00EC3824" w:rsidRPr="0038743A"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2" w:type="dxa"/>
          </w:tcPr>
          <w:p w14:paraId="740176AF" w14:textId="42AF7153" w:rsidR="00EC3824" w:rsidRPr="0038743A"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3" w:type="dxa"/>
          </w:tcPr>
          <w:p w14:paraId="77330BB6" w14:textId="06D1E9AD" w:rsidR="00EC3824" w:rsidRPr="0038743A"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1078" w:type="dxa"/>
          </w:tcPr>
          <w:p w14:paraId="7C5533C8" w14:textId="647ED117" w:rsidR="00EC3824" w:rsidRPr="0038743A"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r>
      <w:tr w:rsidR="00EC3824" w14:paraId="40875362" w14:textId="77777777" w:rsidTr="009700AC">
        <w:tc>
          <w:tcPr>
            <w:tcW w:w="1242" w:type="dxa"/>
          </w:tcPr>
          <w:p w14:paraId="6EC999C9" w14:textId="64AB33D7" w:rsidR="00EC3824" w:rsidRPr="00B51F44" w:rsidRDefault="00EC3824" w:rsidP="00245BE6">
            <w:pPr>
              <w:rPr>
                <w:rFonts w:ascii="Arial Narrow" w:hAnsi="Arial Narrow"/>
                <w:sz w:val="20"/>
                <w:szCs w:val="20"/>
              </w:rPr>
            </w:pPr>
            <w:r w:rsidRPr="00E21D6C">
              <w:rPr>
                <w:rFonts w:ascii="Arial Narrow" w:hAnsi="Arial Narrow"/>
                <w:sz w:val="20"/>
                <w:szCs w:val="20"/>
                <w:highlight w:val="black"/>
              </w:rPr>
              <w:t>xxxxx</w:t>
            </w:r>
          </w:p>
        </w:tc>
        <w:tc>
          <w:tcPr>
            <w:tcW w:w="1843" w:type="dxa"/>
          </w:tcPr>
          <w:p w14:paraId="471DA097" w14:textId="77675721" w:rsidR="00EC3824" w:rsidRPr="00747C5E" w:rsidRDefault="00EC3824" w:rsidP="00245BE6">
            <w:pPr>
              <w:rPr>
                <w:rFonts w:ascii="Arial Narrow" w:hAnsi="Arial Narrow"/>
                <w:sz w:val="20"/>
                <w:szCs w:val="20"/>
              </w:rPr>
            </w:pPr>
            <w:r w:rsidRPr="00747C5E">
              <w:rPr>
                <w:rFonts w:ascii="Arial Narrow" w:hAnsi="Arial Narrow"/>
                <w:sz w:val="20"/>
                <w:szCs w:val="20"/>
                <w:highlight w:val="black"/>
              </w:rPr>
              <w:t>XXXXXXXXXXXXXX</w:t>
            </w:r>
          </w:p>
        </w:tc>
        <w:tc>
          <w:tcPr>
            <w:tcW w:w="992" w:type="dxa"/>
            <w:shd w:val="clear" w:color="auto" w:fill="F2F2F2" w:themeFill="background1" w:themeFillShade="F2"/>
          </w:tcPr>
          <w:p w14:paraId="56A6A256" w14:textId="77777777" w:rsidR="00EC3824" w:rsidRPr="00B51F44" w:rsidRDefault="00EC3824" w:rsidP="00245BE6">
            <w:pPr>
              <w:rPr>
                <w:rFonts w:ascii="Arial Narrow" w:hAnsi="Arial Narrow"/>
                <w:sz w:val="20"/>
                <w:szCs w:val="20"/>
              </w:rPr>
            </w:pPr>
          </w:p>
        </w:tc>
        <w:tc>
          <w:tcPr>
            <w:tcW w:w="907" w:type="dxa"/>
          </w:tcPr>
          <w:p w14:paraId="51AEA325" w14:textId="57A6F620" w:rsidR="00EC3824" w:rsidRPr="00347F5B"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2" w:type="dxa"/>
          </w:tcPr>
          <w:p w14:paraId="33B59D7B" w14:textId="5EAF75FD" w:rsidR="00EC3824" w:rsidRPr="00347F5B"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2" w:type="dxa"/>
          </w:tcPr>
          <w:p w14:paraId="596745C2" w14:textId="62CFFDB0" w:rsidR="00EC3824" w:rsidRPr="00347F5B"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3" w:type="dxa"/>
          </w:tcPr>
          <w:p w14:paraId="69EC07A7" w14:textId="5E7155ED" w:rsidR="00EC3824" w:rsidRPr="00347F5B"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1078" w:type="dxa"/>
          </w:tcPr>
          <w:p w14:paraId="1EEE8C41" w14:textId="5238440F" w:rsidR="00EC3824" w:rsidRPr="00347F5B" w:rsidRDefault="00EC3824" w:rsidP="00245BE6">
            <w:pPr>
              <w:rPr>
                <w:rFonts w:ascii="Arial Narrow" w:hAnsi="Arial Narrow" w:cs="Arial"/>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r>
      <w:tr w:rsidR="00EC3824" w14:paraId="50D827A2" w14:textId="77777777" w:rsidTr="009700AC">
        <w:tc>
          <w:tcPr>
            <w:tcW w:w="1242" w:type="dxa"/>
          </w:tcPr>
          <w:p w14:paraId="2296B22B" w14:textId="2A1532DD" w:rsidR="00EC3824" w:rsidRPr="00B51F44" w:rsidRDefault="00EC3824" w:rsidP="00245BE6">
            <w:pPr>
              <w:rPr>
                <w:rFonts w:ascii="Arial Narrow" w:hAnsi="Arial Narrow"/>
                <w:sz w:val="20"/>
                <w:szCs w:val="20"/>
              </w:rPr>
            </w:pPr>
            <w:r w:rsidRPr="00E21D6C">
              <w:rPr>
                <w:rFonts w:ascii="Arial Narrow" w:hAnsi="Arial Narrow"/>
                <w:sz w:val="20"/>
                <w:szCs w:val="20"/>
                <w:highlight w:val="black"/>
              </w:rPr>
              <w:t>xxxxx</w:t>
            </w:r>
          </w:p>
        </w:tc>
        <w:tc>
          <w:tcPr>
            <w:tcW w:w="1843" w:type="dxa"/>
          </w:tcPr>
          <w:p w14:paraId="0F1A0005" w14:textId="77777777" w:rsidR="00EC3824" w:rsidRPr="00747C5E" w:rsidRDefault="00EC3824" w:rsidP="00245BE6">
            <w:pPr>
              <w:rPr>
                <w:rFonts w:ascii="Arial Narrow" w:hAnsi="Arial Narrow"/>
                <w:b/>
                <w:sz w:val="20"/>
                <w:szCs w:val="20"/>
                <w:highlight w:val="black"/>
              </w:rPr>
            </w:pPr>
            <w:r w:rsidRPr="00747C5E">
              <w:rPr>
                <w:rFonts w:ascii="Arial Narrow" w:hAnsi="Arial Narrow"/>
                <w:b/>
                <w:sz w:val="20"/>
                <w:szCs w:val="20"/>
                <w:highlight w:val="black"/>
              </w:rPr>
              <w:t>XXXXXXXXXXXXXX</w:t>
            </w:r>
          </w:p>
          <w:p w14:paraId="0A3DCDC0" w14:textId="7B293968" w:rsidR="00EC3824" w:rsidRPr="00017563" w:rsidRDefault="00EC3824" w:rsidP="00245BE6">
            <w:pPr>
              <w:rPr>
                <w:rFonts w:ascii="Arial Narrow" w:hAnsi="Arial Narrow"/>
                <w:b/>
                <w:sz w:val="20"/>
                <w:szCs w:val="20"/>
              </w:rPr>
            </w:pPr>
            <w:r w:rsidRPr="00747C5E">
              <w:rPr>
                <w:rFonts w:ascii="Arial Narrow" w:hAnsi="Arial Narrow"/>
                <w:b/>
                <w:sz w:val="20"/>
                <w:szCs w:val="20"/>
                <w:highlight w:val="black"/>
              </w:rPr>
              <w:t>XXXXX</w:t>
            </w:r>
          </w:p>
        </w:tc>
        <w:tc>
          <w:tcPr>
            <w:tcW w:w="992" w:type="dxa"/>
            <w:shd w:val="clear" w:color="auto" w:fill="F2F2F2" w:themeFill="background1" w:themeFillShade="F2"/>
          </w:tcPr>
          <w:p w14:paraId="000B0616" w14:textId="77777777" w:rsidR="00EC3824" w:rsidRPr="00017563" w:rsidRDefault="00EC3824" w:rsidP="00245BE6">
            <w:pPr>
              <w:rPr>
                <w:rFonts w:ascii="Arial Narrow" w:hAnsi="Arial Narrow"/>
                <w:b/>
                <w:sz w:val="20"/>
                <w:szCs w:val="20"/>
              </w:rPr>
            </w:pPr>
          </w:p>
        </w:tc>
        <w:tc>
          <w:tcPr>
            <w:tcW w:w="907" w:type="dxa"/>
          </w:tcPr>
          <w:p w14:paraId="41F52A79" w14:textId="3297916A" w:rsidR="00EC3824" w:rsidRPr="00017563" w:rsidRDefault="00EC3824" w:rsidP="00245BE6">
            <w:pPr>
              <w:rPr>
                <w:rFonts w:ascii="Arial Narrow" w:hAnsi="Arial Narrow" w:cs="Arial"/>
                <w:b/>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2" w:type="dxa"/>
          </w:tcPr>
          <w:p w14:paraId="756B2B70" w14:textId="31938CB7" w:rsidR="00EC3824" w:rsidRPr="00017563" w:rsidRDefault="00EC3824" w:rsidP="00245BE6">
            <w:pPr>
              <w:rPr>
                <w:rFonts w:ascii="Arial Narrow" w:hAnsi="Arial Narrow" w:cs="Arial"/>
                <w:b/>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2" w:type="dxa"/>
          </w:tcPr>
          <w:p w14:paraId="2B6E5A1B" w14:textId="34F64FED" w:rsidR="00EC3824" w:rsidRPr="00017563" w:rsidRDefault="00EC3824" w:rsidP="00245BE6">
            <w:pPr>
              <w:rPr>
                <w:rFonts w:ascii="Arial Narrow" w:hAnsi="Arial Narrow" w:cs="Arial"/>
                <w:b/>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993" w:type="dxa"/>
          </w:tcPr>
          <w:p w14:paraId="43837F5F" w14:textId="6A8EE95A" w:rsidR="00EC3824" w:rsidRPr="00017563" w:rsidRDefault="00EC3824" w:rsidP="00245BE6">
            <w:pPr>
              <w:rPr>
                <w:rFonts w:ascii="Arial Narrow" w:hAnsi="Arial Narrow" w:cs="Arial"/>
                <w:b/>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c>
          <w:tcPr>
            <w:tcW w:w="1078" w:type="dxa"/>
          </w:tcPr>
          <w:p w14:paraId="26BA36E1" w14:textId="03A54ACC" w:rsidR="00EC3824" w:rsidRPr="00017563" w:rsidRDefault="00EC3824" w:rsidP="00245BE6">
            <w:pPr>
              <w:rPr>
                <w:rFonts w:ascii="Arial Narrow" w:hAnsi="Arial Narrow" w:cs="Arial"/>
                <w:b/>
                <w:sz w:val="20"/>
                <w:szCs w:val="20"/>
              </w:rPr>
            </w:pPr>
            <w:r w:rsidRPr="00C2201F">
              <w:rPr>
                <w:rFonts w:ascii="Arial Narrow" w:hAnsi="Arial Narrow"/>
                <w:sz w:val="20"/>
                <w:szCs w:val="20"/>
                <w:highlight w:val="black"/>
              </w:rPr>
              <w:t>xxxxx</w:t>
            </w:r>
            <w:r w:rsidRPr="00C2201F">
              <w:rPr>
                <w:rFonts w:ascii="Arial Narrow" w:hAnsi="Arial Narrow"/>
                <w:sz w:val="20"/>
                <w:szCs w:val="20"/>
              </w:rPr>
              <w:t xml:space="preserve"> </w:t>
            </w:r>
          </w:p>
        </w:tc>
      </w:tr>
    </w:tbl>
    <w:p w14:paraId="0F756026" w14:textId="737F7144" w:rsidR="001273EC" w:rsidRPr="00AD6852" w:rsidRDefault="001273EC" w:rsidP="001273EC">
      <w:pPr>
        <w:spacing w:after="0"/>
        <w:rPr>
          <w:sz w:val="20"/>
          <w:szCs w:val="20"/>
        </w:rPr>
      </w:pPr>
      <w:r w:rsidRPr="00AD6852">
        <w:rPr>
          <w:sz w:val="20"/>
          <w:szCs w:val="20"/>
        </w:rPr>
        <w:t>Note: The treatment costs for everolimus presented in this table are based on its published price. A special pricing arrangement is in place for everolimus, as such the figures presented here do not reflect the actual cost to Government.</w:t>
      </w:r>
    </w:p>
    <w:p w14:paraId="24F653AB" w14:textId="77777777" w:rsidR="001273EC" w:rsidRPr="00AD6852" w:rsidRDefault="001273EC" w:rsidP="001273EC">
      <w:pPr>
        <w:spacing w:after="0"/>
        <w:rPr>
          <w:sz w:val="20"/>
          <w:szCs w:val="20"/>
        </w:rPr>
      </w:pPr>
    </w:p>
    <w:p w14:paraId="18F49400" w14:textId="77777777" w:rsidR="001273EC" w:rsidRPr="00AD6852" w:rsidRDefault="001273EC" w:rsidP="001273EC">
      <w:pPr>
        <w:spacing w:after="0"/>
        <w:rPr>
          <w:sz w:val="20"/>
          <w:szCs w:val="20"/>
        </w:rPr>
      </w:pPr>
      <w:r w:rsidRPr="00AD6852">
        <w:rPr>
          <w:sz w:val="20"/>
          <w:szCs w:val="20"/>
          <w:vertAlign w:val="superscript"/>
        </w:rPr>
        <w:t>1,2</w:t>
      </w:r>
      <w:r w:rsidRPr="00AD6852">
        <w:rPr>
          <w:sz w:val="20"/>
          <w:szCs w:val="20"/>
        </w:rPr>
        <w:t xml:space="preserve"> AIHW</w:t>
      </w:r>
      <w:r w:rsidRPr="00AD6852">
        <w:rPr>
          <w:sz w:val="20"/>
          <w:szCs w:val="20"/>
          <w:lang w:eastAsia="ja-JP"/>
        </w:rPr>
        <w:t>.</w:t>
      </w:r>
      <w:r w:rsidRPr="00AD6852">
        <w:rPr>
          <w:sz w:val="20"/>
          <w:szCs w:val="20"/>
        </w:rPr>
        <w:t xml:space="preserve"> Cancer incidence and projections Australia, 2011 to 2020.</w:t>
      </w:r>
      <w:r w:rsidRPr="00AD6852">
        <w:rPr>
          <w:sz w:val="20"/>
          <w:szCs w:val="20"/>
          <w:lang w:eastAsia="ja-JP"/>
        </w:rPr>
        <w:t xml:space="preserve"> Canberra: AIHW 2012.</w:t>
      </w:r>
    </w:p>
    <w:p w14:paraId="79DE8569" w14:textId="77777777" w:rsidR="001273EC" w:rsidRPr="00AD6852" w:rsidRDefault="001273EC" w:rsidP="001273EC">
      <w:pPr>
        <w:spacing w:after="0"/>
        <w:rPr>
          <w:sz w:val="20"/>
          <w:szCs w:val="20"/>
          <w:lang w:val="en-US"/>
        </w:rPr>
      </w:pPr>
      <w:r w:rsidRPr="00AD6852">
        <w:rPr>
          <w:sz w:val="20"/>
          <w:szCs w:val="20"/>
          <w:vertAlign w:val="superscript"/>
        </w:rPr>
        <w:t>3</w:t>
      </w:r>
      <w:r w:rsidRPr="00AD6852">
        <w:rPr>
          <w:sz w:val="20"/>
          <w:szCs w:val="20"/>
        </w:rPr>
        <w:t xml:space="preserve"> </w:t>
      </w:r>
      <w:r w:rsidRPr="00AD6852">
        <w:rPr>
          <w:sz w:val="20"/>
          <w:szCs w:val="20"/>
          <w:lang w:val="en-US"/>
        </w:rPr>
        <w:t>Lord SJ et al. MJA 2012; 196:688–692.</w:t>
      </w:r>
    </w:p>
    <w:p w14:paraId="68B0FCEF" w14:textId="77777777" w:rsidR="001273EC" w:rsidRPr="00AD6852" w:rsidRDefault="001273EC" w:rsidP="001273EC">
      <w:pPr>
        <w:spacing w:after="0"/>
        <w:rPr>
          <w:sz w:val="20"/>
          <w:szCs w:val="20"/>
          <w:lang w:val="en-US"/>
        </w:rPr>
      </w:pPr>
      <w:r w:rsidRPr="00AD6852">
        <w:rPr>
          <w:sz w:val="20"/>
          <w:szCs w:val="20"/>
          <w:vertAlign w:val="superscript"/>
          <w:lang w:val="en-US"/>
        </w:rPr>
        <w:t xml:space="preserve">4,5 </w:t>
      </w:r>
      <w:r w:rsidRPr="00AD6852">
        <w:rPr>
          <w:sz w:val="20"/>
          <w:szCs w:val="20"/>
          <w:lang w:val="en-US"/>
        </w:rPr>
        <w:t>Parise CA, Bauer KR, Brown MM, Caggiano V. The Breast Journal 2009;</w:t>
      </w:r>
      <w:r w:rsidRPr="00AD6852">
        <w:rPr>
          <w:sz w:val="20"/>
          <w:szCs w:val="20"/>
          <w:lang w:val="en-US" w:eastAsia="ja-JP"/>
        </w:rPr>
        <w:t xml:space="preserve"> </w:t>
      </w:r>
      <w:r w:rsidRPr="00AD6852">
        <w:rPr>
          <w:sz w:val="20"/>
          <w:szCs w:val="20"/>
          <w:lang w:val="en-US"/>
        </w:rPr>
        <w:t>15:593–602.</w:t>
      </w:r>
    </w:p>
    <w:p w14:paraId="68E45D53" w14:textId="77777777" w:rsidR="001273EC" w:rsidRPr="00AD6852" w:rsidRDefault="001273EC" w:rsidP="001273EC">
      <w:pPr>
        <w:spacing w:after="0"/>
        <w:rPr>
          <w:sz w:val="20"/>
          <w:szCs w:val="20"/>
        </w:rPr>
      </w:pPr>
      <w:r w:rsidRPr="00AD6852">
        <w:rPr>
          <w:sz w:val="20"/>
          <w:szCs w:val="20"/>
          <w:vertAlign w:val="superscript"/>
        </w:rPr>
        <w:t>6</w:t>
      </w:r>
      <w:r w:rsidRPr="00AD6852">
        <w:rPr>
          <w:sz w:val="20"/>
          <w:szCs w:val="20"/>
        </w:rPr>
        <w:t xml:space="preserve"> Novartis Compassionate Use Program (CUP).</w:t>
      </w:r>
    </w:p>
    <w:p w14:paraId="1BDD26B3" w14:textId="78BCE9D2" w:rsidR="001273EC" w:rsidRPr="00AD6852" w:rsidRDefault="001273EC" w:rsidP="001273EC">
      <w:pPr>
        <w:spacing w:after="0"/>
        <w:rPr>
          <w:sz w:val="20"/>
          <w:szCs w:val="20"/>
        </w:rPr>
      </w:pPr>
      <w:r w:rsidRPr="00AD6852">
        <w:rPr>
          <w:sz w:val="20"/>
          <w:szCs w:val="20"/>
          <w:vertAlign w:val="superscript"/>
        </w:rPr>
        <w:t xml:space="preserve">7 </w:t>
      </w:r>
      <w:r w:rsidRPr="00AD6852">
        <w:rPr>
          <w:sz w:val="20"/>
          <w:szCs w:val="20"/>
        </w:rPr>
        <w:t xml:space="preserve">Proportion is based on BOLERO-2 trial average daily dose of </w:t>
      </w:r>
      <w:r w:rsidR="006501F2" w:rsidRPr="006501F2">
        <w:rPr>
          <w:sz w:val="20"/>
          <w:szCs w:val="20"/>
          <w:highlight w:val="black"/>
        </w:rPr>
        <w:t>xxxxx</w:t>
      </w:r>
      <w:r w:rsidRPr="00AD6852">
        <w:rPr>
          <w:sz w:val="20"/>
          <w:szCs w:val="20"/>
        </w:rPr>
        <w:t>.</w:t>
      </w:r>
    </w:p>
    <w:p w14:paraId="0E2269F0" w14:textId="77777777" w:rsidR="001273EC" w:rsidRPr="00AD6852" w:rsidRDefault="001273EC" w:rsidP="001273EC">
      <w:pPr>
        <w:spacing w:after="0"/>
        <w:rPr>
          <w:sz w:val="20"/>
          <w:szCs w:val="20"/>
        </w:rPr>
      </w:pPr>
      <w:r w:rsidRPr="00AD6852">
        <w:rPr>
          <w:sz w:val="20"/>
          <w:szCs w:val="20"/>
          <w:vertAlign w:val="superscript"/>
        </w:rPr>
        <w:t>8</w:t>
      </w:r>
      <w:r w:rsidRPr="00AD6852">
        <w:rPr>
          <w:sz w:val="20"/>
          <w:szCs w:val="20"/>
        </w:rPr>
        <w:t xml:space="preserve"> Seven prescriptions were assumed for each patient based on the median PFS for everolimus plus exemestane of 6.9 months from the BOLERO-2 trial.</w:t>
      </w:r>
    </w:p>
    <w:p w14:paraId="5946C58C" w14:textId="77777777" w:rsidR="001273EC" w:rsidRPr="00AD6852" w:rsidRDefault="001273EC" w:rsidP="001273EC">
      <w:pPr>
        <w:spacing w:after="0"/>
        <w:rPr>
          <w:sz w:val="20"/>
          <w:szCs w:val="20"/>
        </w:rPr>
      </w:pPr>
      <w:r w:rsidRPr="00AD6852">
        <w:rPr>
          <w:sz w:val="20"/>
          <w:szCs w:val="20"/>
          <w:vertAlign w:val="superscript"/>
        </w:rPr>
        <w:t>9</w:t>
      </w:r>
      <w:r w:rsidRPr="00AD6852">
        <w:rPr>
          <w:sz w:val="20"/>
          <w:szCs w:val="20"/>
        </w:rPr>
        <w:t xml:space="preserve"> As at February 2014.</w:t>
      </w:r>
    </w:p>
    <w:p w14:paraId="0B156FE4" w14:textId="77777777" w:rsidR="001273EC" w:rsidRPr="00AD6852" w:rsidRDefault="001273EC" w:rsidP="001273EC">
      <w:pPr>
        <w:spacing w:after="0"/>
        <w:rPr>
          <w:sz w:val="20"/>
          <w:szCs w:val="20"/>
        </w:rPr>
      </w:pPr>
      <w:r w:rsidRPr="00AD6852">
        <w:rPr>
          <w:sz w:val="20"/>
          <w:szCs w:val="20"/>
          <w:vertAlign w:val="superscript"/>
        </w:rPr>
        <w:t>10</w:t>
      </w:r>
      <w:r w:rsidRPr="00AD6852">
        <w:rPr>
          <w:sz w:val="20"/>
          <w:szCs w:val="20"/>
        </w:rPr>
        <w:t xml:space="preserve"> Estimates for the average PBS and RPBS copayments were $16.59 and $4.97, respectively. The split in PBS:RPBS use was assumed to be 97.66% and 2.34%. These estimates were based on prescriptions for anastrozole, letrozole and exemestane from January 2012 to December 2013.</w:t>
      </w:r>
    </w:p>
    <w:p w14:paraId="5072441C" w14:textId="77777777" w:rsidR="001273EC" w:rsidRDefault="001273EC" w:rsidP="001273EC">
      <w:pPr>
        <w:spacing w:after="0"/>
        <w:rPr>
          <w:rFonts w:ascii="Arial Narrow" w:hAnsi="Arial Narrow"/>
          <w:sz w:val="20"/>
          <w:szCs w:val="20"/>
        </w:rPr>
      </w:pPr>
    </w:p>
    <w:p w14:paraId="393B5116" w14:textId="3904A98C" w:rsidR="00EF2850" w:rsidRDefault="00EF2850">
      <w:pPr>
        <w:spacing w:line="276" w:lineRule="auto"/>
      </w:pPr>
    </w:p>
    <w:sectPr w:rsidR="00EF2850"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D54FE6" w:rsidRDefault="00D54FE6" w:rsidP="00A35800">
      <w:r>
        <w:separator/>
      </w:r>
    </w:p>
  </w:endnote>
  <w:endnote w:type="continuationSeparator" w:id="0">
    <w:p w14:paraId="45A4A8C8" w14:textId="77777777" w:rsidR="00D54FE6" w:rsidRDefault="00D54FE6"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D54FE6" w:rsidRDefault="00D54FE6"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D54FE6" w:rsidRDefault="00D54FE6"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4799E8C8" w14:textId="60618C9C" w:rsidR="00106769" w:rsidRDefault="00106769" w:rsidP="00106769">
            <w:pPr>
              <w:pStyle w:val="Footer"/>
              <w:jc w:val="center"/>
              <w:rPr>
                <w:sz w:val="22"/>
              </w:rPr>
            </w:pPr>
            <w:r>
              <w:rPr>
                <w:sz w:val="22"/>
              </w:rPr>
              <w:t>Public Release Document, February 2017 DUSC Meeting</w:t>
            </w:r>
          </w:p>
          <w:p w14:paraId="14EC9404" w14:textId="450A8B08" w:rsidR="00106769" w:rsidRPr="008F038C" w:rsidRDefault="00106769" w:rsidP="00106769">
            <w:pPr>
              <w:pStyle w:val="Footer"/>
              <w:jc w:val="center"/>
              <w:rPr>
                <w:rStyle w:val="PageNumber"/>
                <w:sz w:val="20"/>
              </w:rPr>
            </w:pPr>
            <w:r>
              <w:rPr>
                <w:sz w:val="22"/>
              </w:rPr>
              <w:t>P</w:t>
            </w:r>
            <w:r w:rsidRPr="008F038C">
              <w:rPr>
                <w:sz w:val="22"/>
              </w:rPr>
              <w:t xml:space="preserve">age </w:t>
            </w:r>
            <w:r w:rsidRPr="008F038C">
              <w:rPr>
                <w:bCs/>
                <w:sz w:val="20"/>
              </w:rPr>
              <w:fldChar w:fldCharType="begin"/>
            </w:r>
            <w:r w:rsidRPr="008F038C">
              <w:rPr>
                <w:bCs/>
                <w:sz w:val="20"/>
              </w:rPr>
              <w:instrText xml:space="preserve"> PAGE </w:instrText>
            </w:r>
            <w:r w:rsidRPr="008F038C">
              <w:rPr>
                <w:bCs/>
                <w:sz w:val="20"/>
              </w:rPr>
              <w:fldChar w:fldCharType="separate"/>
            </w:r>
            <w:r w:rsidR="00E469E5">
              <w:rPr>
                <w:bCs/>
                <w:noProof/>
                <w:sz w:val="20"/>
              </w:rPr>
              <w:t>18</w:t>
            </w:r>
            <w:r w:rsidRPr="008F038C">
              <w:rPr>
                <w:bCs/>
                <w:sz w:val="20"/>
              </w:rPr>
              <w:fldChar w:fldCharType="end"/>
            </w:r>
            <w:r w:rsidRPr="008F038C">
              <w:rPr>
                <w:sz w:val="22"/>
              </w:rPr>
              <w:t xml:space="preserve"> of </w:t>
            </w:r>
            <w:r w:rsidRPr="008F038C">
              <w:rPr>
                <w:bCs/>
                <w:sz w:val="20"/>
              </w:rPr>
              <w:fldChar w:fldCharType="begin"/>
            </w:r>
            <w:r w:rsidRPr="008F038C">
              <w:rPr>
                <w:bCs/>
                <w:sz w:val="20"/>
              </w:rPr>
              <w:instrText xml:space="preserve"> NUMPAGES  </w:instrText>
            </w:r>
            <w:r w:rsidRPr="008F038C">
              <w:rPr>
                <w:bCs/>
                <w:sz w:val="20"/>
              </w:rPr>
              <w:fldChar w:fldCharType="separate"/>
            </w:r>
            <w:r w:rsidR="00E469E5">
              <w:rPr>
                <w:bCs/>
                <w:noProof/>
                <w:sz w:val="20"/>
              </w:rPr>
              <w:t>19</w:t>
            </w:r>
            <w:r w:rsidRPr="008F038C">
              <w:rPr>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D54FE6" w:rsidRDefault="00D54FE6" w:rsidP="007A5733">
    <w:pPr>
      <w:pStyle w:val="Footer"/>
      <w:jc w:val="center"/>
      <w:rPr>
        <w:rStyle w:val="PageNumber"/>
      </w:rPr>
    </w:pPr>
    <w:r>
      <w:rPr>
        <w:rStyle w:val="PageNumber"/>
      </w:rPr>
      <w:t>Committee-in-Confidence</w:t>
    </w:r>
  </w:p>
  <w:p w14:paraId="3CE6880B" w14:textId="77777777" w:rsidR="00D54FE6" w:rsidRDefault="00D54FE6"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D54FE6" w:rsidRDefault="00D54FE6" w:rsidP="00A35800">
      <w:r>
        <w:separator/>
      </w:r>
    </w:p>
  </w:footnote>
  <w:footnote w:type="continuationSeparator" w:id="0">
    <w:p w14:paraId="7E2CA1E4" w14:textId="77777777" w:rsidR="00D54FE6" w:rsidRDefault="00D54FE6" w:rsidP="00A35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450"/>
    <w:multiLevelType w:val="multilevel"/>
    <w:tmpl w:val="D30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42F81"/>
    <w:multiLevelType w:val="multilevel"/>
    <w:tmpl w:val="6D9C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E14BD"/>
    <w:multiLevelType w:val="multilevel"/>
    <w:tmpl w:val="86F6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9742F"/>
    <w:multiLevelType w:val="hybridMultilevel"/>
    <w:tmpl w:val="1C729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2133C92"/>
    <w:multiLevelType w:val="multilevel"/>
    <w:tmpl w:val="FFC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45B2B"/>
    <w:multiLevelType w:val="multilevel"/>
    <w:tmpl w:val="61EAB1A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6DC2243"/>
    <w:multiLevelType w:val="hybridMultilevel"/>
    <w:tmpl w:val="5AFE394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65665DB"/>
    <w:multiLevelType w:val="hybridMultilevel"/>
    <w:tmpl w:val="88E40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7462AC1"/>
    <w:multiLevelType w:val="hybridMultilevel"/>
    <w:tmpl w:val="0FEAFBDE"/>
    <w:lvl w:ilvl="0" w:tplc="36722E00">
      <w:start w:val="5"/>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76A6504"/>
    <w:multiLevelType w:val="multilevel"/>
    <w:tmpl w:val="094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001D1F"/>
    <w:multiLevelType w:val="hybridMultilevel"/>
    <w:tmpl w:val="202A6900"/>
    <w:lvl w:ilvl="0" w:tplc="DBEEE142">
      <w:start w:val="3"/>
      <w:numFmt w:val="bullet"/>
      <w:lvlText w:val="-"/>
      <w:lvlJc w:val="left"/>
      <w:pPr>
        <w:ind w:left="720" w:hanging="360"/>
      </w:pPr>
      <w:rPr>
        <w:rFonts w:ascii="Arial Narrow" w:eastAsiaTheme="minorEastAsia"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A6B1F0A"/>
    <w:multiLevelType w:val="multilevel"/>
    <w:tmpl w:val="000C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E6719E"/>
    <w:multiLevelType w:val="hybridMultilevel"/>
    <w:tmpl w:val="327AE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4"/>
  </w:num>
  <w:num w:numId="4">
    <w:abstractNumId w:val="0"/>
  </w:num>
  <w:num w:numId="5">
    <w:abstractNumId w:val="12"/>
  </w:num>
  <w:num w:numId="6">
    <w:abstractNumId w:val="14"/>
  </w:num>
  <w:num w:numId="7">
    <w:abstractNumId w:val="5"/>
  </w:num>
  <w:num w:numId="8">
    <w:abstractNumId w:val="2"/>
  </w:num>
  <w:num w:numId="9">
    <w:abstractNumId w:val="1"/>
  </w:num>
  <w:num w:numId="10">
    <w:abstractNumId w:val="13"/>
  </w:num>
  <w:num w:numId="11">
    <w:abstractNumId w:val="7"/>
  </w:num>
  <w:num w:numId="12">
    <w:abstractNumId w:val="10"/>
  </w:num>
  <w:num w:numId="13">
    <w:abstractNumId w:val="15"/>
  </w:num>
  <w:num w:numId="14">
    <w:abstractNumId w:val="6"/>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04B"/>
    <w:rsid w:val="00000BCC"/>
    <w:rsid w:val="000021CC"/>
    <w:rsid w:val="000025DA"/>
    <w:rsid w:val="00003BF9"/>
    <w:rsid w:val="00003F06"/>
    <w:rsid w:val="00004443"/>
    <w:rsid w:val="00007E85"/>
    <w:rsid w:val="000116C1"/>
    <w:rsid w:val="00011A9E"/>
    <w:rsid w:val="000122AB"/>
    <w:rsid w:val="000129C8"/>
    <w:rsid w:val="00013465"/>
    <w:rsid w:val="0001433D"/>
    <w:rsid w:val="000153EA"/>
    <w:rsid w:val="00015E73"/>
    <w:rsid w:val="000160D2"/>
    <w:rsid w:val="00017437"/>
    <w:rsid w:val="00017563"/>
    <w:rsid w:val="000226B3"/>
    <w:rsid w:val="000228D2"/>
    <w:rsid w:val="000236BD"/>
    <w:rsid w:val="00024549"/>
    <w:rsid w:val="000269E4"/>
    <w:rsid w:val="0003206C"/>
    <w:rsid w:val="0003262F"/>
    <w:rsid w:val="0003302F"/>
    <w:rsid w:val="000341F1"/>
    <w:rsid w:val="000355D5"/>
    <w:rsid w:val="00041E8A"/>
    <w:rsid w:val="000432CA"/>
    <w:rsid w:val="0004354B"/>
    <w:rsid w:val="00043BBE"/>
    <w:rsid w:val="00044994"/>
    <w:rsid w:val="00046069"/>
    <w:rsid w:val="000460DB"/>
    <w:rsid w:val="000466F0"/>
    <w:rsid w:val="00047CE5"/>
    <w:rsid w:val="000500D6"/>
    <w:rsid w:val="000515CB"/>
    <w:rsid w:val="000527A0"/>
    <w:rsid w:val="0005398D"/>
    <w:rsid w:val="000543C5"/>
    <w:rsid w:val="000544B6"/>
    <w:rsid w:val="000548A9"/>
    <w:rsid w:val="000556C2"/>
    <w:rsid w:val="000564BF"/>
    <w:rsid w:val="0005683A"/>
    <w:rsid w:val="000604AF"/>
    <w:rsid w:val="00061228"/>
    <w:rsid w:val="000613D2"/>
    <w:rsid w:val="000618F4"/>
    <w:rsid w:val="00062752"/>
    <w:rsid w:val="0006275A"/>
    <w:rsid w:val="00063012"/>
    <w:rsid w:val="00063CC8"/>
    <w:rsid w:val="000660C2"/>
    <w:rsid w:val="00067E1E"/>
    <w:rsid w:val="00070E75"/>
    <w:rsid w:val="00071311"/>
    <w:rsid w:val="0007158B"/>
    <w:rsid w:val="00071DC2"/>
    <w:rsid w:val="00072C01"/>
    <w:rsid w:val="00072F4C"/>
    <w:rsid w:val="0007314C"/>
    <w:rsid w:val="0007516A"/>
    <w:rsid w:val="00077F6A"/>
    <w:rsid w:val="0008169C"/>
    <w:rsid w:val="000819D9"/>
    <w:rsid w:val="00082D4B"/>
    <w:rsid w:val="000832FB"/>
    <w:rsid w:val="000849E3"/>
    <w:rsid w:val="00086C11"/>
    <w:rsid w:val="000876D6"/>
    <w:rsid w:val="00090342"/>
    <w:rsid w:val="00091182"/>
    <w:rsid w:val="00091697"/>
    <w:rsid w:val="00092A74"/>
    <w:rsid w:val="00092D53"/>
    <w:rsid w:val="000943DD"/>
    <w:rsid w:val="00094A87"/>
    <w:rsid w:val="00094DCF"/>
    <w:rsid w:val="00097546"/>
    <w:rsid w:val="000A0EAE"/>
    <w:rsid w:val="000A33DC"/>
    <w:rsid w:val="000A3A8A"/>
    <w:rsid w:val="000A3EDA"/>
    <w:rsid w:val="000A41EE"/>
    <w:rsid w:val="000A4FEB"/>
    <w:rsid w:val="000A6C71"/>
    <w:rsid w:val="000A6CFD"/>
    <w:rsid w:val="000B0982"/>
    <w:rsid w:val="000B0EF5"/>
    <w:rsid w:val="000B1A83"/>
    <w:rsid w:val="000B3A4E"/>
    <w:rsid w:val="000B43E1"/>
    <w:rsid w:val="000B746B"/>
    <w:rsid w:val="000B796C"/>
    <w:rsid w:val="000C02B0"/>
    <w:rsid w:val="000C0568"/>
    <w:rsid w:val="000C0911"/>
    <w:rsid w:val="000C113C"/>
    <w:rsid w:val="000C12C0"/>
    <w:rsid w:val="000C2DCB"/>
    <w:rsid w:val="000C3814"/>
    <w:rsid w:val="000C41A4"/>
    <w:rsid w:val="000C443B"/>
    <w:rsid w:val="000C46BB"/>
    <w:rsid w:val="000C4D9D"/>
    <w:rsid w:val="000C70D1"/>
    <w:rsid w:val="000C7924"/>
    <w:rsid w:val="000C7C4B"/>
    <w:rsid w:val="000C7D8B"/>
    <w:rsid w:val="000D1D99"/>
    <w:rsid w:val="000D24AE"/>
    <w:rsid w:val="000D2D9F"/>
    <w:rsid w:val="000D3424"/>
    <w:rsid w:val="000D35D5"/>
    <w:rsid w:val="000D3F2D"/>
    <w:rsid w:val="000D450F"/>
    <w:rsid w:val="000D4C51"/>
    <w:rsid w:val="000D564F"/>
    <w:rsid w:val="000D6265"/>
    <w:rsid w:val="000D6825"/>
    <w:rsid w:val="000D7FFB"/>
    <w:rsid w:val="000E16CB"/>
    <w:rsid w:val="000E17F7"/>
    <w:rsid w:val="000E3E80"/>
    <w:rsid w:val="000E40F1"/>
    <w:rsid w:val="000E485D"/>
    <w:rsid w:val="000E4AB6"/>
    <w:rsid w:val="000E5748"/>
    <w:rsid w:val="000E72C6"/>
    <w:rsid w:val="000F0B21"/>
    <w:rsid w:val="000F1893"/>
    <w:rsid w:val="000F2F51"/>
    <w:rsid w:val="000F3E84"/>
    <w:rsid w:val="000F41FD"/>
    <w:rsid w:val="000F58A5"/>
    <w:rsid w:val="000F5DA1"/>
    <w:rsid w:val="000F6128"/>
    <w:rsid w:val="00100C87"/>
    <w:rsid w:val="00102056"/>
    <w:rsid w:val="0010392A"/>
    <w:rsid w:val="00104B65"/>
    <w:rsid w:val="001051CA"/>
    <w:rsid w:val="00105A95"/>
    <w:rsid w:val="00106769"/>
    <w:rsid w:val="00106DA8"/>
    <w:rsid w:val="00107ABF"/>
    <w:rsid w:val="001129A0"/>
    <w:rsid w:val="00113CF8"/>
    <w:rsid w:val="00113D74"/>
    <w:rsid w:val="0011474A"/>
    <w:rsid w:val="00117C5C"/>
    <w:rsid w:val="00123088"/>
    <w:rsid w:val="00123D65"/>
    <w:rsid w:val="00124109"/>
    <w:rsid w:val="00126D2A"/>
    <w:rsid w:val="00127108"/>
    <w:rsid w:val="001273EC"/>
    <w:rsid w:val="0012784F"/>
    <w:rsid w:val="00127BA2"/>
    <w:rsid w:val="00130CE0"/>
    <w:rsid w:val="001310AE"/>
    <w:rsid w:val="0013126D"/>
    <w:rsid w:val="001320C3"/>
    <w:rsid w:val="00137492"/>
    <w:rsid w:val="001413EC"/>
    <w:rsid w:val="0014141E"/>
    <w:rsid w:val="001420B3"/>
    <w:rsid w:val="001451D2"/>
    <w:rsid w:val="001455A5"/>
    <w:rsid w:val="00145D86"/>
    <w:rsid w:val="001460C4"/>
    <w:rsid w:val="001464CE"/>
    <w:rsid w:val="001464EF"/>
    <w:rsid w:val="00151E10"/>
    <w:rsid w:val="0015238B"/>
    <w:rsid w:val="00153E10"/>
    <w:rsid w:val="0015404C"/>
    <w:rsid w:val="001564C8"/>
    <w:rsid w:val="00156762"/>
    <w:rsid w:val="0015691C"/>
    <w:rsid w:val="00157310"/>
    <w:rsid w:val="00160F40"/>
    <w:rsid w:val="001621F7"/>
    <w:rsid w:val="001624D7"/>
    <w:rsid w:val="00162D82"/>
    <w:rsid w:val="00166FB7"/>
    <w:rsid w:val="00167252"/>
    <w:rsid w:val="001701B3"/>
    <w:rsid w:val="001718CD"/>
    <w:rsid w:val="00171D6D"/>
    <w:rsid w:val="00171EA8"/>
    <w:rsid w:val="00174543"/>
    <w:rsid w:val="001757E6"/>
    <w:rsid w:val="00176ED8"/>
    <w:rsid w:val="00177B86"/>
    <w:rsid w:val="001802A1"/>
    <w:rsid w:val="00182585"/>
    <w:rsid w:val="00182FA3"/>
    <w:rsid w:val="00184EEF"/>
    <w:rsid w:val="00185131"/>
    <w:rsid w:val="00186018"/>
    <w:rsid w:val="0018634E"/>
    <w:rsid w:val="001863A8"/>
    <w:rsid w:val="001868EE"/>
    <w:rsid w:val="00191182"/>
    <w:rsid w:val="001929C6"/>
    <w:rsid w:val="001950DD"/>
    <w:rsid w:val="0019664D"/>
    <w:rsid w:val="001A0C4F"/>
    <w:rsid w:val="001A0C5A"/>
    <w:rsid w:val="001A1C9E"/>
    <w:rsid w:val="001A3AF2"/>
    <w:rsid w:val="001A3B1C"/>
    <w:rsid w:val="001A3D0F"/>
    <w:rsid w:val="001A4169"/>
    <w:rsid w:val="001A5C9A"/>
    <w:rsid w:val="001A6103"/>
    <w:rsid w:val="001A633F"/>
    <w:rsid w:val="001A66AD"/>
    <w:rsid w:val="001B01B9"/>
    <w:rsid w:val="001B08A9"/>
    <w:rsid w:val="001B1808"/>
    <w:rsid w:val="001B1B09"/>
    <w:rsid w:val="001B5D37"/>
    <w:rsid w:val="001B63EB"/>
    <w:rsid w:val="001B65D9"/>
    <w:rsid w:val="001B75FF"/>
    <w:rsid w:val="001B7695"/>
    <w:rsid w:val="001C0C18"/>
    <w:rsid w:val="001C2940"/>
    <w:rsid w:val="001C3D66"/>
    <w:rsid w:val="001C4016"/>
    <w:rsid w:val="001C4BED"/>
    <w:rsid w:val="001C548D"/>
    <w:rsid w:val="001C5B09"/>
    <w:rsid w:val="001C5BCF"/>
    <w:rsid w:val="001C6A5D"/>
    <w:rsid w:val="001C6C08"/>
    <w:rsid w:val="001C7F32"/>
    <w:rsid w:val="001D0BF2"/>
    <w:rsid w:val="001D117D"/>
    <w:rsid w:val="001D1CD3"/>
    <w:rsid w:val="001D2AA6"/>
    <w:rsid w:val="001D5467"/>
    <w:rsid w:val="001D5BFA"/>
    <w:rsid w:val="001D7A30"/>
    <w:rsid w:val="001E016C"/>
    <w:rsid w:val="001E01F6"/>
    <w:rsid w:val="001E278C"/>
    <w:rsid w:val="001E31A6"/>
    <w:rsid w:val="001E42C7"/>
    <w:rsid w:val="001E4CAB"/>
    <w:rsid w:val="001E7798"/>
    <w:rsid w:val="001F2F3E"/>
    <w:rsid w:val="001F3435"/>
    <w:rsid w:val="001F4218"/>
    <w:rsid w:val="001F4906"/>
    <w:rsid w:val="001F60A8"/>
    <w:rsid w:val="001F6136"/>
    <w:rsid w:val="001F7236"/>
    <w:rsid w:val="001F738E"/>
    <w:rsid w:val="001F7C4A"/>
    <w:rsid w:val="001F7FCF"/>
    <w:rsid w:val="001F7FF2"/>
    <w:rsid w:val="00201335"/>
    <w:rsid w:val="002036CC"/>
    <w:rsid w:val="0020578A"/>
    <w:rsid w:val="0020609E"/>
    <w:rsid w:val="002060E7"/>
    <w:rsid w:val="00207631"/>
    <w:rsid w:val="00207B7B"/>
    <w:rsid w:val="00210D49"/>
    <w:rsid w:val="00212AE9"/>
    <w:rsid w:val="00214013"/>
    <w:rsid w:val="00216BDD"/>
    <w:rsid w:val="00217A6B"/>
    <w:rsid w:val="00220583"/>
    <w:rsid w:val="00220FC1"/>
    <w:rsid w:val="00221330"/>
    <w:rsid w:val="00222E9A"/>
    <w:rsid w:val="00223A0A"/>
    <w:rsid w:val="00223F4D"/>
    <w:rsid w:val="0022468B"/>
    <w:rsid w:val="00226315"/>
    <w:rsid w:val="00227097"/>
    <w:rsid w:val="0023012E"/>
    <w:rsid w:val="00230437"/>
    <w:rsid w:val="00230FC4"/>
    <w:rsid w:val="0023179D"/>
    <w:rsid w:val="00232827"/>
    <w:rsid w:val="002332FB"/>
    <w:rsid w:val="002339EA"/>
    <w:rsid w:val="00234D5A"/>
    <w:rsid w:val="002364E1"/>
    <w:rsid w:val="002407E7"/>
    <w:rsid w:val="00240C60"/>
    <w:rsid w:val="00242DDE"/>
    <w:rsid w:val="00243768"/>
    <w:rsid w:val="00243C7E"/>
    <w:rsid w:val="0024460D"/>
    <w:rsid w:val="00245BE6"/>
    <w:rsid w:val="0024690E"/>
    <w:rsid w:val="00251BB3"/>
    <w:rsid w:val="00252251"/>
    <w:rsid w:val="00252832"/>
    <w:rsid w:val="00252C9F"/>
    <w:rsid w:val="0025386A"/>
    <w:rsid w:val="0025389D"/>
    <w:rsid w:val="00253C59"/>
    <w:rsid w:val="00254E02"/>
    <w:rsid w:val="00256D17"/>
    <w:rsid w:val="002579B5"/>
    <w:rsid w:val="00257A70"/>
    <w:rsid w:val="0026096A"/>
    <w:rsid w:val="00260D88"/>
    <w:rsid w:val="0026265F"/>
    <w:rsid w:val="00263D04"/>
    <w:rsid w:val="002644EC"/>
    <w:rsid w:val="00265ECF"/>
    <w:rsid w:val="00266749"/>
    <w:rsid w:val="00266FC3"/>
    <w:rsid w:val="00267880"/>
    <w:rsid w:val="002706B3"/>
    <w:rsid w:val="002711E9"/>
    <w:rsid w:val="0027180D"/>
    <w:rsid w:val="002725F6"/>
    <w:rsid w:val="00273100"/>
    <w:rsid w:val="0027432C"/>
    <w:rsid w:val="0027453A"/>
    <w:rsid w:val="00274F81"/>
    <w:rsid w:val="00276ECB"/>
    <w:rsid w:val="002771E2"/>
    <w:rsid w:val="00281518"/>
    <w:rsid w:val="002830F6"/>
    <w:rsid w:val="00284F8E"/>
    <w:rsid w:val="00285259"/>
    <w:rsid w:val="00286C3A"/>
    <w:rsid w:val="00286FEB"/>
    <w:rsid w:val="00287A23"/>
    <w:rsid w:val="00287EB4"/>
    <w:rsid w:val="00287FA4"/>
    <w:rsid w:val="002906C5"/>
    <w:rsid w:val="00291636"/>
    <w:rsid w:val="0029174A"/>
    <w:rsid w:val="002927E8"/>
    <w:rsid w:val="002930F5"/>
    <w:rsid w:val="00295D02"/>
    <w:rsid w:val="002962D1"/>
    <w:rsid w:val="002A006E"/>
    <w:rsid w:val="002A0282"/>
    <w:rsid w:val="002A03E2"/>
    <w:rsid w:val="002A06B7"/>
    <w:rsid w:val="002A0A1B"/>
    <w:rsid w:val="002A0B3D"/>
    <w:rsid w:val="002A107B"/>
    <w:rsid w:val="002A30D7"/>
    <w:rsid w:val="002A3167"/>
    <w:rsid w:val="002A337A"/>
    <w:rsid w:val="002A34EA"/>
    <w:rsid w:val="002A3A01"/>
    <w:rsid w:val="002A5D0D"/>
    <w:rsid w:val="002A6EC7"/>
    <w:rsid w:val="002B0859"/>
    <w:rsid w:val="002B35C4"/>
    <w:rsid w:val="002B3DD5"/>
    <w:rsid w:val="002B68FC"/>
    <w:rsid w:val="002B74C4"/>
    <w:rsid w:val="002C1B62"/>
    <w:rsid w:val="002C1F03"/>
    <w:rsid w:val="002C1F90"/>
    <w:rsid w:val="002C4C6E"/>
    <w:rsid w:val="002C55A2"/>
    <w:rsid w:val="002C5C7F"/>
    <w:rsid w:val="002C5F82"/>
    <w:rsid w:val="002C6E0C"/>
    <w:rsid w:val="002D0A48"/>
    <w:rsid w:val="002D0E36"/>
    <w:rsid w:val="002D144A"/>
    <w:rsid w:val="002D1B36"/>
    <w:rsid w:val="002D279E"/>
    <w:rsid w:val="002D2B88"/>
    <w:rsid w:val="002D5606"/>
    <w:rsid w:val="002D5B66"/>
    <w:rsid w:val="002E029F"/>
    <w:rsid w:val="002E143E"/>
    <w:rsid w:val="002E1817"/>
    <w:rsid w:val="002E19A3"/>
    <w:rsid w:val="002E1BB0"/>
    <w:rsid w:val="002E212B"/>
    <w:rsid w:val="002E246A"/>
    <w:rsid w:val="002E3337"/>
    <w:rsid w:val="002E4384"/>
    <w:rsid w:val="002E4562"/>
    <w:rsid w:val="002E4ABB"/>
    <w:rsid w:val="002E5F0F"/>
    <w:rsid w:val="002E6D03"/>
    <w:rsid w:val="002E787F"/>
    <w:rsid w:val="002F49A8"/>
    <w:rsid w:val="002F4A15"/>
    <w:rsid w:val="002F5963"/>
    <w:rsid w:val="002F5E66"/>
    <w:rsid w:val="002F61CA"/>
    <w:rsid w:val="002F6A5B"/>
    <w:rsid w:val="0030010D"/>
    <w:rsid w:val="00300D4A"/>
    <w:rsid w:val="00301808"/>
    <w:rsid w:val="0030227F"/>
    <w:rsid w:val="00303701"/>
    <w:rsid w:val="0030638D"/>
    <w:rsid w:val="003072A2"/>
    <w:rsid w:val="003073EE"/>
    <w:rsid w:val="00310955"/>
    <w:rsid w:val="003114C6"/>
    <w:rsid w:val="0031170D"/>
    <w:rsid w:val="00312BB2"/>
    <w:rsid w:val="00315552"/>
    <w:rsid w:val="003155DC"/>
    <w:rsid w:val="0031562F"/>
    <w:rsid w:val="00315C2B"/>
    <w:rsid w:val="00315EB4"/>
    <w:rsid w:val="00316ADF"/>
    <w:rsid w:val="00320B9A"/>
    <w:rsid w:val="0032224C"/>
    <w:rsid w:val="00322CFF"/>
    <w:rsid w:val="00323431"/>
    <w:rsid w:val="0032354D"/>
    <w:rsid w:val="00323CF8"/>
    <w:rsid w:val="00325ADE"/>
    <w:rsid w:val="003260F0"/>
    <w:rsid w:val="00326E4E"/>
    <w:rsid w:val="00326F31"/>
    <w:rsid w:val="00327D70"/>
    <w:rsid w:val="003320B0"/>
    <w:rsid w:val="003328D5"/>
    <w:rsid w:val="00334EB9"/>
    <w:rsid w:val="0033504C"/>
    <w:rsid w:val="00336816"/>
    <w:rsid w:val="003370D0"/>
    <w:rsid w:val="00337297"/>
    <w:rsid w:val="00337355"/>
    <w:rsid w:val="003402E4"/>
    <w:rsid w:val="00340F95"/>
    <w:rsid w:val="00341FBE"/>
    <w:rsid w:val="003438D4"/>
    <w:rsid w:val="003444CB"/>
    <w:rsid w:val="00345B04"/>
    <w:rsid w:val="00346A86"/>
    <w:rsid w:val="003472B1"/>
    <w:rsid w:val="00347F5B"/>
    <w:rsid w:val="0035024B"/>
    <w:rsid w:val="003505EA"/>
    <w:rsid w:val="0035086C"/>
    <w:rsid w:val="00350AB7"/>
    <w:rsid w:val="00350FEE"/>
    <w:rsid w:val="0035116C"/>
    <w:rsid w:val="003531ED"/>
    <w:rsid w:val="00354E5A"/>
    <w:rsid w:val="0035781F"/>
    <w:rsid w:val="00357FCF"/>
    <w:rsid w:val="003602DF"/>
    <w:rsid w:val="00360B9A"/>
    <w:rsid w:val="00361C5C"/>
    <w:rsid w:val="00361E38"/>
    <w:rsid w:val="00362324"/>
    <w:rsid w:val="0036291A"/>
    <w:rsid w:val="003635A6"/>
    <w:rsid w:val="0036540D"/>
    <w:rsid w:val="00367420"/>
    <w:rsid w:val="00370435"/>
    <w:rsid w:val="003713B7"/>
    <w:rsid w:val="003719D5"/>
    <w:rsid w:val="00372290"/>
    <w:rsid w:val="003724A1"/>
    <w:rsid w:val="00374A27"/>
    <w:rsid w:val="00376640"/>
    <w:rsid w:val="00376E60"/>
    <w:rsid w:val="003818C9"/>
    <w:rsid w:val="00381D24"/>
    <w:rsid w:val="00381FAA"/>
    <w:rsid w:val="00383573"/>
    <w:rsid w:val="00383E1A"/>
    <w:rsid w:val="003852BA"/>
    <w:rsid w:val="0038551B"/>
    <w:rsid w:val="003873AB"/>
    <w:rsid w:val="0038743A"/>
    <w:rsid w:val="0039017F"/>
    <w:rsid w:val="00392066"/>
    <w:rsid w:val="00392AF7"/>
    <w:rsid w:val="00393200"/>
    <w:rsid w:val="00394AEE"/>
    <w:rsid w:val="00394E54"/>
    <w:rsid w:val="00395597"/>
    <w:rsid w:val="00396132"/>
    <w:rsid w:val="00396D84"/>
    <w:rsid w:val="003A0D20"/>
    <w:rsid w:val="003A2085"/>
    <w:rsid w:val="003A4295"/>
    <w:rsid w:val="003A455F"/>
    <w:rsid w:val="003A48CD"/>
    <w:rsid w:val="003A50CC"/>
    <w:rsid w:val="003A5FD6"/>
    <w:rsid w:val="003A7FC6"/>
    <w:rsid w:val="003B2076"/>
    <w:rsid w:val="003B629D"/>
    <w:rsid w:val="003B70F1"/>
    <w:rsid w:val="003B7391"/>
    <w:rsid w:val="003B7A3C"/>
    <w:rsid w:val="003C0263"/>
    <w:rsid w:val="003C0307"/>
    <w:rsid w:val="003C0B58"/>
    <w:rsid w:val="003C2D98"/>
    <w:rsid w:val="003C4740"/>
    <w:rsid w:val="003C684C"/>
    <w:rsid w:val="003C7CF1"/>
    <w:rsid w:val="003D081F"/>
    <w:rsid w:val="003D1E95"/>
    <w:rsid w:val="003D2BC9"/>
    <w:rsid w:val="003D332E"/>
    <w:rsid w:val="003D3A96"/>
    <w:rsid w:val="003D3B9C"/>
    <w:rsid w:val="003D45B7"/>
    <w:rsid w:val="003D49C6"/>
    <w:rsid w:val="003D5B39"/>
    <w:rsid w:val="003D5DD6"/>
    <w:rsid w:val="003D627B"/>
    <w:rsid w:val="003D6F8C"/>
    <w:rsid w:val="003E0CF9"/>
    <w:rsid w:val="003E65FC"/>
    <w:rsid w:val="003E6674"/>
    <w:rsid w:val="003F2B61"/>
    <w:rsid w:val="003F2CF1"/>
    <w:rsid w:val="003F395E"/>
    <w:rsid w:val="003F49C6"/>
    <w:rsid w:val="003F5D69"/>
    <w:rsid w:val="003F6396"/>
    <w:rsid w:val="003F6681"/>
    <w:rsid w:val="003F7AE3"/>
    <w:rsid w:val="00400597"/>
    <w:rsid w:val="00401D8B"/>
    <w:rsid w:val="00403045"/>
    <w:rsid w:val="00403F8D"/>
    <w:rsid w:val="00404F03"/>
    <w:rsid w:val="00412051"/>
    <w:rsid w:val="00413D56"/>
    <w:rsid w:val="00414433"/>
    <w:rsid w:val="004152D1"/>
    <w:rsid w:val="0041685E"/>
    <w:rsid w:val="00416CD2"/>
    <w:rsid w:val="00420247"/>
    <w:rsid w:val="00423B94"/>
    <w:rsid w:val="00423C1E"/>
    <w:rsid w:val="00423F6B"/>
    <w:rsid w:val="00424D8B"/>
    <w:rsid w:val="004255D4"/>
    <w:rsid w:val="004310AD"/>
    <w:rsid w:val="00434200"/>
    <w:rsid w:val="004354A2"/>
    <w:rsid w:val="00440450"/>
    <w:rsid w:val="00441077"/>
    <w:rsid w:val="00441205"/>
    <w:rsid w:val="004438DD"/>
    <w:rsid w:val="00443F4B"/>
    <w:rsid w:val="00445F8B"/>
    <w:rsid w:val="0044748C"/>
    <w:rsid w:val="00447D3C"/>
    <w:rsid w:val="0045005F"/>
    <w:rsid w:val="0045126E"/>
    <w:rsid w:val="004517F8"/>
    <w:rsid w:val="00452CF0"/>
    <w:rsid w:val="00453030"/>
    <w:rsid w:val="004533C8"/>
    <w:rsid w:val="00453475"/>
    <w:rsid w:val="00453AE3"/>
    <w:rsid w:val="00453E4B"/>
    <w:rsid w:val="00454448"/>
    <w:rsid w:val="0045618E"/>
    <w:rsid w:val="004578BA"/>
    <w:rsid w:val="00457D21"/>
    <w:rsid w:val="00460232"/>
    <w:rsid w:val="00461790"/>
    <w:rsid w:val="0046231B"/>
    <w:rsid w:val="004627B3"/>
    <w:rsid w:val="00463731"/>
    <w:rsid w:val="00463CF4"/>
    <w:rsid w:val="0046400A"/>
    <w:rsid w:val="004643C4"/>
    <w:rsid w:val="0046528F"/>
    <w:rsid w:val="00467B25"/>
    <w:rsid w:val="0047057C"/>
    <w:rsid w:val="00470DBB"/>
    <w:rsid w:val="00471760"/>
    <w:rsid w:val="00471B58"/>
    <w:rsid w:val="0047297A"/>
    <w:rsid w:val="004735A9"/>
    <w:rsid w:val="00473B10"/>
    <w:rsid w:val="00481108"/>
    <w:rsid w:val="00482460"/>
    <w:rsid w:val="00482F30"/>
    <w:rsid w:val="00484443"/>
    <w:rsid w:val="00484B07"/>
    <w:rsid w:val="00486B2B"/>
    <w:rsid w:val="0049042B"/>
    <w:rsid w:val="00491996"/>
    <w:rsid w:val="00494B60"/>
    <w:rsid w:val="00494E39"/>
    <w:rsid w:val="00495473"/>
    <w:rsid w:val="00495CDC"/>
    <w:rsid w:val="00497242"/>
    <w:rsid w:val="004A04EB"/>
    <w:rsid w:val="004A0D5A"/>
    <w:rsid w:val="004A3CE9"/>
    <w:rsid w:val="004A458E"/>
    <w:rsid w:val="004A6CF3"/>
    <w:rsid w:val="004B00F0"/>
    <w:rsid w:val="004B1DE4"/>
    <w:rsid w:val="004B23E7"/>
    <w:rsid w:val="004B306F"/>
    <w:rsid w:val="004B3A41"/>
    <w:rsid w:val="004B3EEA"/>
    <w:rsid w:val="004B4BB5"/>
    <w:rsid w:val="004B572B"/>
    <w:rsid w:val="004B586C"/>
    <w:rsid w:val="004C051C"/>
    <w:rsid w:val="004C12BC"/>
    <w:rsid w:val="004C1BED"/>
    <w:rsid w:val="004C1F40"/>
    <w:rsid w:val="004C2DE9"/>
    <w:rsid w:val="004C3186"/>
    <w:rsid w:val="004C5042"/>
    <w:rsid w:val="004C5206"/>
    <w:rsid w:val="004C5C20"/>
    <w:rsid w:val="004C60BC"/>
    <w:rsid w:val="004C6634"/>
    <w:rsid w:val="004C6709"/>
    <w:rsid w:val="004C7DCF"/>
    <w:rsid w:val="004D0D2A"/>
    <w:rsid w:val="004D1787"/>
    <w:rsid w:val="004D2603"/>
    <w:rsid w:val="004D2B88"/>
    <w:rsid w:val="004D32A1"/>
    <w:rsid w:val="004D3BB4"/>
    <w:rsid w:val="004D3C60"/>
    <w:rsid w:val="004D442A"/>
    <w:rsid w:val="004D4C9B"/>
    <w:rsid w:val="004D657E"/>
    <w:rsid w:val="004D756B"/>
    <w:rsid w:val="004E0EDF"/>
    <w:rsid w:val="004E147C"/>
    <w:rsid w:val="004E2688"/>
    <w:rsid w:val="004E376F"/>
    <w:rsid w:val="004E4422"/>
    <w:rsid w:val="004E6058"/>
    <w:rsid w:val="004F0377"/>
    <w:rsid w:val="004F12F6"/>
    <w:rsid w:val="004F2C03"/>
    <w:rsid w:val="004F2CBF"/>
    <w:rsid w:val="004F2F41"/>
    <w:rsid w:val="004F2F54"/>
    <w:rsid w:val="004F463A"/>
    <w:rsid w:val="004F4B61"/>
    <w:rsid w:val="004F4FE9"/>
    <w:rsid w:val="004F58B1"/>
    <w:rsid w:val="004F7D5E"/>
    <w:rsid w:val="00501FC5"/>
    <w:rsid w:val="005020DC"/>
    <w:rsid w:val="0050216F"/>
    <w:rsid w:val="00502B0F"/>
    <w:rsid w:val="00503998"/>
    <w:rsid w:val="0050623B"/>
    <w:rsid w:val="005075BE"/>
    <w:rsid w:val="00507C9A"/>
    <w:rsid w:val="005104DF"/>
    <w:rsid w:val="00510A1F"/>
    <w:rsid w:val="00510D1C"/>
    <w:rsid w:val="005142FB"/>
    <w:rsid w:val="00514777"/>
    <w:rsid w:val="005206D6"/>
    <w:rsid w:val="00520AF3"/>
    <w:rsid w:val="00521C6C"/>
    <w:rsid w:val="005228F2"/>
    <w:rsid w:val="00522B9A"/>
    <w:rsid w:val="00523181"/>
    <w:rsid w:val="005248BE"/>
    <w:rsid w:val="00524D13"/>
    <w:rsid w:val="00530E9D"/>
    <w:rsid w:val="005320DE"/>
    <w:rsid w:val="005339F6"/>
    <w:rsid w:val="005358C5"/>
    <w:rsid w:val="00541276"/>
    <w:rsid w:val="0054143F"/>
    <w:rsid w:val="00541D40"/>
    <w:rsid w:val="00543982"/>
    <w:rsid w:val="00544112"/>
    <w:rsid w:val="00544DE5"/>
    <w:rsid w:val="0054525C"/>
    <w:rsid w:val="00545A5E"/>
    <w:rsid w:val="005465BF"/>
    <w:rsid w:val="00546AEE"/>
    <w:rsid w:val="005505F4"/>
    <w:rsid w:val="005512B7"/>
    <w:rsid w:val="005519EF"/>
    <w:rsid w:val="00551BAA"/>
    <w:rsid w:val="00552C7A"/>
    <w:rsid w:val="00553E96"/>
    <w:rsid w:val="005541BE"/>
    <w:rsid w:val="005541D1"/>
    <w:rsid w:val="00554565"/>
    <w:rsid w:val="00555D21"/>
    <w:rsid w:val="005618AC"/>
    <w:rsid w:val="005619C1"/>
    <w:rsid w:val="00561ABA"/>
    <w:rsid w:val="00561BFA"/>
    <w:rsid w:val="0056404A"/>
    <w:rsid w:val="00565070"/>
    <w:rsid w:val="005658CC"/>
    <w:rsid w:val="005660DB"/>
    <w:rsid w:val="005702A3"/>
    <w:rsid w:val="00570865"/>
    <w:rsid w:val="00570B6A"/>
    <w:rsid w:val="005715A6"/>
    <w:rsid w:val="005721CD"/>
    <w:rsid w:val="00572D6E"/>
    <w:rsid w:val="0057356D"/>
    <w:rsid w:val="00576050"/>
    <w:rsid w:val="005767E4"/>
    <w:rsid w:val="00576B18"/>
    <w:rsid w:val="00576C62"/>
    <w:rsid w:val="00577854"/>
    <w:rsid w:val="00577EF1"/>
    <w:rsid w:val="00581F85"/>
    <w:rsid w:val="005823B0"/>
    <w:rsid w:val="005835E8"/>
    <w:rsid w:val="00583D3B"/>
    <w:rsid w:val="00584627"/>
    <w:rsid w:val="0058635A"/>
    <w:rsid w:val="00587348"/>
    <w:rsid w:val="00587724"/>
    <w:rsid w:val="00587AF4"/>
    <w:rsid w:val="00590E7E"/>
    <w:rsid w:val="005912EB"/>
    <w:rsid w:val="00591311"/>
    <w:rsid w:val="005914AE"/>
    <w:rsid w:val="00591512"/>
    <w:rsid w:val="00591722"/>
    <w:rsid w:val="00592A1B"/>
    <w:rsid w:val="00594E6D"/>
    <w:rsid w:val="005A150E"/>
    <w:rsid w:val="005A42C1"/>
    <w:rsid w:val="005A643F"/>
    <w:rsid w:val="005B0C96"/>
    <w:rsid w:val="005B251D"/>
    <w:rsid w:val="005B2D91"/>
    <w:rsid w:val="005B2ED8"/>
    <w:rsid w:val="005B31BC"/>
    <w:rsid w:val="005B48B4"/>
    <w:rsid w:val="005B6390"/>
    <w:rsid w:val="005B7902"/>
    <w:rsid w:val="005C0CB9"/>
    <w:rsid w:val="005C331A"/>
    <w:rsid w:val="005C51F6"/>
    <w:rsid w:val="005C6206"/>
    <w:rsid w:val="005C6661"/>
    <w:rsid w:val="005C6E3B"/>
    <w:rsid w:val="005C70E1"/>
    <w:rsid w:val="005D0B47"/>
    <w:rsid w:val="005D22AF"/>
    <w:rsid w:val="005D474B"/>
    <w:rsid w:val="005D5035"/>
    <w:rsid w:val="005D5897"/>
    <w:rsid w:val="005D7183"/>
    <w:rsid w:val="005E085C"/>
    <w:rsid w:val="005E102C"/>
    <w:rsid w:val="005E147D"/>
    <w:rsid w:val="005E1554"/>
    <w:rsid w:val="005E15AC"/>
    <w:rsid w:val="005E22C2"/>
    <w:rsid w:val="005E2351"/>
    <w:rsid w:val="005E57BB"/>
    <w:rsid w:val="005E6710"/>
    <w:rsid w:val="005E6C1D"/>
    <w:rsid w:val="005E7570"/>
    <w:rsid w:val="005F0017"/>
    <w:rsid w:val="005F00B9"/>
    <w:rsid w:val="005F2885"/>
    <w:rsid w:val="005F39AF"/>
    <w:rsid w:val="005F5461"/>
    <w:rsid w:val="005F612C"/>
    <w:rsid w:val="005F68E7"/>
    <w:rsid w:val="005F70DE"/>
    <w:rsid w:val="005F743D"/>
    <w:rsid w:val="006004B7"/>
    <w:rsid w:val="00600DF2"/>
    <w:rsid w:val="006014F1"/>
    <w:rsid w:val="00601538"/>
    <w:rsid w:val="006019EC"/>
    <w:rsid w:val="00602A83"/>
    <w:rsid w:val="0060321C"/>
    <w:rsid w:val="0061098B"/>
    <w:rsid w:val="0061347E"/>
    <w:rsid w:val="0061357B"/>
    <w:rsid w:val="00614A7D"/>
    <w:rsid w:val="00617D3B"/>
    <w:rsid w:val="00620243"/>
    <w:rsid w:val="0062099C"/>
    <w:rsid w:val="006209FF"/>
    <w:rsid w:val="006227FB"/>
    <w:rsid w:val="00622CF7"/>
    <w:rsid w:val="00623590"/>
    <w:rsid w:val="00626556"/>
    <w:rsid w:val="00627165"/>
    <w:rsid w:val="006273EA"/>
    <w:rsid w:val="00627519"/>
    <w:rsid w:val="0063059D"/>
    <w:rsid w:val="00631C37"/>
    <w:rsid w:val="00633ED6"/>
    <w:rsid w:val="0063631C"/>
    <w:rsid w:val="0063757B"/>
    <w:rsid w:val="006377CE"/>
    <w:rsid w:val="00637B74"/>
    <w:rsid w:val="006412FD"/>
    <w:rsid w:val="00644905"/>
    <w:rsid w:val="0064696E"/>
    <w:rsid w:val="00646EDE"/>
    <w:rsid w:val="006501F2"/>
    <w:rsid w:val="00650DAC"/>
    <w:rsid w:val="00650E35"/>
    <w:rsid w:val="00651B4F"/>
    <w:rsid w:val="006537D9"/>
    <w:rsid w:val="006545B1"/>
    <w:rsid w:val="00655E4D"/>
    <w:rsid w:val="006575EC"/>
    <w:rsid w:val="0066065F"/>
    <w:rsid w:val="00660CA8"/>
    <w:rsid w:val="00660D75"/>
    <w:rsid w:val="0066182D"/>
    <w:rsid w:val="0066199D"/>
    <w:rsid w:val="00664A48"/>
    <w:rsid w:val="00665DEF"/>
    <w:rsid w:val="00665F55"/>
    <w:rsid w:val="00673330"/>
    <w:rsid w:val="0067370A"/>
    <w:rsid w:val="00673973"/>
    <w:rsid w:val="0067561F"/>
    <w:rsid w:val="00675BB1"/>
    <w:rsid w:val="00675D6B"/>
    <w:rsid w:val="006775F1"/>
    <w:rsid w:val="00677B23"/>
    <w:rsid w:val="00677CF8"/>
    <w:rsid w:val="00677DAD"/>
    <w:rsid w:val="00681A59"/>
    <w:rsid w:val="00681C18"/>
    <w:rsid w:val="00681E96"/>
    <w:rsid w:val="006821DD"/>
    <w:rsid w:val="006824D0"/>
    <w:rsid w:val="006849A0"/>
    <w:rsid w:val="00684CD3"/>
    <w:rsid w:val="0068582D"/>
    <w:rsid w:val="00687B31"/>
    <w:rsid w:val="00690651"/>
    <w:rsid w:val="006907BD"/>
    <w:rsid w:val="00691167"/>
    <w:rsid w:val="0069226B"/>
    <w:rsid w:val="00692AA7"/>
    <w:rsid w:val="00692F6D"/>
    <w:rsid w:val="00692FCC"/>
    <w:rsid w:val="00693543"/>
    <w:rsid w:val="00695086"/>
    <w:rsid w:val="006950CD"/>
    <w:rsid w:val="006952C5"/>
    <w:rsid w:val="00696B0C"/>
    <w:rsid w:val="00697FEC"/>
    <w:rsid w:val="006A175F"/>
    <w:rsid w:val="006A1F71"/>
    <w:rsid w:val="006A3488"/>
    <w:rsid w:val="006A3B01"/>
    <w:rsid w:val="006A44F5"/>
    <w:rsid w:val="006A5E1E"/>
    <w:rsid w:val="006A60A9"/>
    <w:rsid w:val="006A6BF2"/>
    <w:rsid w:val="006B0051"/>
    <w:rsid w:val="006B0DE1"/>
    <w:rsid w:val="006B2CC9"/>
    <w:rsid w:val="006B3B54"/>
    <w:rsid w:val="006B3F50"/>
    <w:rsid w:val="006B4537"/>
    <w:rsid w:val="006B5A95"/>
    <w:rsid w:val="006B5F78"/>
    <w:rsid w:val="006B5F85"/>
    <w:rsid w:val="006B6929"/>
    <w:rsid w:val="006B709B"/>
    <w:rsid w:val="006C0956"/>
    <w:rsid w:val="006C0E7B"/>
    <w:rsid w:val="006C12CE"/>
    <w:rsid w:val="006C312F"/>
    <w:rsid w:val="006C33CE"/>
    <w:rsid w:val="006C3D4B"/>
    <w:rsid w:val="006C4F48"/>
    <w:rsid w:val="006C5387"/>
    <w:rsid w:val="006C54AF"/>
    <w:rsid w:val="006C7166"/>
    <w:rsid w:val="006C76B1"/>
    <w:rsid w:val="006C7A77"/>
    <w:rsid w:val="006D04B5"/>
    <w:rsid w:val="006D09C3"/>
    <w:rsid w:val="006D15C2"/>
    <w:rsid w:val="006D1CD8"/>
    <w:rsid w:val="006D50A0"/>
    <w:rsid w:val="006D6728"/>
    <w:rsid w:val="006D6BD0"/>
    <w:rsid w:val="006D7363"/>
    <w:rsid w:val="006E0181"/>
    <w:rsid w:val="006E1DC7"/>
    <w:rsid w:val="006E367A"/>
    <w:rsid w:val="006E38EB"/>
    <w:rsid w:val="006E3D58"/>
    <w:rsid w:val="006E41FC"/>
    <w:rsid w:val="006E43EE"/>
    <w:rsid w:val="006E4489"/>
    <w:rsid w:val="006E6762"/>
    <w:rsid w:val="006E7FF2"/>
    <w:rsid w:val="006F092F"/>
    <w:rsid w:val="006F138E"/>
    <w:rsid w:val="006F3E0A"/>
    <w:rsid w:val="006F5495"/>
    <w:rsid w:val="006F579F"/>
    <w:rsid w:val="006F63F9"/>
    <w:rsid w:val="007008CB"/>
    <w:rsid w:val="00700C0E"/>
    <w:rsid w:val="00701067"/>
    <w:rsid w:val="00701CB0"/>
    <w:rsid w:val="00701E96"/>
    <w:rsid w:val="00702D19"/>
    <w:rsid w:val="007032DD"/>
    <w:rsid w:val="007057B1"/>
    <w:rsid w:val="007059F0"/>
    <w:rsid w:val="00705DAD"/>
    <w:rsid w:val="00707FD7"/>
    <w:rsid w:val="0071096B"/>
    <w:rsid w:val="00711EDF"/>
    <w:rsid w:val="00712418"/>
    <w:rsid w:val="007124E4"/>
    <w:rsid w:val="0071300D"/>
    <w:rsid w:val="00713E38"/>
    <w:rsid w:val="00714B16"/>
    <w:rsid w:val="0071793F"/>
    <w:rsid w:val="00720145"/>
    <w:rsid w:val="00720719"/>
    <w:rsid w:val="007214C4"/>
    <w:rsid w:val="00721EED"/>
    <w:rsid w:val="007225F8"/>
    <w:rsid w:val="00722608"/>
    <w:rsid w:val="00722DC7"/>
    <w:rsid w:val="007247B9"/>
    <w:rsid w:val="00725843"/>
    <w:rsid w:val="00727949"/>
    <w:rsid w:val="007279C4"/>
    <w:rsid w:val="00727D85"/>
    <w:rsid w:val="0073003C"/>
    <w:rsid w:val="00732606"/>
    <w:rsid w:val="007332B7"/>
    <w:rsid w:val="007346C7"/>
    <w:rsid w:val="00734A5E"/>
    <w:rsid w:val="00735A47"/>
    <w:rsid w:val="00736041"/>
    <w:rsid w:val="007365DD"/>
    <w:rsid w:val="00736D45"/>
    <w:rsid w:val="00736FEF"/>
    <w:rsid w:val="00737154"/>
    <w:rsid w:val="007408C7"/>
    <w:rsid w:val="007416BD"/>
    <w:rsid w:val="007428DD"/>
    <w:rsid w:val="00742A61"/>
    <w:rsid w:val="00745371"/>
    <w:rsid w:val="007465DA"/>
    <w:rsid w:val="00747C5E"/>
    <w:rsid w:val="007525A6"/>
    <w:rsid w:val="00752C7F"/>
    <w:rsid w:val="00752CA0"/>
    <w:rsid w:val="00752EF8"/>
    <w:rsid w:val="00754F88"/>
    <w:rsid w:val="00755E13"/>
    <w:rsid w:val="007561AF"/>
    <w:rsid w:val="00756DD1"/>
    <w:rsid w:val="00757480"/>
    <w:rsid w:val="00760F48"/>
    <w:rsid w:val="00764942"/>
    <w:rsid w:val="00764F97"/>
    <w:rsid w:val="007659FF"/>
    <w:rsid w:val="00770275"/>
    <w:rsid w:val="00770CC8"/>
    <w:rsid w:val="00770FED"/>
    <w:rsid w:val="00771958"/>
    <w:rsid w:val="00771AFE"/>
    <w:rsid w:val="00771F14"/>
    <w:rsid w:val="00772798"/>
    <w:rsid w:val="00772F59"/>
    <w:rsid w:val="00773E26"/>
    <w:rsid w:val="00773F96"/>
    <w:rsid w:val="007753B0"/>
    <w:rsid w:val="00776598"/>
    <w:rsid w:val="00776C99"/>
    <w:rsid w:val="00780607"/>
    <w:rsid w:val="00782254"/>
    <w:rsid w:val="007830DC"/>
    <w:rsid w:val="00784541"/>
    <w:rsid w:val="00786CA8"/>
    <w:rsid w:val="00787949"/>
    <w:rsid w:val="00791F84"/>
    <w:rsid w:val="00792948"/>
    <w:rsid w:val="00793223"/>
    <w:rsid w:val="007934C3"/>
    <w:rsid w:val="007953E1"/>
    <w:rsid w:val="007960C6"/>
    <w:rsid w:val="00796E84"/>
    <w:rsid w:val="007A1046"/>
    <w:rsid w:val="007A11F2"/>
    <w:rsid w:val="007A1F70"/>
    <w:rsid w:val="007A3374"/>
    <w:rsid w:val="007A3ADE"/>
    <w:rsid w:val="007A5733"/>
    <w:rsid w:val="007A5774"/>
    <w:rsid w:val="007B2BD4"/>
    <w:rsid w:val="007B554C"/>
    <w:rsid w:val="007C1D6B"/>
    <w:rsid w:val="007C5161"/>
    <w:rsid w:val="007C67ED"/>
    <w:rsid w:val="007C69BD"/>
    <w:rsid w:val="007C78AE"/>
    <w:rsid w:val="007D1119"/>
    <w:rsid w:val="007D14CF"/>
    <w:rsid w:val="007D26C6"/>
    <w:rsid w:val="007D26E2"/>
    <w:rsid w:val="007D41DA"/>
    <w:rsid w:val="007E3A3D"/>
    <w:rsid w:val="007E577F"/>
    <w:rsid w:val="007E64F3"/>
    <w:rsid w:val="007F022E"/>
    <w:rsid w:val="007F1002"/>
    <w:rsid w:val="007F1CA4"/>
    <w:rsid w:val="007F23E4"/>
    <w:rsid w:val="007F3814"/>
    <w:rsid w:val="007F59D0"/>
    <w:rsid w:val="0080028E"/>
    <w:rsid w:val="00801E74"/>
    <w:rsid w:val="00802B73"/>
    <w:rsid w:val="00803429"/>
    <w:rsid w:val="008046A7"/>
    <w:rsid w:val="0080485E"/>
    <w:rsid w:val="0080502B"/>
    <w:rsid w:val="0080685B"/>
    <w:rsid w:val="00807D44"/>
    <w:rsid w:val="00810292"/>
    <w:rsid w:val="0081052B"/>
    <w:rsid w:val="00813456"/>
    <w:rsid w:val="008142B4"/>
    <w:rsid w:val="0081432E"/>
    <w:rsid w:val="00814697"/>
    <w:rsid w:val="008147F1"/>
    <w:rsid w:val="0081539B"/>
    <w:rsid w:val="00815533"/>
    <w:rsid w:val="0081797A"/>
    <w:rsid w:val="00817FEA"/>
    <w:rsid w:val="00820759"/>
    <w:rsid w:val="008218BA"/>
    <w:rsid w:val="00822469"/>
    <w:rsid w:val="008228CA"/>
    <w:rsid w:val="00823BC7"/>
    <w:rsid w:val="0082729E"/>
    <w:rsid w:val="00831BAB"/>
    <w:rsid w:val="00832065"/>
    <w:rsid w:val="00832324"/>
    <w:rsid w:val="00833FE8"/>
    <w:rsid w:val="00834197"/>
    <w:rsid w:val="00835337"/>
    <w:rsid w:val="00836FF2"/>
    <w:rsid w:val="008417FE"/>
    <w:rsid w:val="0084244D"/>
    <w:rsid w:val="00843225"/>
    <w:rsid w:val="00844228"/>
    <w:rsid w:val="008460AD"/>
    <w:rsid w:val="00846784"/>
    <w:rsid w:val="00846DCD"/>
    <w:rsid w:val="00847716"/>
    <w:rsid w:val="0084779E"/>
    <w:rsid w:val="00847ACB"/>
    <w:rsid w:val="00851D85"/>
    <w:rsid w:val="00852598"/>
    <w:rsid w:val="00852E1E"/>
    <w:rsid w:val="008530B6"/>
    <w:rsid w:val="00853FE0"/>
    <w:rsid w:val="00854C4D"/>
    <w:rsid w:val="00855F45"/>
    <w:rsid w:val="00856CCD"/>
    <w:rsid w:val="00860CCB"/>
    <w:rsid w:val="00862D86"/>
    <w:rsid w:val="00862E07"/>
    <w:rsid w:val="008632CA"/>
    <w:rsid w:val="0086500C"/>
    <w:rsid w:val="00865870"/>
    <w:rsid w:val="00870CE9"/>
    <w:rsid w:val="00871F6B"/>
    <w:rsid w:val="008724B6"/>
    <w:rsid w:val="00872A79"/>
    <w:rsid w:val="008730CA"/>
    <w:rsid w:val="008740A3"/>
    <w:rsid w:val="008759A5"/>
    <w:rsid w:val="008773FD"/>
    <w:rsid w:val="008774F7"/>
    <w:rsid w:val="008823C8"/>
    <w:rsid w:val="00883CDD"/>
    <w:rsid w:val="00884CFF"/>
    <w:rsid w:val="00886592"/>
    <w:rsid w:val="00887887"/>
    <w:rsid w:val="008911CD"/>
    <w:rsid w:val="0089297B"/>
    <w:rsid w:val="0089321C"/>
    <w:rsid w:val="008935C6"/>
    <w:rsid w:val="00894D49"/>
    <w:rsid w:val="008973CE"/>
    <w:rsid w:val="008A18C4"/>
    <w:rsid w:val="008A2B64"/>
    <w:rsid w:val="008A2C64"/>
    <w:rsid w:val="008A2F44"/>
    <w:rsid w:val="008A346F"/>
    <w:rsid w:val="008A57AE"/>
    <w:rsid w:val="008A60BF"/>
    <w:rsid w:val="008A6C49"/>
    <w:rsid w:val="008A7017"/>
    <w:rsid w:val="008B1204"/>
    <w:rsid w:val="008B1E60"/>
    <w:rsid w:val="008B2038"/>
    <w:rsid w:val="008B4993"/>
    <w:rsid w:val="008B4CF6"/>
    <w:rsid w:val="008B62AA"/>
    <w:rsid w:val="008B62EE"/>
    <w:rsid w:val="008C12CD"/>
    <w:rsid w:val="008C36CA"/>
    <w:rsid w:val="008C49DC"/>
    <w:rsid w:val="008C4BB0"/>
    <w:rsid w:val="008C4C00"/>
    <w:rsid w:val="008C61F6"/>
    <w:rsid w:val="008C67C1"/>
    <w:rsid w:val="008C6DDE"/>
    <w:rsid w:val="008D0AC7"/>
    <w:rsid w:val="008D1AD3"/>
    <w:rsid w:val="008D1B48"/>
    <w:rsid w:val="008D4186"/>
    <w:rsid w:val="008D47BD"/>
    <w:rsid w:val="008D5C5D"/>
    <w:rsid w:val="008D5D5D"/>
    <w:rsid w:val="008D79CA"/>
    <w:rsid w:val="008E07A6"/>
    <w:rsid w:val="008E15BC"/>
    <w:rsid w:val="008E3B3E"/>
    <w:rsid w:val="008E3F8C"/>
    <w:rsid w:val="008E475F"/>
    <w:rsid w:val="008E5E52"/>
    <w:rsid w:val="008E6014"/>
    <w:rsid w:val="008E68E6"/>
    <w:rsid w:val="008E72F3"/>
    <w:rsid w:val="008F131F"/>
    <w:rsid w:val="008F5926"/>
    <w:rsid w:val="008F64AE"/>
    <w:rsid w:val="008F7647"/>
    <w:rsid w:val="009011F6"/>
    <w:rsid w:val="009019BE"/>
    <w:rsid w:val="009021F5"/>
    <w:rsid w:val="00902301"/>
    <w:rsid w:val="00902FD0"/>
    <w:rsid w:val="009038B3"/>
    <w:rsid w:val="00903ADC"/>
    <w:rsid w:val="00903E3F"/>
    <w:rsid w:val="009053D3"/>
    <w:rsid w:val="0090691F"/>
    <w:rsid w:val="009121CE"/>
    <w:rsid w:val="00912F07"/>
    <w:rsid w:val="0091305D"/>
    <w:rsid w:val="00914399"/>
    <w:rsid w:val="0091460F"/>
    <w:rsid w:val="00914C6F"/>
    <w:rsid w:val="00914EA4"/>
    <w:rsid w:val="0091592A"/>
    <w:rsid w:val="009160A1"/>
    <w:rsid w:val="009163A3"/>
    <w:rsid w:val="00916502"/>
    <w:rsid w:val="0091776D"/>
    <w:rsid w:val="0092058A"/>
    <w:rsid w:val="00921991"/>
    <w:rsid w:val="009222D2"/>
    <w:rsid w:val="0093111F"/>
    <w:rsid w:val="009321AC"/>
    <w:rsid w:val="0093349A"/>
    <w:rsid w:val="00933D8B"/>
    <w:rsid w:val="00935269"/>
    <w:rsid w:val="00935689"/>
    <w:rsid w:val="00936054"/>
    <w:rsid w:val="009409EF"/>
    <w:rsid w:val="00942486"/>
    <w:rsid w:val="0094423B"/>
    <w:rsid w:val="00944ACC"/>
    <w:rsid w:val="00944DB9"/>
    <w:rsid w:val="00945002"/>
    <w:rsid w:val="00947F21"/>
    <w:rsid w:val="009502DE"/>
    <w:rsid w:val="009506FB"/>
    <w:rsid w:val="00952B4A"/>
    <w:rsid w:val="00952EAA"/>
    <w:rsid w:val="00952ED7"/>
    <w:rsid w:val="0095303B"/>
    <w:rsid w:val="009531BE"/>
    <w:rsid w:val="00953344"/>
    <w:rsid w:val="00953CCD"/>
    <w:rsid w:val="009549CB"/>
    <w:rsid w:val="00954C4F"/>
    <w:rsid w:val="00957106"/>
    <w:rsid w:val="00960760"/>
    <w:rsid w:val="00961A79"/>
    <w:rsid w:val="00961F64"/>
    <w:rsid w:val="00965972"/>
    <w:rsid w:val="00965C90"/>
    <w:rsid w:val="009663B6"/>
    <w:rsid w:val="00970B57"/>
    <w:rsid w:val="0097214C"/>
    <w:rsid w:val="00972E1B"/>
    <w:rsid w:val="009740B7"/>
    <w:rsid w:val="009748CB"/>
    <w:rsid w:val="00974A47"/>
    <w:rsid w:val="00975553"/>
    <w:rsid w:val="00977D51"/>
    <w:rsid w:val="00980286"/>
    <w:rsid w:val="009809BB"/>
    <w:rsid w:val="00981B08"/>
    <w:rsid w:val="00983A8F"/>
    <w:rsid w:val="00986A46"/>
    <w:rsid w:val="009909EF"/>
    <w:rsid w:val="00990AC2"/>
    <w:rsid w:val="00990D1B"/>
    <w:rsid w:val="00990DCF"/>
    <w:rsid w:val="0099105E"/>
    <w:rsid w:val="009915F4"/>
    <w:rsid w:val="0099164B"/>
    <w:rsid w:val="0099314F"/>
    <w:rsid w:val="00993C66"/>
    <w:rsid w:val="0099435C"/>
    <w:rsid w:val="009945F6"/>
    <w:rsid w:val="00997D04"/>
    <w:rsid w:val="009A0CC9"/>
    <w:rsid w:val="009A4CD6"/>
    <w:rsid w:val="009A537C"/>
    <w:rsid w:val="009A67BB"/>
    <w:rsid w:val="009A71A0"/>
    <w:rsid w:val="009A7C64"/>
    <w:rsid w:val="009B0B85"/>
    <w:rsid w:val="009B15A3"/>
    <w:rsid w:val="009B1E69"/>
    <w:rsid w:val="009B33C2"/>
    <w:rsid w:val="009B52F9"/>
    <w:rsid w:val="009B5644"/>
    <w:rsid w:val="009B5B37"/>
    <w:rsid w:val="009B796D"/>
    <w:rsid w:val="009B796F"/>
    <w:rsid w:val="009C0886"/>
    <w:rsid w:val="009C1559"/>
    <w:rsid w:val="009C19EE"/>
    <w:rsid w:val="009C28D0"/>
    <w:rsid w:val="009C35F2"/>
    <w:rsid w:val="009C3AAE"/>
    <w:rsid w:val="009C64A7"/>
    <w:rsid w:val="009C6DAB"/>
    <w:rsid w:val="009C7782"/>
    <w:rsid w:val="009C7B78"/>
    <w:rsid w:val="009C7FD2"/>
    <w:rsid w:val="009D0A16"/>
    <w:rsid w:val="009D161C"/>
    <w:rsid w:val="009D1BAA"/>
    <w:rsid w:val="009D1ED5"/>
    <w:rsid w:val="009D4C13"/>
    <w:rsid w:val="009D4F2B"/>
    <w:rsid w:val="009D5232"/>
    <w:rsid w:val="009D7B7F"/>
    <w:rsid w:val="009E01C7"/>
    <w:rsid w:val="009E1551"/>
    <w:rsid w:val="009E1F3B"/>
    <w:rsid w:val="009E1FD7"/>
    <w:rsid w:val="009E21A7"/>
    <w:rsid w:val="009E2711"/>
    <w:rsid w:val="009E40FE"/>
    <w:rsid w:val="009E4713"/>
    <w:rsid w:val="009E4728"/>
    <w:rsid w:val="009E4C5C"/>
    <w:rsid w:val="009E5137"/>
    <w:rsid w:val="009E6704"/>
    <w:rsid w:val="009E7254"/>
    <w:rsid w:val="009F3F96"/>
    <w:rsid w:val="009F403D"/>
    <w:rsid w:val="009F53EB"/>
    <w:rsid w:val="009F6285"/>
    <w:rsid w:val="009F78C4"/>
    <w:rsid w:val="00A00F2D"/>
    <w:rsid w:val="00A01385"/>
    <w:rsid w:val="00A02C16"/>
    <w:rsid w:val="00A06B03"/>
    <w:rsid w:val="00A07BD4"/>
    <w:rsid w:val="00A103ED"/>
    <w:rsid w:val="00A13462"/>
    <w:rsid w:val="00A13C60"/>
    <w:rsid w:val="00A16EFE"/>
    <w:rsid w:val="00A174C2"/>
    <w:rsid w:val="00A177FC"/>
    <w:rsid w:val="00A208D5"/>
    <w:rsid w:val="00A24921"/>
    <w:rsid w:val="00A24E30"/>
    <w:rsid w:val="00A24FE6"/>
    <w:rsid w:val="00A2551E"/>
    <w:rsid w:val="00A3007B"/>
    <w:rsid w:val="00A31C0F"/>
    <w:rsid w:val="00A33EE8"/>
    <w:rsid w:val="00A33F4B"/>
    <w:rsid w:val="00A341A3"/>
    <w:rsid w:val="00A34231"/>
    <w:rsid w:val="00A34324"/>
    <w:rsid w:val="00A34607"/>
    <w:rsid w:val="00A3474D"/>
    <w:rsid w:val="00A35800"/>
    <w:rsid w:val="00A37796"/>
    <w:rsid w:val="00A40D98"/>
    <w:rsid w:val="00A4116B"/>
    <w:rsid w:val="00A43C65"/>
    <w:rsid w:val="00A45110"/>
    <w:rsid w:val="00A45638"/>
    <w:rsid w:val="00A4786A"/>
    <w:rsid w:val="00A5023B"/>
    <w:rsid w:val="00A52918"/>
    <w:rsid w:val="00A544AF"/>
    <w:rsid w:val="00A547B3"/>
    <w:rsid w:val="00A55632"/>
    <w:rsid w:val="00A564DC"/>
    <w:rsid w:val="00A56C65"/>
    <w:rsid w:val="00A57B12"/>
    <w:rsid w:val="00A6041E"/>
    <w:rsid w:val="00A608DB"/>
    <w:rsid w:val="00A60B00"/>
    <w:rsid w:val="00A61DBD"/>
    <w:rsid w:val="00A623F5"/>
    <w:rsid w:val="00A676F3"/>
    <w:rsid w:val="00A7024A"/>
    <w:rsid w:val="00A70DEC"/>
    <w:rsid w:val="00A70E82"/>
    <w:rsid w:val="00A73E6E"/>
    <w:rsid w:val="00A76DDE"/>
    <w:rsid w:val="00A84CAD"/>
    <w:rsid w:val="00A85F1D"/>
    <w:rsid w:val="00A87154"/>
    <w:rsid w:val="00A873C7"/>
    <w:rsid w:val="00A8775D"/>
    <w:rsid w:val="00A90228"/>
    <w:rsid w:val="00A90E50"/>
    <w:rsid w:val="00A92FB8"/>
    <w:rsid w:val="00A94A8B"/>
    <w:rsid w:val="00A95FA5"/>
    <w:rsid w:val="00A96043"/>
    <w:rsid w:val="00A96190"/>
    <w:rsid w:val="00A96D92"/>
    <w:rsid w:val="00A97609"/>
    <w:rsid w:val="00A97866"/>
    <w:rsid w:val="00AA0400"/>
    <w:rsid w:val="00AA0C98"/>
    <w:rsid w:val="00AA3C76"/>
    <w:rsid w:val="00AA3E18"/>
    <w:rsid w:val="00AA4189"/>
    <w:rsid w:val="00AA474D"/>
    <w:rsid w:val="00AA65A7"/>
    <w:rsid w:val="00AA68FC"/>
    <w:rsid w:val="00AA6C6F"/>
    <w:rsid w:val="00AB0032"/>
    <w:rsid w:val="00AB1FB6"/>
    <w:rsid w:val="00AB298D"/>
    <w:rsid w:val="00AB3098"/>
    <w:rsid w:val="00AB3733"/>
    <w:rsid w:val="00AB3A2E"/>
    <w:rsid w:val="00AB6CF1"/>
    <w:rsid w:val="00AB7897"/>
    <w:rsid w:val="00AB7DDE"/>
    <w:rsid w:val="00AC00B8"/>
    <w:rsid w:val="00AC145D"/>
    <w:rsid w:val="00AC2659"/>
    <w:rsid w:val="00AC4F59"/>
    <w:rsid w:val="00AC5054"/>
    <w:rsid w:val="00AC5AA2"/>
    <w:rsid w:val="00AD0258"/>
    <w:rsid w:val="00AD0B91"/>
    <w:rsid w:val="00AD4363"/>
    <w:rsid w:val="00AD48BE"/>
    <w:rsid w:val="00AD54B5"/>
    <w:rsid w:val="00AD5946"/>
    <w:rsid w:val="00AD657F"/>
    <w:rsid w:val="00AD6852"/>
    <w:rsid w:val="00AE0061"/>
    <w:rsid w:val="00AE0C5C"/>
    <w:rsid w:val="00AE0DC4"/>
    <w:rsid w:val="00AE4BAC"/>
    <w:rsid w:val="00AE5F3F"/>
    <w:rsid w:val="00AF1066"/>
    <w:rsid w:val="00AF2430"/>
    <w:rsid w:val="00AF26B5"/>
    <w:rsid w:val="00AF5B6B"/>
    <w:rsid w:val="00AF5BF0"/>
    <w:rsid w:val="00AF6378"/>
    <w:rsid w:val="00AF762A"/>
    <w:rsid w:val="00B02516"/>
    <w:rsid w:val="00B032D9"/>
    <w:rsid w:val="00B034FC"/>
    <w:rsid w:val="00B042B9"/>
    <w:rsid w:val="00B04758"/>
    <w:rsid w:val="00B05310"/>
    <w:rsid w:val="00B057E6"/>
    <w:rsid w:val="00B072FF"/>
    <w:rsid w:val="00B10A0B"/>
    <w:rsid w:val="00B137AD"/>
    <w:rsid w:val="00B138AB"/>
    <w:rsid w:val="00B143D0"/>
    <w:rsid w:val="00B174B9"/>
    <w:rsid w:val="00B24561"/>
    <w:rsid w:val="00B25AD0"/>
    <w:rsid w:val="00B30D85"/>
    <w:rsid w:val="00B31285"/>
    <w:rsid w:val="00B35A4A"/>
    <w:rsid w:val="00B35F99"/>
    <w:rsid w:val="00B376DA"/>
    <w:rsid w:val="00B40308"/>
    <w:rsid w:val="00B409DA"/>
    <w:rsid w:val="00B4120C"/>
    <w:rsid w:val="00B41C08"/>
    <w:rsid w:val="00B42083"/>
    <w:rsid w:val="00B42939"/>
    <w:rsid w:val="00B45426"/>
    <w:rsid w:val="00B45D47"/>
    <w:rsid w:val="00B470A3"/>
    <w:rsid w:val="00B47325"/>
    <w:rsid w:val="00B47947"/>
    <w:rsid w:val="00B50496"/>
    <w:rsid w:val="00B513D7"/>
    <w:rsid w:val="00B51F44"/>
    <w:rsid w:val="00B52AB4"/>
    <w:rsid w:val="00B52EBF"/>
    <w:rsid w:val="00B5333D"/>
    <w:rsid w:val="00B53AB7"/>
    <w:rsid w:val="00B53C65"/>
    <w:rsid w:val="00B5664D"/>
    <w:rsid w:val="00B575A2"/>
    <w:rsid w:val="00B57B42"/>
    <w:rsid w:val="00B6048E"/>
    <w:rsid w:val="00B60D46"/>
    <w:rsid w:val="00B613E8"/>
    <w:rsid w:val="00B61E9F"/>
    <w:rsid w:val="00B62AA9"/>
    <w:rsid w:val="00B63FD7"/>
    <w:rsid w:val="00B641AB"/>
    <w:rsid w:val="00B64D51"/>
    <w:rsid w:val="00B65AA4"/>
    <w:rsid w:val="00B67866"/>
    <w:rsid w:val="00B67AF0"/>
    <w:rsid w:val="00B709AE"/>
    <w:rsid w:val="00B70C8E"/>
    <w:rsid w:val="00B713D2"/>
    <w:rsid w:val="00B72625"/>
    <w:rsid w:val="00B7298C"/>
    <w:rsid w:val="00B741B1"/>
    <w:rsid w:val="00B75A5F"/>
    <w:rsid w:val="00B76694"/>
    <w:rsid w:val="00B7710A"/>
    <w:rsid w:val="00B77666"/>
    <w:rsid w:val="00B815BB"/>
    <w:rsid w:val="00B816D9"/>
    <w:rsid w:val="00B81D5A"/>
    <w:rsid w:val="00B8212C"/>
    <w:rsid w:val="00B8339A"/>
    <w:rsid w:val="00B8390C"/>
    <w:rsid w:val="00B83EC4"/>
    <w:rsid w:val="00B8423B"/>
    <w:rsid w:val="00B8445D"/>
    <w:rsid w:val="00B85C25"/>
    <w:rsid w:val="00B86E0D"/>
    <w:rsid w:val="00B9120F"/>
    <w:rsid w:val="00B9216C"/>
    <w:rsid w:val="00B924A4"/>
    <w:rsid w:val="00B937C0"/>
    <w:rsid w:val="00BA161C"/>
    <w:rsid w:val="00BA307A"/>
    <w:rsid w:val="00BA37CC"/>
    <w:rsid w:val="00BA39D1"/>
    <w:rsid w:val="00BA6448"/>
    <w:rsid w:val="00BA6924"/>
    <w:rsid w:val="00BA6DE6"/>
    <w:rsid w:val="00BA6E37"/>
    <w:rsid w:val="00BA723D"/>
    <w:rsid w:val="00BB08BD"/>
    <w:rsid w:val="00BB0D1A"/>
    <w:rsid w:val="00BB17C4"/>
    <w:rsid w:val="00BB1970"/>
    <w:rsid w:val="00BB1D3B"/>
    <w:rsid w:val="00BB29E8"/>
    <w:rsid w:val="00BB3B59"/>
    <w:rsid w:val="00BB677D"/>
    <w:rsid w:val="00BC0183"/>
    <w:rsid w:val="00BC147B"/>
    <w:rsid w:val="00BC2896"/>
    <w:rsid w:val="00BC35ED"/>
    <w:rsid w:val="00BC4294"/>
    <w:rsid w:val="00BC44EE"/>
    <w:rsid w:val="00BC589B"/>
    <w:rsid w:val="00BC5C30"/>
    <w:rsid w:val="00BC7AFC"/>
    <w:rsid w:val="00BD2104"/>
    <w:rsid w:val="00BD3827"/>
    <w:rsid w:val="00BD689E"/>
    <w:rsid w:val="00BD76D2"/>
    <w:rsid w:val="00BE1D41"/>
    <w:rsid w:val="00BE205A"/>
    <w:rsid w:val="00BE3802"/>
    <w:rsid w:val="00BE39F5"/>
    <w:rsid w:val="00BE4BA7"/>
    <w:rsid w:val="00BE5F59"/>
    <w:rsid w:val="00BE6EB6"/>
    <w:rsid w:val="00BF0700"/>
    <w:rsid w:val="00BF0FC7"/>
    <w:rsid w:val="00BF1213"/>
    <w:rsid w:val="00BF135A"/>
    <w:rsid w:val="00BF238E"/>
    <w:rsid w:val="00BF2F4A"/>
    <w:rsid w:val="00BF381E"/>
    <w:rsid w:val="00BF3F56"/>
    <w:rsid w:val="00BF4BB7"/>
    <w:rsid w:val="00BF544D"/>
    <w:rsid w:val="00BF62E6"/>
    <w:rsid w:val="00BF6BD7"/>
    <w:rsid w:val="00BF7FAE"/>
    <w:rsid w:val="00C0064A"/>
    <w:rsid w:val="00C0076F"/>
    <w:rsid w:val="00C00F50"/>
    <w:rsid w:val="00C024E5"/>
    <w:rsid w:val="00C0301C"/>
    <w:rsid w:val="00C032DF"/>
    <w:rsid w:val="00C03BED"/>
    <w:rsid w:val="00C050B6"/>
    <w:rsid w:val="00C06577"/>
    <w:rsid w:val="00C10F12"/>
    <w:rsid w:val="00C11F1A"/>
    <w:rsid w:val="00C121C0"/>
    <w:rsid w:val="00C126D3"/>
    <w:rsid w:val="00C13C6E"/>
    <w:rsid w:val="00C16819"/>
    <w:rsid w:val="00C16B9A"/>
    <w:rsid w:val="00C200D3"/>
    <w:rsid w:val="00C2056D"/>
    <w:rsid w:val="00C22B80"/>
    <w:rsid w:val="00C237E8"/>
    <w:rsid w:val="00C23CC5"/>
    <w:rsid w:val="00C245EA"/>
    <w:rsid w:val="00C25642"/>
    <w:rsid w:val="00C256F6"/>
    <w:rsid w:val="00C25CCF"/>
    <w:rsid w:val="00C26EE7"/>
    <w:rsid w:val="00C26FA7"/>
    <w:rsid w:val="00C27B31"/>
    <w:rsid w:val="00C3097E"/>
    <w:rsid w:val="00C32889"/>
    <w:rsid w:val="00C32B91"/>
    <w:rsid w:val="00C33D98"/>
    <w:rsid w:val="00C3508F"/>
    <w:rsid w:val="00C356A5"/>
    <w:rsid w:val="00C35A24"/>
    <w:rsid w:val="00C35ECC"/>
    <w:rsid w:val="00C361A8"/>
    <w:rsid w:val="00C361C5"/>
    <w:rsid w:val="00C361FF"/>
    <w:rsid w:val="00C36FC0"/>
    <w:rsid w:val="00C3795A"/>
    <w:rsid w:val="00C408C7"/>
    <w:rsid w:val="00C4103F"/>
    <w:rsid w:val="00C41246"/>
    <w:rsid w:val="00C414A0"/>
    <w:rsid w:val="00C43D9A"/>
    <w:rsid w:val="00C44AA1"/>
    <w:rsid w:val="00C45210"/>
    <w:rsid w:val="00C45E5F"/>
    <w:rsid w:val="00C46291"/>
    <w:rsid w:val="00C46BD9"/>
    <w:rsid w:val="00C50646"/>
    <w:rsid w:val="00C51CB0"/>
    <w:rsid w:val="00C554D1"/>
    <w:rsid w:val="00C55D11"/>
    <w:rsid w:val="00C57424"/>
    <w:rsid w:val="00C615E6"/>
    <w:rsid w:val="00C61E1F"/>
    <w:rsid w:val="00C63412"/>
    <w:rsid w:val="00C675DA"/>
    <w:rsid w:val="00C7111E"/>
    <w:rsid w:val="00C714D0"/>
    <w:rsid w:val="00C72455"/>
    <w:rsid w:val="00C74D7F"/>
    <w:rsid w:val="00C76297"/>
    <w:rsid w:val="00C7631B"/>
    <w:rsid w:val="00C764B1"/>
    <w:rsid w:val="00C80DFF"/>
    <w:rsid w:val="00C828AC"/>
    <w:rsid w:val="00C8294D"/>
    <w:rsid w:val="00C82BF9"/>
    <w:rsid w:val="00C84091"/>
    <w:rsid w:val="00C843EE"/>
    <w:rsid w:val="00C85689"/>
    <w:rsid w:val="00C856C4"/>
    <w:rsid w:val="00C8662E"/>
    <w:rsid w:val="00C86B09"/>
    <w:rsid w:val="00C87B3F"/>
    <w:rsid w:val="00C90420"/>
    <w:rsid w:val="00C90D04"/>
    <w:rsid w:val="00C90EF4"/>
    <w:rsid w:val="00C915EE"/>
    <w:rsid w:val="00C93238"/>
    <w:rsid w:val="00C95152"/>
    <w:rsid w:val="00C96EAE"/>
    <w:rsid w:val="00C97E0E"/>
    <w:rsid w:val="00CA015A"/>
    <w:rsid w:val="00CA3272"/>
    <w:rsid w:val="00CA56F1"/>
    <w:rsid w:val="00CA614A"/>
    <w:rsid w:val="00CA6CB6"/>
    <w:rsid w:val="00CB186F"/>
    <w:rsid w:val="00CB3F94"/>
    <w:rsid w:val="00CB4003"/>
    <w:rsid w:val="00CB402F"/>
    <w:rsid w:val="00CB5533"/>
    <w:rsid w:val="00CB6A4A"/>
    <w:rsid w:val="00CB773D"/>
    <w:rsid w:val="00CC1AA3"/>
    <w:rsid w:val="00CC201B"/>
    <w:rsid w:val="00CC4F65"/>
    <w:rsid w:val="00CC6263"/>
    <w:rsid w:val="00CD0724"/>
    <w:rsid w:val="00CD3435"/>
    <w:rsid w:val="00CD388A"/>
    <w:rsid w:val="00CD4486"/>
    <w:rsid w:val="00CD5C1F"/>
    <w:rsid w:val="00CE045E"/>
    <w:rsid w:val="00CE28D8"/>
    <w:rsid w:val="00CE433E"/>
    <w:rsid w:val="00CE43CF"/>
    <w:rsid w:val="00CE51A7"/>
    <w:rsid w:val="00CE5D55"/>
    <w:rsid w:val="00CE6CA3"/>
    <w:rsid w:val="00CF0EE5"/>
    <w:rsid w:val="00CF107F"/>
    <w:rsid w:val="00CF2FF7"/>
    <w:rsid w:val="00CF371A"/>
    <w:rsid w:val="00CF5E22"/>
    <w:rsid w:val="00CF66C6"/>
    <w:rsid w:val="00CF6BFC"/>
    <w:rsid w:val="00CF70E1"/>
    <w:rsid w:val="00CF7236"/>
    <w:rsid w:val="00D0246D"/>
    <w:rsid w:val="00D038D9"/>
    <w:rsid w:val="00D05B36"/>
    <w:rsid w:val="00D0601E"/>
    <w:rsid w:val="00D06A44"/>
    <w:rsid w:val="00D07A9A"/>
    <w:rsid w:val="00D1145F"/>
    <w:rsid w:val="00D11A18"/>
    <w:rsid w:val="00D151EB"/>
    <w:rsid w:val="00D2035F"/>
    <w:rsid w:val="00D21136"/>
    <w:rsid w:val="00D23707"/>
    <w:rsid w:val="00D24BA6"/>
    <w:rsid w:val="00D25626"/>
    <w:rsid w:val="00D300E0"/>
    <w:rsid w:val="00D30480"/>
    <w:rsid w:val="00D3298E"/>
    <w:rsid w:val="00D33182"/>
    <w:rsid w:val="00D33B1B"/>
    <w:rsid w:val="00D34D01"/>
    <w:rsid w:val="00D36321"/>
    <w:rsid w:val="00D374CD"/>
    <w:rsid w:val="00D404EE"/>
    <w:rsid w:val="00D413C1"/>
    <w:rsid w:val="00D42EB9"/>
    <w:rsid w:val="00D43532"/>
    <w:rsid w:val="00D4750D"/>
    <w:rsid w:val="00D47674"/>
    <w:rsid w:val="00D50D01"/>
    <w:rsid w:val="00D526BD"/>
    <w:rsid w:val="00D53225"/>
    <w:rsid w:val="00D54FE6"/>
    <w:rsid w:val="00D5509B"/>
    <w:rsid w:val="00D562E6"/>
    <w:rsid w:val="00D5775E"/>
    <w:rsid w:val="00D60D1E"/>
    <w:rsid w:val="00D616E3"/>
    <w:rsid w:val="00D625CB"/>
    <w:rsid w:val="00D62970"/>
    <w:rsid w:val="00D62F88"/>
    <w:rsid w:val="00D636E2"/>
    <w:rsid w:val="00D64A04"/>
    <w:rsid w:val="00D650CE"/>
    <w:rsid w:val="00D6555B"/>
    <w:rsid w:val="00D661EB"/>
    <w:rsid w:val="00D6686D"/>
    <w:rsid w:val="00D71719"/>
    <w:rsid w:val="00D71855"/>
    <w:rsid w:val="00D74824"/>
    <w:rsid w:val="00D750F2"/>
    <w:rsid w:val="00D7573A"/>
    <w:rsid w:val="00D7675F"/>
    <w:rsid w:val="00D76ABA"/>
    <w:rsid w:val="00D773E8"/>
    <w:rsid w:val="00D776DA"/>
    <w:rsid w:val="00D778FF"/>
    <w:rsid w:val="00D81410"/>
    <w:rsid w:val="00D823AA"/>
    <w:rsid w:val="00D842B2"/>
    <w:rsid w:val="00D851F0"/>
    <w:rsid w:val="00D85A9C"/>
    <w:rsid w:val="00D86457"/>
    <w:rsid w:val="00D874B7"/>
    <w:rsid w:val="00D8758B"/>
    <w:rsid w:val="00D87E5A"/>
    <w:rsid w:val="00D90A74"/>
    <w:rsid w:val="00D91B4D"/>
    <w:rsid w:val="00D91C32"/>
    <w:rsid w:val="00D942B3"/>
    <w:rsid w:val="00D94863"/>
    <w:rsid w:val="00D96619"/>
    <w:rsid w:val="00D979AC"/>
    <w:rsid w:val="00DA1A38"/>
    <w:rsid w:val="00DA1E41"/>
    <w:rsid w:val="00DA235F"/>
    <w:rsid w:val="00DA3C0A"/>
    <w:rsid w:val="00DA7307"/>
    <w:rsid w:val="00DA7D09"/>
    <w:rsid w:val="00DB04F0"/>
    <w:rsid w:val="00DB099E"/>
    <w:rsid w:val="00DB0A3D"/>
    <w:rsid w:val="00DB1684"/>
    <w:rsid w:val="00DB168F"/>
    <w:rsid w:val="00DB5773"/>
    <w:rsid w:val="00DB59FF"/>
    <w:rsid w:val="00DB5F9B"/>
    <w:rsid w:val="00DC044B"/>
    <w:rsid w:val="00DC121C"/>
    <w:rsid w:val="00DC2630"/>
    <w:rsid w:val="00DC29C6"/>
    <w:rsid w:val="00DC44FE"/>
    <w:rsid w:val="00DC49E9"/>
    <w:rsid w:val="00DC5439"/>
    <w:rsid w:val="00DC55E4"/>
    <w:rsid w:val="00DC6DE6"/>
    <w:rsid w:val="00DC7C8C"/>
    <w:rsid w:val="00DC7D71"/>
    <w:rsid w:val="00DD1647"/>
    <w:rsid w:val="00DD1747"/>
    <w:rsid w:val="00DD188C"/>
    <w:rsid w:val="00DD2870"/>
    <w:rsid w:val="00DD29A3"/>
    <w:rsid w:val="00DD38DD"/>
    <w:rsid w:val="00DD473E"/>
    <w:rsid w:val="00DD48EE"/>
    <w:rsid w:val="00DD5825"/>
    <w:rsid w:val="00DD637B"/>
    <w:rsid w:val="00DE06BC"/>
    <w:rsid w:val="00DE0B96"/>
    <w:rsid w:val="00DE10B9"/>
    <w:rsid w:val="00DE2E2E"/>
    <w:rsid w:val="00DE3211"/>
    <w:rsid w:val="00DE3DBF"/>
    <w:rsid w:val="00DE54E3"/>
    <w:rsid w:val="00DE5656"/>
    <w:rsid w:val="00DE5A33"/>
    <w:rsid w:val="00DE7220"/>
    <w:rsid w:val="00DE738D"/>
    <w:rsid w:val="00DF0B13"/>
    <w:rsid w:val="00DF200A"/>
    <w:rsid w:val="00DF2EB8"/>
    <w:rsid w:val="00DF46C0"/>
    <w:rsid w:val="00DF4A94"/>
    <w:rsid w:val="00DF5E0A"/>
    <w:rsid w:val="00DF6003"/>
    <w:rsid w:val="00DF64B9"/>
    <w:rsid w:val="00DF683F"/>
    <w:rsid w:val="00DF6A62"/>
    <w:rsid w:val="00DF6E5E"/>
    <w:rsid w:val="00DF70A1"/>
    <w:rsid w:val="00DF79C8"/>
    <w:rsid w:val="00E00095"/>
    <w:rsid w:val="00E0162C"/>
    <w:rsid w:val="00E019FD"/>
    <w:rsid w:val="00E02AFF"/>
    <w:rsid w:val="00E0308E"/>
    <w:rsid w:val="00E066C3"/>
    <w:rsid w:val="00E10D8C"/>
    <w:rsid w:val="00E115FF"/>
    <w:rsid w:val="00E11D81"/>
    <w:rsid w:val="00E1353A"/>
    <w:rsid w:val="00E139A3"/>
    <w:rsid w:val="00E1447B"/>
    <w:rsid w:val="00E14B4F"/>
    <w:rsid w:val="00E14C1C"/>
    <w:rsid w:val="00E1564B"/>
    <w:rsid w:val="00E15B3D"/>
    <w:rsid w:val="00E208A0"/>
    <w:rsid w:val="00E21060"/>
    <w:rsid w:val="00E23EBC"/>
    <w:rsid w:val="00E25B49"/>
    <w:rsid w:val="00E270C5"/>
    <w:rsid w:val="00E27DF6"/>
    <w:rsid w:val="00E30204"/>
    <w:rsid w:val="00E328C5"/>
    <w:rsid w:val="00E3329F"/>
    <w:rsid w:val="00E345E6"/>
    <w:rsid w:val="00E371EA"/>
    <w:rsid w:val="00E37255"/>
    <w:rsid w:val="00E37B40"/>
    <w:rsid w:val="00E411BE"/>
    <w:rsid w:val="00E43DDD"/>
    <w:rsid w:val="00E45373"/>
    <w:rsid w:val="00E458D7"/>
    <w:rsid w:val="00E45D59"/>
    <w:rsid w:val="00E469E5"/>
    <w:rsid w:val="00E522BB"/>
    <w:rsid w:val="00E534D4"/>
    <w:rsid w:val="00E54AEC"/>
    <w:rsid w:val="00E6140C"/>
    <w:rsid w:val="00E6402A"/>
    <w:rsid w:val="00E64429"/>
    <w:rsid w:val="00E65F3E"/>
    <w:rsid w:val="00E677DD"/>
    <w:rsid w:val="00E73A02"/>
    <w:rsid w:val="00E73DDB"/>
    <w:rsid w:val="00E74E6F"/>
    <w:rsid w:val="00E75675"/>
    <w:rsid w:val="00E7594B"/>
    <w:rsid w:val="00E77BB0"/>
    <w:rsid w:val="00E82B3D"/>
    <w:rsid w:val="00E84A90"/>
    <w:rsid w:val="00E855FF"/>
    <w:rsid w:val="00E87128"/>
    <w:rsid w:val="00E87B25"/>
    <w:rsid w:val="00E93826"/>
    <w:rsid w:val="00E9593B"/>
    <w:rsid w:val="00E96497"/>
    <w:rsid w:val="00E96E7A"/>
    <w:rsid w:val="00E96ED2"/>
    <w:rsid w:val="00EA126F"/>
    <w:rsid w:val="00EA13B9"/>
    <w:rsid w:val="00EA18FC"/>
    <w:rsid w:val="00EA770E"/>
    <w:rsid w:val="00EB1F37"/>
    <w:rsid w:val="00EB2081"/>
    <w:rsid w:val="00EB28A7"/>
    <w:rsid w:val="00EB3529"/>
    <w:rsid w:val="00EB4688"/>
    <w:rsid w:val="00EB475A"/>
    <w:rsid w:val="00EB5CAD"/>
    <w:rsid w:val="00EB66A2"/>
    <w:rsid w:val="00EB6BCA"/>
    <w:rsid w:val="00EB6C07"/>
    <w:rsid w:val="00EB6EC4"/>
    <w:rsid w:val="00EB7DB0"/>
    <w:rsid w:val="00EC028D"/>
    <w:rsid w:val="00EC3824"/>
    <w:rsid w:val="00EC3DA7"/>
    <w:rsid w:val="00EC43DB"/>
    <w:rsid w:val="00EC55EF"/>
    <w:rsid w:val="00EC6A35"/>
    <w:rsid w:val="00EC6F7F"/>
    <w:rsid w:val="00EC7250"/>
    <w:rsid w:val="00ED0DAB"/>
    <w:rsid w:val="00ED0E60"/>
    <w:rsid w:val="00ED0E99"/>
    <w:rsid w:val="00ED2DA9"/>
    <w:rsid w:val="00ED4B81"/>
    <w:rsid w:val="00ED5EF4"/>
    <w:rsid w:val="00ED633B"/>
    <w:rsid w:val="00ED636E"/>
    <w:rsid w:val="00ED68B9"/>
    <w:rsid w:val="00ED72CB"/>
    <w:rsid w:val="00ED7442"/>
    <w:rsid w:val="00EE0B1A"/>
    <w:rsid w:val="00EE2DCE"/>
    <w:rsid w:val="00EE478C"/>
    <w:rsid w:val="00EE5D18"/>
    <w:rsid w:val="00EE6282"/>
    <w:rsid w:val="00EE7BAF"/>
    <w:rsid w:val="00EF2850"/>
    <w:rsid w:val="00EF3276"/>
    <w:rsid w:val="00EF357E"/>
    <w:rsid w:val="00EF4E6B"/>
    <w:rsid w:val="00EF4E7E"/>
    <w:rsid w:val="00EF519D"/>
    <w:rsid w:val="00EF79D9"/>
    <w:rsid w:val="00F024ED"/>
    <w:rsid w:val="00F02679"/>
    <w:rsid w:val="00F04323"/>
    <w:rsid w:val="00F04C0D"/>
    <w:rsid w:val="00F073C2"/>
    <w:rsid w:val="00F07DE9"/>
    <w:rsid w:val="00F1132C"/>
    <w:rsid w:val="00F1258A"/>
    <w:rsid w:val="00F12F4C"/>
    <w:rsid w:val="00F14C5A"/>
    <w:rsid w:val="00F15DD5"/>
    <w:rsid w:val="00F162A1"/>
    <w:rsid w:val="00F17D4B"/>
    <w:rsid w:val="00F21178"/>
    <w:rsid w:val="00F211C0"/>
    <w:rsid w:val="00F22B1D"/>
    <w:rsid w:val="00F22F47"/>
    <w:rsid w:val="00F23139"/>
    <w:rsid w:val="00F30976"/>
    <w:rsid w:val="00F313BB"/>
    <w:rsid w:val="00F32C9C"/>
    <w:rsid w:val="00F33D5F"/>
    <w:rsid w:val="00F34232"/>
    <w:rsid w:val="00F35167"/>
    <w:rsid w:val="00F362EB"/>
    <w:rsid w:val="00F36C42"/>
    <w:rsid w:val="00F370E1"/>
    <w:rsid w:val="00F40B9A"/>
    <w:rsid w:val="00F43E0B"/>
    <w:rsid w:val="00F44F6C"/>
    <w:rsid w:val="00F471C5"/>
    <w:rsid w:val="00F53CFD"/>
    <w:rsid w:val="00F54875"/>
    <w:rsid w:val="00F55534"/>
    <w:rsid w:val="00F57B4D"/>
    <w:rsid w:val="00F604CC"/>
    <w:rsid w:val="00F617F1"/>
    <w:rsid w:val="00F63A0B"/>
    <w:rsid w:val="00F64D64"/>
    <w:rsid w:val="00F65AFC"/>
    <w:rsid w:val="00F66CD5"/>
    <w:rsid w:val="00F67075"/>
    <w:rsid w:val="00F67953"/>
    <w:rsid w:val="00F67A9A"/>
    <w:rsid w:val="00F704A0"/>
    <w:rsid w:val="00F70F4E"/>
    <w:rsid w:val="00F70FCD"/>
    <w:rsid w:val="00F719CB"/>
    <w:rsid w:val="00F73113"/>
    <w:rsid w:val="00F7367B"/>
    <w:rsid w:val="00F73BF9"/>
    <w:rsid w:val="00F75DAE"/>
    <w:rsid w:val="00F75FC4"/>
    <w:rsid w:val="00F76371"/>
    <w:rsid w:val="00F7754E"/>
    <w:rsid w:val="00F77D80"/>
    <w:rsid w:val="00F80AC9"/>
    <w:rsid w:val="00F80D40"/>
    <w:rsid w:val="00F8188D"/>
    <w:rsid w:val="00F825EC"/>
    <w:rsid w:val="00F82D36"/>
    <w:rsid w:val="00F84D9E"/>
    <w:rsid w:val="00F853AB"/>
    <w:rsid w:val="00F85981"/>
    <w:rsid w:val="00F86BCB"/>
    <w:rsid w:val="00F87263"/>
    <w:rsid w:val="00F912B1"/>
    <w:rsid w:val="00F91929"/>
    <w:rsid w:val="00F9328D"/>
    <w:rsid w:val="00F93725"/>
    <w:rsid w:val="00F962C7"/>
    <w:rsid w:val="00F96450"/>
    <w:rsid w:val="00F97663"/>
    <w:rsid w:val="00F979EB"/>
    <w:rsid w:val="00FA0002"/>
    <w:rsid w:val="00FA1434"/>
    <w:rsid w:val="00FA24B4"/>
    <w:rsid w:val="00FA3948"/>
    <w:rsid w:val="00FA4890"/>
    <w:rsid w:val="00FA6389"/>
    <w:rsid w:val="00FA6A31"/>
    <w:rsid w:val="00FA7199"/>
    <w:rsid w:val="00FA71F8"/>
    <w:rsid w:val="00FB12A7"/>
    <w:rsid w:val="00FB3D13"/>
    <w:rsid w:val="00FB3FE6"/>
    <w:rsid w:val="00FB5A0D"/>
    <w:rsid w:val="00FB6A15"/>
    <w:rsid w:val="00FB6A6F"/>
    <w:rsid w:val="00FB72D1"/>
    <w:rsid w:val="00FB7393"/>
    <w:rsid w:val="00FB77FA"/>
    <w:rsid w:val="00FC0FC5"/>
    <w:rsid w:val="00FC1205"/>
    <w:rsid w:val="00FC1C4A"/>
    <w:rsid w:val="00FC2722"/>
    <w:rsid w:val="00FC3C70"/>
    <w:rsid w:val="00FC3EF9"/>
    <w:rsid w:val="00FC4A73"/>
    <w:rsid w:val="00FC54DC"/>
    <w:rsid w:val="00FC559C"/>
    <w:rsid w:val="00FC6360"/>
    <w:rsid w:val="00FC7F0D"/>
    <w:rsid w:val="00FD0008"/>
    <w:rsid w:val="00FD0943"/>
    <w:rsid w:val="00FD120D"/>
    <w:rsid w:val="00FD1D0A"/>
    <w:rsid w:val="00FD26FE"/>
    <w:rsid w:val="00FD2708"/>
    <w:rsid w:val="00FD2757"/>
    <w:rsid w:val="00FD2B58"/>
    <w:rsid w:val="00FD3C8A"/>
    <w:rsid w:val="00FD5218"/>
    <w:rsid w:val="00FD6A74"/>
    <w:rsid w:val="00FD6E79"/>
    <w:rsid w:val="00FE02CA"/>
    <w:rsid w:val="00FE03F7"/>
    <w:rsid w:val="00FE04F4"/>
    <w:rsid w:val="00FE0AD4"/>
    <w:rsid w:val="00FE18F0"/>
    <w:rsid w:val="00FE3239"/>
    <w:rsid w:val="00FE3CCF"/>
    <w:rsid w:val="00FE4D20"/>
    <w:rsid w:val="00FE645A"/>
    <w:rsid w:val="00FE734F"/>
    <w:rsid w:val="00FE7679"/>
    <w:rsid w:val="00FF03F8"/>
    <w:rsid w:val="00FF1787"/>
    <w:rsid w:val="00FF2176"/>
    <w:rsid w:val="00FF3FE8"/>
    <w:rsid w:val="00FF5FE0"/>
    <w:rsid w:val="00FF605A"/>
    <w:rsid w:val="00FF6102"/>
    <w:rsid w:val="00FF6929"/>
    <w:rsid w:val="00FF79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pple-converted-space">
    <w:name w:val="apple-converted-space"/>
    <w:basedOn w:val="DefaultParagraphFont"/>
    <w:rsid w:val="00DD38DD"/>
  </w:style>
  <w:style w:type="character" w:styleId="Emphasis">
    <w:name w:val="Emphasis"/>
    <w:basedOn w:val="DefaultParagraphFont"/>
    <w:uiPriority w:val="20"/>
    <w:qFormat/>
    <w:rsid w:val="0004354B"/>
    <w:rPr>
      <w:i/>
      <w:iCs/>
    </w:rPr>
  </w:style>
  <w:style w:type="paragraph" w:styleId="NormalWeb">
    <w:name w:val="Normal (Web)"/>
    <w:basedOn w:val="Normal"/>
    <w:uiPriority w:val="99"/>
    <w:semiHidden/>
    <w:unhideWhenUsed/>
    <w:rsid w:val="000B1A83"/>
    <w:pPr>
      <w:spacing w:before="100" w:beforeAutospacing="1" w:after="100" w:afterAutospacing="1"/>
    </w:pPr>
    <w:rPr>
      <w:rFonts w:ascii="Times New Roman" w:eastAsia="Times New Roman" w:hAnsi="Times New Roman" w:cs="Times New Roman"/>
    </w:rPr>
  </w:style>
  <w:style w:type="character" w:customStyle="1" w:styleId="label-note-id">
    <w:name w:val="label-note-id"/>
    <w:basedOn w:val="DefaultParagraphFont"/>
    <w:rsid w:val="000B1A83"/>
  </w:style>
  <w:style w:type="character" w:styleId="Strong">
    <w:name w:val="Strong"/>
    <w:basedOn w:val="DefaultParagraphFont"/>
    <w:uiPriority w:val="22"/>
    <w:qFormat/>
    <w:rsid w:val="00E93826"/>
    <w:rPr>
      <w:b/>
      <w:bCs/>
    </w:rPr>
  </w:style>
  <w:style w:type="table" w:customStyle="1" w:styleId="TableGrid1">
    <w:name w:val="Table Grid1"/>
    <w:basedOn w:val="TableNormal"/>
    <w:next w:val="TableGrid"/>
    <w:uiPriority w:val="59"/>
    <w:rsid w:val="0009169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pple-converted-space">
    <w:name w:val="apple-converted-space"/>
    <w:basedOn w:val="DefaultParagraphFont"/>
    <w:rsid w:val="00DD38DD"/>
  </w:style>
  <w:style w:type="character" w:styleId="Emphasis">
    <w:name w:val="Emphasis"/>
    <w:basedOn w:val="DefaultParagraphFont"/>
    <w:uiPriority w:val="20"/>
    <w:qFormat/>
    <w:rsid w:val="0004354B"/>
    <w:rPr>
      <w:i/>
      <w:iCs/>
    </w:rPr>
  </w:style>
  <w:style w:type="paragraph" w:styleId="NormalWeb">
    <w:name w:val="Normal (Web)"/>
    <w:basedOn w:val="Normal"/>
    <w:uiPriority w:val="99"/>
    <w:semiHidden/>
    <w:unhideWhenUsed/>
    <w:rsid w:val="000B1A83"/>
    <w:pPr>
      <w:spacing w:before="100" w:beforeAutospacing="1" w:after="100" w:afterAutospacing="1"/>
    </w:pPr>
    <w:rPr>
      <w:rFonts w:ascii="Times New Roman" w:eastAsia="Times New Roman" w:hAnsi="Times New Roman" w:cs="Times New Roman"/>
    </w:rPr>
  </w:style>
  <w:style w:type="character" w:customStyle="1" w:styleId="label-note-id">
    <w:name w:val="label-note-id"/>
    <w:basedOn w:val="DefaultParagraphFont"/>
    <w:rsid w:val="000B1A83"/>
  </w:style>
  <w:style w:type="character" w:styleId="Strong">
    <w:name w:val="Strong"/>
    <w:basedOn w:val="DefaultParagraphFont"/>
    <w:uiPriority w:val="22"/>
    <w:qFormat/>
    <w:rsid w:val="00E93826"/>
    <w:rPr>
      <w:b/>
      <w:bCs/>
    </w:rPr>
  </w:style>
  <w:style w:type="table" w:customStyle="1" w:styleId="TableGrid1">
    <w:name w:val="Table Grid1"/>
    <w:basedOn w:val="TableNormal"/>
    <w:next w:val="TableGrid"/>
    <w:uiPriority w:val="59"/>
    <w:rsid w:val="0009169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2271">
      <w:bodyDiv w:val="1"/>
      <w:marLeft w:val="0"/>
      <w:marRight w:val="0"/>
      <w:marTop w:val="0"/>
      <w:marBottom w:val="0"/>
      <w:divBdr>
        <w:top w:val="none" w:sz="0" w:space="0" w:color="auto"/>
        <w:left w:val="none" w:sz="0" w:space="0" w:color="auto"/>
        <w:bottom w:val="none" w:sz="0" w:space="0" w:color="auto"/>
        <w:right w:val="none" w:sz="0" w:space="0" w:color="auto"/>
      </w:divBdr>
    </w:div>
    <w:div w:id="78211200">
      <w:bodyDiv w:val="1"/>
      <w:marLeft w:val="0"/>
      <w:marRight w:val="0"/>
      <w:marTop w:val="0"/>
      <w:marBottom w:val="0"/>
      <w:divBdr>
        <w:top w:val="none" w:sz="0" w:space="0" w:color="auto"/>
        <w:left w:val="none" w:sz="0" w:space="0" w:color="auto"/>
        <w:bottom w:val="none" w:sz="0" w:space="0" w:color="auto"/>
        <w:right w:val="none" w:sz="0" w:space="0" w:color="auto"/>
      </w:divBdr>
    </w:div>
    <w:div w:id="83037114">
      <w:bodyDiv w:val="1"/>
      <w:marLeft w:val="0"/>
      <w:marRight w:val="0"/>
      <w:marTop w:val="0"/>
      <w:marBottom w:val="0"/>
      <w:divBdr>
        <w:top w:val="none" w:sz="0" w:space="0" w:color="auto"/>
        <w:left w:val="none" w:sz="0" w:space="0" w:color="auto"/>
        <w:bottom w:val="none" w:sz="0" w:space="0" w:color="auto"/>
        <w:right w:val="none" w:sz="0" w:space="0" w:color="auto"/>
      </w:divBdr>
    </w:div>
    <w:div w:id="156920518">
      <w:bodyDiv w:val="1"/>
      <w:marLeft w:val="0"/>
      <w:marRight w:val="0"/>
      <w:marTop w:val="0"/>
      <w:marBottom w:val="0"/>
      <w:divBdr>
        <w:top w:val="none" w:sz="0" w:space="0" w:color="auto"/>
        <w:left w:val="none" w:sz="0" w:space="0" w:color="auto"/>
        <w:bottom w:val="none" w:sz="0" w:space="0" w:color="auto"/>
        <w:right w:val="none" w:sz="0" w:space="0" w:color="auto"/>
      </w:divBdr>
    </w:div>
    <w:div w:id="203100536">
      <w:bodyDiv w:val="1"/>
      <w:marLeft w:val="0"/>
      <w:marRight w:val="0"/>
      <w:marTop w:val="0"/>
      <w:marBottom w:val="0"/>
      <w:divBdr>
        <w:top w:val="none" w:sz="0" w:space="0" w:color="auto"/>
        <w:left w:val="none" w:sz="0" w:space="0" w:color="auto"/>
        <w:bottom w:val="none" w:sz="0" w:space="0" w:color="auto"/>
        <w:right w:val="none" w:sz="0" w:space="0" w:color="auto"/>
      </w:divBdr>
    </w:div>
    <w:div w:id="207375796">
      <w:bodyDiv w:val="1"/>
      <w:marLeft w:val="0"/>
      <w:marRight w:val="0"/>
      <w:marTop w:val="0"/>
      <w:marBottom w:val="0"/>
      <w:divBdr>
        <w:top w:val="none" w:sz="0" w:space="0" w:color="auto"/>
        <w:left w:val="none" w:sz="0" w:space="0" w:color="auto"/>
        <w:bottom w:val="none" w:sz="0" w:space="0" w:color="auto"/>
        <w:right w:val="none" w:sz="0" w:space="0" w:color="auto"/>
      </w:divBdr>
    </w:div>
    <w:div w:id="214660372">
      <w:bodyDiv w:val="1"/>
      <w:marLeft w:val="0"/>
      <w:marRight w:val="0"/>
      <w:marTop w:val="0"/>
      <w:marBottom w:val="0"/>
      <w:divBdr>
        <w:top w:val="none" w:sz="0" w:space="0" w:color="auto"/>
        <w:left w:val="none" w:sz="0" w:space="0" w:color="auto"/>
        <w:bottom w:val="none" w:sz="0" w:space="0" w:color="auto"/>
        <w:right w:val="none" w:sz="0" w:space="0" w:color="auto"/>
      </w:divBdr>
    </w:div>
    <w:div w:id="268314780">
      <w:bodyDiv w:val="1"/>
      <w:marLeft w:val="0"/>
      <w:marRight w:val="0"/>
      <w:marTop w:val="0"/>
      <w:marBottom w:val="0"/>
      <w:divBdr>
        <w:top w:val="none" w:sz="0" w:space="0" w:color="auto"/>
        <w:left w:val="none" w:sz="0" w:space="0" w:color="auto"/>
        <w:bottom w:val="none" w:sz="0" w:space="0" w:color="auto"/>
        <w:right w:val="none" w:sz="0" w:space="0" w:color="auto"/>
      </w:divBdr>
    </w:div>
    <w:div w:id="269044144">
      <w:bodyDiv w:val="1"/>
      <w:marLeft w:val="0"/>
      <w:marRight w:val="0"/>
      <w:marTop w:val="0"/>
      <w:marBottom w:val="0"/>
      <w:divBdr>
        <w:top w:val="none" w:sz="0" w:space="0" w:color="auto"/>
        <w:left w:val="none" w:sz="0" w:space="0" w:color="auto"/>
        <w:bottom w:val="none" w:sz="0" w:space="0" w:color="auto"/>
        <w:right w:val="none" w:sz="0" w:space="0" w:color="auto"/>
      </w:divBdr>
    </w:div>
    <w:div w:id="276983000">
      <w:bodyDiv w:val="1"/>
      <w:marLeft w:val="0"/>
      <w:marRight w:val="0"/>
      <w:marTop w:val="0"/>
      <w:marBottom w:val="0"/>
      <w:divBdr>
        <w:top w:val="none" w:sz="0" w:space="0" w:color="auto"/>
        <w:left w:val="none" w:sz="0" w:space="0" w:color="auto"/>
        <w:bottom w:val="none" w:sz="0" w:space="0" w:color="auto"/>
        <w:right w:val="none" w:sz="0" w:space="0" w:color="auto"/>
      </w:divBdr>
    </w:div>
    <w:div w:id="280721006">
      <w:bodyDiv w:val="1"/>
      <w:marLeft w:val="0"/>
      <w:marRight w:val="0"/>
      <w:marTop w:val="0"/>
      <w:marBottom w:val="0"/>
      <w:divBdr>
        <w:top w:val="none" w:sz="0" w:space="0" w:color="auto"/>
        <w:left w:val="none" w:sz="0" w:space="0" w:color="auto"/>
        <w:bottom w:val="none" w:sz="0" w:space="0" w:color="auto"/>
        <w:right w:val="none" w:sz="0" w:space="0" w:color="auto"/>
      </w:divBdr>
    </w:div>
    <w:div w:id="307514917">
      <w:bodyDiv w:val="1"/>
      <w:marLeft w:val="0"/>
      <w:marRight w:val="0"/>
      <w:marTop w:val="0"/>
      <w:marBottom w:val="0"/>
      <w:divBdr>
        <w:top w:val="none" w:sz="0" w:space="0" w:color="auto"/>
        <w:left w:val="none" w:sz="0" w:space="0" w:color="auto"/>
        <w:bottom w:val="none" w:sz="0" w:space="0" w:color="auto"/>
        <w:right w:val="none" w:sz="0" w:space="0" w:color="auto"/>
      </w:divBdr>
    </w:div>
    <w:div w:id="318968332">
      <w:bodyDiv w:val="1"/>
      <w:marLeft w:val="0"/>
      <w:marRight w:val="0"/>
      <w:marTop w:val="0"/>
      <w:marBottom w:val="0"/>
      <w:divBdr>
        <w:top w:val="none" w:sz="0" w:space="0" w:color="auto"/>
        <w:left w:val="none" w:sz="0" w:space="0" w:color="auto"/>
        <w:bottom w:val="none" w:sz="0" w:space="0" w:color="auto"/>
        <w:right w:val="none" w:sz="0" w:space="0" w:color="auto"/>
      </w:divBdr>
    </w:div>
    <w:div w:id="353962271">
      <w:bodyDiv w:val="1"/>
      <w:marLeft w:val="0"/>
      <w:marRight w:val="0"/>
      <w:marTop w:val="0"/>
      <w:marBottom w:val="0"/>
      <w:divBdr>
        <w:top w:val="none" w:sz="0" w:space="0" w:color="auto"/>
        <w:left w:val="none" w:sz="0" w:space="0" w:color="auto"/>
        <w:bottom w:val="none" w:sz="0" w:space="0" w:color="auto"/>
        <w:right w:val="none" w:sz="0" w:space="0" w:color="auto"/>
      </w:divBdr>
    </w:div>
    <w:div w:id="36792341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6117768">
      <w:bodyDiv w:val="1"/>
      <w:marLeft w:val="0"/>
      <w:marRight w:val="0"/>
      <w:marTop w:val="0"/>
      <w:marBottom w:val="0"/>
      <w:divBdr>
        <w:top w:val="none" w:sz="0" w:space="0" w:color="auto"/>
        <w:left w:val="none" w:sz="0" w:space="0" w:color="auto"/>
        <w:bottom w:val="none" w:sz="0" w:space="0" w:color="auto"/>
        <w:right w:val="none" w:sz="0" w:space="0" w:color="auto"/>
      </w:divBdr>
    </w:div>
    <w:div w:id="517237514">
      <w:bodyDiv w:val="1"/>
      <w:marLeft w:val="0"/>
      <w:marRight w:val="0"/>
      <w:marTop w:val="0"/>
      <w:marBottom w:val="0"/>
      <w:divBdr>
        <w:top w:val="none" w:sz="0" w:space="0" w:color="auto"/>
        <w:left w:val="none" w:sz="0" w:space="0" w:color="auto"/>
        <w:bottom w:val="none" w:sz="0" w:space="0" w:color="auto"/>
        <w:right w:val="none" w:sz="0" w:space="0" w:color="auto"/>
      </w:divBdr>
    </w:div>
    <w:div w:id="532381254">
      <w:bodyDiv w:val="1"/>
      <w:marLeft w:val="0"/>
      <w:marRight w:val="0"/>
      <w:marTop w:val="0"/>
      <w:marBottom w:val="0"/>
      <w:divBdr>
        <w:top w:val="none" w:sz="0" w:space="0" w:color="auto"/>
        <w:left w:val="none" w:sz="0" w:space="0" w:color="auto"/>
        <w:bottom w:val="none" w:sz="0" w:space="0" w:color="auto"/>
        <w:right w:val="none" w:sz="0" w:space="0" w:color="auto"/>
      </w:divBdr>
    </w:div>
    <w:div w:id="544029518">
      <w:bodyDiv w:val="1"/>
      <w:marLeft w:val="0"/>
      <w:marRight w:val="0"/>
      <w:marTop w:val="0"/>
      <w:marBottom w:val="0"/>
      <w:divBdr>
        <w:top w:val="none" w:sz="0" w:space="0" w:color="auto"/>
        <w:left w:val="none" w:sz="0" w:space="0" w:color="auto"/>
        <w:bottom w:val="none" w:sz="0" w:space="0" w:color="auto"/>
        <w:right w:val="none" w:sz="0" w:space="0" w:color="auto"/>
      </w:divBdr>
    </w:div>
    <w:div w:id="580725099">
      <w:bodyDiv w:val="1"/>
      <w:marLeft w:val="0"/>
      <w:marRight w:val="0"/>
      <w:marTop w:val="0"/>
      <w:marBottom w:val="0"/>
      <w:divBdr>
        <w:top w:val="none" w:sz="0" w:space="0" w:color="auto"/>
        <w:left w:val="none" w:sz="0" w:space="0" w:color="auto"/>
        <w:bottom w:val="none" w:sz="0" w:space="0" w:color="auto"/>
        <w:right w:val="none" w:sz="0" w:space="0" w:color="auto"/>
      </w:divBdr>
    </w:div>
    <w:div w:id="598294067">
      <w:bodyDiv w:val="1"/>
      <w:marLeft w:val="0"/>
      <w:marRight w:val="0"/>
      <w:marTop w:val="0"/>
      <w:marBottom w:val="0"/>
      <w:divBdr>
        <w:top w:val="none" w:sz="0" w:space="0" w:color="auto"/>
        <w:left w:val="none" w:sz="0" w:space="0" w:color="auto"/>
        <w:bottom w:val="none" w:sz="0" w:space="0" w:color="auto"/>
        <w:right w:val="none" w:sz="0" w:space="0" w:color="auto"/>
      </w:divBdr>
      <w:divsChild>
        <w:div w:id="582955265">
          <w:marLeft w:val="0"/>
          <w:marRight w:val="0"/>
          <w:marTop w:val="0"/>
          <w:marBottom w:val="0"/>
          <w:divBdr>
            <w:top w:val="none" w:sz="0" w:space="0" w:color="C4DEEE"/>
            <w:left w:val="none" w:sz="0" w:space="0" w:color="C4DEEE"/>
            <w:bottom w:val="none" w:sz="0" w:space="0" w:color="C4DEEE"/>
            <w:right w:val="none" w:sz="0" w:space="0" w:color="C4DEEE"/>
          </w:divBdr>
          <w:divsChild>
            <w:div w:id="418983727">
              <w:marLeft w:val="0"/>
              <w:marRight w:val="0"/>
              <w:marTop w:val="0"/>
              <w:marBottom w:val="0"/>
              <w:divBdr>
                <w:top w:val="none" w:sz="0" w:space="0" w:color="C4DEEE"/>
                <w:left w:val="none" w:sz="0" w:space="0" w:color="C4DEEE"/>
                <w:bottom w:val="none" w:sz="0" w:space="0" w:color="C4DEEE"/>
                <w:right w:val="none" w:sz="0" w:space="0" w:color="C4DEEE"/>
              </w:divBdr>
            </w:div>
          </w:divsChild>
        </w:div>
        <w:div w:id="116221176">
          <w:marLeft w:val="0"/>
          <w:marRight w:val="0"/>
          <w:marTop w:val="0"/>
          <w:marBottom w:val="0"/>
          <w:divBdr>
            <w:top w:val="none" w:sz="0" w:space="0" w:color="C4DEEE"/>
            <w:left w:val="none" w:sz="0" w:space="0" w:color="C4DEEE"/>
            <w:bottom w:val="none" w:sz="0" w:space="0" w:color="C4DEEE"/>
            <w:right w:val="none" w:sz="0" w:space="0" w:color="C4DEEE"/>
          </w:divBdr>
        </w:div>
      </w:divsChild>
    </w:div>
    <w:div w:id="601837351">
      <w:bodyDiv w:val="1"/>
      <w:marLeft w:val="0"/>
      <w:marRight w:val="0"/>
      <w:marTop w:val="0"/>
      <w:marBottom w:val="0"/>
      <w:divBdr>
        <w:top w:val="none" w:sz="0" w:space="0" w:color="auto"/>
        <w:left w:val="none" w:sz="0" w:space="0" w:color="auto"/>
        <w:bottom w:val="none" w:sz="0" w:space="0" w:color="auto"/>
        <w:right w:val="none" w:sz="0" w:space="0" w:color="auto"/>
      </w:divBdr>
    </w:div>
    <w:div w:id="636186678">
      <w:bodyDiv w:val="1"/>
      <w:marLeft w:val="0"/>
      <w:marRight w:val="0"/>
      <w:marTop w:val="0"/>
      <w:marBottom w:val="0"/>
      <w:divBdr>
        <w:top w:val="none" w:sz="0" w:space="0" w:color="auto"/>
        <w:left w:val="none" w:sz="0" w:space="0" w:color="auto"/>
        <w:bottom w:val="none" w:sz="0" w:space="0" w:color="auto"/>
        <w:right w:val="none" w:sz="0" w:space="0" w:color="auto"/>
      </w:divBdr>
    </w:div>
    <w:div w:id="703942661">
      <w:bodyDiv w:val="1"/>
      <w:marLeft w:val="0"/>
      <w:marRight w:val="0"/>
      <w:marTop w:val="0"/>
      <w:marBottom w:val="0"/>
      <w:divBdr>
        <w:top w:val="none" w:sz="0" w:space="0" w:color="auto"/>
        <w:left w:val="none" w:sz="0" w:space="0" w:color="auto"/>
        <w:bottom w:val="none" w:sz="0" w:space="0" w:color="auto"/>
        <w:right w:val="none" w:sz="0" w:space="0" w:color="auto"/>
      </w:divBdr>
    </w:div>
    <w:div w:id="745028614">
      <w:bodyDiv w:val="1"/>
      <w:marLeft w:val="0"/>
      <w:marRight w:val="0"/>
      <w:marTop w:val="0"/>
      <w:marBottom w:val="0"/>
      <w:divBdr>
        <w:top w:val="none" w:sz="0" w:space="0" w:color="auto"/>
        <w:left w:val="none" w:sz="0" w:space="0" w:color="auto"/>
        <w:bottom w:val="none" w:sz="0" w:space="0" w:color="auto"/>
        <w:right w:val="none" w:sz="0" w:space="0" w:color="auto"/>
      </w:divBdr>
    </w:div>
    <w:div w:id="753747458">
      <w:bodyDiv w:val="1"/>
      <w:marLeft w:val="0"/>
      <w:marRight w:val="0"/>
      <w:marTop w:val="0"/>
      <w:marBottom w:val="0"/>
      <w:divBdr>
        <w:top w:val="none" w:sz="0" w:space="0" w:color="auto"/>
        <w:left w:val="none" w:sz="0" w:space="0" w:color="auto"/>
        <w:bottom w:val="none" w:sz="0" w:space="0" w:color="auto"/>
        <w:right w:val="none" w:sz="0" w:space="0" w:color="auto"/>
      </w:divBdr>
    </w:div>
    <w:div w:id="792212953">
      <w:bodyDiv w:val="1"/>
      <w:marLeft w:val="0"/>
      <w:marRight w:val="0"/>
      <w:marTop w:val="0"/>
      <w:marBottom w:val="0"/>
      <w:divBdr>
        <w:top w:val="none" w:sz="0" w:space="0" w:color="auto"/>
        <w:left w:val="none" w:sz="0" w:space="0" w:color="auto"/>
        <w:bottom w:val="none" w:sz="0" w:space="0" w:color="auto"/>
        <w:right w:val="none" w:sz="0" w:space="0" w:color="auto"/>
      </w:divBdr>
    </w:div>
    <w:div w:id="808864858">
      <w:bodyDiv w:val="1"/>
      <w:marLeft w:val="0"/>
      <w:marRight w:val="0"/>
      <w:marTop w:val="0"/>
      <w:marBottom w:val="0"/>
      <w:divBdr>
        <w:top w:val="none" w:sz="0" w:space="0" w:color="auto"/>
        <w:left w:val="none" w:sz="0" w:space="0" w:color="auto"/>
        <w:bottom w:val="none" w:sz="0" w:space="0" w:color="auto"/>
        <w:right w:val="none" w:sz="0" w:space="0" w:color="auto"/>
      </w:divBdr>
    </w:div>
    <w:div w:id="885945641">
      <w:bodyDiv w:val="1"/>
      <w:marLeft w:val="0"/>
      <w:marRight w:val="0"/>
      <w:marTop w:val="0"/>
      <w:marBottom w:val="0"/>
      <w:divBdr>
        <w:top w:val="none" w:sz="0" w:space="0" w:color="auto"/>
        <w:left w:val="none" w:sz="0" w:space="0" w:color="auto"/>
        <w:bottom w:val="none" w:sz="0" w:space="0" w:color="auto"/>
        <w:right w:val="none" w:sz="0" w:space="0" w:color="auto"/>
      </w:divBdr>
    </w:div>
    <w:div w:id="889879392">
      <w:bodyDiv w:val="1"/>
      <w:marLeft w:val="0"/>
      <w:marRight w:val="0"/>
      <w:marTop w:val="0"/>
      <w:marBottom w:val="0"/>
      <w:divBdr>
        <w:top w:val="none" w:sz="0" w:space="0" w:color="auto"/>
        <w:left w:val="none" w:sz="0" w:space="0" w:color="auto"/>
        <w:bottom w:val="none" w:sz="0" w:space="0" w:color="auto"/>
        <w:right w:val="none" w:sz="0" w:space="0" w:color="auto"/>
      </w:divBdr>
    </w:div>
    <w:div w:id="949046734">
      <w:bodyDiv w:val="1"/>
      <w:marLeft w:val="0"/>
      <w:marRight w:val="0"/>
      <w:marTop w:val="0"/>
      <w:marBottom w:val="0"/>
      <w:divBdr>
        <w:top w:val="none" w:sz="0" w:space="0" w:color="auto"/>
        <w:left w:val="none" w:sz="0" w:space="0" w:color="auto"/>
        <w:bottom w:val="none" w:sz="0" w:space="0" w:color="auto"/>
        <w:right w:val="none" w:sz="0" w:space="0" w:color="auto"/>
      </w:divBdr>
    </w:div>
    <w:div w:id="961500163">
      <w:bodyDiv w:val="1"/>
      <w:marLeft w:val="0"/>
      <w:marRight w:val="0"/>
      <w:marTop w:val="0"/>
      <w:marBottom w:val="0"/>
      <w:divBdr>
        <w:top w:val="none" w:sz="0" w:space="0" w:color="auto"/>
        <w:left w:val="none" w:sz="0" w:space="0" w:color="auto"/>
        <w:bottom w:val="none" w:sz="0" w:space="0" w:color="auto"/>
        <w:right w:val="none" w:sz="0" w:space="0" w:color="auto"/>
      </w:divBdr>
    </w:div>
    <w:div w:id="1049231532">
      <w:bodyDiv w:val="1"/>
      <w:marLeft w:val="0"/>
      <w:marRight w:val="0"/>
      <w:marTop w:val="0"/>
      <w:marBottom w:val="0"/>
      <w:divBdr>
        <w:top w:val="none" w:sz="0" w:space="0" w:color="auto"/>
        <w:left w:val="none" w:sz="0" w:space="0" w:color="auto"/>
        <w:bottom w:val="none" w:sz="0" w:space="0" w:color="auto"/>
        <w:right w:val="none" w:sz="0" w:space="0" w:color="auto"/>
      </w:divBdr>
    </w:div>
    <w:div w:id="108128995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1458493">
      <w:bodyDiv w:val="1"/>
      <w:marLeft w:val="0"/>
      <w:marRight w:val="0"/>
      <w:marTop w:val="0"/>
      <w:marBottom w:val="0"/>
      <w:divBdr>
        <w:top w:val="none" w:sz="0" w:space="0" w:color="auto"/>
        <w:left w:val="none" w:sz="0" w:space="0" w:color="auto"/>
        <w:bottom w:val="none" w:sz="0" w:space="0" w:color="auto"/>
        <w:right w:val="none" w:sz="0" w:space="0" w:color="auto"/>
      </w:divBdr>
    </w:div>
    <w:div w:id="1178352114">
      <w:bodyDiv w:val="1"/>
      <w:marLeft w:val="0"/>
      <w:marRight w:val="0"/>
      <w:marTop w:val="0"/>
      <w:marBottom w:val="0"/>
      <w:divBdr>
        <w:top w:val="none" w:sz="0" w:space="0" w:color="auto"/>
        <w:left w:val="none" w:sz="0" w:space="0" w:color="auto"/>
        <w:bottom w:val="none" w:sz="0" w:space="0" w:color="auto"/>
        <w:right w:val="none" w:sz="0" w:space="0" w:color="auto"/>
      </w:divBdr>
    </w:div>
    <w:div w:id="1269967799">
      <w:bodyDiv w:val="1"/>
      <w:marLeft w:val="0"/>
      <w:marRight w:val="0"/>
      <w:marTop w:val="0"/>
      <w:marBottom w:val="0"/>
      <w:divBdr>
        <w:top w:val="none" w:sz="0" w:space="0" w:color="auto"/>
        <w:left w:val="none" w:sz="0" w:space="0" w:color="auto"/>
        <w:bottom w:val="none" w:sz="0" w:space="0" w:color="auto"/>
        <w:right w:val="none" w:sz="0" w:space="0" w:color="auto"/>
      </w:divBdr>
    </w:div>
    <w:div w:id="1290088149">
      <w:bodyDiv w:val="1"/>
      <w:marLeft w:val="0"/>
      <w:marRight w:val="0"/>
      <w:marTop w:val="0"/>
      <w:marBottom w:val="0"/>
      <w:divBdr>
        <w:top w:val="none" w:sz="0" w:space="0" w:color="auto"/>
        <w:left w:val="none" w:sz="0" w:space="0" w:color="auto"/>
        <w:bottom w:val="none" w:sz="0" w:space="0" w:color="auto"/>
        <w:right w:val="none" w:sz="0" w:space="0" w:color="auto"/>
      </w:divBdr>
    </w:div>
    <w:div w:id="1378579013">
      <w:bodyDiv w:val="1"/>
      <w:marLeft w:val="0"/>
      <w:marRight w:val="0"/>
      <w:marTop w:val="0"/>
      <w:marBottom w:val="0"/>
      <w:divBdr>
        <w:top w:val="none" w:sz="0" w:space="0" w:color="auto"/>
        <w:left w:val="none" w:sz="0" w:space="0" w:color="auto"/>
        <w:bottom w:val="none" w:sz="0" w:space="0" w:color="auto"/>
        <w:right w:val="none" w:sz="0" w:space="0" w:color="auto"/>
      </w:divBdr>
    </w:div>
    <w:div w:id="1444491784">
      <w:bodyDiv w:val="1"/>
      <w:marLeft w:val="0"/>
      <w:marRight w:val="0"/>
      <w:marTop w:val="0"/>
      <w:marBottom w:val="0"/>
      <w:divBdr>
        <w:top w:val="none" w:sz="0" w:space="0" w:color="auto"/>
        <w:left w:val="none" w:sz="0" w:space="0" w:color="auto"/>
        <w:bottom w:val="none" w:sz="0" w:space="0" w:color="auto"/>
        <w:right w:val="none" w:sz="0" w:space="0" w:color="auto"/>
      </w:divBdr>
    </w:div>
    <w:div w:id="1470900680">
      <w:bodyDiv w:val="1"/>
      <w:marLeft w:val="0"/>
      <w:marRight w:val="0"/>
      <w:marTop w:val="0"/>
      <w:marBottom w:val="0"/>
      <w:divBdr>
        <w:top w:val="none" w:sz="0" w:space="0" w:color="auto"/>
        <w:left w:val="none" w:sz="0" w:space="0" w:color="auto"/>
        <w:bottom w:val="none" w:sz="0" w:space="0" w:color="auto"/>
        <w:right w:val="none" w:sz="0" w:space="0" w:color="auto"/>
      </w:divBdr>
    </w:div>
    <w:div w:id="1494449709">
      <w:bodyDiv w:val="1"/>
      <w:marLeft w:val="0"/>
      <w:marRight w:val="0"/>
      <w:marTop w:val="0"/>
      <w:marBottom w:val="0"/>
      <w:divBdr>
        <w:top w:val="none" w:sz="0" w:space="0" w:color="auto"/>
        <w:left w:val="none" w:sz="0" w:space="0" w:color="auto"/>
        <w:bottom w:val="none" w:sz="0" w:space="0" w:color="auto"/>
        <w:right w:val="none" w:sz="0" w:space="0" w:color="auto"/>
      </w:divBdr>
    </w:div>
    <w:div w:id="1521773765">
      <w:bodyDiv w:val="1"/>
      <w:marLeft w:val="0"/>
      <w:marRight w:val="0"/>
      <w:marTop w:val="0"/>
      <w:marBottom w:val="0"/>
      <w:divBdr>
        <w:top w:val="none" w:sz="0" w:space="0" w:color="auto"/>
        <w:left w:val="none" w:sz="0" w:space="0" w:color="auto"/>
        <w:bottom w:val="none" w:sz="0" w:space="0" w:color="auto"/>
        <w:right w:val="none" w:sz="0" w:space="0" w:color="auto"/>
      </w:divBdr>
    </w:div>
    <w:div w:id="1557399481">
      <w:bodyDiv w:val="1"/>
      <w:marLeft w:val="0"/>
      <w:marRight w:val="0"/>
      <w:marTop w:val="0"/>
      <w:marBottom w:val="0"/>
      <w:divBdr>
        <w:top w:val="none" w:sz="0" w:space="0" w:color="auto"/>
        <w:left w:val="none" w:sz="0" w:space="0" w:color="auto"/>
        <w:bottom w:val="none" w:sz="0" w:space="0" w:color="auto"/>
        <w:right w:val="none" w:sz="0" w:space="0" w:color="auto"/>
      </w:divBdr>
    </w:div>
    <w:div w:id="1579053435">
      <w:bodyDiv w:val="1"/>
      <w:marLeft w:val="0"/>
      <w:marRight w:val="0"/>
      <w:marTop w:val="0"/>
      <w:marBottom w:val="0"/>
      <w:divBdr>
        <w:top w:val="none" w:sz="0" w:space="0" w:color="auto"/>
        <w:left w:val="none" w:sz="0" w:space="0" w:color="auto"/>
        <w:bottom w:val="none" w:sz="0" w:space="0" w:color="auto"/>
        <w:right w:val="none" w:sz="0" w:space="0" w:color="auto"/>
      </w:divBdr>
    </w:div>
    <w:div w:id="1651980138">
      <w:bodyDiv w:val="1"/>
      <w:marLeft w:val="0"/>
      <w:marRight w:val="0"/>
      <w:marTop w:val="0"/>
      <w:marBottom w:val="0"/>
      <w:divBdr>
        <w:top w:val="none" w:sz="0" w:space="0" w:color="auto"/>
        <w:left w:val="none" w:sz="0" w:space="0" w:color="auto"/>
        <w:bottom w:val="none" w:sz="0" w:space="0" w:color="auto"/>
        <w:right w:val="none" w:sz="0" w:space="0" w:color="auto"/>
      </w:divBdr>
    </w:div>
    <w:div w:id="1662732167">
      <w:bodyDiv w:val="1"/>
      <w:marLeft w:val="0"/>
      <w:marRight w:val="0"/>
      <w:marTop w:val="0"/>
      <w:marBottom w:val="0"/>
      <w:divBdr>
        <w:top w:val="none" w:sz="0" w:space="0" w:color="auto"/>
        <w:left w:val="none" w:sz="0" w:space="0" w:color="auto"/>
        <w:bottom w:val="none" w:sz="0" w:space="0" w:color="auto"/>
        <w:right w:val="none" w:sz="0" w:space="0" w:color="auto"/>
      </w:divBdr>
    </w:div>
    <w:div w:id="1671827791">
      <w:bodyDiv w:val="1"/>
      <w:marLeft w:val="0"/>
      <w:marRight w:val="0"/>
      <w:marTop w:val="0"/>
      <w:marBottom w:val="0"/>
      <w:divBdr>
        <w:top w:val="none" w:sz="0" w:space="0" w:color="auto"/>
        <w:left w:val="none" w:sz="0" w:space="0" w:color="auto"/>
        <w:bottom w:val="none" w:sz="0" w:space="0" w:color="auto"/>
        <w:right w:val="none" w:sz="0" w:space="0" w:color="auto"/>
      </w:divBdr>
    </w:div>
    <w:div w:id="1692798953">
      <w:bodyDiv w:val="1"/>
      <w:marLeft w:val="0"/>
      <w:marRight w:val="0"/>
      <w:marTop w:val="0"/>
      <w:marBottom w:val="0"/>
      <w:divBdr>
        <w:top w:val="none" w:sz="0" w:space="0" w:color="auto"/>
        <w:left w:val="none" w:sz="0" w:space="0" w:color="auto"/>
        <w:bottom w:val="none" w:sz="0" w:space="0" w:color="auto"/>
        <w:right w:val="none" w:sz="0" w:space="0" w:color="auto"/>
      </w:divBdr>
    </w:div>
    <w:div w:id="1739858636">
      <w:bodyDiv w:val="1"/>
      <w:marLeft w:val="0"/>
      <w:marRight w:val="0"/>
      <w:marTop w:val="0"/>
      <w:marBottom w:val="0"/>
      <w:divBdr>
        <w:top w:val="none" w:sz="0" w:space="0" w:color="auto"/>
        <w:left w:val="none" w:sz="0" w:space="0" w:color="auto"/>
        <w:bottom w:val="none" w:sz="0" w:space="0" w:color="auto"/>
        <w:right w:val="none" w:sz="0" w:space="0" w:color="auto"/>
      </w:divBdr>
    </w:div>
    <w:div w:id="1741322350">
      <w:bodyDiv w:val="1"/>
      <w:marLeft w:val="0"/>
      <w:marRight w:val="0"/>
      <w:marTop w:val="0"/>
      <w:marBottom w:val="0"/>
      <w:divBdr>
        <w:top w:val="none" w:sz="0" w:space="0" w:color="auto"/>
        <w:left w:val="none" w:sz="0" w:space="0" w:color="auto"/>
        <w:bottom w:val="none" w:sz="0" w:space="0" w:color="auto"/>
        <w:right w:val="none" w:sz="0" w:space="0" w:color="auto"/>
      </w:divBdr>
    </w:div>
    <w:div w:id="1845243664">
      <w:bodyDiv w:val="1"/>
      <w:marLeft w:val="0"/>
      <w:marRight w:val="0"/>
      <w:marTop w:val="0"/>
      <w:marBottom w:val="0"/>
      <w:divBdr>
        <w:top w:val="none" w:sz="0" w:space="0" w:color="auto"/>
        <w:left w:val="none" w:sz="0" w:space="0" w:color="auto"/>
        <w:bottom w:val="none" w:sz="0" w:space="0" w:color="auto"/>
        <w:right w:val="none" w:sz="0" w:space="0" w:color="auto"/>
      </w:divBdr>
    </w:div>
    <w:div w:id="1858274875">
      <w:bodyDiv w:val="1"/>
      <w:marLeft w:val="0"/>
      <w:marRight w:val="0"/>
      <w:marTop w:val="0"/>
      <w:marBottom w:val="0"/>
      <w:divBdr>
        <w:top w:val="none" w:sz="0" w:space="0" w:color="auto"/>
        <w:left w:val="none" w:sz="0" w:space="0" w:color="auto"/>
        <w:bottom w:val="none" w:sz="0" w:space="0" w:color="auto"/>
        <w:right w:val="none" w:sz="0" w:space="0" w:color="auto"/>
      </w:divBdr>
    </w:div>
    <w:div w:id="1926065511">
      <w:bodyDiv w:val="1"/>
      <w:marLeft w:val="0"/>
      <w:marRight w:val="0"/>
      <w:marTop w:val="0"/>
      <w:marBottom w:val="0"/>
      <w:divBdr>
        <w:top w:val="none" w:sz="0" w:space="0" w:color="auto"/>
        <w:left w:val="none" w:sz="0" w:space="0" w:color="auto"/>
        <w:bottom w:val="none" w:sz="0" w:space="0" w:color="auto"/>
        <w:right w:val="none" w:sz="0" w:space="0" w:color="auto"/>
      </w:divBdr>
    </w:div>
    <w:div w:id="1933081037">
      <w:bodyDiv w:val="1"/>
      <w:marLeft w:val="0"/>
      <w:marRight w:val="0"/>
      <w:marTop w:val="0"/>
      <w:marBottom w:val="0"/>
      <w:divBdr>
        <w:top w:val="none" w:sz="0" w:space="0" w:color="auto"/>
        <w:left w:val="none" w:sz="0" w:space="0" w:color="auto"/>
        <w:bottom w:val="none" w:sz="0" w:space="0" w:color="auto"/>
        <w:right w:val="none" w:sz="0" w:space="0" w:color="auto"/>
      </w:divBdr>
    </w:div>
    <w:div w:id="1949116862">
      <w:bodyDiv w:val="1"/>
      <w:marLeft w:val="0"/>
      <w:marRight w:val="0"/>
      <w:marTop w:val="0"/>
      <w:marBottom w:val="0"/>
      <w:divBdr>
        <w:top w:val="none" w:sz="0" w:space="0" w:color="auto"/>
        <w:left w:val="none" w:sz="0" w:space="0" w:color="auto"/>
        <w:bottom w:val="none" w:sz="0" w:space="0" w:color="auto"/>
        <w:right w:val="none" w:sz="0" w:space="0" w:color="auto"/>
      </w:divBdr>
    </w:div>
    <w:div w:id="2017540404">
      <w:bodyDiv w:val="1"/>
      <w:marLeft w:val="0"/>
      <w:marRight w:val="0"/>
      <w:marTop w:val="0"/>
      <w:marBottom w:val="0"/>
      <w:divBdr>
        <w:top w:val="none" w:sz="0" w:space="0" w:color="auto"/>
        <w:left w:val="none" w:sz="0" w:space="0" w:color="auto"/>
        <w:bottom w:val="none" w:sz="0" w:space="0" w:color="auto"/>
        <w:right w:val="none" w:sz="0" w:space="0" w:color="auto"/>
      </w:divBdr>
    </w:div>
    <w:div w:id="2022973081">
      <w:bodyDiv w:val="1"/>
      <w:marLeft w:val="0"/>
      <w:marRight w:val="0"/>
      <w:marTop w:val="0"/>
      <w:marBottom w:val="0"/>
      <w:divBdr>
        <w:top w:val="none" w:sz="0" w:space="0" w:color="auto"/>
        <w:left w:val="none" w:sz="0" w:space="0" w:color="auto"/>
        <w:bottom w:val="none" w:sz="0" w:space="0" w:color="auto"/>
        <w:right w:val="none" w:sz="0" w:space="0" w:color="auto"/>
      </w:divBdr>
    </w:div>
    <w:div w:id="2045521917">
      <w:bodyDiv w:val="1"/>
      <w:marLeft w:val="0"/>
      <w:marRight w:val="0"/>
      <w:marTop w:val="0"/>
      <w:marBottom w:val="0"/>
      <w:divBdr>
        <w:top w:val="none" w:sz="0" w:space="0" w:color="auto"/>
        <w:left w:val="none" w:sz="0" w:space="0" w:color="auto"/>
        <w:bottom w:val="none" w:sz="0" w:space="0" w:color="auto"/>
        <w:right w:val="none" w:sz="0" w:space="0" w:color="auto"/>
      </w:divBdr>
    </w:div>
    <w:div w:id="20999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13-07/everolimus" TargetMode="External"/><Relationship Id="rId18" Type="http://schemas.openxmlformats.org/officeDocument/2006/relationships/hyperlink" Target="https://www.ncbi.nlm.nih.gov/pmc/articles/PMC222838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bs.gov.au/info/industry/listing/elements/pbac-meetings/psd/2013-03/everolimus" TargetMode="External"/><Relationship Id="rId17" Type="http://schemas.openxmlformats.org/officeDocument/2006/relationships/image" Target="media/image3.png"/><Relationship Id="rId25" Type="http://schemas.openxmlformats.org/officeDocument/2006/relationships/hyperlink" Target="http://www.tga.gov.au/consumers/information-medicines-cmi.ht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ncbi.nlm.nih.gov/pmc/articles/PMC46223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hyperlink" Target="http://tga.gov.au/hp/information-medicines-pi.ht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file:///\\central.health\DFSGroupData\Sites\CO1\CO\PBD\PEB\EVAL\DUSC\DUSC%20Documents\Predicted%20vs%20actual%20usage\pbs.gov.au" TargetMode="External"/><Relationship Id="rId19" Type="http://schemas.openxmlformats.org/officeDocument/2006/relationships/hyperlink" Target="https://www.ncbi.nlm.nih.gov/pubmed/?term=Barrios%20CH%5BAuthor%5D&amp;cauthor=true&amp;cauthor_uid=26557899" TargetMode="External"/><Relationship Id="rId4" Type="http://schemas.microsoft.com/office/2007/relationships/stylesWithEffects" Target="stylesWithEffects.xml"/><Relationship Id="rId9" Type="http://schemas.openxmlformats.org/officeDocument/2006/relationships/hyperlink" Target="http://www.pbs.gov.au/pbs/home" TargetMode="External"/><Relationship Id="rId14" Type="http://schemas.openxmlformats.org/officeDocument/2006/relationships/hyperlink" Target="http://www.pbs.gov.au/industry/listing/elements/pbac-meetings/psd/2014-11/files/moga-correspondence-male-breast-cancer-psd-11-2014.docx"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9140-39E8-40C2-A9BB-C63C9ECA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5744</Words>
  <Characters>32745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2017-06-06T06:49:00Z</dcterms:created>
  <dcterms:modified xsi:type="dcterms:W3CDTF">2017-06-19T06:54:00Z</dcterms:modified>
</cp:coreProperties>
</file>