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2.xml" ContentType="application/vnd.openxmlformats-officedocument.themeOverride+xml"/>
  <Override PartName="/word/charts/chart9.xml" ContentType="application/vnd.openxmlformats-officedocument.drawingml.chart+xml"/>
  <Override PartName="/word/theme/themeOverride3.xml" ContentType="application/vnd.openxmlformats-officedocument.themeOverrid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17" w:rsidRDefault="00AC5CA9" w:rsidP="000915F5">
      <w:pPr>
        <w:pStyle w:val="Title"/>
      </w:pPr>
      <w:r w:rsidRPr="00AC5CA9">
        <w:t>Osteoporosis</w:t>
      </w:r>
      <w:r>
        <w:t xml:space="preserve"> medicines</w:t>
      </w:r>
    </w:p>
    <w:p w:rsidR="00821C17" w:rsidRDefault="00821C17" w:rsidP="000915F5">
      <w:pPr>
        <w:pStyle w:val="Heading1"/>
      </w:pPr>
      <w:r>
        <w:t>D</w:t>
      </w:r>
      <w:r w:rsidRPr="0063631C">
        <w:t>rug utilisation sub-com</w:t>
      </w:r>
      <w:bookmarkStart w:id="0" w:name="_GoBack"/>
      <w:bookmarkEnd w:id="0"/>
      <w:r w:rsidRPr="0063631C">
        <w:t xml:space="preserve">mittee </w:t>
      </w:r>
      <w:r>
        <w:t>(DUSC)</w:t>
      </w:r>
    </w:p>
    <w:p w:rsidR="00821C17" w:rsidRPr="000C46BB" w:rsidRDefault="00AC5CA9" w:rsidP="000915F5">
      <w:pPr>
        <w:pStyle w:val="Heading2"/>
      </w:pPr>
      <w:r>
        <w:t>September</w:t>
      </w:r>
      <w:r w:rsidR="00821C17">
        <w:t xml:space="preserve"> 2016</w:t>
      </w:r>
    </w:p>
    <w:p w:rsidR="00821C17" w:rsidRPr="008250BC" w:rsidRDefault="00821C17" w:rsidP="000915F5">
      <w:pPr>
        <w:pStyle w:val="Heading3"/>
        <w:rPr>
          <w:i w:val="0"/>
          <w:sz w:val="32"/>
          <w:szCs w:val="32"/>
        </w:rPr>
      </w:pPr>
      <w:r w:rsidRPr="008250BC">
        <w:rPr>
          <w:i w:val="0"/>
          <w:sz w:val="32"/>
          <w:szCs w:val="32"/>
        </w:rPr>
        <w:t>Abstract</w:t>
      </w:r>
    </w:p>
    <w:p w:rsidR="00821C17" w:rsidRPr="008250BC" w:rsidRDefault="00821C17" w:rsidP="000915F5">
      <w:pPr>
        <w:pStyle w:val="Heading2"/>
        <w:rPr>
          <w:i/>
        </w:rPr>
      </w:pPr>
      <w:r w:rsidRPr="008250BC">
        <w:rPr>
          <w:i/>
        </w:rPr>
        <w:t>Purpose</w:t>
      </w:r>
    </w:p>
    <w:p w:rsidR="00821C17" w:rsidRPr="004014CC" w:rsidRDefault="00821C17" w:rsidP="000915F5">
      <w:r>
        <w:t xml:space="preserve">To </w:t>
      </w:r>
      <w:r w:rsidR="00AC5CA9">
        <w:t xml:space="preserve">review the utilisation of </w:t>
      </w:r>
      <w:r w:rsidR="003A20C6">
        <w:t xml:space="preserve">medicines for the treatment of osteoporosis including an assessment of the predicted and actual use of denosumab. </w:t>
      </w:r>
    </w:p>
    <w:p w:rsidR="005425A8" w:rsidRPr="008250BC" w:rsidRDefault="005425A8" w:rsidP="000915F5">
      <w:pPr>
        <w:pStyle w:val="Heading2"/>
        <w:rPr>
          <w:i/>
        </w:rPr>
      </w:pPr>
      <w:r w:rsidRPr="008250BC">
        <w:rPr>
          <w:i/>
        </w:rPr>
        <w:t xml:space="preserve">Date of </w:t>
      </w:r>
      <w:r w:rsidR="00FC1E46">
        <w:rPr>
          <w:i/>
        </w:rPr>
        <w:t xml:space="preserve">first </w:t>
      </w:r>
      <w:r w:rsidRPr="008250BC">
        <w:rPr>
          <w:i/>
        </w:rPr>
        <w:t>listing on the Pharmaceutical Benefits Scheme (PBS)</w:t>
      </w:r>
      <w:r w:rsidR="008679CD" w:rsidRPr="008250BC">
        <w:rPr>
          <w:i/>
        </w:rPr>
        <w:t xml:space="preserve"> </w:t>
      </w:r>
      <w:r w:rsidR="00EE42DE">
        <w:rPr>
          <w:i/>
        </w:rPr>
        <w:t>for the treatment of osteoporosis</w:t>
      </w:r>
    </w:p>
    <w:p w:rsidR="00C97ADB" w:rsidRPr="00190BFF" w:rsidRDefault="00C97ADB" w:rsidP="00C97ADB">
      <w:pPr>
        <w:pStyle w:val="ListParagraph"/>
        <w:numPr>
          <w:ilvl w:val="0"/>
          <w:numId w:val="8"/>
        </w:numPr>
      </w:pPr>
      <w:r w:rsidRPr="00F72494">
        <w:rPr>
          <w:lang w:val="en-US" w:eastAsia="en-US"/>
        </w:rPr>
        <w:t>Calcitriol</w:t>
      </w:r>
      <w:r>
        <w:rPr>
          <w:lang w:val="en-US" w:eastAsia="en-US"/>
        </w:rPr>
        <w:t>: 1 December 1991</w:t>
      </w:r>
    </w:p>
    <w:p w:rsidR="005425A8" w:rsidRDefault="00EE42DE" w:rsidP="000915F5">
      <w:pPr>
        <w:pStyle w:val="ListParagraph"/>
        <w:numPr>
          <w:ilvl w:val="0"/>
          <w:numId w:val="8"/>
        </w:numPr>
      </w:pPr>
      <w:r w:rsidRPr="00EE42DE">
        <w:t xml:space="preserve">Disodium </w:t>
      </w:r>
      <w:r w:rsidR="00CA0E5A">
        <w:t>etidronate and c</w:t>
      </w:r>
      <w:r w:rsidRPr="00EE42DE">
        <w:t>alcium carbonate</w:t>
      </w:r>
      <w:r>
        <w:t>: 1 August 1996</w:t>
      </w:r>
      <w:r w:rsidR="00A13DFA">
        <w:t xml:space="preserve"> (delisted September 2012)</w:t>
      </w:r>
    </w:p>
    <w:p w:rsidR="005425A8" w:rsidRDefault="00EE42DE" w:rsidP="000915F5">
      <w:pPr>
        <w:pStyle w:val="ListParagraph"/>
        <w:numPr>
          <w:ilvl w:val="0"/>
          <w:numId w:val="8"/>
        </w:numPr>
      </w:pPr>
      <w:r w:rsidRPr="00EE42DE">
        <w:t>Alendronate</w:t>
      </w:r>
      <w:r w:rsidR="005425A8">
        <w:t xml:space="preserve">: 1 </w:t>
      </w:r>
      <w:r>
        <w:t>November</w:t>
      </w:r>
      <w:r w:rsidR="005425A8">
        <w:t xml:space="preserve"> </w:t>
      </w:r>
      <w:r>
        <w:t>1996</w:t>
      </w:r>
    </w:p>
    <w:p w:rsidR="00190BFF" w:rsidRPr="00CA0E5A" w:rsidRDefault="00CA0E5A" w:rsidP="000915F5">
      <w:pPr>
        <w:pStyle w:val="ListParagraph"/>
        <w:numPr>
          <w:ilvl w:val="0"/>
          <w:numId w:val="8"/>
        </w:numPr>
      </w:pPr>
      <w:r w:rsidRPr="00F72494">
        <w:rPr>
          <w:lang w:val="en-US" w:eastAsia="en-US"/>
        </w:rPr>
        <w:t>Raloxifene</w:t>
      </w:r>
      <w:r w:rsidR="00190BFF">
        <w:rPr>
          <w:lang w:val="en-US" w:eastAsia="en-US"/>
        </w:rPr>
        <w:t>: 1 November 1999</w:t>
      </w:r>
    </w:p>
    <w:p w:rsidR="00CA0E5A" w:rsidRPr="00CA0E5A" w:rsidRDefault="00CA0E5A" w:rsidP="000915F5">
      <w:pPr>
        <w:pStyle w:val="ListParagraph"/>
        <w:numPr>
          <w:ilvl w:val="0"/>
          <w:numId w:val="8"/>
        </w:numPr>
      </w:pPr>
      <w:r w:rsidRPr="00F72494">
        <w:rPr>
          <w:lang w:val="en-US" w:eastAsia="en-US"/>
        </w:rPr>
        <w:t>Risedronate</w:t>
      </w:r>
      <w:r>
        <w:rPr>
          <w:lang w:val="en-US" w:eastAsia="en-US"/>
        </w:rPr>
        <w:t>: 1 February 2001</w:t>
      </w:r>
    </w:p>
    <w:p w:rsidR="00CA0E5A" w:rsidRPr="00CA0E5A" w:rsidRDefault="00CA0E5A" w:rsidP="000915F5">
      <w:pPr>
        <w:pStyle w:val="ListParagraph"/>
        <w:numPr>
          <w:ilvl w:val="0"/>
          <w:numId w:val="8"/>
        </w:numPr>
      </w:pPr>
      <w:r w:rsidRPr="00F72494">
        <w:rPr>
          <w:lang w:val="en-US" w:eastAsia="en-US"/>
        </w:rPr>
        <w:t>Risedronate and calcium carbonate</w:t>
      </w:r>
      <w:r>
        <w:rPr>
          <w:lang w:val="en-US" w:eastAsia="en-US"/>
        </w:rPr>
        <w:t>: 1 April 2006</w:t>
      </w:r>
    </w:p>
    <w:p w:rsidR="00CA0E5A" w:rsidRPr="00190BFF" w:rsidRDefault="00CA0E5A" w:rsidP="000915F5">
      <w:pPr>
        <w:pStyle w:val="ListParagraph"/>
        <w:numPr>
          <w:ilvl w:val="0"/>
          <w:numId w:val="8"/>
        </w:numPr>
      </w:pPr>
      <w:r w:rsidRPr="00F72494">
        <w:rPr>
          <w:lang w:val="en-US" w:eastAsia="en-US"/>
        </w:rPr>
        <w:t>Alendronate</w:t>
      </w:r>
      <w:r w:rsidR="00AC0771">
        <w:rPr>
          <w:lang w:val="en-US" w:eastAsia="en-US"/>
        </w:rPr>
        <w:t xml:space="preserve"> </w:t>
      </w:r>
      <w:r w:rsidRPr="00F72494">
        <w:rPr>
          <w:lang w:val="en-US" w:eastAsia="en-US"/>
        </w:rPr>
        <w:t>with colecalciferol</w:t>
      </w:r>
      <w:r>
        <w:rPr>
          <w:lang w:val="en-US" w:eastAsia="en-US"/>
        </w:rPr>
        <w:t>: 1 August 2006</w:t>
      </w:r>
    </w:p>
    <w:p w:rsidR="00190BFF" w:rsidRPr="00635CCC" w:rsidRDefault="00CA0E5A" w:rsidP="000915F5">
      <w:pPr>
        <w:pStyle w:val="ListParagraph"/>
        <w:numPr>
          <w:ilvl w:val="0"/>
          <w:numId w:val="8"/>
        </w:numPr>
      </w:pPr>
      <w:r w:rsidRPr="00F72494">
        <w:rPr>
          <w:lang w:val="en-US" w:eastAsia="en-US"/>
        </w:rPr>
        <w:t>Strontium</w:t>
      </w:r>
      <w:r w:rsidR="00190BFF">
        <w:rPr>
          <w:lang w:val="en-US" w:eastAsia="en-US"/>
        </w:rPr>
        <w:t>: 1 April 2007</w:t>
      </w:r>
      <w:r w:rsidR="002C3D0F">
        <w:rPr>
          <w:lang w:val="en-US" w:eastAsia="en-US"/>
        </w:rPr>
        <w:t xml:space="preserve"> (delisted 1 August 2016)</w:t>
      </w:r>
    </w:p>
    <w:p w:rsidR="00635CCC" w:rsidRPr="00190BFF" w:rsidRDefault="00635CCC" w:rsidP="00635CCC">
      <w:pPr>
        <w:pStyle w:val="ListParagraph"/>
        <w:numPr>
          <w:ilvl w:val="0"/>
          <w:numId w:val="8"/>
        </w:numPr>
      </w:pPr>
      <w:r w:rsidRPr="00635CCC">
        <w:t>Risedronate and calcium carbonate with colecalciferol</w:t>
      </w:r>
      <w:r>
        <w:t xml:space="preserve"> (1 May 2008)</w:t>
      </w:r>
    </w:p>
    <w:p w:rsidR="00190BFF" w:rsidRPr="00190BFF" w:rsidRDefault="00CA0E5A" w:rsidP="000915F5">
      <w:pPr>
        <w:pStyle w:val="ListParagraph"/>
        <w:numPr>
          <w:ilvl w:val="0"/>
          <w:numId w:val="8"/>
        </w:numPr>
      </w:pPr>
      <w:r w:rsidRPr="00F72494">
        <w:rPr>
          <w:lang w:val="en-US" w:eastAsia="en-US"/>
        </w:rPr>
        <w:t xml:space="preserve">Zoledronic </w:t>
      </w:r>
      <w:r>
        <w:rPr>
          <w:lang w:val="en-US" w:eastAsia="en-US"/>
        </w:rPr>
        <w:t>acid</w:t>
      </w:r>
      <w:r w:rsidR="00190BFF">
        <w:rPr>
          <w:lang w:val="en-US" w:eastAsia="en-US"/>
        </w:rPr>
        <w:t>: 1 December 2008</w:t>
      </w:r>
    </w:p>
    <w:p w:rsidR="00190BFF" w:rsidRPr="00D973B9" w:rsidRDefault="00CA0E5A" w:rsidP="000915F5">
      <w:pPr>
        <w:pStyle w:val="ListParagraph"/>
        <w:numPr>
          <w:ilvl w:val="0"/>
          <w:numId w:val="8"/>
        </w:numPr>
      </w:pPr>
      <w:r w:rsidRPr="00F72494">
        <w:rPr>
          <w:lang w:val="en-US" w:eastAsia="en-US"/>
        </w:rPr>
        <w:t>Teriparatide</w:t>
      </w:r>
      <w:r w:rsidR="00190BFF">
        <w:rPr>
          <w:lang w:val="en-US" w:eastAsia="en-US"/>
        </w:rPr>
        <w:t>: 1 May 2009</w:t>
      </w:r>
    </w:p>
    <w:p w:rsidR="00D973B9" w:rsidRPr="00190BFF" w:rsidRDefault="00D973B9" w:rsidP="00D973B9">
      <w:pPr>
        <w:pStyle w:val="ListParagraph"/>
        <w:numPr>
          <w:ilvl w:val="0"/>
          <w:numId w:val="8"/>
        </w:numPr>
      </w:pPr>
      <w:r w:rsidRPr="00F72494">
        <w:rPr>
          <w:lang w:val="en-US" w:eastAsia="en-US"/>
        </w:rPr>
        <w:t>Alendronate</w:t>
      </w:r>
      <w:r>
        <w:rPr>
          <w:lang w:val="en-US" w:eastAsia="en-US"/>
        </w:rPr>
        <w:t xml:space="preserve"> </w:t>
      </w:r>
      <w:r w:rsidRPr="00F72494">
        <w:rPr>
          <w:lang w:val="en-US" w:eastAsia="en-US"/>
        </w:rPr>
        <w:t>with colecalciferol</w:t>
      </w:r>
      <w:r w:rsidR="00635CCC">
        <w:rPr>
          <w:lang w:val="en-US" w:eastAsia="en-US"/>
        </w:rPr>
        <w:t xml:space="preserve"> and calcium carbonate: 1 June</w:t>
      </w:r>
      <w:r>
        <w:rPr>
          <w:lang w:val="en-US" w:eastAsia="en-US"/>
        </w:rPr>
        <w:t xml:space="preserve"> 2010</w:t>
      </w:r>
    </w:p>
    <w:p w:rsidR="00190BFF" w:rsidRDefault="00CA0E5A" w:rsidP="000915F5">
      <w:pPr>
        <w:pStyle w:val="ListParagraph"/>
        <w:numPr>
          <w:ilvl w:val="0"/>
          <w:numId w:val="8"/>
        </w:numPr>
      </w:pPr>
      <w:r w:rsidRPr="00F72494">
        <w:rPr>
          <w:lang w:val="en-US" w:eastAsia="en-US"/>
        </w:rPr>
        <w:t>Denosumab</w:t>
      </w:r>
      <w:r w:rsidR="00190BFF">
        <w:rPr>
          <w:lang w:val="en-US" w:eastAsia="en-US"/>
        </w:rPr>
        <w:t>: 1 December 2010</w:t>
      </w:r>
    </w:p>
    <w:p w:rsidR="005425A8" w:rsidRPr="00D973B9" w:rsidRDefault="005425A8" w:rsidP="000915F5">
      <w:pPr>
        <w:pStyle w:val="Heading2"/>
        <w:rPr>
          <w:i/>
        </w:rPr>
      </w:pPr>
      <w:r w:rsidRPr="00D973B9">
        <w:rPr>
          <w:i/>
        </w:rPr>
        <w:t>Data Source / methodology</w:t>
      </w:r>
    </w:p>
    <w:p w:rsidR="00821C17" w:rsidRPr="0093416F" w:rsidRDefault="00D577DE" w:rsidP="000915F5">
      <w:r w:rsidRPr="00D973B9">
        <w:t>P</w:t>
      </w:r>
      <w:r w:rsidR="008202D1" w:rsidRPr="00D973B9">
        <w:t>atient counts and patient level analys</w:t>
      </w:r>
      <w:r w:rsidRPr="00D973B9">
        <w:t>i</w:t>
      </w:r>
      <w:r w:rsidR="008202D1" w:rsidRPr="00D973B9">
        <w:t>s d</w:t>
      </w:r>
      <w:r w:rsidR="00EE42DE" w:rsidRPr="00D973B9">
        <w:t>ata were extracted from the Department of Human Services (DHS) prescription database for prescriptions supplied from January 2003 to March 2016.</w:t>
      </w:r>
      <w:r w:rsidR="008202D1" w:rsidRPr="00D973B9">
        <w:t xml:space="preserve"> </w:t>
      </w:r>
      <w:r w:rsidR="00724C62">
        <w:t xml:space="preserve">Prescription and expenditure analyses were based on </w:t>
      </w:r>
      <w:r w:rsidR="00724C62" w:rsidRPr="00D973B9">
        <w:t xml:space="preserve">prescriptions supplied from January </w:t>
      </w:r>
      <w:r w:rsidR="00724C62">
        <w:t>1990</w:t>
      </w:r>
      <w:r w:rsidR="00724C62" w:rsidRPr="00D973B9">
        <w:t xml:space="preserve"> to March 2016.</w:t>
      </w:r>
    </w:p>
    <w:p w:rsidR="00821C17" w:rsidRPr="008250BC" w:rsidRDefault="00821C17" w:rsidP="000915F5">
      <w:pPr>
        <w:pStyle w:val="Heading2"/>
        <w:rPr>
          <w:i/>
        </w:rPr>
      </w:pPr>
      <w:r w:rsidRPr="008250BC">
        <w:rPr>
          <w:i/>
        </w:rPr>
        <w:t>Key Findings</w:t>
      </w:r>
    </w:p>
    <w:p w:rsidR="00334F2D" w:rsidRPr="00334F2D" w:rsidRDefault="007B0003" w:rsidP="00334F2D">
      <w:pPr>
        <w:pStyle w:val="ListParagraph"/>
        <w:numPr>
          <w:ilvl w:val="0"/>
          <w:numId w:val="14"/>
        </w:numPr>
      </w:pPr>
      <w:r>
        <w:t xml:space="preserve">Rates of treatment with osteoporosis medicines declined by 15% </w:t>
      </w:r>
      <w:r w:rsidR="00334F2D" w:rsidRPr="00334F2D">
        <w:t xml:space="preserve">between 2007 </w:t>
      </w:r>
      <w:r>
        <w:t>and</w:t>
      </w:r>
      <w:r w:rsidR="00334F2D" w:rsidRPr="00334F2D">
        <w:t xml:space="preserve"> 2014</w:t>
      </w:r>
      <w:r>
        <w:t xml:space="preserve"> despite reports of increasing prevalence</w:t>
      </w:r>
      <w:r w:rsidR="001B7600">
        <w:t xml:space="preserve"> of osteoporosis</w:t>
      </w:r>
      <w:r>
        <w:t>. In 2015 the treatment rate increased</w:t>
      </w:r>
      <w:r w:rsidR="001B7600">
        <w:t>. F</w:t>
      </w:r>
      <w:r>
        <w:t>urther data will be needed to confirm if this increase is sustained.</w:t>
      </w:r>
      <w:r w:rsidR="00334F2D" w:rsidRPr="00334F2D">
        <w:t xml:space="preserve">  </w:t>
      </w:r>
    </w:p>
    <w:p w:rsidR="007B0003" w:rsidRPr="007B0003" w:rsidRDefault="007B0003" w:rsidP="007B0003">
      <w:pPr>
        <w:pStyle w:val="ListParagraph"/>
        <w:numPr>
          <w:ilvl w:val="0"/>
          <w:numId w:val="14"/>
        </w:numPr>
      </w:pPr>
      <w:r w:rsidRPr="007B0003">
        <w:t>In 2015, 471,497 patients were treated with osteoporosis medicines through the PBS</w:t>
      </w:r>
      <w:r w:rsidR="00414938">
        <w:t>, and 15% of these people (72,132) commenced osteoporosis treatment for the first time.</w:t>
      </w:r>
    </w:p>
    <w:p w:rsidR="00D420FC" w:rsidRDefault="00D420FC" w:rsidP="00CE392E">
      <w:pPr>
        <w:pStyle w:val="ListParagraph"/>
        <w:numPr>
          <w:ilvl w:val="0"/>
          <w:numId w:val="14"/>
        </w:numPr>
        <w:spacing w:after="0"/>
        <w:contextualSpacing w:val="0"/>
      </w:pPr>
      <w:r>
        <w:lastRenderedPageBreak/>
        <w:t xml:space="preserve">The average age when starting osteoporosis medicines </w:t>
      </w:r>
      <w:r w:rsidR="00B54ED1">
        <w:t>was</w:t>
      </w:r>
      <w:r>
        <w:t xml:space="preserve"> 71 years. This </w:t>
      </w:r>
      <w:r w:rsidR="00B54ED1">
        <w:t>was</w:t>
      </w:r>
      <w:r>
        <w:t xml:space="preserve"> similar between men and women.</w:t>
      </w:r>
    </w:p>
    <w:p w:rsidR="00D420FC" w:rsidRDefault="00D420FC" w:rsidP="00CE392E">
      <w:pPr>
        <w:pStyle w:val="ListParagraph"/>
        <w:numPr>
          <w:ilvl w:val="0"/>
          <w:numId w:val="14"/>
        </w:numPr>
        <w:spacing w:after="0"/>
        <w:contextualSpacing w:val="0"/>
      </w:pPr>
      <w:r>
        <w:t xml:space="preserve">Osteoporosis </w:t>
      </w:r>
      <w:r w:rsidR="00B54ED1">
        <w:t>was</w:t>
      </w:r>
      <w:r>
        <w:t xml:space="preserve"> more prevalent in women </w:t>
      </w:r>
      <w:r w:rsidR="000E401E">
        <w:t xml:space="preserve">than </w:t>
      </w:r>
      <w:r>
        <w:t>men</w:t>
      </w:r>
      <w:r w:rsidR="000E401E">
        <w:t>, with a</w:t>
      </w:r>
      <w:r w:rsidR="00C3569F">
        <w:t>n estimated</w:t>
      </w:r>
      <w:r w:rsidR="000E401E">
        <w:t xml:space="preserve"> prevalence ratio </w:t>
      </w:r>
      <w:r w:rsidR="00D46BEE">
        <w:t xml:space="preserve">in Australia </w:t>
      </w:r>
      <w:r w:rsidR="000E401E">
        <w:t>of 3.8:1 for people over 50 years.</w:t>
      </w:r>
      <w:r>
        <w:t xml:space="preserve"> </w:t>
      </w:r>
      <w:r w:rsidR="00C3569F">
        <w:t xml:space="preserve">The ratio of women to men </w:t>
      </w:r>
      <w:r w:rsidR="00FF4C73">
        <w:t xml:space="preserve">aged </w:t>
      </w:r>
      <w:r w:rsidR="00C3569F">
        <w:t>50 years or older</w:t>
      </w:r>
      <w:r w:rsidR="00FF4C73">
        <w:t xml:space="preserve"> </w:t>
      </w:r>
      <w:r w:rsidR="00C31A74">
        <w:t>treated with PBS</w:t>
      </w:r>
      <w:r w:rsidR="00C3569F">
        <w:t xml:space="preserve"> </w:t>
      </w:r>
      <w:r w:rsidR="00C31A74">
        <w:t>osteoporosis medicines</w:t>
      </w:r>
      <w:r w:rsidR="00C3569F">
        <w:t xml:space="preserve"> in 2015 was </w:t>
      </w:r>
      <w:r w:rsidR="00F209CE">
        <w:t>3.9</w:t>
      </w:r>
      <w:r w:rsidR="00C3569F">
        <w:t>:1.</w:t>
      </w:r>
    </w:p>
    <w:p w:rsidR="00D420FC" w:rsidRPr="00C31A74" w:rsidRDefault="00D420FC" w:rsidP="00D420FC">
      <w:pPr>
        <w:pStyle w:val="ListParagraph"/>
        <w:numPr>
          <w:ilvl w:val="0"/>
          <w:numId w:val="14"/>
        </w:numPr>
      </w:pPr>
      <w:r w:rsidRPr="00C31A74">
        <w:t>Utilisation of denosumab ha</w:t>
      </w:r>
      <w:r w:rsidR="001D7319">
        <w:t>d</w:t>
      </w:r>
      <w:r w:rsidRPr="00C31A74">
        <w:t xml:space="preserve"> been much higher than expected. Approximately half of people starting osteoporosis therapy for the first time in 2015 were prescribed denosumab. A large number of people</w:t>
      </w:r>
      <w:r w:rsidR="001B7600" w:rsidRPr="00C31A74">
        <w:t xml:space="preserve"> already on treatment with other medicines</w:t>
      </w:r>
      <w:r w:rsidRPr="00C31A74">
        <w:t xml:space="preserve"> ha</w:t>
      </w:r>
      <w:r w:rsidR="00B54ED1">
        <w:t>d</w:t>
      </w:r>
      <w:r w:rsidRPr="00C31A74">
        <w:t xml:space="preserve"> switched to denosumab</w:t>
      </w:r>
      <w:r w:rsidR="00F73F54" w:rsidRPr="00C31A74">
        <w:t>. In 2015, 57% of patients initiating denosumab had previously used at least one other osteoporosis drug</w:t>
      </w:r>
      <w:r w:rsidR="001B7600" w:rsidRPr="00C31A74">
        <w:t>.</w:t>
      </w:r>
      <w:r w:rsidRPr="00C31A74">
        <w:t xml:space="preserve"> </w:t>
      </w:r>
    </w:p>
    <w:p w:rsidR="008679CD" w:rsidRDefault="008679CD" w:rsidP="000915F5">
      <w:pPr>
        <w:rPr>
          <w:b/>
          <w:i/>
          <w:sz w:val="32"/>
          <w:szCs w:val="32"/>
        </w:rPr>
      </w:pPr>
      <w:r>
        <w:br w:type="page"/>
      </w:r>
    </w:p>
    <w:p w:rsidR="00321A19" w:rsidRDefault="00321A19" w:rsidP="000915F5">
      <w:pPr>
        <w:pStyle w:val="Heading4"/>
        <w:rPr>
          <w:i w:val="0"/>
        </w:rPr>
      </w:pPr>
      <w:r w:rsidRPr="00321A19">
        <w:rPr>
          <w:i w:val="0"/>
        </w:rPr>
        <w:lastRenderedPageBreak/>
        <w:t>Purpose of analysis</w:t>
      </w:r>
    </w:p>
    <w:p w:rsidR="00715667" w:rsidRDefault="001B7600" w:rsidP="00D46BEE">
      <w:r w:rsidRPr="001B7600">
        <w:t xml:space="preserve">To review the utilisation of medicines for the treatment of osteoporosis including an assessment of the predicted and actual use of denosumab. </w:t>
      </w:r>
    </w:p>
    <w:p w:rsidR="00821C17" w:rsidRPr="008250BC" w:rsidRDefault="00821C17" w:rsidP="000915F5">
      <w:pPr>
        <w:pStyle w:val="Heading4"/>
        <w:rPr>
          <w:i w:val="0"/>
        </w:rPr>
      </w:pPr>
      <w:r w:rsidRPr="008250BC">
        <w:rPr>
          <w:i w:val="0"/>
        </w:rPr>
        <w:t>Background</w:t>
      </w:r>
    </w:p>
    <w:p w:rsidR="00715667" w:rsidRDefault="00AC5CA9" w:rsidP="000915F5">
      <w:r>
        <w:t xml:space="preserve">At its June 2016 meeting </w:t>
      </w:r>
      <w:r w:rsidRPr="00AC5CA9">
        <w:t>DUSC requested that utilisation of denosumab be reviewed in the context of the total osteoporosis market</w:t>
      </w:r>
      <w:r w:rsidR="00715667">
        <w:t xml:space="preserve"> noting that use of denosumab ha</w:t>
      </w:r>
      <w:r w:rsidR="007816DC">
        <w:t>d</w:t>
      </w:r>
      <w:r w:rsidR="00715667">
        <w:t xml:space="preserve"> increased rapidly. </w:t>
      </w:r>
      <w:r w:rsidRPr="00AC5CA9">
        <w:t xml:space="preserve">DUSC recommended that the review include an assessment of the extent that denosumab has grown the overall </w:t>
      </w:r>
      <w:r w:rsidRPr="00321A19">
        <w:t>osteoporosis</w:t>
      </w:r>
      <w:r w:rsidRPr="00AC5CA9">
        <w:t xml:space="preserve"> market, extent of switching from other agents, frequency of administration, co-administration, and age </w:t>
      </w:r>
      <w:r w:rsidR="003E6EF7">
        <w:t>at</w:t>
      </w:r>
      <w:r w:rsidRPr="00AC5CA9">
        <w:t xml:space="preserve"> initiation. </w:t>
      </w:r>
    </w:p>
    <w:p w:rsidR="00715667" w:rsidRDefault="00AC5CA9" w:rsidP="000915F5">
      <w:r w:rsidRPr="00AC5CA9">
        <w:t xml:space="preserve">DUSC </w:t>
      </w:r>
      <w:r w:rsidR="00715667">
        <w:t xml:space="preserve">also </w:t>
      </w:r>
      <w:r w:rsidRPr="00AC5CA9">
        <w:t xml:space="preserve">considered that uptake in residential aged care facilities, and relationships between rates of </w:t>
      </w:r>
      <w:r w:rsidR="007816DC">
        <w:t>bone mineral density (</w:t>
      </w:r>
      <w:r w:rsidRPr="00AC5CA9">
        <w:t>BMD</w:t>
      </w:r>
      <w:r w:rsidR="007816DC">
        <w:t>)</w:t>
      </w:r>
      <w:r w:rsidRPr="00AC5CA9">
        <w:t xml:space="preserve"> testing and initiation on denosumab and other agents by geographic region may be informative in interpreting utilisation patterns. </w:t>
      </w:r>
      <w:r w:rsidR="00715667">
        <w:t>Rates of BMD testing are included in the current review. Use of medicines in residential aged care facilities (RACF) cannot be distinguished in the PBS prescription data. Additional data sources and/or data linkage would be required.</w:t>
      </w:r>
      <w:r w:rsidR="0041258B">
        <w:t xml:space="preserve"> </w:t>
      </w:r>
    </w:p>
    <w:p w:rsidR="009C1E36" w:rsidRPr="009C1E36" w:rsidRDefault="009C1E36" w:rsidP="009C1E36">
      <w:r w:rsidRPr="009C1E36">
        <w:t>The osteoporosis medicines included in this analysis are:</w:t>
      </w:r>
    </w:p>
    <w:p w:rsidR="009C1E36" w:rsidRPr="009C1E36" w:rsidRDefault="009C1E36" w:rsidP="009C1E36">
      <w:pPr>
        <w:pStyle w:val="ListParagraph"/>
        <w:numPr>
          <w:ilvl w:val="0"/>
          <w:numId w:val="14"/>
        </w:numPr>
      </w:pPr>
      <w:r w:rsidRPr="009C1E36">
        <w:t>Bisphosphonates:  alendronate, risedronate, etidronate and zoledronic acid</w:t>
      </w:r>
      <w:r w:rsidR="007816DC">
        <w:t>.</w:t>
      </w:r>
    </w:p>
    <w:p w:rsidR="00490B2B" w:rsidRDefault="00490B2B" w:rsidP="00490B2B">
      <w:pPr>
        <w:pStyle w:val="ListParagraph"/>
        <w:numPr>
          <w:ilvl w:val="0"/>
          <w:numId w:val="14"/>
        </w:numPr>
      </w:pPr>
      <w:r w:rsidRPr="009C1E36">
        <w:t>Bisphosphonate combinations including with colecalciferol and/or calcium carbonate.</w:t>
      </w:r>
    </w:p>
    <w:p w:rsidR="005E474D" w:rsidRDefault="007816DC" w:rsidP="009C1E36">
      <w:pPr>
        <w:pStyle w:val="ListParagraph"/>
        <w:numPr>
          <w:ilvl w:val="0"/>
          <w:numId w:val="14"/>
        </w:numPr>
      </w:pPr>
      <w:r>
        <w:t>R</w:t>
      </w:r>
      <w:r w:rsidR="009C1E36" w:rsidRPr="009C1E36">
        <w:t>aloxifene, strontium and teriparatide.</w:t>
      </w:r>
    </w:p>
    <w:p w:rsidR="009C1E36" w:rsidRPr="009C1E36" w:rsidRDefault="007816DC" w:rsidP="009C1E36">
      <w:pPr>
        <w:pStyle w:val="ListParagraph"/>
        <w:numPr>
          <w:ilvl w:val="0"/>
          <w:numId w:val="14"/>
        </w:numPr>
      </w:pPr>
      <w:r>
        <w:t>C</w:t>
      </w:r>
      <w:r w:rsidR="005E474D">
        <w:t>alcitriol</w:t>
      </w:r>
      <w:r>
        <w:t>.</w:t>
      </w:r>
      <w:r w:rsidR="009C1E36" w:rsidRPr="009C1E36">
        <w:t xml:space="preserve"> </w:t>
      </w:r>
    </w:p>
    <w:p w:rsidR="005574FF" w:rsidRPr="009C1E36" w:rsidRDefault="005574FF" w:rsidP="00D46BEE">
      <w:r>
        <w:t xml:space="preserve">A brief overview of the pharmacology of these medicines is provided in Appendix A. </w:t>
      </w:r>
    </w:p>
    <w:p w:rsidR="0068588A" w:rsidRPr="0068588A" w:rsidRDefault="0068588A" w:rsidP="0068588A">
      <w:pPr>
        <w:spacing w:before="240"/>
        <w:outlineLvl w:val="1"/>
        <w:rPr>
          <w:rFonts w:ascii="Calibri" w:eastAsia="MS Mincho" w:hAnsi="Calibri" w:cs="Times New Roman"/>
          <w:b/>
          <w:sz w:val="28"/>
        </w:rPr>
      </w:pPr>
      <w:r w:rsidRPr="0068588A">
        <w:rPr>
          <w:rFonts w:ascii="Calibri" w:eastAsia="MS Mincho" w:hAnsi="Calibri" w:cs="Times New Roman"/>
          <w:b/>
          <w:sz w:val="28"/>
        </w:rPr>
        <w:t>Therapeutic Goods Administration (TGA) approved indications</w:t>
      </w:r>
      <w:r w:rsidR="0015220F">
        <w:rPr>
          <w:rStyle w:val="FootnoteReference"/>
          <w:rFonts w:ascii="Calibri" w:eastAsia="MS Mincho" w:hAnsi="Calibri" w:cs="Times New Roman"/>
          <w:b/>
          <w:sz w:val="28"/>
        </w:rPr>
        <w:footnoteReference w:id="1"/>
      </w:r>
    </w:p>
    <w:p w:rsidR="009C1E36" w:rsidRPr="00C8250E" w:rsidRDefault="009C1E36" w:rsidP="003507AA">
      <w:pPr>
        <w:spacing w:after="0"/>
      </w:pPr>
      <w:r w:rsidRPr="0047670D">
        <w:rPr>
          <w:b/>
          <w:shd w:val="clear" w:color="auto" w:fill="FFFFFF" w:themeFill="background1"/>
        </w:rPr>
        <w:t xml:space="preserve">Table 1: TGA approved </w:t>
      </w:r>
      <w:r w:rsidR="00C8250E" w:rsidRPr="0047670D">
        <w:rPr>
          <w:b/>
          <w:shd w:val="clear" w:color="auto" w:fill="FFFFFF" w:themeFill="background1"/>
        </w:rPr>
        <w:t>osteoporosis</w:t>
      </w:r>
      <w:r w:rsidR="005574FF" w:rsidRPr="0047670D">
        <w:rPr>
          <w:b/>
          <w:shd w:val="clear" w:color="auto" w:fill="FFFFFF" w:themeFill="background1"/>
        </w:rPr>
        <w:t>*</w:t>
      </w:r>
      <w:r w:rsidR="00C8250E" w:rsidRPr="0047670D">
        <w:rPr>
          <w:b/>
          <w:shd w:val="clear" w:color="auto" w:fill="FFFFFF" w:themeFill="background1"/>
        </w:rPr>
        <w:t xml:space="preserve"> </w:t>
      </w:r>
      <w:r w:rsidRPr="0047670D">
        <w:rPr>
          <w:b/>
          <w:shd w:val="clear" w:color="auto" w:fill="FFFFFF" w:themeFill="background1"/>
        </w:rPr>
        <w:t>indications</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TGA approved osteoporosis indications"/>
      </w:tblPr>
      <w:tblGrid>
        <w:gridCol w:w="2000"/>
        <w:gridCol w:w="6662"/>
      </w:tblGrid>
      <w:tr w:rsidR="009C1E36" w:rsidRPr="009C1E36" w:rsidTr="007B76B1">
        <w:trPr>
          <w:trHeight w:val="1200"/>
        </w:trPr>
        <w:tc>
          <w:tcPr>
            <w:tcW w:w="2000" w:type="dxa"/>
            <w:shd w:val="clear" w:color="auto" w:fill="auto"/>
            <w:noWrap/>
            <w:hideMark/>
          </w:tcPr>
          <w:p w:rsidR="009C1E36" w:rsidRPr="009C1E36" w:rsidRDefault="009C1E36" w:rsidP="0068588A">
            <w:pPr>
              <w:rPr>
                <w:color w:val="000000"/>
                <w:sz w:val="20"/>
                <w:szCs w:val="20"/>
              </w:rPr>
            </w:pPr>
            <w:r w:rsidRPr="009C1E36">
              <w:rPr>
                <w:color w:val="000000"/>
                <w:sz w:val="20"/>
                <w:szCs w:val="20"/>
              </w:rPr>
              <w:t xml:space="preserve">Alendronate and combinations </w:t>
            </w:r>
          </w:p>
        </w:tc>
        <w:tc>
          <w:tcPr>
            <w:tcW w:w="6662" w:type="dxa"/>
            <w:shd w:val="clear" w:color="auto" w:fill="auto"/>
            <w:hideMark/>
          </w:tcPr>
          <w:p w:rsidR="009C1E36" w:rsidRPr="009C1E36" w:rsidRDefault="009C1E36" w:rsidP="00B07930">
            <w:pPr>
              <w:spacing w:after="0"/>
              <w:rPr>
                <w:rFonts w:eastAsia="Times New Roman" w:cs="Times New Roman"/>
                <w:color w:val="000000"/>
                <w:sz w:val="20"/>
                <w:szCs w:val="20"/>
              </w:rPr>
            </w:pP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of osteoporosis, including glucocorticoid-induced osteoporosis</w:t>
            </w:r>
            <w:r w:rsidR="007816DC">
              <w:rPr>
                <w:rFonts w:eastAsia="Times New Roman" w:cs="Times New Roman"/>
                <w:color w:val="000000"/>
                <w:sz w:val="20"/>
                <w:szCs w:val="20"/>
              </w:rPr>
              <w:t>.</w:t>
            </w:r>
            <w:r w:rsidRPr="009C1E36">
              <w:rPr>
                <w:rFonts w:eastAsia="Times New Roman" w:cs="Times New Roman"/>
                <w:color w:val="000000"/>
                <w:sz w:val="20"/>
                <w:szCs w:val="20"/>
              </w:rPr>
              <w:t xml:space="preserve"> </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Prevention of osteoporosis in postmenopausal women with low bone mass</w:t>
            </w:r>
            <w:r w:rsidR="007816DC">
              <w:rPr>
                <w:rFonts w:eastAsia="Times New Roman" w:cs="Times New Roman"/>
                <w:color w:val="000000"/>
                <w:sz w:val="20"/>
                <w:szCs w:val="20"/>
              </w:rPr>
              <w:t>.</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w:t>
            </w:r>
            <w:r w:rsidR="00B07930">
              <w:rPr>
                <w:rFonts w:eastAsia="Times New Roman" w:cs="Times New Roman"/>
                <w:color w:val="000000"/>
                <w:sz w:val="20"/>
                <w:szCs w:val="20"/>
              </w:rPr>
              <w:t>Prevention of g</w:t>
            </w:r>
            <w:r w:rsidRPr="009C1E36">
              <w:rPr>
                <w:rFonts w:eastAsia="Times New Roman" w:cs="Times New Roman"/>
                <w:color w:val="000000"/>
                <w:sz w:val="20"/>
                <w:szCs w:val="20"/>
              </w:rPr>
              <w:t>lucocorticoid-induced osteoporosis in those  patients on long term corticosteroid therapy</w:t>
            </w:r>
            <w:r w:rsidR="007816DC">
              <w:rPr>
                <w:rFonts w:eastAsia="Times New Roman" w:cs="Times New Roman"/>
                <w:color w:val="000000"/>
                <w:sz w:val="20"/>
                <w:szCs w:val="20"/>
              </w:rPr>
              <w:t>.</w:t>
            </w:r>
          </w:p>
        </w:tc>
      </w:tr>
      <w:tr w:rsidR="009C1E36" w:rsidRPr="009C1E36" w:rsidTr="007B76B1">
        <w:trPr>
          <w:trHeight w:val="1200"/>
        </w:trPr>
        <w:tc>
          <w:tcPr>
            <w:tcW w:w="2000" w:type="dxa"/>
            <w:shd w:val="clear" w:color="auto" w:fill="auto"/>
            <w:noWrap/>
            <w:hideMark/>
          </w:tcPr>
          <w:p w:rsidR="009C1E36" w:rsidRPr="009C1E36" w:rsidRDefault="009C1E36" w:rsidP="0068588A">
            <w:pPr>
              <w:rPr>
                <w:color w:val="000000"/>
                <w:sz w:val="20"/>
                <w:szCs w:val="20"/>
              </w:rPr>
            </w:pPr>
            <w:r w:rsidRPr="009C1E36">
              <w:rPr>
                <w:color w:val="000000"/>
                <w:sz w:val="20"/>
                <w:szCs w:val="20"/>
              </w:rPr>
              <w:t>Calcitriol</w:t>
            </w:r>
          </w:p>
        </w:tc>
        <w:tc>
          <w:tcPr>
            <w:tcW w:w="6662" w:type="dxa"/>
            <w:shd w:val="clear" w:color="auto" w:fill="auto"/>
            <w:hideMark/>
          </w:tcPr>
          <w:p w:rsidR="009C1E36" w:rsidRPr="009C1E36" w:rsidRDefault="009C1E36" w:rsidP="0068588A">
            <w:pPr>
              <w:spacing w:after="0"/>
              <w:rPr>
                <w:rFonts w:eastAsia="Times New Roman" w:cs="Times New Roman"/>
                <w:color w:val="000000"/>
                <w:sz w:val="20"/>
                <w:szCs w:val="20"/>
              </w:rPr>
            </w:pP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of established osteoporosis diagnosed by objective measuring techniques, such as densitometry, or by radiographic evidence of atraumatic fracture. </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Prevention of corticosteroid-induced osteoporosis in patients commencing oral steroid therapy in a dose and regimen expected to result in a significant bone loss.</w:t>
            </w:r>
          </w:p>
        </w:tc>
      </w:tr>
      <w:tr w:rsidR="009C1E36" w:rsidRPr="009C1E36" w:rsidTr="00F23A3A">
        <w:trPr>
          <w:trHeight w:val="280"/>
        </w:trPr>
        <w:tc>
          <w:tcPr>
            <w:tcW w:w="2000" w:type="dxa"/>
            <w:shd w:val="clear" w:color="auto" w:fill="auto"/>
            <w:noWrap/>
            <w:hideMark/>
          </w:tcPr>
          <w:p w:rsidR="009C1E36" w:rsidRPr="009C1E36" w:rsidRDefault="009C1E36" w:rsidP="0068588A">
            <w:pPr>
              <w:rPr>
                <w:color w:val="000000"/>
                <w:sz w:val="20"/>
                <w:szCs w:val="20"/>
              </w:rPr>
            </w:pPr>
            <w:r w:rsidRPr="009C1E36">
              <w:rPr>
                <w:color w:val="000000"/>
                <w:sz w:val="20"/>
                <w:szCs w:val="20"/>
              </w:rPr>
              <w:t>Denosumab</w:t>
            </w:r>
          </w:p>
        </w:tc>
        <w:tc>
          <w:tcPr>
            <w:tcW w:w="6662" w:type="dxa"/>
            <w:shd w:val="clear" w:color="auto" w:fill="auto"/>
            <w:hideMark/>
          </w:tcPr>
          <w:p w:rsidR="00FC08F4" w:rsidRPr="009C1E36" w:rsidRDefault="009C1E36" w:rsidP="0068588A">
            <w:pPr>
              <w:spacing w:after="0"/>
              <w:rPr>
                <w:rFonts w:eastAsia="Times New Roman" w:cs="Times New Roman"/>
                <w:color w:val="000000"/>
                <w:sz w:val="20"/>
                <w:szCs w:val="20"/>
              </w:rPr>
            </w:pP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The treatment of osteoporosis in postmenopausal women.  </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to increase bone mass in men with osteopaenia receiving androgen deprivation therapy for non-metastatic prostate cancer</w:t>
            </w:r>
            <w:r w:rsidR="007816DC">
              <w:rPr>
                <w:rFonts w:eastAsia="Times New Roman" w:cs="Times New Roman"/>
                <w:color w:val="000000"/>
                <w:sz w:val="20"/>
                <w:szCs w:val="20"/>
              </w:rPr>
              <w:t>.</w:t>
            </w:r>
            <w:r w:rsidR="00FC08F4">
              <w:rPr>
                <w:rFonts w:eastAsia="Times New Roman" w:cs="Times New Roman"/>
                <w:color w:val="000000"/>
                <w:sz w:val="20"/>
                <w:szCs w:val="20"/>
              </w:rPr>
              <w:br/>
            </w:r>
            <w:r w:rsidR="00FC08F4" w:rsidRPr="009C1E36">
              <w:rPr>
                <w:rFonts w:eastAsia="Times New Roman" w:cs="Times New Roman"/>
                <w:color w:val="000000"/>
                <w:sz w:val="20"/>
                <w:szCs w:val="20"/>
              </w:rPr>
              <w:sym w:font="Symbol" w:char="F0B7"/>
            </w:r>
            <w:r w:rsidR="00FC08F4" w:rsidRPr="009C1E36">
              <w:rPr>
                <w:rFonts w:eastAsia="Times New Roman" w:cs="Times New Roman"/>
                <w:color w:val="000000"/>
                <w:sz w:val="20"/>
                <w:szCs w:val="20"/>
              </w:rPr>
              <w:t xml:space="preserve"> </w:t>
            </w:r>
            <w:r w:rsidR="00FC08F4" w:rsidRPr="00FC08F4">
              <w:rPr>
                <w:rFonts w:eastAsia="Times New Roman" w:cs="Times New Roman"/>
                <w:color w:val="000000"/>
                <w:sz w:val="20"/>
                <w:szCs w:val="20"/>
              </w:rPr>
              <w:t>Treatment to increase bone mass in men with osteoporosis at increased risk of fracture.</w:t>
            </w:r>
          </w:p>
        </w:tc>
      </w:tr>
      <w:tr w:rsidR="009C1E36" w:rsidRPr="009C1E36" w:rsidTr="007B76B1">
        <w:trPr>
          <w:trHeight w:val="1500"/>
        </w:trPr>
        <w:tc>
          <w:tcPr>
            <w:tcW w:w="2000" w:type="dxa"/>
            <w:shd w:val="clear" w:color="auto" w:fill="auto"/>
            <w:noWrap/>
            <w:hideMark/>
          </w:tcPr>
          <w:p w:rsidR="009C1E36" w:rsidRPr="009C1E36" w:rsidRDefault="009C1E36" w:rsidP="0068588A">
            <w:pPr>
              <w:rPr>
                <w:color w:val="000000"/>
                <w:sz w:val="20"/>
                <w:szCs w:val="20"/>
              </w:rPr>
            </w:pPr>
            <w:r w:rsidRPr="009C1E36">
              <w:rPr>
                <w:color w:val="000000"/>
                <w:sz w:val="20"/>
                <w:szCs w:val="20"/>
              </w:rPr>
              <w:t>Etidronic acid + calcium</w:t>
            </w:r>
          </w:p>
        </w:tc>
        <w:tc>
          <w:tcPr>
            <w:tcW w:w="6662" w:type="dxa"/>
            <w:shd w:val="clear" w:color="auto" w:fill="auto"/>
            <w:hideMark/>
          </w:tcPr>
          <w:p w:rsidR="009C1E36" w:rsidRPr="009C1E36" w:rsidRDefault="009C1E36" w:rsidP="0068588A">
            <w:pPr>
              <w:spacing w:after="0"/>
              <w:rPr>
                <w:rFonts w:eastAsia="Times New Roman" w:cs="Times New Roman"/>
                <w:color w:val="000000"/>
                <w:sz w:val="20"/>
                <w:szCs w:val="20"/>
              </w:rPr>
            </w:pP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of osteoporosis.  Osteoporosis must be confirmed by the finding of low bone mass (at least two standard deviations below the gender-specific mean for young adults) or by the presence or history of osteoporotic fracture. </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Prevention of bone loss in patients for whom long-term treatment with high-dose corticosteroids is either about to be commenced or has been recently initiated. </w:t>
            </w:r>
          </w:p>
        </w:tc>
      </w:tr>
      <w:tr w:rsidR="009C1E36" w:rsidRPr="009C1E36" w:rsidTr="007B76B1">
        <w:trPr>
          <w:trHeight w:val="445"/>
        </w:trPr>
        <w:tc>
          <w:tcPr>
            <w:tcW w:w="2000" w:type="dxa"/>
            <w:shd w:val="clear" w:color="auto" w:fill="auto"/>
            <w:noWrap/>
            <w:hideMark/>
          </w:tcPr>
          <w:p w:rsidR="009C1E36" w:rsidRPr="009C1E36" w:rsidRDefault="009C1E36" w:rsidP="0068588A">
            <w:pPr>
              <w:rPr>
                <w:color w:val="000000"/>
                <w:sz w:val="20"/>
                <w:szCs w:val="20"/>
              </w:rPr>
            </w:pPr>
            <w:r w:rsidRPr="009C1E36">
              <w:rPr>
                <w:color w:val="000000"/>
                <w:sz w:val="20"/>
                <w:szCs w:val="20"/>
              </w:rPr>
              <w:t>Raloxifene</w:t>
            </w:r>
          </w:p>
        </w:tc>
        <w:tc>
          <w:tcPr>
            <w:tcW w:w="6662" w:type="dxa"/>
            <w:shd w:val="clear" w:color="auto" w:fill="auto"/>
            <w:hideMark/>
          </w:tcPr>
          <w:p w:rsidR="009C1E36" w:rsidRPr="009C1E36" w:rsidRDefault="009C1E36" w:rsidP="0068588A">
            <w:pPr>
              <w:spacing w:after="0"/>
              <w:rPr>
                <w:rFonts w:eastAsia="Times New Roman" w:cs="Times New Roman"/>
                <w:color w:val="000000"/>
                <w:sz w:val="20"/>
                <w:szCs w:val="20"/>
              </w:rPr>
            </w:pP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Prevention and treatment of osteoporosis in post-menopausal women.</w:t>
            </w:r>
          </w:p>
        </w:tc>
      </w:tr>
      <w:tr w:rsidR="009C1E36" w:rsidRPr="009C1E36" w:rsidTr="007B76B1">
        <w:trPr>
          <w:trHeight w:val="900"/>
        </w:trPr>
        <w:tc>
          <w:tcPr>
            <w:tcW w:w="2000" w:type="dxa"/>
            <w:shd w:val="clear" w:color="auto" w:fill="auto"/>
            <w:noWrap/>
            <w:hideMark/>
          </w:tcPr>
          <w:p w:rsidR="009C1E36" w:rsidRPr="009C1E36" w:rsidRDefault="009C1E36" w:rsidP="0068588A">
            <w:pPr>
              <w:rPr>
                <w:color w:val="000000"/>
                <w:sz w:val="20"/>
                <w:szCs w:val="20"/>
              </w:rPr>
            </w:pPr>
            <w:r w:rsidRPr="009C1E36">
              <w:rPr>
                <w:color w:val="000000"/>
                <w:sz w:val="20"/>
                <w:szCs w:val="20"/>
              </w:rPr>
              <w:t>Risedronate and combinations</w:t>
            </w:r>
          </w:p>
        </w:tc>
        <w:tc>
          <w:tcPr>
            <w:tcW w:w="6662" w:type="dxa"/>
            <w:shd w:val="clear" w:color="auto" w:fill="auto"/>
            <w:hideMark/>
          </w:tcPr>
          <w:p w:rsidR="009C1E36" w:rsidRPr="009C1E36" w:rsidRDefault="009C1E36" w:rsidP="0068588A">
            <w:pPr>
              <w:spacing w:after="0"/>
              <w:rPr>
                <w:rFonts w:eastAsia="Times New Roman" w:cs="Times New Roman"/>
                <w:color w:val="000000"/>
                <w:sz w:val="20"/>
                <w:szCs w:val="20"/>
              </w:rPr>
            </w:pP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of osteoporosis</w:t>
            </w:r>
            <w:r w:rsidR="007816DC">
              <w:rPr>
                <w:rFonts w:eastAsia="Times New Roman" w:cs="Times New Roman"/>
                <w:color w:val="000000"/>
                <w:sz w:val="20"/>
                <w:szCs w:val="20"/>
              </w:rPr>
              <w:t>.</w:t>
            </w:r>
            <w:r w:rsidRPr="009C1E36">
              <w:rPr>
                <w:rFonts w:eastAsia="Times New Roman" w:cs="Times New Roman"/>
                <w:color w:val="000000"/>
                <w:sz w:val="20"/>
                <w:szCs w:val="20"/>
              </w:rPr>
              <w:t xml:space="preserve"> </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of glucocorticoid-induced osteoporosis</w:t>
            </w:r>
            <w:r w:rsidR="007816DC">
              <w:rPr>
                <w:rFonts w:eastAsia="Times New Roman" w:cs="Times New Roman"/>
                <w:color w:val="000000"/>
                <w:sz w:val="20"/>
                <w:szCs w:val="20"/>
              </w:rPr>
              <w:t>.</w:t>
            </w:r>
            <w:r w:rsidRPr="009C1E36">
              <w:rPr>
                <w:rFonts w:eastAsia="Times New Roman" w:cs="Times New Roman"/>
                <w:color w:val="000000"/>
                <w:sz w:val="20"/>
                <w:szCs w:val="20"/>
              </w:rPr>
              <w:t xml:space="preserve"> </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Preservation of bone mineral density in patients on long term corticosteroid therapy</w:t>
            </w:r>
            <w:r w:rsidR="007816DC">
              <w:rPr>
                <w:rFonts w:eastAsia="Times New Roman" w:cs="Times New Roman"/>
                <w:color w:val="000000"/>
                <w:sz w:val="20"/>
                <w:szCs w:val="20"/>
              </w:rPr>
              <w:t>.</w:t>
            </w:r>
            <w:r w:rsidRPr="009C1E36">
              <w:rPr>
                <w:rFonts w:eastAsia="Times New Roman" w:cs="Times New Roman"/>
                <w:color w:val="000000"/>
                <w:sz w:val="20"/>
                <w:szCs w:val="20"/>
              </w:rPr>
              <w:t xml:space="preserve"> </w:t>
            </w:r>
          </w:p>
        </w:tc>
      </w:tr>
      <w:tr w:rsidR="009C1E36" w:rsidRPr="009C1E36" w:rsidTr="007B76B1">
        <w:trPr>
          <w:trHeight w:val="900"/>
        </w:trPr>
        <w:tc>
          <w:tcPr>
            <w:tcW w:w="2000" w:type="dxa"/>
            <w:shd w:val="clear" w:color="auto" w:fill="auto"/>
            <w:noWrap/>
            <w:hideMark/>
          </w:tcPr>
          <w:p w:rsidR="009C1E36" w:rsidRPr="009C1E36" w:rsidRDefault="009C1E36" w:rsidP="0068588A">
            <w:pPr>
              <w:rPr>
                <w:color w:val="000000"/>
                <w:sz w:val="20"/>
                <w:szCs w:val="20"/>
              </w:rPr>
            </w:pPr>
            <w:r w:rsidRPr="009C1E36">
              <w:rPr>
                <w:color w:val="000000"/>
                <w:sz w:val="20"/>
                <w:szCs w:val="20"/>
              </w:rPr>
              <w:t>Strontium ranelate</w:t>
            </w:r>
          </w:p>
        </w:tc>
        <w:tc>
          <w:tcPr>
            <w:tcW w:w="6662" w:type="dxa"/>
            <w:shd w:val="clear" w:color="auto" w:fill="auto"/>
            <w:hideMark/>
          </w:tcPr>
          <w:p w:rsidR="009C1E36" w:rsidRPr="009C1E36" w:rsidRDefault="009C1E36" w:rsidP="0068588A">
            <w:pPr>
              <w:spacing w:after="0"/>
              <w:rPr>
                <w:rFonts w:eastAsia="Times New Roman" w:cs="Times New Roman"/>
                <w:color w:val="000000"/>
                <w:sz w:val="20"/>
                <w:szCs w:val="20"/>
              </w:rPr>
            </w:pP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of severe (established) osteoporosis in postmenopausal women at high risk of fracture to reduce the risk of fracture.  </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of severe (established) osteoporosis in men at increased risk of fracture.</w:t>
            </w:r>
          </w:p>
        </w:tc>
      </w:tr>
      <w:tr w:rsidR="009C1E36" w:rsidRPr="009C1E36" w:rsidTr="007B76B1">
        <w:trPr>
          <w:trHeight w:val="558"/>
        </w:trPr>
        <w:tc>
          <w:tcPr>
            <w:tcW w:w="2000" w:type="dxa"/>
            <w:shd w:val="clear" w:color="auto" w:fill="auto"/>
            <w:noWrap/>
            <w:hideMark/>
          </w:tcPr>
          <w:p w:rsidR="009C1E36" w:rsidRPr="009C1E36" w:rsidRDefault="009C1E36" w:rsidP="0068588A">
            <w:pPr>
              <w:rPr>
                <w:color w:val="000000"/>
                <w:sz w:val="20"/>
                <w:szCs w:val="20"/>
              </w:rPr>
            </w:pPr>
            <w:r w:rsidRPr="009C1E36">
              <w:rPr>
                <w:color w:val="000000"/>
                <w:sz w:val="20"/>
                <w:szCs w:val="20"/>
              </w:rPr>
              <w:t>Teriparatide (RBE)</w:t>
            </w:r>
          </w:p>
        </w:tc>
        <w:tc>
          <w:tcPr>
            <w:tcW w:w="6662" w:type="dxa"/>
            <w:shd w:val="clear" w:color="auto" w:fill="auto"/>
            <w:hideMark/>
          </w:tcPr>
          <w:p w:rsidR="009C1E36" w:rsidRPr="009C1E36" w:rsidRDefault="009C1E36" w:rsidP="0068588A">
            <w:pPr>
              <w:spacing w:after="0"/>
              <w:rPr>
                <w:rFonts w:eastAsia="Times New Roman" w:cs="Times New Roman"/>
                <w:color w:val="000000"/>
                <w:sz w:val="20"/>
                <w:szCs w:val="20"/>
              </w:rPr>
            </w:pP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of osteoporosis in postmenopausal women and the treatment of primary osteoporosis in men when other agents are considered unsuitable and when there is a high risk of fractures.</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of osteoporosis associated with sustained systemic glucocorticoid therapy in women and men at high risk for fracture.</w:t>
            </w:r>
          </w:p>
        </w:tc>
      </w:tr>
      <w:tr w:rsidR="009C1E36" w:rsidRPr="009C1E36" w:rsidTr="007B76B1">
        <w:trPr>
          <w:trHeight w:val="2313"/>
        </w:trPr>
        <w:tc>
          <w:tcPr>
            <w:tcW w:w="2000" w:type="dxa"/>
            <w:shd w:val="clear" w:color="auto" w:fill="auto"/>
            <w:noWrap/>
            <w:hideMark/>
          </w:tcPr>
          <w:p w:rsidR="009C1E36" w:rsidRPr="009C1E36" w:rsidRDefault="009C1E36" w:rsidP="0068588A">
            <w:pPr>
              <w:rPr>
                <w:color w:val="000000"/>
                <w:sz w:val="20"/>
                <w:szCs w:val="20"/>
              </w:rPr>
            </w:pPr>
            <w:r w:rsidRPr="009C1E36">
              <w:rPr>
                <w:color w:val="000000"/>
                <w:sz w:val="20"/>
                <w:szCs w:val="20"/>
              </w:rPr>
              <w:t>Zoledronic acid</w:t>
            </w:r>
          </w:p>
        </w:tc>
        <w:tc>
          <w:tcPr>
            <w:tcW w:w="6662" w:type="dxa"/>
            <w:shd w:val="clear" w:color="auto" w:fill="auto"/>
            <w:hideMark/>
          </w:tcPr>
          <w:p w:rsidR="009C1E36" w:rsidRPr="009C1E36" w:rsidRDefault="009C1E36" w:rsidP="005574FF">
            <w:pPr>
              <w:spacing w:after="0"/>
              <w:rPr>
                <w:rFonts w:eastAsia="Times New Roman" w:cs="Times New Roman"/>
                <w:color w:val="000000"/>
                <w:sz w:val="20"/>
                <w:szCs w:val="20"/>
              </w:rPr>
            </w:pP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of osteoporosis in postmenopausal women to reduce the incidence of hip, vertebral and non-vertebral fractures.</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Treatment of osteoporosis in patients over 50 years of age with a history of at least one low trauma hip fracture, to reduce the incidence of further fractures.</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To increase bone mineral density in men with osteoporosis.</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To increase bone mineral density in patients with osteoporosis associated with long term glucocorticoid use.</w:t>
            </w:r>
            <w:r w:rsidRPr="009C1E36">
              <w:rPr>
                <w:rFonts w:eastAsia="Times New Roman" w:cs="Times New Roman"/>
                <w:color w:val="000000"/>
                <w:sz w:val="20"/>
                <w:szCs w:val="20"/>
              </w:rPr>
              <w:br/>
            </w:r>
            <w:r w:rsidRPr="009C1E36">
              <w:rPr>
                <w:rFonts w:eastAsia="Times New Roman" w:cs="Times New Roman"/>
                <w:color w:val="000000"/>
                <w:sz w:val="20"/>
                <w:szCs w:val="20"/>
              </w:rPr>
              <w:sym w:font="Symbol" w:char="F0B7"/>
            </w:r>
            <w:r w:rsidRPr="009C1E36">
              <w:rPr>
                <w:rFonts w:eastAsia="Times New Roman" w:cs="Times New Roman"/>
                <w:color w:val="000000"/>
                <w:sz w:val="20"/>
                <w:szCs w:val="20"/>
              </w:rPr>
              <w:t xml:space="preserve"> To prevent glucocorticoid-induced bone mineral density loss.</w:t>
            </w:r>
            <w:r w:rsidR="005574FF" w:rsidRPr="009C1E36" w:rsidDel="005574FF">
              <w:rPr>
                <w:rFonts w:eastAsia="Times New Roman" w:cs="Times New Roman"/>
                <w:color w:val="000000"/>
                <w:sz w:val="20"/>
                <w:szCs w:val="20"/>
              </w:rPr>
              <w:t xml:space="preserve"> </w:t>
            </w:r>
          </w:p>
        </w:tc>
      </w:tr>
    </w:tbl>
    <w:p w:rsidR="005574FF" w:rsidRPr="003D417F" w:rsidRDefault="005574FF" w:rsidP="003D417F">
      <w:pPr>
        <w:rPr>
          <w:sz w:val="20"/>
        </w:rPr>
      </w:pPr>
      <w:r w:rsidRPr="003D417F">
        <w:rPr>
          <w:sz w:val="20"/>
        </w:rPr>
        <w:t>*Some medicines have additional indications. See Product Information for details.</w:t>
      </w:r>
    </w:p>
    <w:p w:rsidR="003D417F" w:rsidRDefault="003D417F">
      <w:pPr>
        <w:spacing w:line="276" w:lineRule="auto"/>
        <w:rPr>
          <w:b/>
          <w:sz w:val="28"/>
        </w:rPr>
      </w:pPr>
      <w:r>
        <w:rPr>
          <w:sz w:val="28"/>
        </w:rPr>
        <w:br w:type="page"/>
      </w:r>
    </w:p>
    <w:p w:rsidR="009C1E36" w:rsidRPr="003507AA" w:rsidRDefault="009C1E36" w:rsidP="003507AA">
      <w:pPr>
        <w:pStyle w:val="Heading2"/>
        <w:rPr>
          <w:sz w:val="28"/>
        </w:rPr>
      </w:pPr>
      <w:r w:rsidRPr="003507AA">
        <w:rPr>
          <w:sz w:val="28"/>
        </w:rPr>
        <w:t>Dosage and administration</w:t>
      </w:r>
    </w:p>
    <w:p w:rsidR="009C1E36" w:rsidRPr="009C1E36" w:rsidRDefault="009C1E36" w:rsidP="003507AA">
      <w:pPr>
        <w:spacing w:after="0"/>
        <w:rPr>
          <w:b/>
        </w:rPr>
      </w:pPr>
      <w:r w:rsidRPr="009C1E36">
        <w:rPr>
          <w:b/>
        </w:rPr>
        <w:t>Table 2: Route and frequency of administration of osteoporosis medicines</w:t>
      </w:r>
    </w:p>
    <w:tbl>
      <w:tblPr>
        <w:tblW w:w="7528" w:type="dxa"/>
        <w:tblInd w:w="93" w:type="dxa"/>
        <w:tblLook w:val="04A0" w:firstRow="1" w:lastRow="0" w:firstColumn="1" w:lastColumn="0" w:noHBand="0" w:noVBand="1"/>
        <w:tblCaption w:val="Table 2: Route and frequency of administration of osteoporosis medicines"/>
      </w:tblPr>
      <w:tblGrid>
        <w:gridCol w:w="4410"/>
        <w:gridCol w:w="3118"/>
      </w:tblGrid>
      <w:tr w:rsidR="009C1E36" w:rsidRPr="003D417F" w:rsidTr="003D417F">
        <w:trPr>
          <w:trHeight w:val="570"/>
        </w:trPr>
        <w:tc>
          <w:tcPr>
            <w:tcW w:w="4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C1E36" w:rsidRPr="003D417F" w:rsidRDefault="009C1E36" w:rsidP="00C8250E">
            <w:pPr>
              <w:pStyle w:val="Tablewriting"/>
              <w:spacing w:before="0" w:after="0"/>
              <w:rPr>
                <w:b/>
              </w:rPr>
            </w:pPr>
            <w:r w:rsidRPr="003D417F">
              <w:rPr>
                <w:b/>
                <w:lang w:val="en-US"/>
              </w:rPr>
              <w:t>Generic Name</w:t>
            </w:r>
          </w:p>
        </w:tc>
        <w:tc>
          <w:tcPr>
            <w:tcW w:w="31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C1E36" w:rsidRPr="003D417F" w:rsidRDefault="009C1E36" w:rsidP="00C8250E">
            <w:pPr>
              <w:pStyle w:val="Tablewriting"/>
              <w:spacing w:before="0" w:after="0"/>
              <w:rPr>
                <w:b/>
              </w:rPr>
            </w:pPr>
            <w:r w:rsidRPr="003D417F">
              <w:rPr>
                <w:b/>
                <w:lang w:val="en-US"/>
              </w:rPr>
              <w:t>Route and frequency of administration</w:t>
            </w:r>
          </w:p>
        </w:tc>
      </w:tr>
      <w:tr w:rsidR="009C1E36" w:rsidRPr="009C1E36" w:rsidTr="00C8250E">
        <w:trPr>
          <w:trHeight w:val="57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C1E36" w:rsidRPr="009C1E36" w:rsidRDefault="009C1E36" w:rsidP="00FC51D8">
            <w:pPr>
              <w:pStyle w:val="Tablewriting"/>
              <w:spacing w:before="0" w:after="0"/>
            </w:pPr>
            <w:r w:rsidRPr="009C1E36">
              <w:t>Alendronate and combinations (alendronate with colecalciferol; alendronate with colecalciferol and calcium carbonate)</w:t>
            </w:r>
          </w:p>
        </w:tc>
        <w:tc>
          <w:tcPr>
            <w:tcW w:w="3118" w:type="dxa"/>
            <w:tcBorders>
              <w:top w:val="nil"/>
              <w:left w:val="nil"/>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rPr>
                <w:lang w:val="en"/>
              </w:rPr>
              <w:t>Oral; daily or weekly</w:t>
            </w:r>
          </w:p>
        </w:tc>
      </w:tr>
      <w:tr w:rsidR="009C1E36" w:rsidRPr="009C1E36" w:rsidTr="00C8250E">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t>Calcitriol</w:t>
            </w:r>
          </w:p>
        </w:tc>
        <w:tc>
          <w:tcPr>
            <w:tcW w:w="3118" w:type="dxa"/>
            <w:tcBorders>
              <w:top w:val="nil"/>
              <w:left w:val="nil"/>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rPr>
                <w:lang w:val="en"/>
              </w:rPr>
              <w:t>Oral; twice daily</w:t>
            </w:r>
          </w:p>
        </w:tc>
      </w:tr>
      <w:tr w:rsidR="009C1E36" w:rsidRPr="009C1E36" w:rsidTr="00C8250E">
        <w:trPr>
          <w:trHeight w:val="85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t>Denosumab</w:t>
            </w:r>
          </w:p>
        </w:tc>
        <w:tc>
          <w:tcPr>
            <w:tcW w:w="3118" w:type="dxa"/>
            <w:tcBorders>
              <w:top w:val="nil"/>
              <w:left w:val="nil"/>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rPr>
                <w:lang w:val="en-US"/>
              </w:rPr>
              <w:t>Subcutaneous injection; once every six months</w:t>
            </w:r>
          </w:p>
        </w:tc>
      </w:tr>
      <w:tr w:rsidR="009C1E36" w:rsidRPr="009C1E36" w:rsidTr="00C8250E">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t>Raloxifene</w:t>
            </w:r>
          </w:p>
        </w:tc>
        <w:tc>
          <w:tcPr>
            <w:tcW w:w="3118" w:type="dxa"/>
            <w:tcBorders>
              <w:top w:val="nil"/>
              <w:left w:val="nil"/>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rPr>
                <w:lang w:val="en"/>
              </w:rPr>
              <w:t>Oral; daily</w:t>
            </w:r>
          </w:p>
        </w:tc>
      </w:tr>
      <w:tr w:rsidR="009C1E36" w:rsidRPr="009C1E36" w:rsidTr="00C8250E">
        <w:trPr>
          <w:trHeight w:val="57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C1E36" w:rsidRPr="009C1E36" w:rsidRDefault="009C1E36" w:rsidP="00FC51D8">
            <w:pPr>
              <w:pStyle w:val="Tablewriting"/>
              <w:spacing w:before="0" w:after="0"/>
            </w:pPr>
            <w:r w:rsidRPr="009C1E36">
              <w:t>Risedronate and combinations (</w:t>
            </w:r>
            <w:r w:rsidR="00FC51D8">
              <w:t>r</w:t>
            </w:r>
            <w:r w:rsidR="00FC51D8" w:rsidRPr="009C1E36">
              <w:t xml:space="preserve">isedronate </w:t>
            </w:r>
            <w:r w:rsidRPr="009C1E36">
              <w:t>and calcium carbonate; risedronate and calcium carbonate with colecalciferol)</w:t>
            </w:r>
          </w:p>
        </w:tc>
        <w:tc>
          <w:tcPr>
            <w:tcW w:w="3118" w:type="dxa"/>
            <w:tcBorders>
              <w:top w:val="nil"/>
              <w:left w:val="nil"/>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rPr>
                <w:lang w:val="en"/>
              </w:rPr>
              <w:t>Oral; daily, weekly or monthly</w:t>
            </w:r>
          </w:p>
        </w:tc>
      </w:tr>
      <w:tr w:rsidR="009C1E36" w:rsidRPr="009C1E36" w:rsidTr="00C8250E">
        <w:trPr>
          <w:trHeight w:val="85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t>Strontium ranelate</w:t>
            </w:r>
          </w:p>
        </w:tc>
        <w:tc>
          <w:tcPr>
            <w:tcW w:w="3118" w:type="dxa"/>
            <w:tcBorders>
              <w:top w:val="nil"/>
              <w:left w:val="nil"/>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rPr>
                <w:lang w:val="en"/>
              </w:rPr>
              <w:t xml:space="preserve">Granules for oral suspension; daily at bedtime </w:t>
            </w:r>
          </w:p>
        </w:tc>
      </w:tr>
      <w:tr w:rsidR="009C1E36" w:rsidRPr="009C1E36" w:rsidTr="00C8250E">
        <w:trPr>
          <w:trHeight w:val="85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t>Teriparatide (RBE)</w:t>
            </w:r>
          </w:p>
        </w:tc>
        <w:tc>
          <w:tcPr>
            <w:tcW w:w="3118" w:type="dxa"/>
            <w:tcBorders>
              <w:top w:val="nil"/>
              <w:left w:val="nil"/>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rPr>
                <w:lang w:val="en-US"/>
              </w:rPr>
              <w:t>Subcutaneous injection; daily. Max 18 months</w:t>
            </w:r>
          </w:p>
        </w:tc>
      </w:tr>
      <w:tr w:rsidR="009C1E36" w:rsidRPr="009C1E36" w:rsidTr="00C8250E">
        <w:trPr>
          <w:trHeight w:val="57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t>Zoledronic acid</w:t>
            </w:r>
          </w:p>
        </w:tc>
        <w:tc>
          <w:tcPr>
            <w:tcW w:w="3118" w:type="dxa"/>
            <w:tcBorders>
              <w:top w:val="nil"/>
              <w:left w:val="nil"/>
              <w:bottom w:val="single" w:sz="4" w:space="0" w:color="auto"/>
              <w:right w:val="single" w:sz="4" w:space="0" w:color="auto"/>
            </w:tcBorders>
            <w:shd w:val="clear" w:color="auto" w:fill="auto"/>
            <w:vAlign w:val="center"/>
            <w:hideMark/>
          </w:tcPr>
          <w:p w:rsidR="009C1E36" w:rsidRPr="009C1E36" w:rsidRDefault="009C1E36" w:rsidP="00C8250E">
            <w:pPr>
              <w:pStyle w:val="Tablewriting"/>
              <w:spacing w:before="0" w:after="0"/>
            </w:pPr>
            <w:r w:rsidRPr="009C1E36">
              <w:rPr>
                <w:lang w:val="en"/>
              </w:rPr>
              <w:t>IV infusion; once per year</w:t>
            </w:r>
          </w:p>
        </w:tc>
      </w:tr>
    </w:tbl>
    <w:p w:rsidR="003D417F" w:rsidRDefault="003D417F" w:rsidP="009C1E36"/>
    <w:p w:rsidR="009C1E36" w:rsidRPr="009C1E36" w:rsidRDefault="009C1E36" w:rsidP="009C1E36">
      <w:r w:rsidRPr="009C1E36">
        <w:t xml:space="preserve">The current Product Information (PI) and Consumer Medicine Information (CMI) are available from </w:t>
      </w:r>
      <w:r w:rsidR="00D63707" w:rsidRPr="00495A8A">
        <w:t>https://www.tga.gov.au/product-information-pi</w:t>
      </w:r>
      <w:r w:rsidR="00D63707">
        <w:t xml:space="preserve"> and </w:t>
      </w:r>
      <w:r w:rsidR="00D63707" w:rsidRPr="00495A8A">
        <w:t>http://www.tga.gov.au/consumers/information-medicines-cmi.htm</w:t>
      </w:r>
      <w:r w:rsidR="00D63707">
        <w:t xml:space="preserve"> respectively.</w:t>
      </w:r>
    </w:p>
    <w:p w:rsidR="009C1E36" w:rsidRPr="003507AA" w:rsidRDefault="009C1E36" w:rsidP="003507AA">
      <w:pPr>
        <w:pStyle w:val="Heading2"/>
        <w:rPr>
          <w:sz w:val="28"/>
        </w:rPr>
      </w:pPr>
      <w:r w:rsidRPr="003507AA">
        <w:rPr>
          <w:sz w:val="28"/>
        </w:rPr>
        <w:t>Clinical situation</w:t>
      </w:r>
    </w:p>
    <w:p w:rsidR="00920812" w:rsidRPr="00920812" w:rsidRDefault="009C1E36" w:rsidP="00920812">
      <w:pPr>
        <w:rPr>
          <w:rFonts w:eastAsia="Times New Roman" w:cs="Times New Roman"/>
          <w:color w:val="242424"/>
        </w:rPr>
      </w:pPr>
      <w:r w:rsidRPr="009C1E36">
        <w:t>Osteoporosis causes bones to become thin, weak and fragile, and is a major cause of fractures</w:t>
      </w:r>
      <w:bookmarkStart w:id="1" w:name="_Ref365642289"/>
      <w:r w:rsidR="003D417F">
        <w:t>.</w:t>
      </w:r>
      <w:bookmarkStart w:id="2" w:name="_Ref365898960"/>
      <w:r w:rsidRPr="009C1E36">
        <w:rPr>
          <w:rStyle w:val="FootnoteReference"/>
        </w:rPr>
        <w:footnoteReference w:id="2"/>
      </w:r>
      <w:bookmarkEnd w:id="1"/>
      <w:bookmarkEnd w:id="2"/>
      <w:r w:rsidRPr="009C1E36">
        <w:t xml:space="preserve"> </w:t>
      </w:r>
      <w:r w:rsidR="00490B2B" w:rsidRPr="00490B2B">
        <w:t>Often people do not know that they have osteoporosis because the condition lacks overt symptoms</w:t>
      </w:r>
      <w:r w:rsidR="00490B2B" w:rsidRPr="00920812">
        <w:t>.</w:t>
      </w:r>
      <w:r w:rsidR="00920812" w:rsidRPr="00920812">
        <w:t xml:space="preserve"> </w:t>
      </w:r>
      <w:r w:rsidR="00920812" w:rsidRPr="00920812">
        <w:rPr>
          <w:rFonts w:eastAsia="Times New Roman" w:cs="Times New Roman"/>
          <w:color w:val="242424"/>
        </w:rPr>
        <w:t>The factors that increase your likelihood of developing osteoporosis are</w:t>
      </w:r>
      <w:r w:rsidR="00920812" w:rsidRPr="00920812">
        <w:rPr>
          <w:rStyle w:val="FootnoteReference"/>
          <w:rFonts w:eastAsia="Times New Roman" w:cs="Times New Roman"/>
          <w:color w:val="242424"/>
        </w:rPr>
        <w:footnoteReference w:id="3"/>
      </w:r>
      <w:r w:rsidR="00920812" w:rsidRPr="00920812">
        <w:rPr>
          <w:rFonts w:eastAsia="Times New Roman" w:cs="Times New Roman"/>
          <w:color w:val="242424"/>
        </w:rPr>
        <w:t>:</w:t>
      </w:r>
    </w:p>
    <w:p w:rsidR="00920812" w:rsidRPr="00920812" w:rsidRDefault="00414B67" w:rsidP="00920812">
      <w:pPr>
        <w:pStyle w:val="ListParagraph"/>
        <w:numPr>
          <w:ilvl w:val="0"/>
          <w:numId w:val="43"/>
        </w:numPr>
        <w:shd w:val="clear" w:color="auto" w:fill="FFFFFF"/>
        <w:spacing w:before="100" w:beforeAutospacing="1" w:after="60"/>
        <w:rPr>
          <w:rFonts w:eastAsia="Times New Roman" w:cs="Times New Roman"/>
          <w:color w:val="242424"/>
        </w:rPr>
      </w:pPr>
      <w:r>
        <w:rPr>
          <w:rFonts w:eastAsia="Times New Roman" w:cs="Times New Roman"/>
          <w:color w:val="242424"/>
        </w:rPr>
        <w:t>Gender</w:t>
      </w:r>
      <w:r w:rsidR="001C0E09">
        <w:rPr>
          <w:rFonts w:eastAsia="Times New Roman" w:cs="Times New Roman"/>
          <w:color w:val="242424"/>
        </w:rPr>
        <w:t xml:space="preserve"> </w:t>
      </w:r>
      <w:r w:rsidR="00920812" w:rsidRPr="00920812">
        <w:rPr>
          <w:rFonts w:eastAsia="Times New Roman" w:cs="Times New Roman"/>
          <w:color w:val="242424"/>
        </w:rPr>
        <w:t>–</w:t>
      </w:r>
      <w:r w:rsidR="001C0E09">
        <w:rPr>
          <w:rFonts w:eastAsia="Times New Roman" w:cs="Times New Roman"/>
          <w:color w:val="242424"/>
        </w:rPr>
        <w:t xml:space="preserve"> </w:t>
      </w:r>
      <w:r w:rsidR="00920812" w:rsidRPr="00920812">
        <w:rPr>
          <w:rFonts w:eastAsia="Times New Roman" w:cs="Times New Roman"/>
          <w:color w:val="242424"/>
        </w:rPr>
        <w:t>develop</w:t>
      </w:r>
      <w:r w:rsidR="00AE6716">
        <w:rPr>
          <w:rFonts w:eastAsia="Times New Roman" w:cs="Times New Roman"/>
          <w:color w:val="242424"/>
        </w:rPr>
        <w:t xml:space="preserve">ment of </w:t>
      </w:r>
      <w:r w:rsidR="00920812" w:rsidRPr="00920812">
        <w:rPr>
          <w:rFonts w:eastAsia="Times New Roman" w:cs="Times New Roman"/>
          <w:color w:val="242424"/>
        </w:rPr>
        <w:t xml:space="preserve">osteoporosis </w:t>
      </w:r>
      <w:r w:rsidR="00AE6716">
        <w:rPr>
          <w:rFonts w:eastAsia="Times New Roman" w:cs="Times New Roman"/>
          <w:color w:val="242424"/>
        </w:rPr>
        <w:t>is more common in females</w:t>
      </w:r>
      <w:r w:rsidR="00920812" w:rsidRPr="00920812">
        <w:rPr>
          <w:rFonts w:eastAsia="Times New Roman" w:cs="Times New Roman"/>
          <w:color w:val="242424"/>
        </w:rPr>
        <w:t>, however one in three fractures occur in men</w:t>
      </w:r>
      <w:r w:rsidR="0015220F">
        <w:rPr>
          <w:rFonts w:eastAsia="Times New Roman" w:cs="Times New Roman"/>
          <w:color w:val="242424"/>
        </w:rPr>
        <w:t>.</w:t>
      </w:r>
    </w:p>
    <w:p w:rsidR="00920812" w:rsidRPr="00920812" w:rsidRDefault="00920812" w:rsidP="00920812">
      <w:pPr>
        <w:pStyle w:val="ListParagraph"/>
        <w:numPr>
          <w:ilvl w:val="0"/>
          <w:numId w:val="43"/>
        </w:numPr>
        <w:shd w:val="clear" w:color="auto" w:fill="FFFFFF"/>
        <w:spacing w:before="100" w:beforeAutospacing="1" w:after="60" w:line="360" w:lineRule="atLeast"/>
        <w:rPr>
          <w:rFonts w:eastAsia="Times New Roman" w:cs="Times New Roman"/>
          <w:color w:val="242424"/>
        </w:rPr>
      </w:pPr>
      <w:r w:rsidRPr="00920812">
        <w:rPr>
          <w:rFonts w:eastAsia="Times New Roman" w:cs="Times New Roman"/>
          <w:color w:val="242424"/>
        </w:rPr>
        <w:t>Post-menopause</w:t>
      </w:r>
      <w:r w:rsidR="0015220F">
        <w:rPr>
          <w:rFonts w:eastAsia="Times New Roman" w:cs="Times New Roman"/>
          <w:color w:val="242424"/>
        </w:rPr>
        <w:t>.</w:t>
      </w:r>
      <w:r w:rsidRPr="00920812">
        <w:rPr>
          <w:rFonts w:eastAsia="Times New Roman" w:cs="Times New Roman"/>
          <w:color w:val="242424"/>
        </w:rPr>
        <w:t xml:space="preserve"> </w:t>
      </w:r>
    </w:p>
    <w:p w:rsidR="00920812" w:rsidRPr="00920812" w:rsidRDefault="0015220F" w:rsidP="00920812">
      <w:pPr>
        <w:pStyle w:val="ListParagraph"/>
        <w:numPr>
          <w:ilvl w:val="0"/>
          <w:numId w:val="43"/>
        </w:numPr>
        <w:shd w:val="clear" w:color="auto" w:fill="FFFFFF"/>
        <w:spacing w:before="100" w:beforeAutospacing="1" w:after="60" w:line="360" w:lineRule="atLeast"/>
        <w:rPr>
          <w:rFonts w:eastAsia="Times New Roman" w:cs="Times New Roman"/>
          <w:color w:val="242424"/>
        </w:rPr>
      </w:pPr>
      <w:r>
        <w:rPr>
          <w:rFonts w:eastAsia="Times New Roman" w:cs="Times New Roman"/>
          <w:color w:val="242424"/>
        </w:rPr>
        <w:t>Family history of osteoporosis.</w:t>
      </w:r>
    </w:p>
    <w:p w:rsidR="00920812" w:rsidRPr="00920812" w:rsidRDefault="00920812" w:rsidP="00920812">
      <w:pPr>
        <w:pStyle w:val="ListParagraph"/>
        <w:numPr>
          <w:ilvl w:val="0"/>
          <w:numId w:val="43"/>
        </w:numPr>
        <w:shd w:val="clear" w:color="auto" w:fill="FFFFFF"/>
        <w:spacing w:before="100" w:beforeAutospacing="1" w:after="60" w:line="360" w:lineRule="atLeast"/>
        <w:rPr>
          <w:rFonts w:eastAsia="Times New Roman" w:cs="Times New Roman"/>
          <w:color w:val="242424"/>
        </w:rPr>
      </w:pPr>
      <w:r w:rsidRPr="00920812">
        <w:rPr>
          <w:rFonts w:eastAsia="Times New Roman" w:cs="Times New Roman"/>
          <w:color w:val="242424"/>
        </w:rPr>
        <w:t>Limited physical activity and inadequate dietary calcium intake</w:t>
      </w:r>
      <w:r w:rsidR="0015220F">
        <w:rPr>
          <w:rFonts w:eastAsia="Times New Roman" w:cs="Times New Roman"/>
          <w:color w:val="242424"/>
        </w:rPr>
        <w:t>.</w:t>
      </w:r>
    </w:p>
    <w:p w:rsidR="00920812" w:rsidRPr="00920812" w:rsidRDefault="00920812" w:rsidP="00920812">
      <w:pPr>
        <w:pStyle w:val="ListParagraph"/>
        <w:numPr>
          <w:ilvl w:val="0"/>
          <w:numId w:val="43"/>
        </w:numPr>
        <w:shd w:val="clear" w:color="auto" w:fill="FFFFFF"/>
        <w:spacing w:before="100" w:beforeAutospacing="1" w:after="60" w:line="360" w:lineRule="atLeast"/>
        <w:rPr>
          <w:rFonts w:eastAsia="Times New Roman" w:cs="Times New Roman"/>
          <w:color w:val="242424"/>
        </w:rPr>
      </w:pPr>
      <w:r w:rsidRPr="00920812">
        <w:rPr>
          <w:rFonts w:eastAsia="Times New Roman" w:cs="Times New Roman"/>
          <w:color w:val="242424"/>
        </w:rPr>
        <w:t>Limited exposure to sunlight resulting in low vitamin D intake</w:t>
      </w:r>
      <w:r w:rsidR="0015220F">
        <w:rPr>
          <w:rFonts w:eastAsia="Times New Roman" w:cs="Times New Roman"/>
          <w:color w:val="242424"/>
        </w:rPr>
        <w:t>.</w:t>
      </w:r>
    </w:p>
    <w:p w:rsidR="00920812" w:rsidRPr="00920812" w:rsidRDefault="00920812" w:rsidP="00920812">
      <w:pPr>
        <w:pStyle w:val="ListParagraph"/>
        <w:numPr>
          <w:ilvl w:val="0"/>
          <w:numId w:val="43"/>
        </w:numPr>
        <w:shd w:val="clear" w:color="auto" w:fill="FFFFFF"/>
        <w:spacing w:before="100" w:beforeAutospacing="1" w:after="60" w:line="360" w:lineRule="atLeast"/>
        <w:rPr>
          <w:rFonts w:eastAsia="Times New Roman" w:cs="Times New Roman"/>
          <w:color w:val="242424"/>
        </w:rPr>
      </w:pPr>
      <w:r w:rsidRPr="00920812">
        <w:rPr>
          <w:rFonts w:eastAsia="Times New Roman" w:cs="Times New Roman"/>
          <w:color w:val="242424"/>
        </w:rPr>
        <w:t>Cigarette smoking and excessive alcohol intake</w:t>
      </w:r>
      <w:r w:rsidR="00A07CAC">
        <w:rPr>
          <w:rFonts w:eastAsia="Times New Roman" w:cs="Times New Roman"/>
          <w:color w:val="242424"/>
        </w:rPr>
        <w:t>.</w:t>
      </w:r>
    </w:p>
    <w:p w:rsidR="00920812" w:rsidRPr="00920812" w:rsidRDefault="00920812" w:rsidP="00920812">
      <w:pPr>
        <w:pStyle w:val="ListParagraph"/>
        <w:numPr>
          <w:ilvl w:val="0"/>
          <w:numId w:val="43"/>
        </w:numPr>
        <w:shd w:val="clear" w:color="auto" w:fill="FFFFFF"/>
        <w:spacing w:before="100" w:beforeAutospacing="1" w:after="60" w:line="360" w:lineRule="atLeast"/>
        <w:rPr>
          <w:rFonts w:eastAsia="Times New Roman" w:cs="Times New Roman"/>
          <w:color w:val="242424"/>
        </w:rPr>
      </w:pPr>
      <w:r w:rsidRPr="00920812">
        <w:rPr>
          <w:rFonts w:eastAsia="Times New Roman" w:cs="Times New Roman"/>
          <w:color w:val="242424"/>
        </w:rPr>
        <w:t xml:space="preserve">Prolonged use of </w:t>
      </w:r>
      <w:r w:rsidR="00AE6716">
        <w:rPr>
          <w:rFonts w:eastAsia="Times New Roman" w:cs="Times New Roman"/>
          <w:color w:val="242424"/>
        </w:rPr>
        <w:t>some medicines</w:t>
      </w:r>
      <w:r w:rsidRPr="00920812">
        <w:rPr>
          <w:rFonts w:eastAsia="Times New Roman" w:cs="Times New Roman"/>
          <w:color w:val="242424"/>
        </w:rPr>
        <w:t xml:space="preserve"> such as high dose cortisone</w:t>
      </w:r>
      <w:r w:rsidR="00A07CAC">
        <w:rPr>
          <w:rFonts w:eastAsia="Times New Roman" w:cs="Times New Roman"/>
          <w:color w:val="242424"/>
        </w:rPr>
        <w:t>.</w:t>
      </w:r>
    </w:p>
    <w:p w:rsidR="00920812" w:rsidRPr="00920812" w:rsidRDefault="00920812" w:rsidP="00356D45">
      <w:pPr>
        <w:pStyle w:val="ListParagraph"/>
        <w:numPr>
          <w:ilvl w:val="0"/>
          <w:numId w:val="43"/>
        </w:numPr>
        <w:shd w:val="clear" w:color="auto" w:fill="FFFFFF"/>
        <w:spacing w:before="100" w:beforeAutospacing="1" w:line="360" w:lineRule="atLeast"/>
        <w:ind w:left="357" w:hanging="357"/>
        <w:rPr>
          <w:rFonts w:eastAsia="Times New Roman" w:cs="Times New Roman"/>
          <w:color w:val="242424"/>
        </w:rPr>
      </w:pPr>
      <w:r w:rsidRPr="00920812">
        <w:rPr>
          <w:rFonts w:eastAsia="Times New Roman" w:cs="Times New Roman"/>
          <w:color w:val="242424"/>
        </w:rPr>
        <w:t>Some diseases including hyperparathyroidism and intestinal malabsorption</w:t>
      </w:r>
      <w:r w:rsidR="00A07CAC">
        <w:rPr>
          <w:rFonts w:eastAsia="Times New Roman" w:cs="Times New Roman"/>
          <w:color w:val="242424"/>
        </w:rPr>
        <w:t>.</w:t>
      </w:r>
    </w:p>
    <w:p w:rsidR="000E401E" w:rsidRPr="00920812" w:rsidRDefault="000E401E" w:rsidP="00920812">
      <w:r w:rsidRPr="00920812">
        <w:t>The Australian Institute of Health and Welfare (AIHW) reported</w:t>
      </w:r>
      <w:r w:rsidRPr="00920812">
        <w:rPr>
          <w:vertAlign w:val="superscript"/>
        </w:rPr>
        <w:footnoteReference w:id="4"/>
      </w:r>
      <w:r w:rsidRPr="00920812">
        <w:t xml:space="preserve"> that one of the larger and more recent studies of measured BMD (the Geelong Osteoporosis Study) estimates prevalence of osteoporosis to be 6% of men and 23% of women over the age of 50.</w:t>
      </w:r>
      <w:r w:rsidRPr="00920812">
        <w:rPr>
          <w:vertAlign w:val="superscript"/>
        </w:rPr>
        <w:footnoteReference w:id="5"/>
      </w:r>
      <w:r w:rsidRPr="00920812">
        <w:rPr>
          <w:vertAlign w:val="superscript"/>
        </w:rPr>
        <w:t xml:space="preserve"> </w:t>
      </w:r>
      <w:r w:rsidRPr="00920812">
        <w:t>This estimate is higher than the self-reported estimate of diagnosed cases from the ABS Australian Health Survey</w:t>
      </w:r>
      <w:r w:rsidRPr="00920812">
        <w:rPr>
          <w:vertAlign w:val="superscript"/>
        </w:rPr>
        <w:footnoteReference w:id="6"/>
      </w:r>
      <w:r w:rsidRPr="00920812">
        <w:t xml:space="preserve"> (3% of men and 15% of women), as would be expected for a condition that may not be diagnosed due to an absence of overt symptoms.</w:t>
      </w:r>
    </w:p>
    <w:p w:rsidR="00373103" w:rsidRPr="00373103" w:rsidRDefault="00373103" w:rsidP="00373103">
      <w:r w:rsidRPr="00373103">
        <w:t xml:space="preserve">In 1994, the World Health </w:t>
      </w:r>
      <w:r w:rsidR="007816DC">
        <w:t>O</w:t>
      </w:r>
      <w:r w:rsidRPr="00373103">
        <w:t>rganization (WHO) defined osteoporosis operationally in terms of bone mineral density (BMD) according to a standard deviation (SD) difference between a patient’s BMD and that of a young adult reference population.</w:t>
      </w:r>
      <w:r w:rsidRPr="00373103">
        <w:rPr>
          <w:vertAlign w:val="superscript"/>
        </w:rPr>
        <w:footnoteReference w:id="7"/>
      </w:r>
      <w:r w:rsidRPr="00373103">
        <w:t xml:space="preserve"> This value is expressed as a T-score (Table 3). </w:t>
      </w:r>
    </w:p>
    <w:p w:rsidR="00373103" w:rsidRPr="00373103" w:rsidRDefault="00373103" w:rsidP="00356D45">
      <w:pPr>
        <w:spacing w:after="0"/>
        <w:rPr>
          <w:b/>
        </w:rPr>
      </w:pPr>
      <w:r w:rsidRPr="00373103">
        <w:rPr>
          <w:b/>
        </w:rPr>
        <w:t>Table 3: WHO classification of osteoporosis</w:t>
      </w:r>
    </w:p>
    <w:tbl>
      <w:tblPr>
        <w:tblStyle w:val="TableGrid"/>
        <w:tblW w:w="8613" w:type="dxa"/>
        <w:tblLook w:val="04A0" w:firstRow="1" w:lastRow="0" w:firstColumn="1" w:lastColumn="0" w:noHBand="0" w:noVBand="1"/>
        <w:tblCaption w:val="Table 3: WHO classification of osteoporosis"/>
      </w:tblPr>
      <w:tblGrid>
        <w:gridCol w:w="4219"/>
        <w:gridCol w:w="4394"/>
      </w:tblGrid>
      <w:tr w:rsidR="00373103" w:rsidRPr="0086015A" w:rsidTr="003469D4">
        <w:trPr>
          <w:tblHeader/>
        </w:trPr>
        <w:tc>
          <w:tcPr>
            <w:tcW w:w="4219" w:type="dxa"/>
            <w:shd w:val="clear" w:color="auto" w:fill="BFBFBF" w:themeFill="background1" w:themeFillShade="BF"/>
          </w:tcPr>
          <w:p w:rsidR="00373103" w:rsidRPr="0086015A" w:rsidRDefault="0086015A" w:rsidP="00356D45">
            <w:pPr>
              <w:rPr>
                <w:b/>
                <w:sz w:val="20"/>
                <w:szCs w:val="20"/>
              </w:rPr>
            </w:pPr>
            <w:r w:rsidRPr="0086015A">
              <w:rPr>
                <w:b/>
                <w:sz w:val="20"/>
                <w:szCs w:val="20"/>
              </w:rPr>
              <w:t>Classification</w:t>
            </w:r>
          </w:p>
        </w:tc>
        <w:tc>
          <w:tcPr>
            <w:tcW w:w="4394" w:type="dxa"/>
            <w:shd w:val="clear" w:color="auto" w:fill="BFBFBF" w:themeFill="background1" w:themeFillShade="BF"/>
          </w:tcPr>
          <w:p w:rsidR="00373103" w:rsidRPr="0086015A" w:rsidRDefault="00373103" w:rsidP="00356D45">
            <w:pPr>
              <w:rPr>
                <w:b/>
                <w:sz w:val="20"/>
                <w:szCs w:val="20"/>
              </w:rPr>
            </w:pPr>
            <w:r w:rsidRPr="0086015A">
              <w:rPr>
                <w:b/>
                <w:sz w:val="20"/>
                <w:szCs w:val="20"/>
              </w:rPr>
              <w:t>BMD T-score</w:t>
            </w:r>
          </w:p>
        </w:tc>
      </w:tr>
      <w:tr w:rsidR="00373103" w:rsidRPr="00373103" w:rsidTr="00373103">
        <w:tc>
          <w:tcPr>
            <w:tcW w:w="4219" w:type="dxa"/>
          </w:tcPr>
          <w:p w:rsidR="00373103" w:rsidRPr="00356D45" w:rsidRDefault="00373103" w:rsidP="00356D45">
            <w:pPr>
              <w:rPr>
                <w:sz w:val="20"/>
                <w:szCs w:val="20"/>
              </w:rPr>
            </w:pPr>
            <w:r w:rsidRPr="00356D45">
              <w:rPr>
                <w:sz w:val="20"/>
                <w:szCs w:val="20"/>
              </w:rPr>
              <w:t>Normal</w:t>
            </w:r>
          </w:p>
        </w:tc>
        <w:tc>
          <w:tcPr>
            <w:tcW w:w="4394" w:type="dxa"/>
          </w:tcPr>
          <w:p w:rsidR="00373103" w:rsidRPr="00356D45" w:rsidRDefault="00373103" w:rsidP="00356D45">
            <w:pPr>
              <w:rPr>
                <w:sz w:val="20"/>
                <w:szCs w:val="20"/>
              </w:rPr>
            </w:pPr>
            <w:r w:rsidRPr="00356D45">
              <w:rPr>
                <w:sz w:val="20"/>
                <w:szCs w:val="20"/>
              </w:rPr>
              <w:t xml:space="preserve">≥ </w:t>
            </w:r>
            <w:r w:rsidR="001D00D5">
              <w:rPr>
                <w:sz w:val="20"/>
                <w:szCs w:val="20"/>
              </w:rPr>
              <w:t>-</w:t>
            </w:r>
            <w:r w:rsidRPr="00356D45">
              <w:rPr>
                <w:sz w:val="20"/>
                <w:szCs w:val="20"/>
              </w:rPr>
              <w:t>1.0</w:t>
            </w:r>
          </w:p>
        </w:tc>
      </w:tr>
      <w:tr w:rsidR="00373103" w:rsidRPr="00373103" w:rsidTr="00373103">
        <w:tc>
          <w:tcPr>
            <w:tcW w:w="4219" w:type="dxa"/>
          </w:tcPr>
          <w:p w:rsidR="00373103" w:rsidRPr="00356D45" w:rsidRDefault="00373103" w:rsidP="00356D45">
            <w:pPr>
              <w:rPr>
                <w:sz w:val="20"/>
                <w:szCs w:val="20"/>
              </w:rPr>
            </w:pPr>
            <w:r w:rsidRPr="00356D45">
              <w:rPr>
                <w:sz w:val="20"/>
                <w:szCs w:val="20"/>
              </w:rPr>
              <w:t>Osteopaenia (low bone mass)</w:t>
            </w:r>
          </w:p>
        </w:tc>
        <w:tc>
          <w:tcPr>
            <w:tcW w:w="4394" w:type="dxa"/>
          </w:tcPr>
          <w:p w:rsidR="00373103" w:rsidRPr="00356D45" w:rsidRDefault="00373103" w:rsidP="00356D45">
            <w:pPr>
              <w:rPr>
                <w:sz w:val="20"/>
                <w:szCs w:val="20"/>
              </w:rPr>
            </w:pPr>
            <w:r w:rsidRPr="00356D45">
              <w:rPr>
                <w:sz w:val="20"/>
                <w:szCs w:val="20"/>
              </w:rPr>
              <w:t>Between -1.0 and -2.5</w:t>
            </w:r>
          </w:p>
        </w:tc>
      </w:tr>
      <w:tr w:rsidR="00373103" w:rsidRPr="00373103" w:rsidTr="00373103">
        <w:tc>
          <w:tcPr>
            <w:tcW w:w="4219" w:type="dxa"/>
          </w:tcPr>
          <w:p w:rsidR="00373103" w:rsidRPr="00356D45" w:rsidRDefault="00373103" w:rsidP="00356D45">
            <w:pPr>
              <w:rPr>
                <w:sz w:val="20"/>
                <w:szCs w:val="20"/>
              </w:rPr>
            </w:pPr>
            <w:r w:rsidRPr="00356D45">
              <w:rPr>
                <w:sz w:val="20"/>
                <w:szCs w:val="20"/>
              </w:rPr>
              <w:t>Osteoporosis</w:t>
            </w:r>
          </w:p>
        </w:tc>
        <w:tc>
          <w:tcPr>
            <w:tcW w:w="4394" w:type="dxa"/>
          </w:tcPr>
          <w:p w:rsidR="00373103" w:rsidRPr="00356D45" w:rsidRDefault="00373103" w:rsidP="00356D45">
            <w:pPr>
              <w:rPr>
                <w:sz w:val="20"/>
                <w:szCs w:val="20"/>
              </w:rPr>
            </w:pPr>
            <w:r w:rsidRPr="00356D45">
              <w:rPr>
                <w:sz w:val="20"/>
                <w:szCs w:val="20"/>
              </w:rPr>
              <w:t xml:space="preserve">≤ </w:t>
            </w:r>
            <w:r w:rsidR="001D00D5">
              <w:rPr>
                <w:sz w:val="20"/>
                <w:szCs w:val="20"/>
              </w:rPr>
              <w:t>-</w:t>
            </w:r>
            <w:r w:rsidRPr="00356D45">
              <w:rPr>
                <w:sz w:val="20"/>
                <w:szCs w:val="20"/>
              </w:rPr>
              <w:t>2.5</w:t>
            </w:r>
          </w:p>
        </w:tc>
      </w:tr>
      <w:tr w:rsidR="00373103" w:rsidRPr="00373103" w:rsidTr="00373103">
        <w:tc>
          <w:tcPr>
            <w:tcW w:w="4219" w:type="dxa"/>
          </w:tcPr>
          <w:p w:rsidR="00373103" w:rsidRPr="00356D45" w:rsidRDefault="00373103" w:rsidP="00356D45">
            <w:pPr>
              <w:rPr>
                <w:sz w:val="20"/>
                <w:szCs w:val="20"/>
              </w:rPr>
            </w:pPr>
            <w:r w:rsidRPr="00356D45">
              <w:rPr>
                <w:sz w:val="20"/>
                <w:szCs w:val="20"/>
              </w:rPr>
              <w:t>Severe (established) osteoporosis</w:t>
            </w:r>
          </w:p>
        </w:tc>
        <w:tc>
          <w:tcPr>
            <w:tcW w:w="4394" w:type="dxa"/>
          </w:tcPr>
          <w:p w:rsidR="00373103" w:rsidRPr="00356D45" w:rsidRDefault="00373103" w:rsidP="00356D45">
            <w:pPr>
              <w:rPr>
                <w:sz w:val="20"/>
                <w:szCs w:val="20"/>
              </w:rPr>
            </w:pPr>
            <w:r w:rsidRPr="00356D45">
              <w:rPr>
                <w:sz w:val="20"/>
                <w:szCs w:val="20"/>
              </w:rPr>
              <w:t>T-score &lt;-2.5 with fragility fracture</w:t>
            </w:r>
          </w:p>
        </w:tc>
      </w:tr>
    </w:tbl>
    <w:p w:rsidR="00373103" w:rsidRPr="00373103" w:rsidRDefault="00373103" w:rsidP="00587F96">
      <w:pPr>
        <w:spacing w:after="0"/>
      </w:pPr>
    </w:p>
    <w:p w:rsidR="00373103" w:rsidRPr="00373103" w:rsidRDefault="00373103" w:rsidP="00373103">
      <w:r w:rsidRPr="00373103">
        <w:t>BMD is only one component of fracture risk. Absolute fracture risk can be calculated using calculators such as the WHO Fracture Risk Assessment Tool</w:t>
      </w:r>
      <w:r w:rsidR="009F7B25">
        <w:rPr>
          <w:rStyle w:val="FootnoteReference"/>
        </w:rPr>
        <w:footnoteReference w:id="8"/>
      </w:r>
      <w:r w:rsidRPr="00373103">
        <w:t xml:space="preserve"> and the Garvan Institute Fracture Risk Calculator.</w:t>
      </w:r>
      <w:r w:rsidR="009F7B25">
        <w:rPr>
          <w:rStyle w:val="FootnoteReference"/>
        </w:rPr>
        <w:footnoteReference w:id="9"/>
      </w:r>
    </w:p>
    <w:p w:rsidR="003E539C" w:rsidRPr="003E539C" w:rsidRDefault="003E539C" w:rsidP="003E539C">
      <w:r w:rsidRPr="003E539C">
        <w:t>While osteoporosis is rarely a direct cause of death, osteoporotic hip fractures are linked to premature deaths in the years following the event.</w:t>
      </w:r>
      <w:r w:rsidR="00C439C3">
        <w:rPr>
          <w:rStyle w:val="FootnoteReference"/>
        </w:rPr>
        <w:footnoteReference w:id="10"/>
      </w:r>
      <w:r w:rsidRPr="003E539C">
        <w:t xml:space="preserve"> Fracture rates attributable to osteoporosis can be reduced by preventing and treating osteoporosis, and identifying and managing risk factors for falls.</w:t>
      </w:r>
      <w:r w:rsidRPr="00A863C2">
        <w:rPr>
          <w:vertAlign w:val="superscript"/>
        </w:rPr>
        <w:t>3</w:t>
      </w:r>
    </w:p>
    <w:p w:rsidR="00373103" w:rsidRPr="00373103" w:rsidRDefault="00373103" w:rsidP="00373103">
      <w:r w:rsidRPr="00373103">
        <w:t>Lifestyle factors and ensuring adequate calcium and vitamin D intake are important in preve</w:t>
      </w:r>
      <w:r w:rsidR="00A863C2">
        <w:t>nting and treating osteoporosis</w:t>
      </w:r>
      <w:r w:rsidR="001231DA">
        <w:t>.</w:t>
      </w:r>
      <w:r w:rsidR="00A863C2">
        <w:rPr>
          <w:rStyle w:val="FootnoteReference"/>
        </w:rPr>
        <w:footnoteReference w:id="11"/>
      </w:r>
      <w:r w:rsidRPr="00373103">
        <w:t xml:space="preserve"> </w:t>
      </w:r>
      <w:r w:rsidR="003E539C">
        <w:t>Australian clinical guidelines</w:t>
      </w:r>
      <w:r w:rsidR="00F22A38" w:rsidRPr="00373103">
        <w:rPr>
          <w:vertAlign w:val="superscript"/>
        </w:rPr>
        <w:footnoteReference w:id="12"/>
      </w:r>
      <w:r w:rsidR="00F22A38">
        <w:t>, as summarised by Bell</w:t>
      </w:r>
      <w:r w:rsidR="0015220F">
        <w:t>,</w:t>
      </w:r>
      <w:r w:rsidR="00CA3316">
        <w:rPr>
          <w:rStyle w:val="FootnoteReference"/>
        </w:rPr>
        <w:footnoteReference w:id="13"/>
      </w:r>
      <w:r w:rsidR="003E539C">
        <w:t xml:space="preserve"> recommend p</w:t>
      </w:r>
      <w:r w:rsidRPr="00373103">
        <w:t>harmacological treatments in the following patients:</w:t>
      </w:r>
    </w:p>
    <w:p w:rsidR="00373103" w:rsidRPr="00373103" w:rsidRDefault="00373103" w:rsidP="00373103">
      <w:r w:rsidRPr="00373103">
        <w:t>- patients with minimal trauma fracture</w:t>
      </w:r>
    </w:p>
    <w:p w:rsidR="00373103" w:rsidRPr="00373103" w:rsidRDefault="00373103" w:rsidP="00373103">
      <w:r w:rsidRPr="00373103">
        <w:t>- patients aged 70 years or over with a T-score of -3.0 or lower</w:t>
      </w:r>
    </w:p>
    <w:p w:rsidR="00373103" w:rsidRDefault="00373103" w:rsidP="00373103">
      <w:r w:rsidRPr="00373103">
        <w:t>- patients currently on prolonged high dose corticosteroids</w:t>
      </w:r>
      <w:r w:rsidR="00F22A38">
        <w:t xml:space="preserve"> and who have a T-score of -1.5 or lower</w:t>
      </w:r>
      <w:r w:rsidRPr="00373103">
        <w:t>.</w:t>
      </w:r>
    </w:p>
    <w:p w:rsidR="009D4539" w:rsidRDefault="000442CE" w:rsidP="00373103">
      <w:r>
        <w:t>The</w:t>
      </w:r>
      <w:r w:rsidR="00F22A38">
        <w:t>se</w:t>
      </w:r>
      <w:r>
        <w:t xml:space="preserve"> clinical guidelines were last updated in February 2010.</w:t>
      </w:r>
    </w:p>
    <w:p w:rsidR="00373103" w:rsidRPr="00373103" w:rsidRDefault="00373103" w:rsidP="00373103">
      <w:r w:rsidRPr="00373103">
        <w:t xml:space="preserve">PBS listed medicines are available for treatment of these patients, and some medicines are also available </w:t>
      </w:r>
      <w:r w:rsidR="00587F96">
        <w:t xml:space="preserve">to </w:t>
      </w:r>
      <w:r w:rsidRPr="00373103">
        <w:t>patients aged 70 years or over with a T-score of -2.5 or lower.</w:t>
      </w:r>
    </w:p>
    <w:p w:rsidR="00373103" w:rsidRPr="00373103" w:rsidRDefault="00373103" w:rsidP="00373103">
      <w:r w:rsidRPr="00373103">
        <w:t>Guidelines and PBS restrictions for osteoporosis medicines in primary prevention are largely based on BMD T</w:t>
      </w:r>
      <w:r w:rsidRPr="00373103">
        <w:noBreakHyphen/>
        <w:t xml:space="preserve">score because low BMD was an entry criterion in clinical trials of the drugs. </w:t>
      </w:r>
    </w:p>
    <w:p w:rsidR="009C1E36" w:rsidRPr="00073402" w:rsidRDefault="009C1E36" w:rsidP="009C1E36">
      <w:pPr>
        <w:pStyle w:val="Heading3"/>
        <w:rPr>
          <w:i w:val="0"/>
          <w:sz w:val="28"/>
        </w:rPr>
      </w:pPr>
      <w:r w:rsidRPr="00073402">
        <w:rPr>
          <w:i w:val="0"/>
          <w:sz w:val="28"/>
        </w:rPr>
        <w:t>PBS listing details (as at July 201</w:t>
      </w:r>
      <w:r w:rsidR="00073402">
        <w:rPr>
          <w:i w:val="0"/>
          <w:sz w:val="28"/>
        </w:rPr>
        <w:t>6</w:t>
      </w:r>
      <w:r w:rsidRPr="00073402">
        <w:rPr>
          <w:i w:val="0"/>
          <w:sz w:val="28"/>
        </w:rPr>
        <w:t>)</w:t>
      </w:r>
    </w:p>
    <w:p w:rsidR="009C1E36" w:rsidRPr="00073402" w:rsidRDefault="009C1E36" w:rsidP="009C1E36">
      <w:pPr>
        <w:pStyle w:val="Heading4"/>
        <w:rPr>
          <w:sz w:val="24"/>
          <w:szCs w:val="24"/>
        </w:rPr>
      </w:pPr>
      <w:r w:rsidRPr="00073402">
        <w:rPr>
          <w:sz w:val="24"/>
          <w:szCs w:val="24"/>
        </w:rPr>
        <w:t>Restriction (Abridged)</w:t>
      </w:r>
    </w:p>
    <w:p w:rsidR="009C1E36" w:rsidRPr="009C1E36" w:rsidRDefault="001D24BE" w:rsidP="009C1E36">
      <w:r>
        <w:t xml:space="preserve">Table 4 provides an overview of the PBS restrictions for osteoporosis medicines. </w:t>
      </w:r>
      <w:r w:rsidR="009C1E36" w:rsidRPr="009C1E36">
        <w:t xml:space="preserve">Full wording of the restrictions, including notes, can be found at </w:t>
      </w:r>
      <w:r w:rsidR="009C1E36" w:rsidRPr="00495A8A">
        <w:rPr>
          <w:rFonts w:cs="Baskerville"/>
        </w:rPr>
        <w:t>www.pbs.gov.au</w:t>
      </w:r>
      <w:r w:rsidR="00FB10FF">
        <w:rPr>
          <w:rStyle w:val="Hyperlink"/>
          <w:rFonts w:cs="Baskerville"/>
        </w:rPr>
        <w:t>.</w:t>
      </w:r>
      <w:r w:rsidR="00FB10FF" w:rsidRPr="00FB10FF">
        <w:t xml:space="preserve"> Appendix B contains a PBS listing history and also a history of restriction changes.</w:t>
      </w:r>
    </w:p>
    <w:p w:rsidR="00073402" w:rsidRDefault="001D24BE">
      <w:pPr>
        <w:spacing w:line="276" w:lineRule="auto"/>
      </w:pPr>
      <w:r>
        <w:t xml:space="preserve">Oral bisphosphonates are </w:t>
      </w:r>
      <w:r w:rsidR="00A80B06">
        <w:t>Restricted</w:t>
      </w:r>
      <w:r>
        <w:t xml:space="preserve"> benefits</w:t>
      </w:r>
      <w:r w:rsidR="00A80B06">
        <w:t>; zoledronic acid, denosumab, raloxifene and oral bisphosphates in combination with calcium or colecalciferol are Authority Required (</w:t>
      </w:r>
      <w:r w:rsidR="00FF41BC">
        <w:t>STREAMLINED</w:t>
      </w:r>
      <w:r w:rsidR="00A80B06">
        <w:t xml:space="preserve">), and teriparatide is Authority </w:t>
      </w:r>
      <w:r w:rsidR="005F7045">
        <w:t>R</w:t>
      </w:r>
      <w:r w:rsidR="00A80B06">
        <w:t>equired (telephone).</w:t>
      </w:r>
    </w:p>
    <w:p w:rsidR="00692490" w:rsidRDefault="00692490">
      <w:pPr>
        <w:spacing w:line="276" w:lineRule="auto"/>
      </w:pPr>
      <w:r>
        <w:br w:type="page"/>
      </w:r>
    </w:p>
    <w:p w:rsidR="009C1E36" w:rsidRPr="009C1E36" w:rsidRDefault="009C1E36" w:rsidP="00692490">
      <w:pPr>
        <w:spacing w:after="0"/>
        <w:rPr>
          <w:b/>
        </w:rPr>
      </w:pPr>
      <w:r w:rsidRPr="009C1E36">
        <w:rPr>
          <w:b/>
        </w:rPr>
        <w:t>Table 4: Summarised PBS restrictions</w:t>
      </w:r>
    </w:p>
    <w:tbl>
      <w:tblPr>
        <w:tblW w:w="9159" w:type="dxa"/>
        <w:tblInd w:w="93" w:type="dxa"/>
        <w:tblLayout w:type="fixed"/>
        <w:tblLook w:val="04A0" w:firstRow="1" w:lastRow="0" w:firstColumn="1" w:lastColumn="0" w:noHBand="0" w:noVBand="1"/>
        <w:tblCaption w:val="Table 4: Summarised PBS restrictions"/>
      </w:tblPr>
      <w:tblGrid>
        <w:gridCol w:w="2300"/>
        <w:gridCol w:w="1247"/>
        <w:gridCol w:w="1247"/>
        <w:gridCol w:w="1247"/>
        <w:gridCol w:w="1871"/>
        <w:gridCol w:w="1247"/>
      </w:tblGrid>
      <w:tr w:rsidR="009C1E36" w:rsidRPr="009C1E36" w:rsidTr="00073402">
        <w:trPr>
          <w:trHeight w:val="567"/>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E36" w:rsidRPr="009C1E36" w:rsidRDefault="009C1E36" w:rsidP="00073402">
            <w:pPr>
              <w:spacing w:after="0"/>
              <w:rPr>
                <w:sz w:val="20"/>
                <w:szCs w:val="20"/>
              </w:rPr>
            </w:pPr>
            <w:r w:rsidRPr="009C1E36">
              <w:rPr>
                <w:sz w:val="20"/>
                <w:szCs w:val="20"/>
              </w:rPr>
              <w:t> </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9C1E36" w:rsidRPr="009C1E36" w:rsidRDefault="009C1E36" w:rsidP="00073402">
            <w:pPr>
              <w:spacing w:after="0"/>
              <w:jc w:val="center"/>
              <w:rPr>
                <w:sz w:val="20"/>
                <w:szCs w:val="20"/>
              </w:rPr>
            </w:pPr>
            <w:r w:rsidRPr="009C1E36">
              <w:rPr>
                <w:sz w:val="20"/>
                <w:szCs w:val="20"/>
              </w:rPr>
              <w:t>Minimal trauma</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9C1E36" w:rsidRPr="009C1E36" w:rsidRDefault="009C1E36" w:rsidP="00073402">
            <w:pPr>
              <w:spacing w:after="0"/>
              <w:jc w:val="center"/>
              <w:rPr>
                <w:sz w:val="20"/>
                <w:szCs w:val="20"/>
              </w:rPr>
            </w:pPr>
            <w:r w:rsidRPr="009C1E36">
              <w:rPr>
                <w:sz w:val="20"/>
                <w:szCs w:val="20"/>
              </w:rPr>
              <w:t>BMD -3.0 or less</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9C1E36" w:rsidRPr="009C1E36" w:rsidRDefault="009C1E36" w:rsidP="00073402">
            <w:pPr>
              <w:spacing w:after="0"/>
              <w:jc w:val="center"/>
              <w:rPr>
                <w:sz w:val="20"/>
                <w:szCs w:val="20"/>
              </w:rPr>
            </w:pPr>
            <w:r w:rsidRPr="009C1E36">
              <w:rPr>
                <w:sz w:val="20"/>
                <w:szCs w:val="20"/>
              </w:rPr>
              <w:t>BMD -2.5 or less</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rsidR="009C1E36" w:rsidRPr="009C1E36" w:rsidRDefault="009C1E36" w:rsidP="00073402">
            <w:pPr>
              <w:spacing w:after="0"/>
              <w:jc w:val="center"/>
              <w:rPr>
                <w:sz w:val="20"/>
                <w:szCs w:val="20"/>
              </w:rPr>
            </w:pPr>
            <w:r w:rsidRPr="009C1E36">
              <w:rPr>
                <w:sz w:val="20"/>
                <w:szCs w:val="20"/>
              </w:rPr>
              <w:t>Corticosteroid-induced</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9C1E36" w:rsidRPr="009C1E36" w:rsidRDefault="009C1E36" w:rsidP="00073402">
            <w:pPr>
              <w:spacing w:after="0"/>
              <w:jc w:val="center"/>
              <w:rPr>
                <w:sz w:val="20"/>
                <w:szCs w:val="20"/>
              </w:rPr>
            </w:pPr>
            <w:r w:rsidRPr="009C1E36">
              <w:rPr>
                <w:sz w:val="20"/>
                <w:szCs w:val="20"/>
              </w:rPr>
              <w:t>Men</w:t>
            </w:r>
          </w:p>
        </w:tc>
      </w:tr>
      <w:tr w:rsidR="00453EC5" w:rsidRPr="009C1E36" w:rsidTr="00073402">
        <w:trPr>
          <w:trHeight w:val="57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453EC5" w:rsidRPr="009C1E36" w:rsidRDefault="00453EC5" w:rsidP="00073402">
            <w:pPr>
              <w:spacing w:after="0"/>
              <w:rPr>
                <w:sz w:val="20"/>
                <w:szCs w:val="20"/>
              </w:rPr>
            </w:pPr>
            <w:r w:rsidRPr="009C1E36">
              <w:rPr>
                <w:sz w:val="20"/>
                <w:szCs w:val="20"/>
              </w:rPr>
              <w:t>Alendronate and combinations</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871"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r>
      <w:tr w:rsidR="00453EC5" w:rsidRPr="009C1E36" w:rsidTr="00073402">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453EC5" w:rsidRPr="009C1E36" w:rsidRDefault="00453EC5" w:rsidP="00073402">
            <w:pPr>
              <w:spacing w:after="0"/>
              <w:rPr>
                <w:sz w:val="20"/>
                <w:szCs w:val="20"/>
              </w:rPr>
            </w:pPr>
            <w:r w:rsidRPr="009C1E36">
              <w:rPr>
                <w:sz w:val="20"/>
                <w:szCs w:val="20"/>
              </w:rPr>
              <w:t>Calcitriol</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871"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r>
      <w:tr w:rsidR="00453EC5" w:rsidRPr="009C1E36" w:rsidTr="00073402">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453EC5" w:rsidRPr="009C1E36" w:rsidRDefault="00453EC5" w:rsidP="00073402">
            <w:pPr>
              <w:spacing w:after="0"/>
              <w:rPr>
                <w:sz w:val="20"/>
                <w:szCs w:val="20"/>
              </w:rPr>
            </w:pPr>
            <w:r w:rsidRPr="009C1E36">
              <w:rPr>
                <w:sz w:val="20"/>
                <w:szCs w:val="20"/>
              </w:rPr>
              <w:t>Denosumab</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871"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AD42C3" w:rsidP="00453EC5">
            <w:pPr>
              <w:spacing w:after="0"/>
              <w:jc w:val="center"/>
              <w:rPr>
                <w:rFonts w:ascii="Wingdings" w:hAnsi="Wingdings"/>
              </w:rPr>
            </w:pPr>
            <w:r w:rsidRPr="00FE1245">
              <w:rPr>
                <w:rFonts w:ascii="Wingdings" w:hAnsi="Wingdings"/>
              </w:rPr>
              <w:t></w:t>
            </w:r>
          </w:p>
        </w:tc>
      </w:tr>
      <w:tr w:rsidR="00453EC5" w:rsidRPr="009C1E36" w:rsidTr="00073402">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453EC5" w:rsidRPr="009C1E36" w:rsidRDefault="00453EC5" w:rsidP="00073402">
            <w:pPr>
              <w:spacing w:after="0"/>
              <w:rPr>
                <w:sz w:val="20"/>
                <w:szCs w:val="20"/>
              </w:rPr>
            </w:pPr>
            <w:r w:rsidRPr="009C1E36">
              <w:rPr>
                <w:sz w:val="20"/>
                <w:szCs w:val="20"/>
              </w:rPr>
              <w:t>Raloxifene</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tcPr>
          <w:p w:rsidR="00453EC5" w:rsidRPr="00FE1245" w:rsidRDefault="00453EC5" w:rsidP="00453EC5">
            <w:pPr>
              <w:spacing w:after="0"/>
              <w:jc w:val="center"/>
              <w:rPr>
                <w:rFonts w:ascii="Wingdings" w:hAnsi="Wingdings"/>
              </w:rPr>
            </w:pPr>
            <w:r w:rsidRPr="00FE1245">
              <w:rPr>
                <w:rFonts w:ascii="Wingdings" w:hAnsi="Wingdings"/>
              </w:rPr>
              <w:t></w:t>
            </w:r>
          </w:p>
        </w:tc>
        <w:tc>
          <w:tcPr>
            <w:tcW w:w="1871" w:type="dxa"/>
            <w:tcBorders>
              <w:top w:val="nil"/>
              <w:left w:val="nil"/>
              <w:bottom w:val="single" w:sz="4" w:space="0" w:color="auto"/>
              <w:right w:val="single" w:sz="4" w:space="0" w:color="auto"/>
            </w:tcBorders>
            <w:shd w:val="clear" w:color="auto" w:fill="auto"/>
            <w:noWrap/>
            <w:vAlign w:val="center"/>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r>
      <w:tr w:rsidR="00453EC5" w:rsidRPr="009C1E36" w:rsidTr="00073402">
        <w:trPr>
          <w:trHeight w:val="57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453EC5" w:rsidRPr="009C1E36" w:rsidRDefault="00453EC5" w:rsidP="00073402">
            <w:pPr>
              <w:spacing w:after="0"/>
              <w:rPr>
                <w:sz w:val="20"/>
                <w:szCs w:val="20"/>
              </w:rPr>
            </w:pPr>
            <w:r w:rsidRPr="009C1E36">
              <w:rPr>
                <w:sz w:val="20"/>
                <w:szCs w:val="20"/>
              </w:rPr>
              <w:t>Risedronate and combinations</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871"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r>
      <w:tr w:rsidR="00453EC5" w:rsidRPr="009C1E36" w:rsidTr="00073402">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453EC5" w:rsidRPr="009C1E36" w:rsidRDefault="00453EC5" w:rsidP="009E29D1">
            <w:pPr>
              <w:spacing w:after="0"/>
              <w:rPr>
                <w:sz w:val="20"/>
                <w:szCs w:val="20"/>
              </w:rPr>
            </w:pPr>
            <w:r w:rsidRPr="009C1E36">
              <w:rPr>
                <w:sz w:val="20"/>
                <w:szCs w:val="20"/>
              </w:rPr>
              <w:t>Strontium ranelate</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871"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r>
      <w:tr w:rsidR="00453EC5" w:rsidRPr="009C1E36" w:rsidTr="00073402">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453EC5" w:rsidRPr="009C1E36" w:rsidRDefault="00453EC5" w:rsidP="00073402">
            <w:pPr>
              <w:spacing w:after="0"/>
              <w:rPr>
                <w:sz w:val="20"/>
                <w:szCs w:val="20"/>
              </w:rPr>
            </w:pPr>
            <w:r w:rsidRPr="009C1E36">
              <w:rPr>
                <w:sz w:val="20"/>
                <w:szCs w:val="20"/>
              </w:rPr>
              <w:t>Teriparatide (RBE)*</w:t>
            </w:r>
          </w:p>
        </w:tc>
        <w:tc>
          <w:tcPr>
            <w:tcW w:w="1247" w:type="dxa"/>
            <w:tcBorders>
              <w:top w:val="nil"/>
              <w:left w:val="nil"/>
              <w:bottom w:val="single" w:sz="4" w:space="0" w:color="auto"/>
              <w:right w:val="single" w:sz="4" w:space="0" w:color="auto"/>
            </w:tcBorders>
            <w:shd w:val="clear" w:color="auto" w:fill="auto"/>
            <w:noWrap/>
            <w:vAlign w:val="center"/>
          </w:tcPr>
          <w:p w:rsidR="00453EC5" w:rsidRPr="00FE1245" w:rsidRDefault="00453EC5" w:rsidP="00453EC5">
            <w:pPr>
              <w:spacing w:after="0"/>
              <w:jc w:val="center"/>
              <w:rPr>
                <w:rFonts w:ascii="Wingdings" w:hAnsi="Wingdings"/>
              </w:rPr>
            </w:pPr>
          </w:p>
        </w:tc>
        <w:tc>
          <w:tcPr>
            <w:tcW w:w="1247" w:type="dxa"/>
            <w:tcBorders>
              <w:top w:val="nil"/>
              <w:left w:val="nil"/>
              <w:bottom w:val="single" w:sz="4" w:space="0" w:color="auto"/>
              <w:right w:val="single" w:sz="4" w:space="0" w:color="auto"/>
            </w:tcBorders>
            <w:shd w:val="clear" w:color="auto" w:fill="auto"/>
            <w:noWrap/>
            <w:vAlign w:val="center"/>
          </w:tcPr>
          <w:p w:rsidR="00453EC5" w:rsidRPr="00FE1245" w:rsidRDefault="00453EC5" w:rsidP="00453EC5">
            <w:pPr>
              <w:spacing w:after="0"/>
              <w:jc w:val="center"/>
              <w:rPr>
                <w:rFonts w:ascii="Wingdings" w:hAnsi="Wingdings"/>
              </w:rPr>
            </w:pPr>
          </w:p>
        </w:tc>
        <w:tc>
          <w:tcPr>
            <w:tcW w:w="1247" w:type="dxa"/>
            <w:tcBorders>
              <w:top w:val="nil"/>
              <w:left w:val="nil"/>
              <w:bottom w:val="single" w:sz="4" w:space="0" w:color="auto"/>
              <w:right w:val="single" w:sz="4" w:space="0" w:color="auto"/>
            </w:tcBorders>
            <w:shd w:val="clear" w:color="auto" w:fill="auto"/>
            <w:noWrap/>
            <w:vAlign w:val="center"/>
          </w:tcPr>
          <w:p w:rsidR="00453EC5" w:rsidRPr="00FE1245" w:rsidRDefault="00453EC5" w:rsidP="00453EC5">
            <w:pPr>
              <w:spacing w:after="0"/>
              <w:jc w:val="center"/>
              <w:rPr>
                <w:rFonts w:ascii="Wingdings" w:hAnsi="Wingdings"/>
              </w:rPr>
            </w:pPr>
          </w:p>
        </w:tc>
        <w:tc>
          <w:tcPr>
            <w:tcW w:w="1871" w:type="dxa"/>
            <w:tcBorders>
              <w:top w:val="nil"/>
              <w:left w:val="nil"/>
              <w:bottom w:val="single" w:sz="4" w:space="0" w:color="auto"/>
              <w:right w:val="single" w:sz="4" w:space="0" w:color="auto"/>
            </w:tcBorders>
            <w:shd w:val="clear" w:color="auto" w:fill="auto"/>
            <w:noWrap/>
            <w:vAlign w:val="center"/>
          </w:tcPr>
          <w:p w:rsidR="00453EC5" w:rsidRPr="00FE1245" w:rsidRDefault="00453EC5" w:rsidP="00453EC5">
            <w:pPr>
              <w:spacing w:after="0"/>
              <w:jc w:val="center"/>
              <w:rPr>
                <w:rFonts w:ascii="Wingdings" w:hAnsi="Wingdings"/>
              </w:rPr>
            </w:pPr>
          </w:p>
        </w:tc>
        <w:tc>
          <w:tcPr>
            <w:tcW w:w="1247" w:type="dxa"/>
            <w:tcBorders>
              <w:top w:val="nil"/>
              <w:left w:val="nil"/>
              <w:bottom w:val="single" w:sz="4" w:space="0" w:color="auto"/>
              <w:right w:val="single" w:sz="4" w:space="0" w:color="auto"/>
            </w:tcBorders>
            <w:shd w:val="clear" w:color="auto" w:fill="auto"/>
            <w:noWrap/>
            <w:vAlign w:val="center"/>
          </w:tcPr>
          <w:p w:rsidR="00453EC5" w:rsidRPr="00FE1245" w:rsidRDefault="00453EC5" w:rsidP="00453EC5">
            <w:pPr>
              <w:spacing w:after="0"/>
              <w:jc w:val="center"/>
              <w:rPr>
                <w:rFonts w:ascii="Wingdings" w:hAnsi="Wingdings"/>
              </w:rPr>
            </w:pPr>
          </w:p>
        </w:tc>
      </w:tr>
      <w:tr w:rsidR="00453EC5" w:rsidRPr="009C1E36" w:rsidTr="00073402">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453EC5" w:rsidRPr="009C1E36" w:rsidRDefault="00453EC5" w:rsidP="00073402">
            <w:pPr>
              <w:spacing w:after="0"/>
              <w:rPr>
                <w:sz w:val="20"/>
                <w:szCs w:val="20"/>
              </w:rPr>
            </w:pPr>
            <w:r w:rsidRPr="009C1E36">
              <w:rPr>
                <w:sz w:val="20"/>
                <w:szCs w:val="20"/>
              </w:rPr>
              <w:t>Zoledronic acid</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871"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c>
          <w:tcPr>
            <w:tcW w:w="1247" w:type="dxa"/>
            <w:tcBorders>
              <w:top w:val="nil"/>
              <w:left w:val="nil"/>
              <w:bottom w:val="single" w:sz="4" w:space="0" w:color="auto"/>
              <w:right w:val="single" w:sz="4" w:space="0" w:color="auto"/>
            </w:tcBorders>
            <w:shd w:val="clear" w:color="auto" w:fill="auto"/>
            <w:noWrap/>
            <w:vAlign w:val="center"/>
            <w:hideMark/>
          </w:tcPr>
          <w:p w:rsidR="00453EC5" w:rsidRPr="00FE1245" w:rsidRDefault="00453EC5" w:rsidP="00453EC5">
            <w:pPr>
              <w:spacing w:after="0"/>
              <w:jc w:val="center"/>
              <w:rPr>
                <w:rFonts w:ascii="Wingdings" w:hAnsi="Wingdings"/>
              </w:rPr>
            </w:pPr>
            <w:r w:rsidRPr="00FE1245">
              <w:rPr>
                <w:rFonts w:ascii="Wingdings" w:hAnsi="Wingdings"/>
              </w:rPr>
              <w:t></w:t>
            </w:r>
          </w:p>
        </w:tc>
      </w:tr>
    </w:tbl>
    <w:p w:rsidR="009C1E36" w:rsidRPr="009C1E36" w:rsidRDefault="009C1E36" w:rsidP="009C1E36">
      <w:pPr>
        <w:rPr>
          <w:sz w:val="20"/>
          <w:szCs w:val="20"/>
        </w:rPr>
      </w:pPr>
      <w:r w:rsidRPr="009C1E36">
        <w:rPr>
          <w:sz w:val="20"/>
          <w:szCs w:val="20"/>
        </w:rPr>
        <w:t>* Teriparatide is only listed for severe osteoporosis: when the patient has had a two or more fractures due to minimal trauma and the BMD T-score is -3.0 or less and the patient must have experienced at least one symptomatic new fracture after at least 12 months continuous therapy with an anti-resorptive agent at adequate doses.</w:t>
      </w:r>
      <w:r w:rsidRPr="009C1E36">
        <w:rPr>
          <w:sz w:val="20"/>
          <w:szCs w:val="20"/>
        </w:rPr>
        <w:br/>
        <w:t>Note: Etidronic acid was delisted September 2012.</w:t>
      </w:r>
      <w:r w:rsidR="00A80B06">
        <w:rPr>
          <w:sz w:val="20"/>
          <w:szCs w:val="20"/>
        </w:rPr>
        <w:t xml:space="preserve"> Strontium was delisted 1 August 2016.</w:t>
      </w:r>
    </w:p>
    <w:p w:rsidR="009C1E36" w:rsidRPr="000369ED" w:rsidRDefault="009C1E36" w:rsidP="009C1E36">
      <w:pPr>
        <w:pStyle w:val="Heading4"/>
        <w:rPr>
          <w:sz w:val="24"/>
          <w:szCs w:val="24"/>
        </w:rPr>
      </w:pPr>
      <w:r w:rsidRPr="000369ED">
        <w:rPr>
          <w:sz w:val="24"/>
          <w:szCs w:val="24"/>
        </w:rPr>
        <w:t>Date of listing on PBS and changes to listing</w:t>
      </w:r>
    </w:p>
    <w:p w:rsidR="009C1E36" w:rsidRPr="009C1E36" w:rsidRDefault="009C1E36" w:rsidP="009C1E36">
      <w:r w:rsidRPr="009C1E36">
        <w:t xml:space="preserve">The listing dates </w:t>
      </w:r>
      <w:r w:rsidR="00B82E91">
        <w:t xml:space="preserve">and </w:t>
      </w:r>
      <w:r w:rsidRPr="009C1E36">
        <w:t>relevant changes to the listing of osteoporosis medicines, such as restriction changes and price reductions, can be found in Appendix </w:t>
      </w:r>
      <w:r w:rsidR="00841F45">
        <w:t>B</w:t>
      </w:r>
      <w:r w:rsidRPr="009C1E36">
        <w:t>.</w:t>
      </w:r>
    </w:p>
    <w:p w:rsidR="007816DC" w:rsidRPr="009C1E36" w:rsidRDefault="009C1E36" w:rsidP="009C1E36">
      <w:r w:rsidRPr="009C1E36">
        <w:t xml:space="preserve">Current PBS listing details are available from </w:t>
      </w:r>
      <w:r w:rsidR="00B57873" w:rsidRPr="00495A8A">
        <w:rPr>
          <w:rFonts w:cs="Baskerville"/>
        </w:rPr>
        <w:t>www.pbs.gov.au</w:t>
      </w:r>
    </w:p>
    <w:p w:rsidR="009C1E36" w:rsidRPr="000369ED" w:rsidRDefault="000369ED" w:rsidP="009C1E36">
      <w:pPr>
        <w:pStyle w:val="Heading3"/>
        <w:rPr>
          <w:i w:val="0"/>
          <w:sz w:val="28"/>
        </w:rPr>
      </w:pPr>
      <w:r w:rsidRPr="000369ED">
        <w:rPr>
          <w:i w:val="0"/>
          <w:sz w:val="28"/>
        </w:rPr>
        <w:t>Relevant aspects of consideration by the Pharmaceutical Benefits Advisory Committee (PBAC)</w:t>
      </w:r>
    </w:p>
    <w:p w:rsidR="00A30556" w:rsidRDefault="00A30556" w:rsidP="00581225">
      <w:r>
        <w:t>The basis of PBAC recommendations to list osteoporosis medicines is provided in Appendix </w:t>
      </w:r>
      <w:r w:rsidR="006C16F3">
        <w:t>B</w:t>
      </w:r>
      <w:r>
        <w:t xml:space="preserve">. Most medicines </w:t>
      </w:r>
      <w:r w:rsidR="00A92CAD">
        <w:t xml:space="preserve">have been </w:t>
      </w:r>
      <w:r w:rsidR="00841F45">
        <w:t xml:space="preserve">recommended </w:t>
      </w:r>
      <w:r w:rsidR="00A92CAD">
        <w:t>on a cost-minimisation basis to existing therapies</w:t>
      </w:r>
      <w:r>
        <w:t>, and have taken into account the different administration costs</w:t>
      </w:r>
      <w:r w:rsidR="00841F45">
        <w:t xml:space="preserve"> where applicable</w:t>
      </w:r>
      <w:r>
        <w:t xml:space="preserve"> (for example for zoledronic acid and denosumab).</w:t>
      </w:r>
    </w:p>
    <w:p w:rsidR="006C16F3" w:rsidRDefault="005D5425" w:rsidP="00581225">
      <w:pPr>
        <w:rPr>
          <w:b/>
          <w:i/>
        </w:rPr>
      </w:pPr>
      <w:r w:rsidRPr="006C16F3">
        <w:rPr>
          <w:b/>
          <w:i/>
        </w:rPr>
        <w:t>Denosumab</w:t>
      </w:r>
    </w:p>
    <w:p w:rsidR="00581225" w:rsidRDefault="00581225" w:rsidP="00073E0B">
      <w:r>
        <w:t>At the July 2010 meeting, the PBAC recommended the listing of denosumab</w:t>
      </w:r>
      <w:r w:rsidRPr="00581225">
        <w:t xml:space="preserve"> </w:t>
      </w:r>
      <w:r w:rsidR="00073E0B">
        <w:t xml:space="preserve">for the treatment of osteoporosis in women aged 70 years of age or older with a BMD T score of -3.0 or less, and the treatment of established post-menopausal osteoporosis in patients with fracture due to minimal trauma </w:t>
      </w:r>
      <w:r w:rsidRPr="00581225">
        <w:t xml:space="preserve">on a cost minimisation basis compared with zoledronic acid. </w:t>
      </w:r>
      <w:r>
        <w:t>PBAC also recommended that p</w:t>
      </w:r>
      <w:r w:rsidRPr="00581225">
        <w:t>ricing should take account of the two doctor’s visits required for the administration of denosumab, as well as the administration costs for zoledronic acid.</w:t>
      </w:r>
      <w:r>
        <w:t xml:space="preserve"> </w:t>
      </w:r>
    </w:p>
    <w:p w:rsidR="009C1E36" w:rsidRPr="009C1E36" w:rsidRDefault="009C1E36" w:rsidP="009C1E36">
      <w:r w:rsidRPr="009C1E36">
        <w:t>At the March 2012 meeting, the PBAC recommended that the current Authority Required (</w:t>
      </w:r>
      <w:r w:rsidRPr="00D929A2">
        <w:t>STREAMLINED</w:t>
      </w:r>
      <w:r w:rsidRPr="009C1E36">
        <w:t xml:space="preserve">) listing for denosumab 60 mg in 1 mL injection for the treatment of post-menopausal osteoporosis be extended to include women aged 70 years of age or older with a bone mineral density (BMD) T-score of -2.5 or less on a cost-minimisation basis compared with alendronate 70 mg once weekly tablets. </w:t>
      </w:r>
    </w:p>
    <w:p w:rsidR="00073E0B" w:rsidRDefault="00073E0B" w:rsidP="009C1E36">
      <w:r w:rsidRPr="00073E0B">
        <w:t xml:space="preserve">At the July 2013 meeting, the PBAC recommended </w:t>
      </w:r>
      <w:r w:rsidR="00122B37">
        <w:t xml:space="preserve">the </w:t>
      </w:r>
      <w:r w:rsidRPr="00073E0B">
        <w:t xml:space="preserve">listing of denosumab as an Authority </w:t>
      </w:r>
      <w:r w:rsidR="00997C88">
        <w:t>R</w:t>
      </w:r>
      <w:r w:rsidRPr="00073E0B">
        <w:t>equired (</w:t>
      </w:r>
      <w:r w:rsidR="00FF41BC" w:rsidRPr="00D929A2">
        <w:t>STREAMLINED</w:t>
      </w:r>
      <w:r w:rsidRPr="00073E0B">
        <w:t>) benefit as the sole PBS-subsidised anti-resorptive agent for osteoporosis to include both male and female patients.</w:t>
      </w:r>
    </w:p>
    <w:p w:rsidR="00073E0B" w:rsidRDefault="00073E0B" w:rsidP="009C1E36">
      <w:r w:rsidRPr="00073E0B">
        <w:t>For further details refer to the Public Summary Document</w:t>
      </w:r>
      <w:r>
        <w:t>s</w:t>
      </w:r>
      <w:r w:rsidRPr="00073E0B">
        <w:t xml:space="preserve"> from the </w:t>
      </w:r>
      <w:r>
        <w:t xml:space="preserve">July 2010, </w:t>
      </w:r>
      <w:r w:rsidRPr="00073E0B">
        <w:t xml:space="preserve">March 2012 </w:t>
      </w:r>
      <w:r>
        <w:t xml:space="preserve">and July 20013 </w:t>
      </w:r>
      <w:r w:rsidRPr="00073E0B">
        <w:t>PBAC meeting</w:t>
      </w:r>
      <w:r>
        <w:t>s</w:t>
      </w:r>
      <w:r w:rsidRPr="00073E0B">
        <w:t>.</w:t>
      </w:r>
    </w:p>
    <w:p w:rsidR="007F7AA2" w:rsidRDefault="007F7AA2" w:rsidP="009C1E36">
      <w:r>
        <w:t xml:space="preserve">At the July 2016 meeting the PBAC recommended </w:t>
      </w:r>
      <w:r w:rsidR="0026578F" w:rsidRPr="0026578F">
        <w:t>a change to the PBS listing for denosumab to allow initiation of treatment of osteoporosis by nurse practitioners</w:t>
      </w:r>
      <w:r w:rsidR="0026578F">
        <w:t>. Prior to this denosumab was f</w:t>
      </w:r>
      <w:r w:rsidR="0026578F" w:rsidRPr="0026578F">
        <w:t>or prescribing by nurse practitioners as continuing therapy only, where the treatment of, and prescribing of medicine for, a patient has been initia</w:t>
      </w:r>
      <w:r w:rsidR="0026578F">
        <w:t>ted by a medical practitioner. This change was has not yet been implemented in the PBS Schedule (as at 18 August 2016).</w:t>
      </w:r>
    </w:p>
    <w:p w:rsidR="009C1E36" w:rsidRPr="003E2D98" w:rsidRDefault="009C1E36" w:rsidP="009C1E36">
      <w:pPr>
        <w:pStyle w:val="Heading3"/>
        <w:rPr>
          <w:i w:val="0"/>
          <w:sz w:val="28"/>
        </w:rPr>
      </w:pPr>
      <w:r w:rsidRPr="003E2D98">
        <w:rPr>
          <w:i w:val="0"/>
          <w:sz w:val="28"/>
        </w:rPr>
        <w:t>Previous reviews by DUSC</w:t>
      </w:r>
    </w:p>
    <w:p w:rsidR="00B047D0" w:rsidRPr="00B047D0" w:rsidRDefault="003E2D98" w:rsidP="00B047D0">
      <w:r w:rsidRPr="009C1E36">
        <w:t>Medicines for the treatment of osteoporosis were reviewed by DUSC at its October 2012</w:t>
      </w:r>
      <w:r w:rsidR="0089239E">
        <w:t xml:space="preserve"> and</w:t>
      </w:r>
      <w:r w:rsidRPr="009C1E36">
        <w:t xml:space="preserve"> </w:t>
      </w:r>
      <w:r>
        <w:t>October 2013</w:t>
      </w:r>
      <w:r w:rsidR="0089239E">
        <w:t xml:space="preserve"> meetings</w:t>
      </w:r>
      <w:r w:rsidR="00B047D0">
        <w:t>.</w:t>
      </w:r>
      <w:r>
        <w:t xml:space="preserve"> </w:t>
      </w:r>
      <w:r w:rsidR="00B047D0">
        <w:t xml:space="preserve"> </w:t>
      </w:r>
      <w:r w:rsidR="00ED00D7">
        <w:t xml:space="preserve">A key consideration </w:t>
      </w:r>
      <w:r w:rsidR="0089239E">
        <w:t>at</w:t>
      </w:r>
      <w:r w:rsidR="00ED00D7">
        <w:t xml:space="preserve"> the October 2012 DUSC meeting was that the </w:t>
      </w:r>
      <w:r w:rsidR="00B047D0" w:rsidRPr="00B047D0">
        <w:t>observed apparent plateau in the number of PBS prescriptions for osteoporosis medicines</w:t>
      </w:r>
      <w:r w:rsidR="00ED00D7">
        <w:t xml:space="preserve"> may not</w:t>
      </w:r>
      <w:r w:rsidR="00B047D0" w:rsidRPr="00B047D0">
        <w:t xml:space="preserve"> indicate a plateau in the number of patients treated</w:t>
      </w:r>
      <w:r w:rsidR="00DE4D3F">
        <w:t xml:space="preserve">. DUSC considered that </w:t>
      </w:r>
      <w:r w:rsidR="00B047D0" w:rsidRPr="00B047D0">
        <w:t>further assessment</w:t>
      </w:r>
      <w:r w:rsidR="00ED00D7">
        <w:t xml:space="preserve"> was needed</w:t>
      </w:r>
      <w:r w:rsidR="00B047D0" w:rsidRPr="00B047D0">
        <w:t xml:space="preserve"> to account for use in public hospitals, the longer duration of therapy provided by injectable agents compared to oral therapies, and cessation or breaks in therapy for patients who have been treated with these medicines for extended periods.   </w:t>
      </w:r>
    </w:p>
    <w:p w:rsidR="0089239E" w:rsidRDefault="0089239E" w:rsidP="0089239E">
      <w:r>
        <w:t xml:space="preserve">A subsequent review in October 2013 </w:t>
      </w:r>
      <w:r w:rsidR="00DE4D3F">
        <w:t>confirmed</w:t>
      </w:r>
      <w:r>
        <w:t xml:space="preserve"> that </w:t>
      </w:r>
      <w:r w:rsidR="00DE4D3F">
        <w:t xml:space="preserve">utilisation of osteoporosis medicines had stabilised, and that </w:t>
      </w:r>
      <w:r>
        <w:t>use of the injectable therapies (denosumab and zoledronic acid) has increased market share with respect to other osteoporosis treatments. DUSC noted the convenience of injectable over oral bisphosphonates in some settings, including residential aged care, and noted the need for vigilant monitoring of adverse effects in at risk groups such as the elderly.</w:t>
      </w:r>
    </w:p>
    <w:p w:rsidR="003E2D98" w:rsidRDefault="0089239E" w:rsidP="0089239E">
      <w:r>
        <w:t>DUSC also noted that 57% of use of the oral bisphosphonates was in combination products which contain calcium and colecalciferol, and considered that there is a risk of over-supplementation with calcium. DUSC suggested moving the listings of single component bisphosphonates, including zoledronic acid, from Authority Required (</w:t>
      </w:r>
      <w:r w:rsidRPr="00D929A2">
        <w:t>STREAMLINED</w:t>
      </w:r>
      <w:r>
        <w:t xml:space="preserve">) listings to Restricted Benefit listings in order to encourage prescribing of single agents. The PBAC subsequently recommended that </w:t>
      </w:r>
      <w:r w:rsidRPr="0089239E">
        <w:t xml:space="preserve">the single component </w:t>
      </w:r>
      <w:r>
        <w:t xml:space="preserve">oral </w:t>
      </w:r>
      <w:r w:rsidRPr="0089239E">
        <w:t>bisphosphonates, alendronate and risedronate, change from Authority Required (</w:t>
      </w:r>
      <w:r w:rsidR="00FF41BC" w:rsidRPr="00D929A2">
        <w:t>STREAMLINED</w:t>
      </w:r>
      <w:r w:rsidRPr="0089239E">
        <w:t>) to Restricted Benefit</w:t>
      </w:r>
      <w:r>
        <w:t xml:space="preserve">. This change was implemented </w:t>
      </w:r>
      <w:r w:rsidR="00DE4D3F">
        <w:t>on</w:t>
      </w:r>
      <w:r w:rsidRPr="0089239E">
        <w:t xml:space="preserve"> 1 May 2015. </w:t>
      </w:r>
    </w:p>
    <w:p w:rsidR="00D25CFF" w:rsidRPr="00B044AF" w:rsidRDefault="0089239E" w:rsidP="003B61CA">
      <w:pPr>
        <w:pStyle w:val="NoSpacing"/>
      </w:pPr>
      <w:r w:rsidRPr="00B044AF">
        <w:t xml:space="preserve">A predicted versus actual analysis of denosumab (presented as an addendum to the October 2013 report) was considered by DUSC in February 2014. </w:t>
      </w:r>
      <w:r w:rsidR="00D25CFF" w:rsidRPr="00B044AF">
        <w:t>Key findings were that:</w:t>
      </w:r>
    </w:p>
    <w:p w:rsidR="00D25CFF" w:rsidRPr="00B044AF" w:rsidRDefault="00D25CFF" w:rsidP="003B61CA">
      <w:pPr>
        <w:pStyle w:val="NoSpacing"/>
        <w:numPr>
          <w:ilvl w:val="0"/>
          <w:numId w:val="52"/>
        </w:numPr>
      </w:pPr>
      <w:r w:rsidRPr="00B044AF">
        <w:t>denosumab is used for both patients who are new to osteoporosis therapy and in patients who have been on prior osteoporosis medicines.</w:t>
      </w:r>
    </w:p>
    <w:p w:rsidR="00D25CFF" w:rsidRPr="00B044AF" w:rsidRDefault="00D25CFF" w:rsidP="00D25CFF">
      <w:pPr>
        <w:pStyle w:val="NoSpacing"/>
        <w:numPr>
          <w:ilvl w:val="0"/>
          <w:numId w:val="1"/>
        </w:numPr>
      </w:pPr>
      <w:r w:rsidRPr="00B044AF">
        <w:rPr>
          <w:lang w:val="en-US"/>
        </w:rPr>
        <w:t xml:space="preserve">Most patients on denosumab have switched from another medicine. </w:t>
      </w:r>
      <w:r w:rsidRPr="00B044AF">
        <w:t xml:space="preserve">The number of patients switching to denosumab from other osteoporosis treatments more than doubled from 2011 to 2012 (8,099 to 16,946). </w:t>
      </w:r>
    </w:p>
    <w:p w:rsidR="00D25CFF" w:rsidRPr="00B044AF" w:rsidRDefault="00D25CFF" w:rsidP="00D25CFF">
      <w:pPr>
        <w:pStyle w:val="NoSpacing"/>
        <w:numPr>
          <w:ilvl w:val="0"/>
          <w:numId w:val="1"/>
        </w:numPr>
      </w:pPr>
      <w:r w:rsidRPr="00B044AF">
        <w:rPr>
          <w:lang w:val="en-US"/>
        </w:rPr>
        <w:t xml:space="preserve">The proportion of patients initiating osteoporosis therapy on denosumab (compared to the proportion of patients switching from other osteoporosis treatments) appears to be increasing. </w:t>
      </w:r>
    </w:p>
    <w:p w:rsidR="00D25CFF" w:rsidRPr="00B044AF" w:rsidRDefault="00D25CFF" w:rsidP="00D25CFF">
      <w:pPr>
        <w:pStyle w:val="NoSpacing"/>
        <w:numPr>
          <w:ilvl w:val="0"/>
          <w:numId w:val="1"/>
        </w:numPr>
      </w:pPr>
      <w:r w:rsidRPr="00B044AF">
        <w:t>It appears the age distribution of patients initiating denosumab is similar to the age distribution of patients initiating other osteoporosis treatments.</w:t>
      </w:r>
    </w:p>
    <w:p w:rsidR="0089239E" w:rsidRPr="00B044AF" w:rsidRDefault="0089239E" w:rsidP="0089239E"/>
    <w:p w:rsidR="00B64865" w:rsidRPr="00397DD4" w:rsidRDefault="00D25CFF" w:rsidP="00B64865">
      <w:r w:rsidRPr="00B044AF">
        <w:t>In addition to noting the key findings, D</w:t>
      </w:r>
      <w:r w:rsidR="00B64865" w:rsidRPr="00B044AF">
        <w:t>USC commented that there have been adverse events related to denosumab reported, for example osteonecrosis of the jaw, atypical femoral fractures and brittle bones. However, DUSC commented these adverse events are not dissimilar to other osteoporosis agents and are reflective of antiresorptive agents in general. The adverse event of particular interest with denosumab is the increased risk of infection.</w:t>
      </w:r>
    </w:p>
    <w:p w:rsidR="00300A3C" w:rsidRDefault="00300A3C">
      <w:pPr>
        <w:spacing w:line="276" w:lineRule="auto"/>
        <w:rPr>
          <w:b/>
          <w:sz w:val="32"/>
        </w:rPr>
      </w:pPr>
      <w:r>
        <w:rPr>
          <w:sz w:val="32"/>
        </w:rPr>
        <w:br w:type="page"/>
      </w:r>
    </w:p>
    <w:p w:rsidR="009C1E36" w:rsidRPr="00300A3C" w:rsidRDefault="009C1E36" w:rsidP="009C1E36">
      <w:pPr>
        <w:pStyle w:val="Heading2"/>
        <w:rPr>
          <w:sz w:val="28"/>
        </w:rPr>
      </w:pPr>
      <w:r w:rsidRPr="001F7C8D">
        <w:rPr>
          <w:sz w:val="32"/>
        </w:rPr>
        <w:t>Methods</w:t>
      </w:r>
    </w:p>
    <w:p w:rsidR="00D0080F" w:rsidRDefault="009C1E36" w:rsidP="00677771">
      <w:r w:rsidRPr="009C1E36">
        <w:t xml:space="preserve">The number of patients for dispensed prescriptions were </w:t>
      </w:r>
      <w:r w:rsidR="009B5E9C">
        <w:t xml:space="preserve">determined from data </w:t>
      </w:r>
      <w:r w:rsidRPr="009C1E36">
        <w:t xml:space="preserve">extracted from the Department of Human Services (DHS) </w:t>
      </w:r>
      <w:r w:rsidR="00677771">
        <w:t>PBS prescription claim database for prescri</w:t>
      </w:r>
      <w:r w:rsidR="00C3189F">
        <w:t>ptions supplied from January 200</w:t>
      </w:r>
      <w:r w:rsidR="00677771">
        <w:t xml:space="preserve">3 </w:t>
      </w:r>
      <w:r w:rsidR="00677771" w:rsidRPr="009C1E36">
        <w:t>to Ma</w:t>
      </w:r>
      <w:r w:rsidR="00677771">
        <w:t>rch</w:t>
      </w:r>
      <w:r w:rsidR="00E731A6">
        <w:t xml:space="preserve"> 2016</w:t>
      </w:r>
      <w:r w:rsidR="00677771" w:rsidRPr="009C1E36">
        <w:t>, inclusive</w:t>
      </w:r>
      <w:r w:rsidR="00677771">
        <w:t>.</w:t>
      </w:r>
    </w:p>
    <w:p w:rsidR="00732FB5" w:rsidRPr="009C1E36" w:rsidRDefault="00732FB5" w:rsidP="00732FB5">
      <w:r w:rsidRPr="009C1E36">
        <w:t xml:space="preserve">Data for the number of prescriptions and government expenditure for all osteoporosis medicines listed on the PBS were extracted from the </w:t>
      </w:r>
      <w:r>
        <w:t>same source</w:t>
      </w:r>
      <w:r w:rsidR="002900B4">
        <w:t xml:space="preserve">. A difference from the data used to count patients was that the period was extended back to January 1990. This data source was only used </w:t>
      </w:r>
      <w:r>
        <w:t>after checking that under co</w:t>
      </w:r>
      <w:r w:rsidR="00FF2A84">
        <w:t>-</w:t>
      </w:r>
      <w:r>
        <w:t>payment prescriptions were complete for this group of drug</w:t>
      </w:r>
      <w:r w:rsidR="00B70084">
        <w:t>s</w:t>
      </w:r>
      <w:r>
        <w:t xml:space="preserve"> in this data source. </w:t>
      </w:r>
      <w:r w:rsidRPr="009C1E36">
        <w:t xml:space="preserve">All osteoporosis </w:t>
      </w:r>
      <w:r w:rsidR="00FF2A84">
        <w:t xml:space="preserve">PBS items were priced (ie. DPMQ) above the general patient co-payment before 1 April 2012, thus there was complete capture of </w:t>
      </w:r>
      <w:r w:rsidR="00965EE7">
        <w:t xml:space="preserve">PBS </w:t>
      </w:r>
      <w:r w:rsidR="00FF2A84">
        <w:t>prescription</w:t>
      </w:r>
      <w:r w:rsidR="00897815">
        <w:t>s dispensed</w:t>
      </w:r>
      <w:r w:rsidR="00FF2A84">
        <w:t xml:space="preserve">. </w:t>
      </w:r>
      <w:r w:rsidR="00965EE7">
        <w:t xml:space="preserve">From </w:t>
      </w:r>
      <w:r w:rsidR="00FF2A84">
        <w:t>April 2012</w:t>
      </w:r>
      <w:r w:rsidR="00965EE7">
        <w:t xml:space="preserve"> the price of some </w:t>
      </w:r>
      <w:r w:rsidR="00897815">
        <w:t xml:space="preserve">osteoporosis </w:t>
      </w:r>
      <w:r w:rsidR="00965EE7">
        <w:t xml:space="preserve">medicines began to fall </w:t>
      </w:r>
      <w:r w:rsidR="00FF2A84" w:rsidRPr="00FF2A84">
        <w:t>below the general patient copayment</w:t>
      </w:r>
      <w:r w:rsidR="00897815">
        <w:t xml:space="preserve"> however a</w:t>
      </w:r>
      <w:r w:rsidR="00965EE7">
        <w:t xml:space="preserve">t the same time </w:t>
      </w:r>
      <w:r w:rsidR="00B70084">
        <w:t xml:space="preserve">collection of under co-payment </w:t>
      </w:r>
      <w:r w:rsidR="00897815">
        <w:t xml:space="preserve">prescription </w:t>
      </w:r>
      <w:r w:rsidR="00B70084">
        <w:t xml:space="preserve">information by DHS </w:t>
      </w:r>
      <w:r w:rsidR="00965EE7">
        <w:t>commenced a</w:t>
      </w:r>
      <w:r w:rsidR="00897815">
        <w:t>nd</w:t>
      </w:r>
      <w:r w:rsidR="00B70084">
        <w:t xml:space="preserve"> there was no loss of </w:t>
      </w:r>
      <w:r w:rsidR="00965EE7">
        <w:t xml:space="preserve">PBS prescription </w:t>
      </w:r>
      <w:r w:rsidR="00B70084">
        <w:t xml:space="preserve">data. </w:t>
      </w:r>
    </w:p>
    <w:p w:rsidR="00D0080F" w:rsidRDefault="00D0080F" w:rsidP="00D0080F">
      <w:r>
        <w:t>O</w:t>
      </w:r>
      <w:r w:rsidRPr="009C1E36">
        <w:t>steoporosis medicines listed on the PBS</w:t>
      </w:r>
      <w:r>
        <w:t xml:space="preserve"> were defined as the osteoporosis specific item codes for</w:t>
      </w:r>
      <w:r w:rsidRPr="00D0080F">
        <w:t xml:space="preserve"> </w:t>
      </w:r>
      <w:r>
        <w:t xml:space="preserve">zoledronic acid (ie. 9288W and 10555M) and denosumab (ie. 5457F) and all PBS items in the following </w:t>
      </w:r>
      <w:r w:rsidR="00A606CA">
        <w:t xml:space="preserve">WHO or PBS </w:t>
      </w:r>
      <w:r>
        <w:t>ATC codes</w:t>
      </w:r>
      <w:r w:rsidR="00A606CA">
        <w:t>;</w:t>
      </w:r>
      <w:r>
        <w:t xml:space="preserve"> M05BA04, M05BA07, </w:t>
      </w:r>
      <w:r w:rsidR="00C579CC">
        <w:t xml:space="preserve">M05BB01, M05BB02, </w:t>
      </w:r>
      <w:r>
        <w:t xml:space="preserve">M05BB03, </w:t>
      </w:r>
      <w:r w:rsidR="00C579CC">
        <w:t xml:space="preserve">M05BB04, </w:t>
      </w:r>
      <w:r>
        <w:t xml:space="preserve">M05BB05, M05BX03, A11CC04, D05AX03, G03XC01 </w:t>
      </w:r>
      <w:r w:rsidR="00A606CA">
        <w:t xml:space="preserve">or </w:t>
      </w:r>
      <w:r>
        <w:t>H05AA02</w:t>
      </w:r>
      <w:r w:rsidR="00A606CA">
        <w:t>.</w:t>
      </w:r>
    </w:p>
    <w:p w:rsidR="00677771" w:rsidRPr="00944E82" w:rsidRDefault="009B5E9C" w:rsidP="00677771">
      <w:pPr>
        <w:pStyle w:val="Heading4"/>
        <w:rPr>
          <w:i w:val="0"/>
          <w:sz w:val="28"/>
          <w:szCs w:val="28"/>
        </w:rPr>
      </w:pPr>
      <w:r>
        <w:rPr>
          <w:i w:val="0"/>
          <w:sz w:val="28"/>
          <w:szCs w:val="28"/>
        </w:rPr>
        <w:t>Patient count</w:t>
      </w:r>
      <w:r w:rsidR="00677771" w:rsidRPr="00944E82">
        <w:rPr>
          <w:i w:val="0"/>
          <w:sz w:val="28"/>
          <w:szCs w:val="28"/>
        </w:rPr>
        <w:t xml:space="preserve"> analysis</w:t>
      </w:r>
    </w:p>
    <w:p w:rsidR="00677771" w:rsidRDefault="00677771" w:rsidP="00677771">
      <w:r w:rsidRPr="009C1E36">
        <w:t>The number of patients who received a supply of any osteoporosis medicine in each year from 2003 to 201</w:t>
      </w:r>
      <w:r>
        <w:t>5</w:t>
      </w:r>
      <w:r w:rsidRPr="009C1E36">
        <w:t xml:space="preserve"> was determined by </w:t>
      </w:r>
      <w:r w:rsidRPr="000D460F">
        <w:rPr>
          <w:rFonts w:eastAsia="Calibri" w:cs="Times New Roman"/>
        </w:rPr>
        <w:t xml:space="preserve">counting the number of person specific numbers (non-identifying) in </w:t>
      </w:r>
      <w:r>
        <w:rPr>
          <w:rFonts w:eastAsia="Calibri" w:cs="Times New Roman"/>
        </w:rPr>
        <w:t>the</w:t>
      </w:r>
      <w:r w:rsidRPr="000D460F">
        <w:rPr>
          <w:rFonts w:eastAsia="Calibri" w:cs="Times New Roman"/>
        </w:rPr>
        <w:t xml:space="preserve"> data for </w:t>
      </w:r>
      <w:r>
        <w:rPr>
          <w:rFonts w:eastAsia="Calibri" w:cs="Times New Roman"/>
        </w:rPr>
        <w:t>each year.</w:t>
      </w:r>
    </w:p>
    <w:p w:rsidR="00944E82" w:rsidRDefault="00677771" w:rsidP="00677771">
      <w:r w:rsidRPr="009C1E36">
        <w:t>Most PBS prescriptions generally provide one month of therapy</w:t>
      </w:r>
      <w:r>
        <w:t xml:space="preserve">, however prescriptions </w:t>
      </w:r>
      <w:r w:rsidRPr="009C1E36">
        <w:t>of zoledronic acid and denosumab</w:t>
      </w:r>
      <w:r>
        <w:t xml:space="preserve"> are designed to be supply </w:t>
      </w:r>
      <w:r w:rsidRPr="009C1E36">
        <w:t>annual</w:t>
      </w:r>
      <w:r w:rsidR="00944E82">
        <w:t>ly</w:t>
      </w:r>
      <w:r w:rsidRPr="009C1E36">
        <w:t xml:space="preserve"> and six monthly </w:t>
      </w:r>
      <w:r w:rsidR="00944E82">
        <w:t xml:space="preserve">respectively. The difference between prevalence on treatment and prevalence of prescription supply </w:t>
      </w:r>
      <w:r w:rsidR="000C42AE">
        <w:t>in a</w:t>
      </w:r>
      <w:r w:rsidR="00944E82">
        <w:t xml:space="preserve"> given time period is dependent on the expected frequency of supply within the period. For this difference to be approximately equal across all drugs (thus making the prevalent patient count</w:t>
      </w:r>
      <w:r w:rsidR="009B5E9C">
        <w:t>s</w:t>
      </w:r>
      <w:r w:rsidR="00944E82">
        <w:t xml:space="preserve"> comparable across drugs), the time period need</w:t>
      </w:r>
      <w:r w:rsidR="009B5E9C">
        <w:t>s</w:t>
      </w:r>
      <w:r w:rsidR="00944E82">
        <w:t xml:space="preserve"> to be at least the expected frequency of supply of the drug with the longest expected time between supplies. Thus the </w:t>
      </w:r>
      <w:r w:rsidR="000C42AE">
        <w:t>1 year analysis time period chosen for this analysis was a comprom</w:t>
      </w:r>
      <w:r w:rsidR="009B5E9C">
        <w:t>ise. T</w:t>
      </w:r>
      <w:r w:rsidR="000C42AE">
        <w:t xml:space="preserve">he prevalence of prescription supply should be a good approximation of patients on treatment for all drugs which are </w:t>
      </w:r>
      <w:r w:rsidR="009B5E9C">
        <w:t>expected to be supplied monthly</w:t>
      </w:r>
      <w:r w:rsidR="000C42AE">
        <w:t xml:space="preserve"> and even denosumab which is expected to be supplied 6 monthly. However, the prevalence of prescription supply for </w:t>
      </w:r>
      <w:r w:rsidR="00BE5ED5">
        <w:t>zoledronic</w:t>
      </w:r>
      <w:r w:rsidR="00A36FBE">
        <w:t xml:space="preserve"> acid will slightly under</w:t>
      </w:r>
      <w:r w:rsidR="000C42AE">
        <w:t>estimate the number of patients on treatment as it is expected to be supplied every 12 months</w:t>
      </w:r>
      <w:r w:rsidR="009B5E9C">
        <w:t xml:space="preserve"> and some patients will not be supplied in a calendar year even if they are on therapy (eg. one supply on 31 December 2014 and next supply on 1 January 2016)</w:t>
      </w:r>
      <w:r w:rsidR="000C42AE">
        <w:t xml:space="preserve">. </w:t>
      </w:r>
      <w:r w:rsidR="002B3676">
        <w:t>Changing the analysis period to 18 months or 2 years was considered, but this was thought to be too infrequent to be able track trends in the time series. Thus the slightly underestimation of zoledronic acid prevalen</w:t>
      </w:r>
      <w:r w:rsidR="009B5E9C">
        <w:t>t</w:t>
      </w:r>
      <w:r w:rsidR="002B3676">
        <w:t xml:space="preserve"> patients should be kept in mind when considering the results of this analysis.</w:t>
      </w:r>
    </w:p>
    <w:p w:rsidR="00677771" w:rsidRPr="009C1E36" w:rsidRDefault="00677771" w:rsidP="00677771">
      <w:r w:rsidRPr="009C1E36">
        <w:t>In addition, the number of new patients starting osteoporosis treatment was estimated by counting the number of patients in each year who had not been supplied a prescription for any osteoporosis medicine in at least the prior two years</w:t>
      </w:r>
      <w:r w:rsidR="002B3676">
        <w:t xml:space="preserve"> (ie. initiating patient count start</w:t>
      </w:r>
      <w:r w:rsidR="009B5E9C">
        <w:t>s</w:t>
      </w:r>
      <w:r w:rsidR="002B3676">
        <w:t xml:space="preserve"> in 2005 with at least a two year look back to January 2003)</w:t>
      </w:r>
      <w:r w:rsidRPr="009C1E36">
        <w:t xml:space="preserve">. </w:t>
      </w:r>
    </w:p>
    <w:p w:rsidR="00677771" w:rsidRPr="009C1E36" w:rsidRDefault="00677771" w:rsidP="00677771">
      <w:r w:rsidRPr="009C1E36">
        <w:t xml:space="preserve">A further analysis counted the number of patients starting on each individual medicine in each calendar year, defined as no prior prescriptions for the specific medicine in at least the prior two years. For this analysis a patient may be counted </w:t>
      </w:r>
      <w:r w:rsidR="00BE5ED5">
        <w:t xml:space="preserve">in more than one medicine </w:t>
      </w:r>
      <w:r w:rsidRPr="009C1E36">
        <w:t>in a calendar year if they switched treatment or were co</w:t>
      </w:r>
      <w:r w:rsidRPr="009C1E36">
        <w:noBreakHyphen/>
        <w:t>administered two medicines.</w:t>
      </w:r>
    </w:p>
    <w:p w:rsidR="00DE232E" w:rsidRPr="00DE232E" w:rsidRDefault="002B3676" w:rsidP="00DE232E">
      <w:pPr>
        <w:shd w:val="clear" w:color="auto" w:fill="FFFFFF" w:themeFill="background1"/>
      </w:pPr>
      <w:r w:rsidRPr="00216C75">
        <w:rPr>
          <w:rFonts w:eastAsia="Calibri" w:cs="Times New Roman"/>
        </w:rPr>
        <w:t>Treatment rate</w:t>
      </w:r>
      <w:r w:rsidR="00216C75">
        <w:rPr>
          <w:rFonts w:eastAsia="Calibri" w:cs="Times New Roman"/>
        </w:rPr>
        <w:t>s</w:t>
      </w:r>
      <w:r w:rsidRPr="00216C75">
        <w:rPr>
          <w:rFonts w:eastAsia="Calibri" w:cs="Times New Roman"/>
        </w:rPr>
        <w:t xml:space="preserve"> (</w:t>
      </w:r>
      <w:r w:rsidR="00DE232E">
        <w:rPr>
          <w:rFonts w:eastAsia="Calibri" w:cs="Times New Roman"/>
        </w:rPr>
        <w:t>patients per 1000</w:t>
      </w:r>
      <w:r w:rsidRPr="00216C75">
        <w:rPr>
          <w:rFonts w:eastAsia="Calibri" w:cs="Times New Roman"/>
        </w:rPr>
        <w:t xml:space="preserve"> population) of patients initiating on and prevalent to </w:t>
      </w:r>
      <w:r w:rsidR="00216C75">
        <w:rPr>
          <w:rFonts w:eastAsia="Calibri" w:cs="Times New Roman"/>
        </w:rPr>
        <w:t xml:space="preserve">osteoporosis medicines </w:t>
      </w:r>
      <w:r w:rsidR="00216C75" w:rsidRPr="00216C75">
        <w:rPr>
          <w:rFonts w:eastAsia="Calibri" w:cs="Times New Roman"/>
        </w:rPr>
        <w:t>(</w:t>
      </w:r>
      <w:r w:rsidR="00216C75">
        <w:rPr>
          <w:rFonts w:eastAsia="Calibri" w:cs="Times New Roman"/>
        </w:rPr>
        <w:t>nationally and by State</w:t>
      </w:r>
      <w:r w:rsidR="00216C75" w:rsidRPr="00216C75">
        <w:rPr>
          <w:rFonts w:eastAsia="Calibri" w:cs="Times New Roman"/>
        </w:rPr>
        <w:t>) were</w:t>
      </w:r>
      <w:r w:rsidRPr="00216C75">
        <w:rPr>
          <w:rFonts w:eastAsia="Calibri" w:cs="Times New Roman"/>
        </w:rPr>
        <w:t xml:space="preserve"> calculated as the number of initiating or prevalent patients divided by the ABS </w:t>
      </w:r>
      <w:r w:rsidR="00DE232E" w:rsidRPr="00DE232E">
        <w:t>Estimated Residential Population</w:t>
      </w:r>
      <w:r w:rsidR="00DE232E" w:rsidRPr="00216C75">
        <w:rPr>
          <w:rFonts w:eastAsia="Calibri" w:cs="Times New Roman"/>
        </w:rPr>
        <w:t xml:space="preserve"> </w:t>
      </w:r>
      <w:r w:rsidR="00DE232E">
        <w:rPr>
          <w:rFonts w:eastAsia="Calibri" w:cs="Times New Roman"/>
        </w:rPr>
        <w:t xml:space="preserve">(ERP) </w:t>
      </w:r>
      <w:r w:rsidRPr="00216C75">
        <w:rPr>
          <w:rFonts w:eastAsia="Calibri" w:cs="Times New Roman"/>
        </w:rPr>
        <w:t>population</w:t>
      </w:r>
      <w:r w:rsidRPr="00216C75">
        <w:rPr>
          <w:rFonts w:eastAsia="Calibri" w:cs="Times New Roman"/>
          <w:vertAlign w:val="superscript"/>
        </w:rPr>
        <w:footnoteReference w:id="14"/>
      </w:r>
      <w:r w:rsidR="00216C75">
        <w:rPr>
          <w:rFonts w:eastAsia="Calibri" w:cs="Times New Roman"/>
        </w:rPr>
        <w:t xml:space="preserve"> in the specific year</w:t>
      </w:r>
      <w:r w:rsidR="00940D95">
        <w:rPr>
          <w:rFonts w:eastAsia="Calibri" w:cs="Times New Roman"/>
        </w:rPr>
        <w:t xml:space="preserve"> (as at 30 June) </w:t>
      </w:r>
      <w:r w:rsidR="00216C75">
        <w:rPr>
          <w:rFonts w:eastAsia="Calibri" w:cs="Times New Roman"/>
        </w:rPr>
        <w:t>and State</w:t>
      </w:r>
      <w:r w:rsidR="00DE232E">
        <w:rPr>
          <w:rFonts w:eastAsia="Calibri" w:cs="Times New Roman"/>
        </w:rPr>
        <w:t>.  T</w:t>
      </w:r>
      <w:r w:rsidR="00DE232E">
        <w:t xml:space="preserve">hese treatment rates were also age adjusted to correct for the effect of an ageing population and the differences in age distributions between States. </w:t>
      </w:r>
      <w:r w:rsidR="00DE232E" w:rsidRPr="00DE232E">
        <w:t>The age adjusted rates use the Direct Method</w:t>
      </w:r>
      <w:r w:rsidR="00DE232E" w:rsidRPr="00DE232E">
        <w:rPr>
          <w:vertAlign w:val="superscript"/>
        </w:rPr>
        <w:footnoteReference w:id="15"/>
      </w:r>
      <w:r w:rsidR="00DE232E" w:rsidRPr="00DE232E">
        <w:t xml:space="preserve"> and are based on the Australian age distribution of the ABS E</w:t>
      </w:r>
      <w:r w:rsidR="00DE232E">
        <w:t>RP</w:t>
      </w:r>
      <w:r w:rsidR="00DE232E" w:rsidRPr="00DE232E">
        <w:t xml:space="preserve"> in the reference year 2011.</w:t>
      </w:r>
    </w:p>
    <w:p w:rsidR="002B3676" w:rsidRPr="00D36842" w:rsidRDefault="002B3676" w:rsidP="00216C75">
      <w:pPr>
        <w:shd w:val="clear" w:color="auto" w:fill="FFFFFF" w:themeFill="background1"/>
        <w:rPr>
          <w:rFonts w:eastAsia="Calibri" w:cs="Times New Roman"/>
        </w:rPr>
      </w:pPr>
      <w:r w:rsidRPr="00216C75">
        <w:rPr>
          <w:rFonts w:eastAsia="Calibri" w:cs="Times New Roman"/>
        </w:rPr>
        <w:t xml:space="preserve">The analyses by state were based on the Medicare enrolment postcode of the patient at the time </w:t>
      </w:r>
      <w:r w:rsidR="00154F36">
        <w:rPr>
          <w:rFonts w:eastAsia="Calibri" w:cs="Times New Roman"/>
        </w:rPr>
        <w:t>that</w:t>
      </w:r>
      <w:r w:rsidR="00154F36" w:rsidRPr="00216C75">
        <w:rPr>
          <w:rFonts w:eastAsia="Calibri" w:cs="Times New Roman"/>
        </w:rPr>
        <w:t xml:space="preserve"> </w:t>
      </w:r>
      <w:r w:rsidRPr="00216C75">
        <w:rPr>
          <w:rFonts w:eastAsia="Calibri" w:cs="Times New Roman"/>
        </w:rPr>
        <w:t xml:space="preserve">the </w:t>
      </w:r>
      <w:r w:rsidR="00216C75">
        <w:rPr>
          <w:rFonts w:eastAsia="Calibri" w:cs="Times New Roman"/>
        </w:rPr>
        <w:t>prescription was processed</w:t>
      </w:r>
      <w:r w:rsidRPr="00216C75">
        <w:rPr>
          <w:rFonts w:eastAsia="Calibri" w:cs="Times New Roman"/>
        </w:rPr>
        <w:t>.</w:t>
      </w:r>
    </w:p>
    <w:p w:rsidR="00291760" w:rsidRPr="00216C75" w:rsidRDefault="00291760" w:rsidP="00291760">
      <w:pPr>
        <w:pStyle w:val="Heading4"/>
        <w:rPr>
          <w:i w:val="0"/>
          <w:sz w:val="28"/>
        </w:rPr>
      </w:pPr>
      <w:r>
        <w:rPr>
          <w:i w:val="0"/>
          <w:sz w:val="28"/>
        </w:rPr>
        <w:t>Time to re-supply analysis</w:t>
      </w:r>
    </w:p>
    <w:p w:rsidR="00291760" w:rsidRPr="00C3189F" w:rsidRDefault="00C3189F" w:rsidP="009C1E36">
      <w:pPr>
        <w:pStyle w:val="Heading4"/>
        <w:rPr>
          <w:b w:val="0"/>
          <w:i w:val="0"/>
          <w:sz w:val="24"/>
        </w:rPr>
      </w:pPr>
      <w:r>
        <w:rPr>
          <w:b w:val="0"/>
          <w:i w:val="0"/>
          <w:sz w:val="24"/>
        </w:rPr>
        <w:t>This analysis use</w:t>
      </w:r>
      <w:r w:rsidR="003C767D">
        <w:rPr>
          <w:b w:val="0"/>
          <w:i w:val="0"/>
          <w:sz w:val="24"/>
        </w:rPr>
        <w:t>d</w:t>
      </w:r>
      <w:r>
        <w:rPr>
          <w:b w:val="0"/>
          <w:i w:val="0"/>
          <w:sz w:val="24"/>
        </w:rPr>
        <w:t xml:space="preserve"> the same data as for the patient count analysis (ie. prescriptions supplied from Jan</w:t>
      </w:r>
      <w:r w:rsidR="00230D31">
        <w:rPr>
          <w:b w:val="0"/>
          <w:i w:val="0"/>
          <w:sz w:val="24"/>
        </w:rPr>
        <w:t>uary</w:t>
      </w:r>
      <w:r>
        <w:rPr>
          <w:b w:val="0"/>
          <w:i w:val="0"/>
          <w:sz w:val="24"/>
        </w:rPr>
        <w:t xml:space="preserve"> 2003 to March 2016).</w:t>
      </w:r>
      <w:r w:rsidR="003C767D">
        <w:rPr>
          <w:b w:val="0"/>
          <w:i w:val="0"/>
          <w:sz w:val="24"/>
        </w:rPr>
        <w:t xml:space="preserve"> </w:t>
      </w:r>
      <w:r w:rsidR="0085493D">
        <w:rPr>
          <w:b w:val="0"/>
          <w:i w:val="0"/>
          <w:sz w:val="24"/>
        </w:rPr>
        <w:t>Prescriptions were</w:t>
      </w:r>
      <w:r w:rsidR="003C767D">
        <w:rPr>
          <w:b w:val="0"/>
          <w:i w:val="0"/>
          <w:sz w:val="24"/>
        </w:rPr>
        <w:t xml:space="preserve"> defined as being re-supplied by supply of a subsequent prescription of the same drug </w:t>
      </w:r>
      <w:r w:rsidR="00154F36">
        <w:rPr>
          <w:b w:val="0"/>
          <w:i w:val="0"/>
          <w:sz w:val="24"/>
        </w:rPr>
        <w:t xml:space="preserve">for an osteoporosis indication </w:t>
      </w:r>
      <w:r w:rsidR="003C767D">
        <w:rPr>
          <w:b w:val="0"/>
          <w:i w:val="0"/>
          <w:sz w:val="24"/>
        </w:rPr>
        <w:t xml:space="preserve">(not necessarily the same item). </w:t>
      </w:r>
      <w:r w:rsidR="007A6FB1">
        <w:rPr>
          <w:b w:val="0"/>
          <w:i w:val="0"/>
          <w:sz w:val="24"/>
        </w:rPr>
        <w:t>Prescriptions supplied near the end of the data analysis period (ie. the end of March 2016) were</w:t>
      </w:r>
      <w:r w:rsidR="003C767D">
        <w:rPr>
          <w:b w:val="0"/>
          <w:i w:val="0"/>
          <w:sz w:val="24"/>
        </w:rPr>
        <w:t xml:space="preserve"> excluded from the analysis as they had limited time for re-supply. </w:t>
      </w:r>
      <w:r w:rsidR="0085493D">
        <w:rPr>
          <w:b w:val="0"/>
          <w:i w:val="0"/>
          <w:sz w:val="24"/>
        </w:rPr>
        <w:t>These p</w:t>
      </w:r>
      <w:r w:rsidR="003C767D">
        <w:rPr>
          <w:b w:val="0"/>
          <w:i w:val="0"/>
          <w:sz w:val="24"/>
        </w:rPr>
        <w:t xml:space="preserve">rescriptions were only excluded from the role of being the re-supplied script, not the role of being the re-supplying script. “Near the end of the data analysis period” was defined as being within three times the median days to re-supply </w:t>
      </w:r>
      <w:r w:rsidR="007A6FB1">
        <w:rPr>
          <w:b w:val="0"/>
          <w:i w:val="0"/>
          <w:sz w:val="24"/>
        </w:rPr>
        <w:t>(</w:t>
      </w:r>
      <w:r w:rsidR="0085493D">
        <w:rPr>
          <w:b w:val="0"/>
          <w:i w:val="0"/>
          <w:sz w:val="24"/>
        </w:rPr>
        <w:t>for that drug</w:t>
      </w:r>
      <w:r w:rsidR="007A6FB1">
        <w:rPr>
          <w:b w:val="0"/>
          <w:i w:val="0"/>
          <w:sz w:val="24"/>
        </w:rPr>
        <w:t>)</w:t>
      </w:r>
      <w:r w:rsidR="0085493D">
        <w:rPr>
          <w:b w:val="0"/>
          <w:i w:val="0"/>
          <w:sz w:val="24"/>
        </w:rPr>
        <w:t xml:space="preserve"> of the end to the data analysis period.</w:t>
      </w:r>
    </w:p>
    <w:p w:rsidR="00E036EE" w:rsidRDefault="00E036EE">
      <w:pPr>
        <w:spacing w:line="276" w:lineRule="auto"/>
        <w:rPr>
          <w:b/>
          <w:sz w:val="32"/>
          <w:szCs w:val="32"/>
        </w:rPr>
      </w:pPr>
      <w:r>
        <w:rPr>
          <w:i/>
        </w:rPr>
        <w:br w:type="page"/>
      </w:r>
    </w:p>
    <w:p w:rsidR="00903896" w:rsidRPr="008250BC" w:rsidRDefault="00903896" w:rsidP="000915F5">
      <w:pPr>
        <w:pStyle w:val="Heading4"/>
        <w:rPr>
          <w:i w:val="0"/>
        </w:rPr>
      </w:pPr>
      <w:r w:rsidRPr="008250BC">
        <w:rPr>
          <w:i w:val="0"/>
        </w:rPr>
        <w:t>Results</w:t>
      </w:r>
    </w:p>
    <w:p w:rsidR="00F966F2" w:rsidRPr="00F966F2" w:rsidRDefault="00F966F2" w:rsidP="000915F5">
      <w:pPr>
        <w:rPr>
          <w:b/>
          <w:sz w:val="28"/>
          <w:szCs w:val="28"/>
        </w:rPr>
      </w:pPr>
      <w:r w:rsidRPr="00F966F2">
        <w:rPr>
          <w:b/>
          <w:sz w:val="28"/>
          <w:szCs w:val="28"/>
        </w:rPr>
        <w:t>Patient counts</w:t>
      </w:r>
    </w:p>
    <w:p w:rsidR="00F966F2" w:rsidRDefault="00F966F2" w:rsidP="000915F5">
      <w:pPr>
        <w:rPr>
          <w:b/>
          <w:i/>
          <w:szCs w:val="28"/>
        </w:rPr>
      </w:pPr>
      <w:r w:rsidRPr="00F966F2">
        <w:rPr>
          <w:b/>
          <w:i/>
          <w:szCs w:val="28"/>
        </w:rPr>
        <w:t>Osteoporosis therapy</w:t>
      </w:r>
    </w:p>
    <w:p w:rsidR="00244034" w:rsidRDefault="00244034" w:rsidP="000915F5">
      <w:r>
        <w:t xml:space="preserve">Figure 1 shows the total number of people treated with PBS listed medicines each year (prevalent) and the number of these who are new patients starting osteoporosis treatment (initiating). </w:t>
      </w:r>
    </w:p>
    <w:p w:rsidR="00F966F2" w:rsidRDefault="00E07691" w:rsidP="000915F5">
      <w:r w:rsidRPr="007D0BA6">
        <w:rPr>
          <w:b/>
          <w:noProof/>
        </w:rPr>
        <mc:AlternateContent>
          <mc:Choice Requires="wps">
            <w:drawing>
              <wp:anchor distT="0" distB="0" distL="114300" distR="114300" simplePos="0" relativeHeight="251659264" behindDoc="0" locked="0" layoutInCell="1" allowOverlap="1" wp14:anchorId="43D34C92" wp14:editId="1C2D4D24">
                <wp:simplePos x="0" y="0"/>
                <wp:positionH relativeFrom="column">
                  <wp:posOffset>3905885</wp:posOffset>
                </wp:positionH>
                <wp:positionV relativeFrom="paragraph">
                  <wp:posOffset>671195</wp:posOffset>
                </wp:positionV>
                <wp:extent cx="939800" cy="560070"/>
                <wp:effectExtent l="0" t="0" r="0" b="0"/>
                <wp:wrapNone/>
                <wp:docPr id="307" name="Text Box 2" title="Figure 1: Patients initiating and prevalent to osteoporosis therapy by year of initi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560070"/>
                        </a:xfrm>
                        <a:prstGeom prst="rect">
                          <a:avLst/>
                        </a:prstGeom>
                        <a:solidFill>
                          <a:srgbClr val="FFFFFF"/>
                        </a:solidFill>
                        <a:ln w="9525">
                          <a:noFill/>
                          <a:miter lim="800000"/>
                          <a:headEnd/>
                          <a:tailEnd/>
                        </a:ln>
                      </wps:spPr>
                      <wps:txbx>
                        <w:txbxContent>
                          <w:p w:rsidR="00A93262" w:rsidRPr="003003F2" w:rsidRDefault="00A93262" w:rsidP="007D0BA6">
                            <w:pPr>
                              <w:jc w:val="center"/>
                              <w:rPr>
                                <w:sz w:val="20"/>
                                <w:szCs w:val="20"/>
                              </w:rPr>
                            </w:pPr>
                            <w:r w:rsidRPr="003003F2">
                              <w:rPr>
                                <w:sz w:val="20"/>
                                <w:szCs w:val="20"/>
                              </w:rPr>
                              <w:t>Denosumab listed on 1/12/2010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Figure 1: Patients initiating and prevalent to osteoporosis therapy by year of initiation" style="position:absolute;margin-left:307.55pt;margin-top:52.85pt;width:74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" stroked="f">
                <v:textbox>
                  <w:txbxContent>
                    <w:p w:rsidR="00A93262" w:rsidRPr="003003F2" w:rsidRDefault="00A93262" w:rsidP="007D0BA6">
                      <w:pPr>
                        <w:jc w:val="center"/>
                        <w:rPr>
                          <w:sz w:val="20"/>
                          <w:szCs w:val="20"/>
                        </w:rPr>
                      </w:pPr>
                      <w:r w:rsidRPr="003003F2">
                        <w:rPr>
                          <w:sz w:val="20"/>
                          <w:szCs w:val="20"/>
                        </w:rPr>
                        <w:t>Denosumab listed on 1/12/2010</w:t>
                      </w:r>
                    </w:p>
                  </w:txbxContent>
                </v:textbox>
              </v:shape>
            </w:pict>
          </mc:Fallback>
        </mc:AlternateContent>
      </w:r>
      <w:r w:rsidR="00FD1E59">
        <w:rPr>
          <w:noProof/>
        </w:rPr>
        <w:drawing>
          <wp:inline distT="0" distB="0" distL="0" distR="0" wp14:anchorId="10F5183A" wp14:editId="25AF1AC0">
            <wp:extent cx="5687695" cy="3703320"/>
            <wp:effectExtent l="0" t="0" r="27305" b="11430"/>
            <wp:docPr id="290" name="Chart 290" title="Figure 1: Patients initiating and prevalent to osteoporosis therapy by year of initi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56A53" w:rsidRPr="001D4A77">
        <w:rPr>
          <w:b/>
        </w:rPr>
        <w:t>Figure 1</w:t>
      </w:r>
      <w:r w:rsidR="00556A53">
        <w:rPr>
          <w:b/>
        </w:rPr>
        <w:t>:</w:t>
      </w:r>
      <w:r w:rsidR="00556A53" w:rsidRPr="001D4A77">
        <w:rPr>
          <w:b/>
        </w:rPr>
        <w:t xml:space="preserve"> Patients initiating and prevalent to </w:t>
      </w:r>
      <w:r w:rsidR="00556A53">
        <w:rPr>
          <w:b/>
        </w:rPr>
        <w:t xml:space="preserve">osteoporosis </w:t>
      </w:r>
      <w:r w:rsidR="00556A53" w:rsidRPr="001D4A77">
        <w:rPr>
          <w:b/>
        </w:rPr>
        <w:t xml:space="preserve">therapy by year of </w:t>
      </w:r>
      <w:r w:rsidR="00556A53">
        <w:rPr>
          <w:b/>
        </w:rPr>
        <w:t>initiation</w:t>
      </w:r>
      <w:r w:rsidR="00556A53">
        <w:rPr>
          <w:b/>
        </w:rPr>
        <w:br/>
      </w:r>
      <w:r w:rsidR="00556A53" w:rsidRPr="00556A53">
        <w:rPr>
          <w:sz w:val="20"/>
          <w:szCs w:val="20"/>
        </w:rPr>
        <w:t xml:space="preserve">Note: re-initiators </w:t>
      </w:r>
      <w:r w:rsidR="00556A53">
        <w:rPr>
          <w:sz w:val="20"/>
          <w:szCs w:val="20"/>
        </w:rPr>
        <w:t>had</w:t>
      </w:r>
      <w:r w:rsidR="00556A53" w:rsidRPr="00556A53">
        <w:rPr>
          <w:sz w:val="20"/>
          <w:szCs w:val="20"/>
        </w:rPr>
        <w:t xml:space="preserve"> previously initiated therapy, had a gap of at least 24 months in script supply and are counted in the year of re-initiation.</w:t>
      </w:r>
    </w:p>
    <w:p w:rsidR="000F433A" w:rsidRDefault="00294383" w:rsidP="000915F5">
      <w:r>
        <w:t>T</w:t>
      </w:r>
      <w:r w:rsidR="00C110EC">
        <w:t xml:space="preserve">he number of patients </w:t>
      </w:r>
      <w:r w:rsidR="00C110EC" w:rsidRPr="000666EB">
        <w:t>initiating</w:t>
      </w:r>
      <w:r w:rsidR="00C110EC">
        <w:t xml:space="preserve"> therapy declin</w:t>
      </w:r>
      <w:r>
        <w:t xml:space="preserve">ed between 2007 and 2010 and then remained stable until 2014. </w:t>
      </w:r>
      <w:r w:rsidR="000F433A">
        <w:t xml:space="preserve"> In 2015 the initiating patient numbers have increased slightly (ie. from 67,092 in 2014 to 72,132 in 2015, an increase of 7.5%).</w:t>
      </w:r>
    </w:p>
    <w:p w:rsidR="000F433A" w:rsidRDefault="00294383" w:rsidP="000915F5">
      <w:r>
        <w:t xml:space="preserve">Similarly, </w:t>
      </w:r>
      <w:r w:rsidR="000F433A">
        <w:t>prevalent</w:t>
      </w:r>
      <w:r>
        <w:t xml:space="preserve"> patients</w:t>
      </w:r>
      <w:r w:rsidR="002E688D">
        <w:t xml:space="preserve"> </w:t>
      </w:r>
      <w:r w:rsidR="000F433A">
        <w:t>were increasing strongly up until 2007, after which the numbers plateaued until 20</w:t>
      </w:r>
      <w:r w:rsidR="00B61477">
        <w:t>10</w:t>
      </w:r>
      <w:r w:rsidR="000F433A">
        <w:t xml:space="preserve">. </w:t>
      </w:r>
      <w:r w:rsidR="00D77AC8">
        <w:t>After th</w:t>
      </w:r>
      <w:r w:rsidR="000B5D26">
        <w:t xml:space="preserve">is </w:t>
      </w:r>
      <w:r w:rsidR="000F433A">
        <w:t>the prevalent patients started increasing slowly and then more rapidly between 2014 and 2015.</w:t>
      </w:r>
    </w:p>
    <w:p w:rsidR="00294383" w:rsidRDefault="00294383" w:rsidP="000915F5">
      <w:r>
        <w:t>Figure 1 also shows an increasing number of patients who have had a break in treatment for at least 2 years and have returned to treatment. In 2015 there were 21,346 people who recommenced osteoporosis medicines.</w:t>
      </w:r>
      <w:r w:rsidR="00F80C91">
        <w:t xml:space="preserve"> </w:t>
      </w:r>
    </w:p>
    <w:p w:rsidR="006B0EBB" w:rsidRDefault="006B0EBB" w:rsidP="000915F5">
      <w:r>
        <w:t xml:space="preserve">The patient counts in Figure 1 can be converted to treatment rates (patients per 1,000 population) to adjust for the effect of an increasing population, and these rates can be age adjusted to </w:t>
      </w:r>
      <w:r w:rsidR="00C471AA">
        <w:t xml:space="preserve">correct </w:t>
      </w:r>
      <w:r>
        <w:t xml:space="preserve">for the effect of an ageing population. These </w:t>
      </w:r>
      <w:r w:rsidR="000666EB">
        <w:t xml:space="preserve">rates </w:t>
      </w:r>
      <w:r>
        <w:t>are shown in Figure</w:t>
      </w:r>
      <w:r w:rsidR="00F80C91">
        <w:t> </w:t>
      </w:r>
      <w:r>
        <w:t>1b.</w:t>
      </w:r>
    </w:p>
    <w:p w:rsidR="00C471AA" w:rsidRPr="00972217" w:rsidRDefault="006B0EBB" w:rsidP="00C471AA">
      <w:r w:rsidRPr="006B0EBB">
        <w:rPr>
          <w:noProof/>
        </w:rPr>
        <w:t xml:space="preserve"> </w:t>
      </w:r>
      <w:r>
        <w:rPr>
          <w:noProof/>
        </w:rPr>
        <w:drawing>
          <wp:inline distT="0" distB="0" distL="0" distR="0" wp14:anchorId="49A1FBA3" wp14:editId="663F656B">
            <wp:extent cx="5687695" cy="3716447"/>
            <wp:effectExtent l="0" t="0" r="27305" b="17780"/>
            <wp:docPr id="25" name="Chart 25" title="Figure 1b: Patients initiating and prevalent to osteoporosis treatment rates (per 1000 population), raw and age adjust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D4A77">
        <w:rPr>
          <w:b/>
        </w:rPr>
        <w:t>Figure 1</w:t>
      </w:r>
      <w:r>
        <w:rPr>
          <w:b/>
        </w:rPr>
        <w:t>b:</w:t>
      </w:r>
      <w:r w:rsidRPr="001D4A77">
        <w:rPr>
          <w:b/>
        </w:rPr>
        <w:t xml:space="preserve"> Patients </w:t>
      </w:r>
      <w:r w:rsidR="00C471AA">
        <w:rPr>
          <w:b/>
        </w:rPr>
        <w:t xml:space="preserve">initiating and prevalent to osteoporosis </w:t>
      </w:r>
      <w:r>
        <w:rPr>
          <w:b/>
        </w:rPr>
        <w:t>treatment rates (per 1000 population)</w:t>
      </w:r>
      <w:r w:rsidR="00C471AA">
        <w:rPr>
          <w:b/>
        </w:rPr>
        <w:t xml:space="preserve">, raw and age adjusted. </w:t>
      </w:r>
      <w:r w:rsidR="00C471AA">
        <w:rPr>
          <w:b/>
        </w:rPr>
        <w:br/>
      </w:r>
      <w:r w:rsidR="00C471AA">
        <w:rPr>
          <w:sz w:val="20"/>
        </w:rPr>
        <w:t>Note: The age adjusted rates use the Direct Method</w:t>
      </w:r>
      <w:r w:rsidR="00C471AA">
        <w:rPr>
          <w:rStyle w:val="FootnoteReference"/>
          <w:sz w:val="20"/>
        </w:rPr>
        <w:footnoteReference w:id="16"/>
      </w:r>
      <w:r w:rsidR="00C471AA">
        <w:rPr>
          <w:sz w:val="20"/>
        </w:rPr>
        <w:t xml:space="preserve"> and are based on the Australian age distribution of the ABS Estimated Residential Population in the reference year 2011.</w:t>
      </w:r>
    </w:p>
    <w:p w:rsidR="003E63B5" w:rsidRDefault="00580EAB" w:rsidP="000915F5">
      <w:r>
        <w:t xml:space="preserve">Figure 1b shows that </w:t>
      </w:r>
      <w:r w:rsidR="00C471AA">
        <w:t xml:space="preserve">prevalent </w:t>
      </w:r>
      <w:r>
        <w:t>treatment rate</w:t>
      </w:r>
      <w:r w:rsidR="00C471AA">
        <w:t>s</w:t>
      </w:r>
      <w:r>
        <w:t xml:space="preserve"> (</w:t>
      </w:r>
      <w:r w:rsidR="00C471AA">
        <w:t xml:space="preserve">both </w:t>
      </w:r>
      <w:r>
        <w:t>raw</w:t>
      </w:r>
      <w:r w:rsidR="00C471AA">
        <w:t xml:space="preserve"> and age adjusted</w:t>
      </w:r>
      <w:r>
        <w:t>) decreas</w:t>
      </w:r>
      <w:r w:rsidR="00F80C91">
        <w:t>ed</w:t>
      </w:r>
      <w:r>
        <w:t xml:space="preserve"> between 2007 </w:t>
      </w:r>
      <w:r w:rsidR="00F80C91">
        <w:t>and</w:t>
      </w:r>
      <w:r>
        <w:t xml:space="preserve"> 2014</w:t>
      </w:r>
      <w:r w:rsidR="00C471AA">
        <w:t xml:space="preserve">. </w:t>
      </w:r>
      <w:r w:rsidR="003C7187">
        <w:t>The peak treatment rate was 22.0 patients per 1,000 population (or 2.20% of the population)</w:t>
      </w:r>
      <w:r w:rsidR="00D6680F">
        <w:t xml:space="preserve"> in 2007</w:t>
      </w:r>
      <w:r w:rsidR="003C7187">
        <w:t xml:space="preserve"> and the trough in 2014 was 18.7 (or 1.87%</w:t>
      </w:r>
      <w:r w:rsidR="000666EB">
        <w:t xml:space="preserve"> of the population</w:t>
      </w:r>
      <w:r w:rsidR="003C7187">
        <w:t>). This was a decline of 15% over 7 years.</w:t>
      </w:r>
    </w:p>
    <w:p w:rsidR="006B0EBB" w:rsidRDefault="00D6680F" w:rsidP="000915F5">
      <w:r>
        <w:t xml:space="preserve">The increasing number of </w:t>
      </w:r>
      <w:r w:rsidR="00181B5F">
        <w:t xml:space="preserve">prevalent </w:t>
      </w:r>
      <w:r>
        <w:t>patients treated in 2015 (Figure 1</w:t>
      </w:r>
      <w:r w:rsidR="00181B5F">
        <w:t>, 3.4% increase</w:t>
      </w:r>
      <w:r>
        <w:t xml:space="preserve">) </w:t>
      </w:r>
      <w:r w:rsidR="00181B5F">
        <w:t>only</w:t>
      </w:r>
      <w:r w:rsidR="00632FD4">
        <w:t xml:space="preserve"> </w:t>
      </w:r>
      <w:r>
        <w:t>translate</w:t>
      </w:r>
      <w:r w:rsidR="00181B5F">
        <w:t>s</w:t>
      </w:r>
      <w:r>
        <w:t xml:space="preserve"> to a </w:t>
      </w:r>
      <w:r w:rsidR="00181B5F">
        <w:t xml:space="preserve">0.5% </w:t>
      </w:r>
      <w:r>
        <w:t xml:space="preserve">higher treatment rate </w:t>
      </w:r>
      <w:r w:rsidR="004865E7">
        <w:t>after adjustment</w:t>
      </w:r>
      <w:r w:rsidR="001F7C8D">
        <w:t>s</w:t>
      </w:r>
      <w:r w:rsidR="004865E7">
        <w:t xml:space="preserve"> for the change in the size and age distribution of the population over time.</w:t>
      </w:r>
    </w:p>
    <w:p w:rsidR="00D6680F" w:rsidRDefault="00D6680F" w:rsidP="000915F5">
      <w:r>
        <w:t>Figure 2 shows that the choice of first osteoporosis medicine</w:t>
      </w:r>
      <w:r w:rsidR="00632FD4">
        <w:t xml:space="preserve"> prescribed</w:t>
      </w:r>
      <w:r>
        <w:t xml:space="preserve"> has changed over time. </w:t>
      </w:r>
    </w:p>
    <w:p w:rsidR="00D04690" w:rsidRDefault="003E63B5" w:rsidP="000915F5">
      <w:r>
        <w:rPr>
          <w:noProof/>
        </w:rPr>
        <w:drawing>
          <wp:inline distT="0" distB="0" distL="0" distR="0" wp14:anchorId="2922A578" wp14:editId="3132C024">
            <wp:extent cx="5687695" cy="3703686"/>
            <wp:effectExtent l="0" t="0" r="27305" b="11430"/>
            <wp:docPr id="11" name="Chart 11" title="Figure 2: Patients initiating osteoporosis therapy by drug at initi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04690" w:rsidRPr="001D4A77">
        <w:rPr>
          <w:b/>
        </w:rPr>
        <w:t xml:space="preserve">Figure </w:t>
      </w:r>
      <w:r w:rsidR="00D04690">
        <w:rPr>
          <w:b/>
        </w:rPr>
        <w:t>2:</w:t>
      </w:r>
      <w:r w:rsidR="00D04690" w:rsidRPr="001D4A77">
        <w:rPr>
          <w:b/>
        </w:rPr>
        <w:t xml:space="preserve"> Patients initiating </w:t>
      </w:r>
      <w:r w:rsidR="00D04690">
        <w:rPr>
          <w:b/>
        </w:rPr>
        <w:t xml:space="preserve">osteoporosis </w:t>
      </w:r>
      <w:r w:rsidR="00D04690" w:rsidRPr="001D4A77">
        <w:rPr>
          <w:b/>
        </w:rPr>
        <w:t xml:space="preserve">therapy by </w:t>
      </w:r>
      <w:r w:rsidR="00D04690">
        <w:rPr>
          <w:b/>
        </w:rPr>
        <w:t>drug at initiation</w:t>
      </w:r>
    </w:p>
    <w:p w:rsidR="004624BE" w:rsidRDefault="009E4A26" w:rsidP="000915F5">
      <w:r>
        <w:t xml:space="preserve">The oral bisphosphonates were the most commonly prescribed medicines until 2013. </w:t>
      </w:r>
      <w:r w:rsidR="00632FD4">
        <w:t xml:space="preserve">Prescribing of </w:t>
      </w:r>
      <w:r w:rsidR="002E688D">
        <w:t xml:space="preserve">oral </w:t>
      </w:r>
      <w:r w:rsidR="00632FD4">
        <w:t>bisphosphonate</w:t>
      </w:r>
      <w:r w:rsidR="002E688D">
        <w:t xml:space="preserve">s </w:t>
      </w:r>
      <w:r w:rsidR="004624BE">
        <w:t>in</w:t>
      </w:r>
      <w:r w:rsidR="00632FD4">
        <w:t xml:space="preserve"> combination with calcium and/or colecalciferol </w:t>
      </w:r>
      <w:r w:rsidR="00340893">
        <w:t>h</w:t>
      </w:r>
      <w:r w:rsidR="00632FD4">
        <w:t>as varied over time with a trend to</w:t>
      </w:r>
      <w:r w:rsidR="002E688D">
        <w:t>ward</w:t>
      </w:r>
      <w:r w:rsidR="00632FD4">
        <w:t xml:space="preserve"> a lower proportion </w:t>
      </w:r>
      <w:r w:rsidR="00340893">
        <w:t xml:space="preserve">of people </w:t>
      </w:r>
      <w:r w:rsidR="00632FD4">
        <w:t xml:space="preserve">prescribed the </w:t>
      </w:r>
      <w:r w:rsidR="002E688D">
        <w:t xml:space="preserve">PBS listed </w:t>
      </w:r>
      <w:r w:rsidR="00632FD4">
        <w:t xml:space="preserve">combination items </w:t>
      </w:r>
      <w:r w:rsidR="00340893">
        <w:t xml:space="preserve">between 2010 and 2015 </w:t>
      </w:r>
      <w:r w:rsidR="00632FD4">
        <w:t xml:space="preserve">(data not shown). </w:t>
      </w:r>
      <w:r w:rsidR="004624BE">
        <w:t>F</w:t>
      </w:r>
      <w:r w:rsidR="00340893">
        <w:t>urther</w:t>
      </w:r>
      <w:r w:rsidR="004624BE">
        <w:t xml:space="preserve"> assessment of </w:t>
      </w:r>
      <w:r w:rsidR="00ED09CF">
        <w:t xml:space="preserve">combination prescribing is not presented because calcium and colecalciferol can be purchased over the counter </w:t>
      </w:r>
      <w:r w:rsidR="002E688D">
        <w:t>and this</w:t>
      </w:r>
      <w:r w:rsidR="00ED09CF">
        <w:t xml:space="preserve"> use</w:t>
      </w:r>
      <w:r w:rsidR="002E688D">
        <w:t xml:space="preserve"> is</w:t>
      </w:r>
      <w:r w:rsidR="00ED09CF">
        <w:t xml:space="preserve"> not captured the PBS dataset</w:t>
      </w:r>
      <w:r w:rsidR="00AE7CD1">
        <w:t>,</w:t>
      </w:r>
      <w:r w:rsidR="00ED09CF">
        <w:t xml:space="preserve"> and because some patients prescribed combination items through the PBS may not take all components</w:t>
      </w:r>
      <w:r w:rsidR="00AB6494">
        <w:t xml:space="preserve"> </w:t>
      </w:r>
      <w:r w:rsidR="00200720">
        <w:t>of the</w:t>
      </w:r>
      <w:r w:rsidR="00AB6494">
        <w:t xml:space="preserve"> co-pack</w:t>
      </w:r>
      <w:r w:rsidR="00200720">
        <w:t>aged medicines</w:t>
      </w:r>
      <w:r w:rsidR="00ED09CF">
        <w:t xml:space="preserve">. </w:t>
      </w:r>
      <w:r w:rsidR="00340893">
        <w:t xml:space="preserve">  </w:t>
      </w:r>
      <w:r w:rsidR="00632FD4">
        <w:t xml:space="preserve">  </w:t>
      </w:r>
      <w:r>
        <w:t xml:space="preserve"> </w:t>
      </w:r>
    </w:p>
    <w:p w:rsidR="0015113A" w:rsidRDefault="0015113A" w:rsidP="0015113A">
      <w:r>
        <w:t xml:space="preserve">Use of zoledronic acid has been low and stable with some decline in use in 2015. Raloxifene is infrequently prescribed. Teriparatide, restricted to patients at very high risk who have had multiple prior fractures including at least one which occurred after at least 12 months of continuous therapy with an anti-resorptive agent is rarely the first </w:t>
      </w:r>
      <w:r w:rsidR="00D30983">
        <w:t xml:space="preserve">PBS </w:t>
      </w:r>
      <w:r>
        <w:t xml:space="preserve">prescribed medicine.  </w:t>
      </w:r>
    </w:p>
    <w:p w:rsidR="0015113A" w:rsidRDefault="0015113A" w:rsidP="0015113A">
      <w:r>
        <w:t>The number of patients starting treatment with strontium declined rapidly following</w:t>
      </w:r>
      <w:r w:rsidRPr="002E688D">
        <w:t xml:space="preserve"> </w:t>
      </w:r>
      <w:r>
        <w:t xml:space="preserve">a change in the registered indication and PBS restriction in 2014 to specify use in </w:t>
      </w:r>
      <w:r w:rsidRPr="002E688D">
        <w:t xml:space="preserve">patients </w:t>
      </w:r>
      <w:r>
        <w:t xml:space="preserve">with severe established osteoporosis with </w:t>
      </w:r>
      <w:r w:rsidRPr="002E688D">
        <w:t>intoleran</w:t>
      </w:r>
      <w:r>
        <w:t>ce</w:t>
      </w:r>
      <w:r w:rsidRPr="002E688D">
        <w:t xml:space="preserve"> or contraindications to other treatments</w:t>
      </w:r>
      <w:r>
        <w:t xml:space="preserve">. The change was made due to </w:t>
      </w:r>
      <w:r w:rsidRPr="002E688D">
        <w:t>safety concerns around the risk of cardiovascular events and venous thrombosis associated with strontium</w:t>
      </w:r>
      <w:r>
        <w:t>.</w:t>
      </w:r>
    </w:p>
    <w:p w:rsidR="004624BE" w:rsidRDefault="00632FD4" w:rsidP="000915F5">
      <w:r>
        <w:t>Denosumab use increased gradually in the first two years of listing and then much more rapidly from 2013 to 2015.</w:t>
      </w:r>
      <w:r w:rsidRPr="00632FD4">
        <w:t xml:space="preserve"> </w:t>
      </w:r>
      <w:r>
        <w:t xml:space="preserve">Denosumab became the most </w:t>
      </w:r>
      <w:r w:rsidRPr="00632FD4">
        <w:t>frequent</w:t>
      </w:r>
      <w:r w:rsidR="004624BE">
        <w:t xml:space="preserve">ly prescribed medicine for patients </w:t>
      </w:r>
      <w:r w:rsidR="00ED09CF">
        <w:t>initiating</w:t>
      </w:r>
      <w:r w:rsidR="004624BE">
        <w:t xml:space="preserve"> osteoporosis therapy </w:t>
      </w:r>
      <w:r w:rsidRPr="00632FD4">
        <w:t>in 2014</w:t>
      </w:r>
      <w:r w:rsidR="004624BE">
        <w:t>.</w:t>
      </w:r>
      <w:r w:rsidR="00DD69C1">
        <w:t xml:space="preserve"> The strong uptake of denosumab has </w:t>
      </w:r>
      <w:r w:rsidR="00DB3CBA">
        <w:t>driven</w:t>
      </w:r>
      <w:r w:rsidR="00DD69C1">
        <w:t xml:space="preserve"> a major change in the prescribing pattern of osteoporosis medicines</w:t>
      </w:r>
      <w:r w:rsidR="00DB3CBA">
        <w:t xml:space="preserve"> with injection becoming the most common mode of treatment for patients starting osteoporosis treatment in 2015 (see Figure </w:t>
      </w:r>
      <w:r w:rsidR="0015113A">
        <w:t>3</w:t>
      </w:r>
      <w:r w:rsidR="00DB3CBA">
        <w:t>).</w:t>
      </w:r>
      <w:r w:rsidR="00DD69C1">
        <w:t xml:space="preserve"> </w:t>
      </w:r>
    </w:p>
    <w:p w:rsidR="0015113A" w:rsidRPr="00CF0F68" w:rsidRDefault="0015113A" w:rsidP="0015113A">
      <w:pPr>
        <w:rPr>
          <w:sz w:val="20"/>
        </w:rPr>
      </w:pPr>
      <w:r>
        <w:rPr>
          <w:noProof/>
        </w:rPr>
        <w:drawing>
          <wp:inline distT="0" distB="0" distL="0" distR="0" wp14:anchorId="0301ECDD" wp14:editId="7BE88E35">
            <wp:extent cx="5687695" cy="3703686"/>
            <wp:effectExtent l="0" t="0" r="27305" b="11430"/>
            <wp:docPr id="2" name="Chart 2" title="Figure 3: Patients initiating osteoporosis therapy by drug mode of administration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D4A77">
        <w:rPr>
          <w:b/>
        </w:rPr>
        <w:t xml:space="preserve">Figure </w:t>
      </w:r>
      <w:r>
        <w:rPr>
          <w:b/>
        </w:rPr>
        <w:t>3:</w:t>
      </w:r>
      <w:r w:rsidRPr="001D4A77">
        <w:rPr>
          <w:b/>
        </w:rPr>
        <w:t xml:space="preserve"> Patients initiating </w:t>
      </w:r>
      <w:r>
        <w:rPr>
          <w:b/>
        </w:rPr>
        <w:t xml:space="preserve">osteoporosis </w:t>
      </w:r>
      <w:r w:rsidRPr="001D4A77">
        <w:rPr>
          <w:b/>
        </w:rPr>
        <w:t xml:space="preserve">therapy by </w:t>
      </w:r>
      <w:r>
        <w:rPr>
          <w:b/>
        </w:rPr>
        <w:t xml:space="preserve">drug mode of administration </w:t>
      </w:r>
      <w:r>
        <w:rPr>
          <w:b/>
        </w:rPr>
        <w:br/>
      </w:r>
      <w:r w:rsidRPr="00CF0F68">
        <w:rPr>
          <w:sz w:val="20"/>
        </w:rPr>
        <w:t>Note: IV infusion = zoledronic acid,</w:t>
      </w:r>
      <w:r w:rsidR="00D30983">
        <w:rPr>
          <w:sz w:val="20"/>
        </w:rPr>
        <w:t xml:space="preserve"> subcutaneous </w:t>
      </w:r>
      <w:r>
        <w:rPr>
          <w:sz w:val="20"/>
        </w:rPr>
        <w:t>injection = denosumab and teriparatide, oral</w:t>
      </w:r>
      <w:r w:rsidR="00D30983">
        <w:rPr>
          <w:sz w:val="20"/>
        </w:rPr>
        <w:t xml:space="preserve"> </w:t>
      </w:r>
      <w:r>
        <w:rPr>
          <w:sz w:val="20"/>
        </w:rPr>
        <w:t>=</w:t>
      </w:r>
      <w:r w:rsidR="00D30983">
        <w:rPr>
          <w:sz w:val="20"/>
        </w:rPr>
        <w:t> </w:t>
      </w:r>
      <w:r>
        <w:rPr>
          <w:sz w:val="20"/>
        </w:rPr>
        <w:t>all other drugs</w:t>
      </w:r>
    </w:p>
    <w:p w:rsidR="003362E7" w:rsidRDefault="003362E7" w:rsidP="003362E7">
      <w:pPr>
        <w:rPr>
          <w:b/>
          <w:i/>
          <w:szCs w:val="28"/>
        </w:rPr>
      </w:pPr>
      <w:r>
        <w:rPr>
          <w:b/>
          <w:i/>
          <w:szCs w:val="28"/>
        </w:rPr>
        <w:t>Initiation to o</w:t>
      </w:r>
      <w:r w:rsidRPr="00F966F2">
        <w:rPr>
          <w:b/>
          <w:i/>
          <w:szCs w:val="28"/>
        </w:rPr>
        <w:t xml:space="preserve">steoporosis </w:t>
      </w:r>
      <w:r>
        <w:rPr>
          <w:b/>
          <w:i/>
          <w:szCs w:val="28"/>
        </w:rPr>
        <w:t>drugs</w:t>
      </w:r>
    </w:p>
    <w:p w:rsidR="003362E7" w:rsidRPr="00FD26BE" w:rsidRDefault="003362E7" w:rsidP="003362E7">
      <w:r w:rsidRPr="00FD26BE">
        <w:t xml:space="preserve">Figure </w:t>
      </w:r>
      <w:r w:rsidR="0015113A">
        <w:t xml:space="preserve">4 </w:t>
      </w:r>
      <w:r>
        <w:t xml:space="preserve">presents the number of initiations to each medicine each year. The difference between the number of initiations to each drug (Figure </w:t>
      </w:r>
      <w:r w:rsidR="0015113A">
        <w:t>4</w:t>
      </w:r>
      <w:r>
        <w:t xml:space="preserve">) and the number of patients starting osteoporosis treatment for the first time by drug (Figure 2) indicates the extent of </w:t>
      </w:r>
      <w:r w:rsidRPr="00FD26BE">
        <w:t>switching between medicines (ie. the number of patients who were not initiating therapy when they initiated the medicine).</w:t>
      </w:r>
    </w:p>
    <w:p w:rsidR="003362E7" w:rsidRDefault="003362E7" w:rsidP="003362E7">
      <w:pPr>
        <w:rPr>
          <w:sz w:val="28"/>
        </w:rPr>
      </w:pPr>
      <w:r>
        <w:rPr>
          <w:noProof/>
        </w:rPr>
        <w:drawing>
          <wp:inline distT="0" distB="0" distL="0" distR="0" wp14:anchorId="23A482BD" wp14:editId="79386440">
            <wp:extent cx="5687695" cy="3717662"/>
            <wp:effectExtent l="0" t="0" r="27305" b="16510"/>
            <wp:docPr id="18" name="Chart 18" title="Figure 4: Patients initiating osteoporosis drug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D4A77">
        <w:rPr>
          <w:b/>
        </w:rPr>
        <w:t xml:space="preserve">Figure </w:t>
      </w:r>
      <w:r w:rsidR="0015113A">
        <w:rPr>
          <w:b/>
        </w:rPr>
        <w:t>4</w:t>
      </w:r>
      <w:r>
        <w:rPr>
          <w:b/>
        </w:rPr>
        <w:t>:</w:t>
      </w:r>
      <w:r w:rsidRPr="001D4A77">
        <w:rPr>
          <w:b/>
        </w:rPr>
        <w:t xml:space="preserve"> Patients initiating </w:t>
      </w:r>
      <w:r>
        <w:rPr>
          <w:b/>
        </w:rPr>
        <w:t>osteoporosis drugs</w:t>
      </w:r>
      <w:r>
        <w:rPr>
          <w:sz w:val="28"/>
        </w:rPr>
        <w:t xml:space="preserve"> </w:t>
      </w:r>
    </w:p>
    <w:p w:rsidR="003362E7" w:rsidRDefault="003362E7" w:rsidP="003362E7">
      <w:r w:rsidRPr="00C438C4">
        <w:t>Comparin</w:t>
      </w:r>
      <w:r>
        <w:t xml:space="preserve">g Figure </w:t>
      </w:r>
      <w:r w:rsidR="0015113A">
        <w:t>4</w:t>
      </w:r>
      <w:r>
        <w:t xml:space="preserve"> with Figure 2 shows that there are many more patients initiating denosumab in 2015 (82,563) than initiating osteoporosis therapy on denosumab (35,260). This indicates that 82,563 - 35,260 = 47,303 patients (57.3%) had previously been treated with at least one other drug before initiating denosumab in 2015.</w:t>
      </w:r>
    </w:p>
    <w:p w:rsidR="003362E7" w:rsidRDefault="003362E7" w:rsidP="003362E7">
      <w:r>
        <w:t>For people starting on oral bisphosphonates (plain or combination) the majority (80%) were new to osteoporosis therapy with a smaller proportion switching from another drug. In comparison 57% of people starting zoledronic acid and 45% of people starting strontium in 2015 had received previous osteoporosis therapy. As expected, the vast majority of initiations to teriparatide were in treatment experienced patients.</w:t>
      </w:r>
    </w:p>
    <w:p w:rsidR="00F20E20" w:rsidRDefault="00F20E20" w:rsidP="00F20E20">
      <w:pPr>
        <w:rPr>
          <w:b/>
          <w:i/>
          <w:szCs w:val="28"/>
        </w:rPr>
      </w:pPr>
      <w:r>
        <w:rPr>
          <w:b/>
          <w:i/>
          <w:szCs w:val="28"/>
        </w:rPr>
        <w:t>Prevalence to o</w:t>
      </w:r>
      <w:r w:rsidRPr="00F966F2">
        <w:rPr>
          <w:b/>
          <w:i/>
          <w:szCs w:val="28"/>
        </w:rPr>
        <w:t xml:space="preserve">steoporosis </w:t>
      </w:r>
      <w:r>
        <w:rPr>
          <w:b/>
          <w:i/>
          <w:szCs w:val="28"/>
        </w:rPr>
        <w:t>drugs</w:t>
      </w:r>
    </w:p>
    <w:p w:rsidR="000A7638" w:rsidRPr="00AA167C" w:rsidRDefault="00F20E20" w:rsidP="00AA167C">
      <w:r>
        <w:t>Figure 5 shows the number of people treated with each osteoporosis medicine</w:t>
      </w:r>
      <w:r w:rsidR="00F54FD5">
        <w:t xml:space="preserve"> annually</w:t>
      </w:r>
      <w:r>
        <w:t>.</w:t>
      </w:r>
      <w:r w:rsidRPr="00F20E20">
        <w:t xml:space="preserve"> </w:t>
      </w:r>
      <w:r w:rsidR="00D85BCE">
        <w:t>A</w:t>
      </w:r>
      <w:r w:rsidRPr="00F20E20">
        <w:t xml:space="preserve"> patient may be counted in more than one medicine in a calendar year if they switched treatment or were co administered two medicines</w:t>
      </w:r>
      <w:r w:rsidR="00D85BCE">
        <w:t>.</w:t>
      </w:r>
    </w:p>
    <w:p w:rsidR="005F448A" w:rsidRPr="005F448A" w:rsidRDefault="003362E7" w:rsidP="003362E7">
      <w:pPr>
        <w:rPr>
          <w:sz w:val="20"/>
        </w:rPr>
      </w:pPr>
      <w:r>
        <w:rPr>
          <w:noProof/>
        </w:rPr>
        <w:drawing>
          <wp:inline distT="0" distB="0" distL="0" distR="0" wp14:anchorId="036AD20E" wp14:editId="34091EA8">
            <wp:extent cx="5687695" cy="3704294"/>
            <wp:effectExtent l="0" t="0" r="27305" b="10795"/>
            <wp:docPr id="20" name="Chart 20" title="Figure 5: Patients prevalent to osteoporosis drug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D4A77">
        <w:rPr>
          <w:b/>
        </w:rPr>
        <w:t xml:space="preserve">Figure </w:t>
      </w:r>
      <w:r w:rsidR="00F20E20">
        <w:rPr>
          <w:b/>
        </w:rPr>
        <w:t>5</w:t>
      </w:r>
      <w:r>
        <w:rPr>
          <w:b/>
        </w:rPr>
        <w:t>:</w:t>
      </w:r>
      <w:r w:rsidRPr="001D4A77">
        <w:rPr>
          <w:b/>
        </w:rPr>
        <w:t xml:space="preserve"> Patients </w:t>
      </w:r>
      <w:r>
        <w:rPr>
          <w:b/>
        </w:rPr>
        <w:t>prevalent to osteoporosis drugs</w:t>
      </w:r>
      <w:r w:rsidR="005F448A">
        <w:rPr>
          <w:b/>
        </w:rPr>
        <w:br/>
      </w:r>
      <w:r w:rsidR="005F448A" w:rsidRPr="005F448A">
        <w:rPr>
          <w:sz w:val="20"/>
        </w:rPr>
        <w:t>Note: prevalence data starts 2 years prior to incidence data.</w:t>
      </w:r>
    </w:p>
    <w:p w:rsidR="003362E7" w:rsidRDefault="003362E7" w:rsidP="003362E7">
      <w:r>
        <w:t xml:space="preserve">Figure </w:t>
      </w:r>
      <w:r w:rsidR="00F20E20">
        <w:t>5</w:t>
      </w:r>
      <w:r>
        <w:t xml:space="preserve"> shows that denosumab became the drug with the most prevalent patients in 2015. This was a result of strong growth in the number of denosumab patients and a strong decline in the number of patients on alendronate, risedronate and strontium. There were also moderate declines in the number of </w:t>
      </w:r>
      <w:r w:rsidR="00005DE5">
        <w:t>zoledronic</w:t>
      </w:r>
      <w:r>
        <w:t xml:space="preserve"> acid and raloxifene patients, whilst the number of calcitriol patients has been relatively constant over the past few years.</w:t>
      </w:r>
    </w:p>
    <w:p w:rsidR="009A56EC" w:rsidRDefault="009A56EC">
      <w:pPr>
        <w:spacing w:line="276" w:lineRule="auto"/>
        <w:rPr>
          <w:b/>
          <w:i/>
          <w:szCs w:val="28"/>
        </w:rPr>
      </w:pPr>
      <w:r>
        <w:rPr>
          <w:b/>
          <w:i/>
          <w:szCs w:val="28"/>
        </w:rPr>
        <w:br w:type="page"/>
      </w:r>
    </w:p>
    <w:p w:rsidR="00F54FD5" w:rsidRDefault="00F54FD5" w:rsidP="003362E7">
      <w:pPr>
        <w:rPr>
          <w:b/>
          <w:i/>
          <w:szCs w:val="28"/>
        </w:rPr>
      </w:pPr>
      <w:r w:rsidRPr="00D53105">
        <w:rPr>
          <w:b/>
          <w:i/>
          <w:szCs w:val="28"/>
        </w:rPr>
        <w:t>Age and gender analysis</w:t>
      </w:r>
    </w:p>
    <w:p w:rsidR="00F54FD5" w:rsidRPr="00D53105" w:rsidRDefault="00F54FD5" w:rsidP="00D53105">
      <w:r w:rsidRPr="00D53105">
        <w:t xml:space="preserve">Osteoporosis is more prevalent in women than men, with an estimated prevalence ratio in </w:t>
      </w:r>
      <w:r w:rsidRPr="004941D7">
        <w:t>Australia of 3.8:1 for people over 50 years (</w:t>
      </w:r>
      <w:r w:rsidR="00F23A3A" w:rsidRPr="004941D7">
        <w:t>6% of men and 23% of women</w:t>
      </w:r>
      <w:r w:rsidR="00F23A3A" w:rsidRPr="004941D7">
        <w:rPr>
          <w:vertAlign w:val="superscript"/>
        </w:rPr>
        <w:footnoteReference w:id="17"/>
      </w:r>
      <w:r w:rsidRPr="004941D7">
        <w:t>). Figure 6</w:t>
      </w:r>
      <w:r>
        <w:t xml:space="preserve"> shows the prevalence of men and women treated with osteoporosis medicines.</w:t>
      </w:r>
      <w:r w:rsidRPr="00D53105">
        <w:t xml:space="preserve"> </w:t>
      </w:r>
    </w:p>
    <w:p w:rsidR="00F54FD5" w:rsidRPr="00D53105" w:rsidRDefault="00F54FD5" w:rsidP="003362E7">
      <w:pPr>
        <w:rPr>
          <w:b/>
          <w:i/>
          <w:szCs w:val="28"/>
        </w:rPr>
      </w:pPr>
    </w:p>
    <w:p w:rsidR="00E86FE0" w:rsidRDefault="00E86FE0" w:rsidP="000915F5">
      <w:r>
        <w:rPr>
          <w:noProof/>
        </w:rPr>
        <w:drawing>
          <wp:inline distT="0" distB="0" distL="0" distR="0" wp14:anchorId="5CE9D604" wp14:editId="11C44022">
            <wp:extent cx="5687695" cy="3703686"/>
            <wp:effectExtent l="0" t="0" r="27305" b="11430"/>
            <wp:docPr id="9" name="Chart 9" title=" Figure 6: Patients prevalent to osteoporosis therapy by gend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C3569F" w:rsidRPr="00C3569F">
        <w:rPr>
          <w:b/>
        </w:rPr>
        <w:t xml:space="preserve"> </w:t>
      </w:r>
      <w:r w:rsidR="00C3569F" w:rsidRPr="001D4A77">
        <w:rPr>
          <w:b/>
        </w:rPr>
        <w:t xml:space="preserve">Figure </w:t>
      </w:r>
      <w:r w:rsidR="000A7638">
        <w:rPr>
          <w:b/>
        </w:rPr>
        <w:t>6</w:t>
      </w:r>
      <w:r w:rsidR="00C3569F">
        <w:rPr>
          <w:b/>
        </w:rPr>
        <w:t>:</w:t>
      </w:r>
      <w:r w:rsidR="00C3569F" w:rsidRPr="001D4A77">
        <w:rPr>
          <w:b/>
        </w:rPr>
        <w:t xml:space="preserve"> Patients </w:t>
      </w:r>
      <w:r w:rsidR="00C3569F">
        <w:rPr>
          <w:b/>
        </w:rPr>
        <w:t xml:space="preserve">prevalent to osteoporosis </w:t>
      </w:r>
      <w:r w:rsidR="00C3569F" w:rsidRPr="001D4A77">
        <w:rPr>
          <w:b/>
        </w:rPr>
        <w:t xml:space="preserve">therapy by </w:t>
      </w:r>
      <w:r w:rsidR="00C3569F">
        <w:rPr>
          <w:b/>
        </w:rPr>
        <w:t>gender</w:t>
      </w:r>
    </w:p>
    <w:p w:rsidR="003B6256" w:rsidRDefault="002C5456" w:rsidP="000915F5">
      <w:r>
        <w:t xml:space="preserve">Males prevalent to </w:t>
      </w:r>
      <w:r w:rsidRPr="002C5456">
        <w:t xml:space="preserve">osteoporosis therapy have increased gradually over the period. In </w:t>
      </w:r>
      <w:r w:rsidR="007E3EFA" w:rsidRPr="002C5456">
        <w:t>contrast</w:t>
      </w:r>
      <w:r w:rsidR="007E3EFA">
        <w:t>,</w:t>
      </w:r>
      <w:r w:rsidRPr="002C5456">
        <w:t xml:space="preserve"> female </w:t>
      </w:r>
      <w:r w:rsidR="007E3EFA">
        <w:t xml:space="preserve">prevalent patient numbers </w:t>
      </w:r>
      <w:r w:rsidRPr="002C5456">
        <w:t>plateau</w:t>
      </w:r>
      <w:r w:rsidR="007E3EFA">
        <w:t xml:space="preserve">ed abruptly </w:t>
      </w:r>
      <w:r w:rsidRPr="002C5456">
        <w:t>starting in 2007.</w:t>
      </w:r>
      <w:r w:rsidR="003B6256">
        <w:t xml:space="preserve"> </w:t>
      </w:r>
    </w:p>
    <w:p w:rsidR="003B6256" w:rsidRPr="00AD0C84" w:rsidRDefault="003B6256" w:rsidP="003B6256">
      <w:r w:rsidRPr="00AD0C84">
        <w:t>The ratio of women to men aged 50 years or older treated with PBS osteoporosis medicines in 2015 was 3.9:1.</w:t>
      </w:r>
    </w:p>
    <w:p w:rsidR="000E5629" w:rsidRDefault="000E5629" w:rsidP="000915F5">
      <w:r>
        <w:br w:type="page"/>
      </w:r>
    </w:p>
    <w:p w:rsidR="00A704F6" w:rsidRDefault="001F7C8D" w:rsidP="000915F5">
      <w:r>
        <w:t>Table</w:t>
      </w:r>
      <w:r w:rsidR="00A704F6">
        <w:t xml:space="preserve"> </w:t>
      </w:r>
      <w:r w:rsidR="0007303D">
        <w:t>5</w:t>
      </w:r>
      <w:r w:rsidR="00A704F6">
        <w:t xml:space="preserve"> presents the </w:t>
      </w:r>
      <w:r w:rsidR="007E4500">
        <w:t xml:space="preserve">mean and median age of patients </w:t>
      </w:r>
      <w:r w:rsidR="00A704F6">
        <w:t xml:space="preserve">when they start taking a PBS subsidised medicines for the first time. </w:t>
      </w:r>
    </w:p>
    <w:p w:rsidR="00B3315E" w:rsidRDefault="007E4500" w:rsidP="000915F5">
      <w:r>
        <w:t>T</w:t>
      </w:r>
      <w:r w:rsidR="002A139A">
        <w:t xml:space="preserve">he </w:t>
      </w:r>
      <w:r w:rsidR="00B3315E">
        <w:t xml:space="preserve">mean and median </w:t>
      </w:r>
      <w:r w:rsidR="009A5BD4">
        <w:t>age at initiation</w:t>
      </w:r>
      <w:r w:rsidR="00F54FD5">
        <w:t xml:space="preserve"> </w:t>
      </w:r>
      <w:r>
        <w:t xml:space="preserve">is similar for men and women and has remained </w:t>
      </w:r>
      <w:r w:rsidR="002A139A">
        <w:t xml:space="preserve">relatively constant over the period </w:t>
      </w:r>
      <w:r>
        <w:t xml:space="preserve">2005 to 2015. </w:t>
      </w:r>
    </w:p>
    <w:p w:rsidR="0018772B" w:rsidRPr="0018772B" w:rsidRDefault="0018772B" w:rsidP="000915F5">
      <w:pPr>
        <w:spacing w:after="0"/>
        <w:rPr>
          <w:b/>
        </w:rPr>
      </w:pPr>
      <w:r>
        <w:rPr>
          <w:b/>
        </w:rPr>
        <w:t xml:space="preserve">Table </w:t>
      </w:r>
      <w:r w:rsidR="0007303D">
        <w:rPr>
          <w:b/>
        </w:rPr>
        <w:t>5</w:t>
      </w:r>
      <w:r>
        <w:rPr>
          <w:b/>
        </w:rPr>
        <w:t>: A</w:t>
      </w:r>
      <w:r w:rsidRPr="0018772B">
        <w:rPr>
          <w:b/>
        </w:rPr>
        <w:t xml:space="preserve">ge </w:t>
      </w:r>
      <w:r>
        <w:rPr>
          <w:b/>
        </w:rPr>
        <w:t xml:space="preserve">(years) </w:t>
      </w:r>
      <w:r w:rsidRPr="0018772B">
        <w:rPr>
          <w:b/>
        </w:rPr>
        <w:t>at initiation to osteoporosis therapy by gender and year</w:t>
      </w:r>
    </w:p>
    <w:tbl>
      <w:tblPr>
        <w:tblW w:w="4975" w:type="pct"/>
        <w:tblLook w:val="04A0" w:firstRow="1" w:lastRow="0" w:firstColumn="1" w:lastColumn="0" w:noHBand="0" w:noVBand="1"/>
        <w:tblCaption w:val="Table 5: Age (years) at initiation to osteoporosis therapy by gender and year"/>
      </w:tblPr>
      <w:tblGrid>
        <w:gridCol w:w="810"/>
        <w:gridCol w:w="841"/>
        <w:gridCol w:w="680"/>
        <w:gridCol w:w="680"/>
        <w:gridCol w:w="680"/>
        <w:gridCol w:w="680"/>
        <w:gridCol w:w="680"/>
        <w:gridCol w:w="680"/>
        <w:gridCol w:w="680"/>
        <w:gridCol w:w="679"/>
        <w:gridCol w:w="679"/>
        <w:gridCol w:w="679"/>
        <w:gridCol w:w="679"/>
      </w:tblGrid>
      <w:tr w:rsidR="001749CD" w:rsidRPr="001749CD" w:rsidTr="0018772B">
        <w:trPr>
          <w:trHeight w:val="315"/>
        </w:trPr>
        <w:tc>
          <w:tcPr>
            <w:tcW w:w="44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bCs/>
                <w:color w:val="000000"/>
                <w:sz w:val="20"/>
                <w:szCs w:val="20"/>
              </w:rPr>
            </w:pPr>
            <w:r w:rsidRPr="001749CD">
              <w:rPr>
                <w:rFonts w:ascii="Calibri" w:eastAsia="Times New Roman" w:hAnsi="Calibri" w:cs="Times New Roman"/>
                <w:b/>
                <w:bCs/>
                <w:color w:val="000000"/>
                <w:sz w:val="20"/>
                <w:szCs w:val="20"/>
              </w:rPr>
              <w:t xml:space="preserve">Year </w:t>
            </w:r>
          </w:p>
        </w:tc>
        <w:tc>
          <w:tcPr>
            <w:tcW w:w="4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bCs/>
                <w:color w:val="000000"/>
                <w:sz w:val="20"/>
                <w:szCs w:val="20"/>
              </w:rPr>
            </w:pPr>
            <w:r w:rsidRPr="001749CD">
              <w:rPr>
                <w:rFonts w:ascii="Calibri" w:eastAsia="Times New Roman" w:hAnsi="Calibri" w:cs="Times New Roman"/>
                <w:b/>
                <w:bCs/>
                <w:color w:val="000000"/>
                <w:sz w:val="20"/>
                <w:szCs w:val="20"/>
              </w:rPr>
              <w:t> </w:t>
            </w:r>
          </w:p>
        </w:tc>
        <w:tc>
          <w:tcPr>
            <w:tcW w:w="3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color w:val="000000"/>
                <w:sz w:val="20"/>
                <w:szCs w:val="20"/>
              </w:rPr>
            </w:pPr>
            <w:r w:rsidRPr="001749CD">
              <w:rPr>
                <w:rFonts w:ascii="Calibri" w:eastAsia="Times New Roman" w:hAnsi="Calibri" w:cs="Times New Roman"/>
                <w:b/>
                <w:color w:val="000000"/>
                <w:sz w:val="20"/>
                <w:szCs w:val="20"/>
              </w:rPr>
              <w:t>2005</w:t>
            </w:r>
          </w:p>
        </w:tc>
        <w:tc>
          <w:tcPr>
            <w:tcW w:w="3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color w:val="000000"/>
                <w:sz w:val="20"/>
                <w:szCs w:val="20"/>
              </w:rPr>
            </w:pPr>
            <w:r w:rsidRPr="001749CD">
              <w:rPr>
                <w:rFonts w:ascii="Calibri" w:eastAsia="Times New Roman" w:hAnsi="Calibri" w:cs="Times New Roman"/>
                <w:b/>
                <w:color w:val="000000"/>
                <w:sz w:val="20"/>
                <w:szCs w:val="20"/>
              </w:rPr>
              <w:t>2006</w:t>
            </w:r>
          </w:p>
        </w:tc>
        <w:tc>
          <w:tcPr>
            <w:tcW w:w="3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color w:val="000000"/>
                <w:sz w:val="20"/>
                <w:szCs w:val="20"/>
              </w:rPr>
            </w:pPr>
            <w:r w:rsidRPr="001749CD">
              <w:rPr>
                <w:rFonts w:ascii="Calibri" w:eastAsia="Times New Roman" w:hAnsi="Calibri" w:cs="Times New Roman"/>
                <w:b/>
                <w:color w:val="000000"/>
                <w:sz w:val="20"/>
                <w:szCs w:val="20"/>
              </w:rPr>
              <w:t>2007</w:t>
            </w:r>
          </w:p>
        </w:tc>
        <w:tc>
          <w:tcPr>
            <w:tcW w:w="3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color w:val="000000"/>
                <w:sz w:val="20"/>
                <w:szCs w:val="20"/>
              </w:rPr>
            </w:pPr>
            <w:r w:rsidRPr="001749CD">
              <w:rPr>
                <w:rFonts w:ascii="Calibri" w:eastAsia="Times New Roman" w:hAnsi="Calibri" w:cs="Times New Roman"/>
                <w:b/>
                <w:color w:val="000000"/>
                <w:sz w:val="20"/>
                <w:szCs w:val="20"/>
              </w:rPr>
              <w:t>2008</w:t>
            </w:r>
          </w:p>
        </w:tc>
        <w:tc>
          <w:tcPr>
            <w:tcW w:w="3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color w:val="000000"/>
                <w:sz w:val="20"/>
                <w:szCs w:val="20"/>
              </w:rPr>
            </w:pPr>
            <w:r w:rsidRPr="001749CD">
              <w:rPr>
                <w:rFonts w:ascii="Calibri" w:eastAsia="Times New Roman" w:hAnsi="Calibri" w:cs="Times New Roman"/>
                <w:b/>
                <w:color w:val="000000"/>
                <w:sz w:val="20"/>
                <w:szCs w:val="20"/>
              </w:rPr>
              <w:t>2009</w:t>
            </w:r>
          </w:p>
        </w:tc>
        <w:tc>
          <w:tcPr>
            <w:tcW w:w="3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color w:val="000000"/>
                <w:sz w:val="20"/>
                <w:szCs w:val="20"/>
              </w:rPr>
            </w:pPr>
            <w:r w:rsidRPr="001749CD">
              <w:rPr>
                <w:rFonts w:ascii="Calibri" w:eastAsia="Times New Roman" w:hAnsi="Calibri" w:cs="Times New Roman"/>
                <w:b/>
                <w:color w:val="000000"/>
                <w:sz w:val="20"/>
                <w:szCs w:val="20"/>
              </w:rPr>
              <w:t>2010</w:t>
            </w:r>
          </w:p>
        </w:tc>
        <w:tc>
          <w:tcPr>
            <w:tcW w:w="3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color w:val="000000"/>
                <w:sz w:val="20"/>
                <w:szCs w:val="20"/>
              </w:rPr>
            </w:pPr>
            <w:r w:rsidRPr="001749CD">
              <w:rPr>
                <w:rFonts w:ascii="Calibri" w:eastAsia="Times New Roman" w:hAnsi="Calibri" w:cs="Times New Roman"/>
                <w:b/>
                <w:color w:val="000000"/>
                <w:sz w:val="20"/>
                <w:szCs w:val="20"/>
              </w:rPr>
              <w:t>2011</w:t>
            </w:r>
          </w:p>
        </w:tc>
        <w:tc>
          <w:tcPr>
            <w:tcW w:w="3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color w:val="000000"/>
                <w:sz w:val="20"/>
                <w:szCs w:val="20"/>
              </w:rPr>
            </w:pPr>
            <w:r w:rsidRPr="001749CD">
              <w:rPr>
                <w:rFonts w:ascii="Calibri" w:eastAsia="Times New Roman" w:hAnsi="Calibri" w:cs="Times New Roman"/>
                <w:b/>
                <w:color w:val="000000"/>
                <w:sz w:val="20"/>
                <w:szCs w:val="20"/>
              </w:rPr>
              <w:t>2012</w:t>
            </w:r>
          </w:p>
        </w:tc>
        <w:tc>
          <w:tcPr>
            <w:tcW w:w="3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color w:val="000000"/>
                <w:sz w:val="20"/>
                <w:szCs w:val="20"/>
              </w:rPr>
            </w:pPr>
            <w:r w:rsidRPr="001749CD">
              <w:rPr>
                <w:rFonts w:ascii="Calibri" w:eastAsia="Times New Roman" w:hAnsi="Calibri" w:cs="Times New Roman"/>
                <w:b/>
                <w:color w:val="000000"/>
                <w:sz w:val="20"/>
                <w:szCs w:val="20"/>
              </w:rPr>
              <w:t>2013</w:t>
            </w:r>
          </w:p>
        </w:tc>
        <w:tc>
          <w:tcPr>
            <w:tcW w:w="3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color w:val="000000"/>
                <w:sz w:val="20"/>
                <w:szCs w:val="20"/>
              </w:rPr>
            </w:pPr>
            <w:r w:rsidRPr="001749CD">
              <w:rPr>
                <w:rFonts w:ascii="Calibri" w:eastAsia="Times New Roman" w:hAnsi="Calibri" w:cs="Times New Roman"/>
                <w:b/>
                <w:color w:val="000000"/>
                <w:sz w:val="20"/>
                <w:szCs w:val="20"/>
              </w:rPr>
              <w:t>2014</w:t>
            </w:r>
          </w:p>
        </w:tc>
        <w:tc>
          <w:tcPr>
            <w:tcW w:w="3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749CD" w:rsidRPr="001749CD" w:rsidRDefault="001749CD" w:rsidP="000915F5">
            <w:pPr>
              <w:spacing w:after="0"/>
              <w:jc w:val="center"/>
              <w:rPr>
                <w:rFonts w:ascii="Calibri" w:eastAsia="Times New Roman" w:hAnsi="Calibri" w:cs="Times New Roman"/>
                <w:b/>
                <w:color w:val="000000"/>
                <w:sz w:val="20"/>
                <w:szCs w:val="20"/>
              </w:rPr>
            </w:pPr>
            <w:r w:rsidRPr="001749CD">
              <w:rPr>
                <w:rFonts w:ascii="Calibri" w:eastAsia="Times New Roman" w:hAnsi="Calibri" w:cs="Times New Roman"/>
                <w:b/>
                <w:color w:val="000000"/>
                <w:sz w:val="20"/>
                <w:szCs w:val="20"/>
              </w:rPr>
              <w:t>2015</w:t>
            </w:r>
          </w:p>
        </w:tc>
      </w:tr>
      <w:tr w:rsidR="0018772B" w:rsidRPr="001749CD" w:rsidTr="002949FC">
        <w:trPr>
          <w:trHeight w:val="315"/>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Female</w:t>
            </w:r>
          </w:p>
        </w:tc>
        <w:tc>
          <w:tcPr>
            <w:tcW w:w="460"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 xml:space="preserve">Mean </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70.9</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70.6</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71.5</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71.3</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70.7</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70.4</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70.7</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70.7</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70.7</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70.6</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70.3</w:t>
            </w:r>
          </w:p>
        </w:tc>
      </w:tr>
      <w:tr w:rsidR="0018772B" w:rsidRPr="001749CD" w:rsidTr="002949FC">
        <w:trPr>
          <w:trHeight w:val="315"/>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 </w:t>
            </w:r>
          </w:p>
        </w:tc>
        <w:tc>
          <w:tcPr>
            <w:tcW w:w="460"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Median</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72</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72</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73</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73</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72</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72</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72</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72</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72</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71</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71</w:t>
            </w:r>
          </w:p>
        </w:tc>
      </w:tr>
      <w:tr w:rsidR="0018772B" w:rsidRPr="001749CD" w:rsidTr="002949FC">
        <w:trPr>
          <w:trHeight w:val="315"/>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Male</w:t>
            </w:r>
          </w:p>
        </w:tc>
        <w:tc>
          <w:tcPr>
            <w:tcW w:w="460"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 xml:space="preserve">Mean </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70.6</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70.8</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71.3</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71.5</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70.8</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70.6</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70.8</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71.1</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71.2</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71.4</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71.5</w:t>
            </w:r>
          </w:p>
        </w:tc>
      </w:tr>
      <w:tr w:rsidR="0018772B" w:rsidRPr="001749CD" w:rsidTr="002949FC">
        <w:trPr>
          <w:trHeight w:val="315"/>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 </w:t>
            </w:r>
          </w:p>
        </w:tc>
        <w:tc>
          <w:tcPr>
            <w:tcW w:w="460"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Median</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73</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73</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74</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74</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73</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73</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73</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73</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73</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74</w:t>
            </w:r>
          </w:p>
        </w:tc>
        <w:tc>
          <w:tcPr>
            <w:tcW w:w="372" w:type="pct"/>
            <w:tcBorders>
              <w:top w:val="nil"/>
              <w:left w:val="nil"/>
              <w:bottom w:val="single" w:sz="4" w:space="0" w:color="auto"/>
              <w:right w:val="single" w:sz="4" w:space="0" w:color="auto"/>
            </w:tcBorders>
            <w:shd w:val="clear" w:color="auto" w:fill="auto"/>
            <w:noWrap/>
            <w:vAlign w:val="center"/>
            <w:hideMark/>
          </w:tcPr>
          <w:p w:rsidR="001749CD" w:rsidRPr="001749CD" w:rsidRDefault="001749CD" w:rsidP="000915F5">
            <w:pPr>
              <w:spacing w:after="0"/>
              <w:jc w:val="center"/>
              <w:rPr>
                <w:rFonts w:ascii="Calibri" w:eastAsia="Times New Roman" w:hAnsi="Calibri" w:cs="Times New Roman"/>
                <w:color w:val="000000"/>
                <w:sz w:val="20"/>
                <w:szCs w:val="20"/>
              </w:rPr>
            </w:pPr>
            <w:r w:rsidRPr="001749CD">
              <w:rPr>
                <w:rFonts w:ascii="Calibri" w:eastAsia="Times New Roman" w:hAnsi="Calibri" w:cs="Times New Roman"/>
                <w:color w:val="000000"/>
                <w:sz w:val="20"/>
                <w:szCs w:val="20"/>
              </w:rPr>
              <w:t>74</w:t>
            </w:r>
          </w:p>
        </w:tc>
      </w:tr>
    </w:tbl>
    <w:p w:rsidR="001F7C8D" w:rsidRDefault="001F7C8D" w:rsidP="001F7C8D">
      <w:pPr>
        <w:spacing w:after="0"/>
      </w:pPr>
    </w:p>
    <w:p w:rsidR="00990ED1" w:rsidRDefault="00990ED1" w:rsidP="000915F5">
      <w:r>
        <w:t xml:space="preserve">There was no noticeable change in the age of patients initiating therapy when the PBS listings for some medicines were extended </w:t>
      </w:r>
      <w:r w:rsidR="000D4147">
        <w:t xml:space="preserve">to include </w:t>
      </w:r>
      <w:r w:rsidR="00FB53B3">
        <w:t xml:space="preserve">primary </w:t>
      </w:r>
      <w:r w:rsidR="000D4147">
        <w:t xml:space="preserve">prevention of fracture </w:t>
      </w:r>
      <w:r>
        <w:t>in patients</w:t>
      </w:r>
      <w:r w:rsidRPr="00990ED1">
        <w:t xml:space="preserve"> </w:t>
      </w:r>
      <w:r w:rsidR="000D4147">
        <w:t xml:space="preserve">aged </w:t>
      </w:r>
      <w:r w:rsidRPr="00990ED1">
        <w:t xml:space="preserve">70 years or more </w:t>
      </w:r>
      <w:r w:rsidR="000D4147">
        <w:t>with a</w:t>
      </w:r>
      <w:r w:rsidRPr="00990ED1">
        <w:t xml:space="preserve"> BMD </w:t>
      </w:r>
      <w:r w:rsidR="000D4147" w:rsidRPr="000D4147">
        <w:t xml:space="preserve">T-score of </w:t>
      </w:r>
      <w:r w:rsidRPr="00990ED1">
        <w:t>-3.0</w:t>
      </w:r>
      <w:r w:rsidR="000D4147">
        <w:t xml:space="preserve"> or less</w:t>
      </w:r>
      <w:r w:rsidRPr="00990ED1">
        <w:t xml:space="preserve"> </w:t>
      </w:r>
      <w:r w:rsidR="000D4147">
        <w:t xml:space="preserve">(from April 2007)  and subsequently for patients with a BMD T-score of -2.5 or less (from December 2011). See Appendix B for details of the extensions to listing. As </w:t>
      </w:r>
      <w:r w:rsidR="00D21363">
        <w:t xml:space="preserve">validation of the </w:t>
      </w:r>
      <w:r w:rsidR="000D4147">
        <w:t>streamlined codes for</w:t>
      </w:r>
      <w:r w:rsidR="00D21363">
        <w:t xml:space="preserve"> osteoporosis medicines has not been undertaken</w:t>
      </w:r>
      <w:r w:rsidR="000D4147">
        <w:t xml:space="preserve"> </w:t>
      </w:r>
      <w:r w:rsidR="00D21363">
        <w:t>the age of patients by indication was not determined.</w:t>
      </w:r>
    </w:p>
    <w:p w:rsidR="00B445F1" w:rsidRDefault="00B445F1" w:rsidP="00B445F1">
      <w:pPr>
        <w:rPr>
          <w:b/>
          <w:i/>
          <w:szCs w:val="28"/>
        </w:rPr>
      </w:pPr>
      <w:r w:rsidRPr="00B445F1">
        <w:rPr>
          <w:b/>
          <w:i/>
          <w:szCs w:val="28"/>
        </w:rPr>
        <w:t>Location (State) analysis</w:t>
      </w:r>
    </w:p>
    <w:p w:rsidR="00B445F1" w:rsidRPr="00B445F1" w:rsidRDefault="00B445F1" w:rsidP="00B445F1">
      <w:pPr>
        <w:rPr>
          <w:szCs w:val="28"/>
        </w:rPr>
      </w:pPr>
      <w:r>
        <w:rPr>
          <w:szCs w:val="28"/>
        </w:rPr>
        <w:t xml:space="preserve">DUSC (October 2012) had noted that there may be lower use of osteoporosis medicines in states where patients may not have ready access to medical facilities for diagnosis and treatment.  Figure 7 show </w:t>
      </w:r>
      <w:r w:rsidR="00FB53B3" w:rsidRPr="00FB53B3">
        <w:t>osteoporosis therapy</w:t>
      </w:r>
      <w:r w:rsidR="00FB53B3" w:rsidRPr="00FB53B3" w:rsidDel="00FB53B3">
        <w:rPr>
          <w:szCs w:val="28"/>
        </w:rPr>
        <w:t xml:space="preserve"> </w:t>
      </w:r>
      <w:r w:rsidR="00FB53B3">
        <w:rPr>
          <w:szCs w:val="28"/>
        </w:rPr>
        <w:t xml:space="preserve">initiation </w:t>
      </w:r>
      <w:r>
        <w:rPr>
          <w:szCs w:val="28"/>
        </w:rPr>
        <w:t>rates in each state. In Figure 8 the</w:t>
      </w:r>
      <w:r w:rsidR="00FB53B3">
        <w:rPr>
          <w:szCs w:val="28"/>
        </w:rPr>
        <w:t>se</w:t>
      </w:r>
      <w:r>
        <w:rPr>
          <w:szCs w:val="28"/>
        </w:rPr>
        <w:t xml:space="preserve"> rates are adjusted for age.</w:t>
      </w:r>
    </w:p>
    <w:p w:rsidR="00B445F1" w:rsidRDefault="00B445F1" w:rsidP="00B445F1">
      <w:pPr>
        <w:rPr>
          <w:sz w:val="20"/>
        </w:rPr>
      </w:pPr>
      <w:r>
        <w:rPr>
          <w:noProof/>
        </w:rPr>
        <w:drawing>
          <wp:inline distT="0" distB="0" distL="0" distR="0" wp14:anchorId="30DD0250" wp14:editId="29AE861D">
            <wp:extent cx="5469500" cy="3562597"/>
            <wp:effectExtent l="0" t="0" r="17145" b="19050"/>
            <wp:docPr id="3" name="Chart 3" title="Figure 7: Patients per 1000 population (raw rate) initiating to osteoporosis therapy by Stat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D4A77">
        <w:rPr>
          <w:b/>
        </w:rPr>
        <w:t xml:space="preserve">Figure </w:t>
      </w:r>
      <w:r>
        <w:rPr>
          <w:b/>
        </w:rPr>
        <w:t>7:</w:t>
      </w:r>
      <w:r w:rsidRPr="001D4A77">
        <w:rPr>
          <w:b/>
        </w:rPr>
        <w:t xml:space="preserve"> </w:t>
      </w:r>
      <w:r>
        <w:rPr>
          <w:b/>
        </w:rPr>
        <w:t xml:space="preserve">Patients per 1000 population (raw rate) initiating to osteoporosis therapy by State. </w:t>
      </w:r>
      <w:r>
        <w:rPr>
          <w:sz w:val="20"/>
        </w:rPr>
        <w:t>Note: State is the patients Medicare enrolment State at the time of DHS processing of the initiating prescription.</w:t>
      </w:r>
    </w:p>
    <w:p w:rsidR="00B445F1" w:rsidRDefault="00B445F1" w:rsidP="00B445F1">
      <w:pPr>
        <w:rPr>
          <w:b/>
        </w:rPr>
      </w:pPr>
      <w:r>
        <w:rPr>
          <w:noProof/>
        </w:rPr>
        <w:drawing>
          <wp:inline distT="0" distB="0" distL="0" distR="0" wp14:anchorId="275BD237" wp14:editId="089C4CFE">
            <wp:extent cx="5510150" cy="3589075"/>
            <wp:effectExtent l="0" t="0" r="14605" b="11430"/>
            <wp:docPr id="4" name="Chart 4" title="Figure 8: Patients per 1000 population (age adjusted rate) initiating to osteoporosis therapy by Stat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1D4A77">
        <w:rPr>
          <w:b/>
        </w:rPr>
        <w:t xml:space="preserve">Figure </w:t>
      </w:r>
      <w:r>
        <w:rPr>
          <w:b/>
        </w:rPr>
        <w:t>8:</w:t>
      </w:r>
      <w:r w:rsidRPr="001D4A77">
        <w:rPr>
          <w:b/>
        </w:rPr>
        <w:t xml:space="preserve"> </w:t>
      </w:r>
      <w:r>
        <w:rPr>
          <w:b/>
        </w:rPr>
        <w:t>Patients per 1000 population (age adjusted rate) initiating to osteoporosis therapy by State.</w:t>
      </w:r>
    </w:p>
    <w:p w:rsidR="00B445F1" w:rsidRPr="00972217" w:rsidRDefault="00B445F1" w:rsidP="00B445F1">
      <w:r>
        <w:rPr>
          <w:sz w:val="20"/>
        </w:rPr>
        <w:t>Note: The age adjusted rate uses the Direct Method</w:t>
      </w:r>
      <w:r>
        <w:rPr>
          <w:rStyle w:val="FootnoteReference"/>
          <w:sz w:val="20"/>
        </w:rPr>
        <w:footnoteReference w:id="18"/>
      </w:r>
      <w:r>
        <w:rPr>
          <w:sz w:val="20"/>
        </w:rPr>
        <w:t xml:space="preserve"> and is based on the Australian age distribution of the ABS Estimated Residential Population in the reference year 2011.</w:t>
      </w:r>
    </w:p>
    <w:p w:rsidR="00B445F1" w:rsidRDefault="00B445F1" w:rsidP="00B445F1">
      <w:r>
        <w:t xml:space="preserve">Comparing </w:t>
      </w:r>
      <w:r w:rsidR="00317938">
        <w:t>F</w:t>
      </w:r>
      <w:r>
        <w:t xml:space="preserve">igures 7 and 8 shows the effect of the age adjustment. The jurisdictions affected most by the adjustment are NT and ACT (adjusted upwards because of younger populations) and TAS and SA (adjusted downwards because of older populations). There is also </w:t>
      </w:r>
      <w:r w:rsidR="00FB53B3">
        <w:t xml:space="preserve">a </w:t>
      </w:r>
      <w:r>
        <w:t>slight increase in the downward trend of the age adjusted rate compared to the raw rate because of the overall ageing of the population over the 11 year period.</w:t>
      </w:r>
    </w:p>
    <w:p w:rsidR="00B445F1" w:rsidRDefault="00B445F1" w:rsidP="00B445F1">
      <w:r>
        <w:t>Figure 8 shows that the age adjusted rate is highest in the ACT with all other jurisdictions being approximately similar. The rate of initiation to osteoporosis therapy declined in most jurisdictions from 2005, but this trend started to reverse in approximately 2013.</w:t>
      </w:r>
    </w:p>
    <w:p w:rsidR="00317938" w:rsidRPr="00B445F1" w:rsidRDefault="00317938" w:rsidP="00317938">
      <w:pPr>
        <w:rPr>
          <w:szCs w:val="28"/>
        </w:rPr>
      </w:pPr>
      <w:r>
        <w:rPr>
          <w:szCs w:val="28"/>
        </w:rPr>
        <w:t xml:space="preserve">Figure 9 shows </w:t>
      </w:r>
      <w:r>
        <w:t xml:space="preserve">prevalent treatment rates </w:t>
      </w:r>
      <w:r>
        <w:rPr>
          <w:szCs w:val="28"/>
        </w:rPr>
        <w:t>in each state adjusted for age.</w:t>
      </w:r>
    </w:p>
    <w:p w:rsidR="00317938" w:rsidRDefault="00317938" w:rsidP="00B445F1"/>
    <w:p w:rsidR="00B445F1" w:rsidRPr="00327A9D" w:rsidRDefault="00B445F1" w:rsidP="00B445F1">
      <w:r>
        <w:rPr>
          <w:noProof/>
        </w:rPr>
        <w:drawing>
          <wp:inline distT="0" distB="0" distL="0" distR="0" wp14:anchorId="6F426AE9" wp14:editId="620C6727">
            <wp:extent cx="5687695" cy="3703686"/>
            <wp:effectExtent l="0" t="0" r="27305" b="11430"/>
            <wp:docPr id="5" name="Chart 5" title="Figure 9: Patients per 1000 population (age adjusted rate) prevalent to osteoporosis therapy by Stat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1D4A77">
        <w:rPr>
          <w:b/>
        </w:rPr>
        <w:t xml:space="preserve">Figure </w:t>
      </w:r>
      <w:r w:rsidR="003957BC">
        <w:rPr>
          <w:b/>
        </w:rPr>
        <w:t>9</w:t>
      </w:r>
      <w:r>
        <w:rPr>
          <w:b/>
        </w:rPr>
        <w:t>:</w:t>
      </w:r>
      <w:r w:rsidRPr="001D4A77">
        <w:rPr>
          <w:b/>
        </w:rPr>
        <w:t xml:space="preserve"> </w:t>
      </w:r>
      <w:r>
        <w:rPr>
          <w:b/>
        </w:rPr>
        <w:t>Patients per 1000 population (age adjusted rate) prevalent to osteoporosis therapy by State.</w:t>
      </w:r>
      <w:r w:rsidRPr="0031419C">
        <w:rPr>
          <w:sz w:val="20"/>
        </w:rPr>
        <w:t xml:space="preserve"> </w:t>
      </w:r>
    </w:p>
    <w:p w:rsidR="00B445F1" w:rsidRDefault="00B445F1" w:rsidP="00B445F1">
      <w:r>
        <w:t>The prevalent patients show a similar picture to the initiating patients, with ACT being the highest. A difference is that NSW and QLD are slightly higher than the other jurisdictions. The decline in prevalent patients has flattened out, but has not yet reversed in most jurisdictions (with the possible exception of QLD and TAS).</w:t>
      </w:r>
    </w:p>
    <w:p w:rsidR="00B445F1" w:rsidRDefault="00317938" w:rsidP="00B445F1">
      <w:r>
        <w:t>Noting the very high uptake of denosumab nationally, Figure 10 shows rates of initiations to denosumab</w:t>
      </w:r>
      <w:r w:rsidRPr="00317938">
        <w:t xml:space="preserve"> in each state.</w:t>
      </w:r>
    </w:p>
    <w:p w:rsidR="00B445F1" w:rsidRPr="00327A9D" w:rsidRDefault="00B445F1" w:rsidP="00B445F1">
      <w:r>
        <w:rPr>
          <w:noProof/>
        </w:rPr>
        <w:drawing>
          <wp:inline distT="0" distB="0" distL="0" distR="0" wp14:anchorId="10DE1C69" wp14:editId="33F4A86F">
            <wp:extent cx="5687695" cy="3703686"/>
            <wp:effectExtent l="0" t="0" r="27305" b="11430"/>
            <wp:docPr id="6" name="Chart 6" title="Figure 10: Patients per 1000 population (age adjusted rate) initiating denosumab by Stat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1D4A77">
        <w:rPr>
          <w:b/>
        </w:rPr>
        <w:t xml:space="preserve">Figure </w:t>
      </w:r>
      <w:r w:rsidR="003957BC">
        <w:rPr>
          <w:b/>
        </w:rPr>
        <w:t>10</w:t>
      </w:r>
      <w:r>
        <w:rPr>
          <w:b/>
        </w:rPr>
        <w:t>:</w:t>
      </w:r>
      <w:r w:rsidRPr="001D4A77">
        <w:rPr>
          <w:b/>
        </w:rPr>
        <w:t xml:space="preserve"> </w:t>
      </w:r>
      <w:r>
        <w:rPr>
          <w:b/>
        </w:rPr>
        <w:t xml:space="preserve">Patients per 1000 population (age adjusted rate) initiating denosumab by State. </w:t>
      </w:r>
      <w:r w:rsidRPr="000C05F9">
        <w:rPr>
          <w:sz w:val="20"/>
        </w:rPr>
        <w:t xml:space="preserve">Note: this measure is patients initiating denosumab, not necessarily initiating </w:t>
      </w:r>
      <w:r>
        <w:rPr>
          <w:sz w:val="20"/>
        </w:rPr>
        <w:t xml:space="preserve">osteoporosis </w:t>
      </w:r>
      <w:r w:rsidRPr="000C05F9">
        <w:rPr>
          <w:sz w:val="20"/>
        </w:rPr>
        <w:t>therapy on denosumab.</w:t>
      </w:r>
    </w:p>
    <w:p w:rsidR="00B445F1" w:rsidRDefault="00B445F1" w:rsidP="00B445F1">
      <w:r>
        <w:t xml:space="preserve">Comparing Figures </w:t>
      </w:r>
      <w:r w:rsidR="003957BC">
        <w:t xml:space="preserve">8 </w:t>
      </w:r>
      <w:r>
        <w:t xml:space="preserve">and </w:t>
      </w:r>
      <w:r w:rsidR="003957BC">
        <w:t xml:space="preserve">10 </w:t>
      </w:r>
      <w:r>
        <w:t>shows that even though NT has a similar rate of initiation to osteoporosis therapy to other jurisdictions, this is not the case for initiations to denosumab (ie. NT has a comparatively low rate).</w:t>
      </w:r>
    </w:p>
    <w:p w:rsidR="00B445F1" w:rsidRPr="003D3138" w:rsidRDefault="00B445F1" w:rsidP="00B445F1">
      <w:r>
        <w:t>S</w:t>
      </w:r>
      <w:r w:rsidRPr="003D3138">
        <w:t xml:space="preserve">upply of medicines via </w:t>
      </w:r>
      <w:r>
        <w:t xml:space="preserve">Remote Area Aboriginal Health Services </w:t>
      </w:r>
      <w:r w:rsidR="007E25F8">
        <w:t xml:space="preserve">(RAAHS) </w:t>
      </w:r>
      <w:r>
        <w:t>are</w:t>
      </w:r>
      <w:r w:rsidRPr="003D3138">
        <w:t xml:space="preserve"> not </w:t>
      </w:r>
      <w:r>
        <w:t xml:space="preserve">captured </w:t>
      </w:r>
      <w:r w:rsidRPr="003D3138">
        <w:t>in the above data</w:t>
      </w:r>
      <w:r>
        <w:t xml:space="preserve"> and so use may be underestimated in States with this service to a very small extent. </w:t>
      </w:r>
      <w:r w:rsidRPr="003D3138">
        <w:t xml:space="preserve"> </w:t>
      </w:r>
      <w:r w:rsidR="007E25F8">
        <w:t xml:space="preserve">Appendix C shows packs of </w:t>
      </w:r>
      <w:r>
        <w:t xml:space="preserve">osteoporosis medicines </w:t>
      </w:r>
      <w:r w:rsidR="007E25F8">
        <w:t>supplied to RAAHS</w:t>
      </w:r>
      <w:r w:rsidRPr="003D3138">
        <w:t xml:space="preserve"> </w:t>
      </w:r>
      <w:r w:rsidR="007E25F8">
        <w:t xml:space="preserve">by State </w:t>
      </w:r>
      <w:r w:rsidRPr="003D3138">
        <w:t xml:space="preserve">and processed between </w:t>
      </w:r>
      <w:r w:rsidR="007E25F8">
        <w:t>2010 and 2015</w:t>
      </w:r>
      <w:r w:rsidRPr="003D3138">
        <w:t xml:space="preserve">. </w:t>
      </w:r>
      <w:r w:rsidR="007E25F8">
        <w:t xml:space="preserve">The number of denosumab </w:t>
      </w:r>
      <w:r w:rsidR="00240FD7">
        <w:t xml:space="preserve">packs </w:t>
      </w:r>
      <w:r w:rsidR="007E25F8">
        <w:t>supplied to RAAHS in the NT was very low (i</w:t>
      </w:r>
      <w:r w:rsidR="00240FD7">
        <w:t>.e.</w:t>
      </w:r>
      <w:r w:rsidR="007E25F8">
        <w:t xml:space="preserve"> 6 packs in 2015), so inclusion of this data would</w:t>
      </w:r>
      <w:r w:rsidR="008E18A8">
        <w:t xml:space="preserve"> have negligible impact on</w:t>
      </w:r>
      <w:r w:rsidR="007E25F8">
        <w:t xml:space="preserve"> the rates reported in Figure 10.</w:t>
      </w:r>
    </w:p>
    <w:p w:rsidR="003957BC" w:rsidRPr="00FB53B3" w:rsidRDefault="003957BC" w:rsidP="00B445F1">
      <w:pPr>
        <w:rPr>
          <w:b/>
          <w:i/>
          <w:szCs w:val="28"/>
        </w:rPr>
      </w:pPr>
      <w:r w:rsidRPr="00FB53B3">
        <w:rPr>
          <w:b/>
          <w:i/>
          <w:szCs w:val="28"/>
        </w:rPr>
        <w:t>Prescribers</w:t>
      </w:r>
    </w:p>
    <w:p w:rsidR="00B445F1" w:rsidRPr="009C7C84" w:rsidRDefault="00B445F1" w:rsidP="00B445F1">
      <w:r>
        <w:t xml:space="preserve">The majority of osteoporosis therapy is initiated by GPs. Of the 72,132 </w:t>
      </w:r>
      <w:r w:rsidR="00FB53B3">
        <w:t xml:space="preserve">patients </w:t>
      </w:r>
      <w:r>
        <w:t xml:space="preserve">initiated to therapy in 2015, 59,735 were initiated by GPs (82.8%). Other frequent prescribers of osteoporosis medicines include endocrinologists and rheumatologists. </w:t>
      </w:r>
    </w:p>
    <w:p w:rsidR="00FB53B3" w:rsidRDefault="00FB53B3">
      <w:pPr>
        <w:spacing w:line="276" w:lineRule="auto"/>
        <w:rPr>
          <w:b/>
          <w:sz w:val="28"/>
          <w:szCs w:val="28"/>
        </w:rPr>
      </w:pPr>
      <w:r>
        <w:rPr>
          <w:b/>
          <w:sz w:val="28"/>
          <w:szCs w:val="28"/>
        </w:rPr>
        <w:br w:type="page"/>
      </w:r>
    </w:p>
    <w:p w:rsidR="001E5648" w:rsidRDefault="001E5648" w:rsidP="001E5648">
      <w:pPr>
        <w:rPr>
          <w:b/>
          <w:sz w:val="28"/>
          <w:szCs w:val="28"/>
        </w:rPr>
      </w:pPr>
      <w:r w:rsidRPr="00F966F2">
        <w:rPr>
          <w:b/>
          <w:sz w:val="28"/>
          <w:szCs w:val="28"/>
        </w:rPr>
        <w:t>P</w:t>
      </w:r>
      <w:r>
        <w:rPr>
          <w:b/>
          <w:sz w:val="28"/>
          <w:szCs w:val="28"/>
        </w:rPr>
        <w:t>rescriptions</w:t>
      </w:r>
    </w:p>
    <w:p w:rsidR="00177C34" w:rsidRPr="007526B5" w:rsidRDefault="00B5015A" w:rsidP="00177C34">
      <w:pPr>
        <w:rPr>
          <w:b/>
        </w:rPr>
      </w:pPr>
      <w:r>
        <w:rPr>
          <w:noProof/>
        </w:rPr>
        <w:drawing>
          <wp:inline distT="0" distB="0" distL="0" distR="0" wp14:anchorId="4BEE7E52" wp14:editId="1770DB05">
            <wp:extent cx="5687695" cy="3703686"/>
            <wp:effectExtent l="0" t="0" r="27305" b="11430"/>
            <wp:docPr id="10" name="Chart 10" title="Figure 11: PBS &amp; RPBS prescriptions for osteoporosis drug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177C34" w:rsidRPr="001D4A77">
        <w:rPr>
          <w:b/>
        </w:rPr>
        <w:t xml:space="preserve">Figure </w:t>
      </w:r>
      <w:r w:rsidR="002553E4">
        <w:rPr>
          <w:b/>
        </w:rPr>
        <w:t>11</w:t>
      </w:r>
      <w:r w:rsidR="00177C34">
        <w:rPr>
          <w:b/>
        </w:rPr>
        <w:t>:</w:t>
      </w:r>
      <w:r w:rsidR="00177C34" w:rsidRPr="001D4A77">
        <w:rPr>
          <w:b/>
        </w:rPr>
        <w:t xml:space="preserve"> </w:t>
      </w:r>
      <w:r>
        <w:rPr>
          <w:b/>
        </w:rPr>
        <w:t>PBS &amp; RPBS p</w:t>
      </w:r>
      <w:r w:rsidR="00177C34" w:rsidRPr="00177C34">
        <w:rPr>
          <w:b/>
        </w:rPr>
        <w:t>rescriptions</w:t>
      </w:r>
      <w:r>
        <w:rPr>
          <w:b/>
        </w:rPr>
        <w:t xml:space="preserve"> for osteoporosis drugs</w:t>
      </w:r>
    </w:p>
    <w:p w:rsidR="001E5648" w:rsidRDefault="00177C34" w:rsidP="001E5648">
      <w:pPr>
        <w:rPr>
          <w:szCs w:val="28"/>
        </w:rPr>
      </w:pPr>
      <w:r w:rsidRPr="00177C34">
        <w:rPr>
          <w:szCs w:val="28"/>
        </w:rPr>
        <w:t xml:space="preserve">Figure </w:t>
      </w:r>
      <w:r w:rsidR="002553E4">
        <w:rPr>
          <w:szCs w:val="28"/>
        </w:rPr>
        <w:t>11</w:t>
      </w:r>
      <w:r w:rsidR="005E351F">
        <w:rPr>
          <w:szCs w:val="28"/>
        </w:rPr>
        <w:t xml:space="preserve"> </w:t>
      </w:r>
      <w:r>
        <w:rPr>
          <w:szCs w:val="28"/>
        </w:rPr>
        <w:t>shows that prescription supply peaked in 2007 and has been decreasing since. This is despite that fact that prevalent patient number</w:t>
      </w:r>
      <w:r w:rsidR="00C024E4">
        <w:rPr>
          <w:szCs w:val="28"/>
        </w:rPr>
        <w:t>s</w:t>
      </w:r>
      <w:r>
        <w:rPr>
          <w:szCs w:val="28"/>
        </w:rPr>
        <w:t xml:space="preserve"> are increasing slightly (see Figure 1) and is a reflection of patients using denosumab and zoledronic acid which have lower frequency of supply (see the </w:t>
      </w:r>
      <w:r w:rsidR="00F675AB">
        <w:rPr>
          <w:szCs w:val="28"/>
        </w:rPr>
        <w:t>d</w:t>
      </w:r>
      <w:r>
        <w:rPr>
          <w:szCs w:val="28"/>
        </w:rPr>
        <w:t>ays to re-supply analysis below)</w:t>
      </w:r>
      <w:r w:rsidR="00D21363">
        <w:rPr>
          <w:szCs w:val="28"/>
        </w:rPr>
        <w:t>.</w:t>
      </w:r>
    </w:p>
    <w:p w:rsidR="00B5015A" w:rsidRDefault="00B5015A">
      <w:pPr>
        <w:spacing w:line="276" w:lineRule="auto"/>
        <w:rPr>
          <w:b/>
          <w:i/>
          <w:szCs w:val="28"/>
        </w:rPr>
      </w:pPr>
      <w:r>
        <w:rPr>
          <w:b/>
          <w:i/>
          <w:szCs w:val="28"/>
        </w:rPr>
        <w:br w:type="page"/>
      </w:r>
    </w:p>
    <w:p w:rsidR="00177C34" w:rsidRPr="00F966F2" w:rsidRDefault="00177C34" w:rsidP="00177C34">
      <w:pPr>
        <w:rPr>
          <w:b/>
          <w:i/>
          <w:szCs w:val="28"/>
        </w:rPr>
      </w:pPr>
      <w:r>
        <w:rPr>
          <w:b/>
          <w:i/>
          <w:szCs w:val="28"/>
        </w:rPr>
        <w:t>Prescriptions by drug</w:t>
      </w:r>
    </w:p>
    <w:p w:rsidR="00B5015A" w:rsidRDefault="00B5015A" w:rsidP="001E5648">
      <w:r>
        <w:rPr>
          <w:noProof/>
        </w:rPr>
        <w:drawing>
          <wp:inline distT="0" distB="0" distL="0" distR="0" wp14:anchorId="5F8F1061" wp14:editId="0E74309C">
            <wp:extent cx="5687695" cy="3703686"/>
            <wp:effectExtent l="0" t="0" r="27305" b="11430"/>
            <wp:docPr id="12" name="Chart 12" title="Figure 12: Prescriptions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4B7223" w:rsidRPr="001D4A77">
        <w:rPr>
          <w:b/>
        </w:rPr>
        <w:t xml:space="preserve">Figure </w:t>
      </w:r>
      <w:r w:rsidR="002553E4">
        <w:rPr>
          <w:b/>
        </w:rPr>
        <w:t>12</w:t>
      </w:r>
      <w:r w:rsidR="004B7223">
        <w:rPr>
          <w:b/>
        </w:rPr>
        <w:t>:</w:t>
      </w:r>
      <w:r w:rsidR="004B7223" w:rsidRPr="001D4A77">
        <w:rPr>
          <w:b/>
        </w:rPr>
        <w:t xml:space="preserve"> </w:t>
      </w:r>
      <w:r w:rsidR="004B7223">
        <w:rPr>
          <w:b/>
        </w:rPr>
        <w:t xml:space="preserve">Prescriptions </w:t>
      </w:r>
      <w:r w:rsidR="004B7223" w:rsidRPr="001D4A77">
        <w:rPr>
          <w:b/>
        </w:rPr>
        <w:t xml:space="preserve">by </w:t>
      </w:r>
      <w:r w:rsidR="004B7223">
        <w:rPr>
          <w:b/>
        </w:rPr>
        <w:t>drug</w:t>
      </w:r>
    </w:p>
    <w:p w:rsidR="004B7223" w:rsidRPr="00B95F17" w:rsidRDefault="00B5015A" w:rsidP="001E5648">
      <w:r>
        <w:t xml:space="preserve">Figure </w:t>
      </w:r>
      <w:r w:rsidR="002553E4">
        <w:t>12</w:t>
      </w:r>
      <w:r w:rsidR="00B95F17" w:rsidRPr="00B95F17">
        <w:t xml:space="preserve"> shows that </w:t>
      </w:r>
      <w:r w:rsidR="00B95F17">
        <w:t xml:space="preserve">despite the recent dominance of denosumab in the market (see initiating and prevalent patients in Figures </w:t>
      </w:r>
      <w:r w:rsidR="00D21363">
        <w:t xml:space="preserve">2 </w:t>
      </w:r>
      <w:r w:rsidR="00B95F17">
        <w:t xml:space="preserve">and </w:t>
      </w:r>
      <w:r w:rsidR="00D21363">
        <w:t xml:space="preserve">4 </w:t>
      </w:r>
      <w:r w:rsidR="00B95F17">
        <w:t>respectively) this is not reflected in the prescription count because of the low frequency of supply</w:t>
      </w:r>
      <w:r w:rsidR="00F464A1">
        <w:t xml:space="preserve"> (ie. one </w:t>
      </w:r>
      <w:r w:rsidR="002553E4">
        <w:t xml:space="preserve">prescription </w:t>
      </w:r>
      <w:r w:rsidR="00F464A1">
        <w:t>every 6 months, see “Days to re-supply” analysis below)</w:t>
      </w:r>
      <w:r w:rsidR="00B95F17">
        <w:t>.</w:t>
      </w:r>
    </w:p>
    <w:p w:rsidR="001E5648" w:rsidRDefault="001E5648" w:rsidP="001E5648">
      <w:pPr>
        <w:rPr>
          <w:b/>
          <w:i/>
          <w:szCs w:val="28"/>
        </w:rPr>
      </w:pPr>
      <w:r>
        <w:rPr>
          <w:b/>
          <w:i/>
          <w:szCs w:val="28"/>
        </w:rPr>
        <w:t>Day</w:t>
      </w:r>
      <w:r w:rsidR="00177C34">
        <w:rPr>
          <w:b/>
          <w:i/>
          <w:szCs w:val="28"/>
        </w:rPr>
        <w:t>s</w:t>
      </w:r>
      <w:r>
        <w:rPr>
          <w:b/>
          <w:i/>
          <w:szCs w:val="28"/>
        </w:rPr>
        <w:t xml:space="preserve"> to re-supply by drug</w:t>
      </w:r>
    </w:p>
    <w:p w:rsidR="00EC0FE9" w:rsidRPr="00B14862" w:rsidRDefault="00EC0FE9" w:rsidP="001E5648">
      <w:pPr>
        <w:rPr>
          <w:szCs w:val="28"/>
        </w:rPr>
      </w:pPr>
      <w:r w:rsidRPr="00B14862">
        <w:rPr>
          <w:szCs w:val="28"/>
        </w:rPr>
        <w:t>The dose regimens for the osteoporosis medicines vary widely</w:t>
      </w:r>
      <w:r w:rsidR="00B37215" w:rsidRPr="00B14862">
        <w:rPr>
          <w:szCs w:val="28"/>
        </w:rPr>
        <w:t xml:space="preserve"> (Table 2)</w:t>
      </w:r>
      <w:r w:rsidRPr="00B14862">
        <w:rPr>
          <w:szCs w:val="28"/>
        </w:rPr>
        <w:t>.</w:t>
      </w:r>
      <w:r w:rsidR="00B14862">
        <w:rPr>
          <w:szCs w:val="28"/>
        </w:rPr>
        <w:t xml:space="preserve"> The PBS maximum quantities for the </w:t>
      </w:r>
      <w:r w:rsidR="00796C36">
        <w:rPr>
          <w:szCs w:val="28"/>
        </w:rPr>
        <w:t xml:space="preserve">parenteral </w:t>
      </w:r>
      <w:r w:rsidR="00B14862">
        <w:rPr>
          <w:szCs w:val="28"/>
        </w:rPr>
        <w:t>medicines provide sufficient supply (based on the dose in the Product Information) for 28 days of teriparatide, 6 months of denosumab and 12 months of zoledronic acid</w:t>
      </w:r>
      <w:r w:rsidR="008C262D">
        <w:rPr>
          <w:szCs w:val="28"/>
        </w:rPr>
        <w:t xml:space="preserve">. </w:t>
      </w:r>
    </w:p>
    <w:p w:rsidR="00A06230" w:rsidRDefault="00A06230" w:rsidP="00A06230">
      <w:pPr>
        <w:rPr>
          <w:b/>
          <w:sz w:val="28"/>
          <w:szCs w:val="28"/>
        </w:rPr>
      </w:pPr>
      <w:r>
        <w:rPr>
          <w:noProof/>
        </w:rPr>
        <w:drawing>
          <wp:inline distT="0" distB="0" distL="0" distR="0" wp14:anchorId="1A797C35" wp14:editId="419EC52F">
            <wp:extent cx="5687695" cy="3703686"/>
            <wp:effectExtent l="0" t="0" r="27305" b="11430"/>
            <wp:docPr id="22" name="Chart 22" title="Figure 13: Percentage distribution of prescriptions for each injectable or IV infusion drug by the number of days to re-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D4A77">
        <w:rPr>
          <w:b/>
        </w:rPr>
        <w:t xml:space="preserve">Figure </w:t>
      </w:r>
      <w:r w:rsidR="00EA14C0">
        <w:rPr>
          <w:b/>
        </w:rPr>
        <w:t>13</w:t>
      </w:r>
      <w:r>
        <w:rPr>
          <w:b/>
        </w:rPr>
        <w:t>:</w:t>
      </w:r>
      <w:r w:rsidRPr="001D4A77">
        <w:rPr>
          <w:b/>
        </w:rPr>
        <w:t xml:space="preserve"> </w:t>
      </w:r>
      <w:r>
        <w:rPr>
          <w:b/>
        </w:rPr>
        <w:t>Percentage d</w:t>
      </w:r>
      <w:r w:rsidRPr="001E5648">
        <w:rPr>
          <w:b/>
        </w:rPr>
        <w:t xml:space="preserve">istribution of </w:t>
      </w:r>
      <w:r>
        <w:rPr>
          <w:b/>
        </w:rPr>
        <w:t>prescriptions</w:t>
      </w:r>
      <w:r w:rsidRPr="001E5648">
        <w:rPr>
          <w:b/>
        </w:rPr>
        <w:t xml:space="preserve"> for each </w:t>
      </w:r>
      <w:r>
        <w:rPr>
          <w:b/>
        </w:rPr>
        <w:t xml:space="preserve">injectable or IV infusion </w:t>
      </w:r>
      <w:r w:rsidRPr="001E5648">
        <w:rPr>
          <w:b/>
        </w:rPr>
        <w:t>drug by the number of days to re-supply</w:t>
      </w:r>
      <w:r>
        <w:rPr>
          <w:b/>
        </w:rPr>
        <w:t xml:space="preserve">. </w:t>
      </w:r>
      <w:r w:rsidRPr="001E5648">
        <w:rPr>
          <w:sz w:val="20"/>
        </w:rPr>
        <w:t xml:space="preserve">Note: </w:t>
      </w:r>
      <w:r>
        <w:rPr>
          <w:sz w:val="20"/>
        </w:rPr>
        <w:t>Scripts can be re-filled by any item of the same drug</w:t>
      </w:r>
      <w:r w:rsidR="0009539E">
        <w:rPr>
          <w:sz w:val="20"/>
        </w:rPr>
        <w:t xml:space="preserve"> with an osteoporosis indication</w:t>
      </w:r>
      <w:r>
        <w:rPr>
          <w:sz w:val="20"/>
        </w:rPr>
        <w:t>. See Methods section for details. The distributions are expressed as % of scripts for each drug, rather than raw script counts to make the distributions more easily comparable</w:t>
      </w:r>
      <w:r w:rsidR="00291760">
        <w:rPr>
          <w:sz w:val="20"/>
        </w:rPr>
        <w:t xml:space="preserve"> </w:t>
      </w:r>
    </w:p>
    <w:p w:rsidR="00E127D9" w:rsidRDefault="00A06230" w:rsidP="00D16037">
      <w:pPr>
        <w:rPr>
          <w:szCs w:val="28"/>
        </w:rPr>
      </w:pPr>
      <w:r w:rsidRPr="00A06230">
        <w:rPr>
          <w:szCs w:val="28"/>
        </w:rPr>
        <w:t xml:space="preserve">Figure </w:t>
      </w:r>
      <w:r w:rsidR="00EA14C0">
        <w:rPr>
          <w:szCs w:val="28"/>
        </w:rPr>
        <w:t>13</w:t>
      </w:r>
      <w:r w:rsidR="00A77EBC" w:rsidRPr="00A06230">
        <w:rPr>
          <w:szCs w:val="28"/>
        </w:rPr>
        <w:t xml:space="preserve"> </w:t>
      </w:r>
      <w:r>
        <w:rPr>
          <w:szCs w:val="28"/>
        </w:rPr>
        <w:t xml:space="preserve">shows that number of days to re-supply </w:t>
      </w:r>
      <w:r w:rsidR="00796C36" w:rsidRPr="00796C36">
        <w:rPr>
          <w:szCs w:val="28"/>
        </w:rPr>
        <w:t xml:space="preserve">for the </w:t>
      </w:r>
      <w:r w:rsidR="00EA14C0">
        <w:rPr>
          <w:szCs w:val="28"/>
        </w:rPr>
        <w:t>subcutaneous</w:t>
      </w:r>
      <w:r w:rsidR="00796C36" w:rsidRPr="00796C36">
        <w:rPr>
          <w:szCs w:val="28"/>
        </w:rPr>
        <w:t xml:space="preserve"> </w:t>
      </w:r>
      <w:r w:rsidR="00EA14C0">
        <w:rPr>
          <w:szCs w:val="28"/>
        </w:rPr>
        <w:t>and</w:t>
      </w:r>
      <w:r w:rsidR="00796C36" w:rsidRPr="00796C36">
        <w:rPr>
          <w:szCs w:val="28"/>
        </w:rPr>
        <w:t xml:space="preserve"> IV infusion drugs correspond</w:t>
      </w:r>
      <w:r w:rsidR="00EA14C0">
        <w:rPr>
          <w:szCs w:val="28"/>
        </w:rPr>
        <w:t>s</w:t>
      </w:r>
      <w:r w:rsidR="00796C36" w:rsidRPr="00796C36">
        <w:rPr>
          <w:szCs w:val="28"/>
        </w:rPr>
        <w:t xml:space="preserve"> with the expected frequency of supply</w:t>
      </w:r>
      <w:r>
        <w:rPr>
          <w:szCs w:val="28"/>
        </w:rPr>
        <w:t>. The most common number of days</w:t>
      </w:r>
      <w:r w:rsidR="00192C0B">
        <w:rPr>
          <w:szCs w:val="28"/>
        </w:rPr>
        <w:t xml:space="preserve"> to re-supply are</w:t>
      </w:r>
      <w:r>
        <w:rPr>
          <w:szCs w:val="28"/>
        </w:rPr>
        <w:t xml:space="preserve"> 28, 182 and 371 for t</w:t>
      </w:r>
      <w:r w:rsidR="009153E5">
        <w:rPr>
          <w:szCs w:val="28"/>
        </w:rPr>
        <w:t>eriparatide, denosumab and zole</w:t>
      </w:r>
      <w:r>
        <w:rPr>
          <w:szCs w:val="28"/>
        </w:rPr>
        <w:t>dronic acid respectively.</w:t>
      </w:r>
      <w:r w:rsidR="00796C36" w:rsidDel="00796C36">
        <w:rPr>
          <w:szCs w:val="28"/>
        </w:rPr>
        <w:t xml:space="preserve"> </w:t>
      </w:r>
    </w:p>
    <w:p w:rsidR="00BA6E62" w:rsidRDefault="00A77EBC" w:rsidP="00A06230">
      <w:pPr>
        <w:rPr>
          <w:szCs w:val="28"/>
        </w:rPr>
      </w:pPr>
      <w:r>
        <w:rPr>
          <w:szCs w:val="28"/>
        </w:rPr>
        <w:t>Figure 1</w:t>
      </w:r>
      <w:r w:rsidR="00EA14C0">
        <w:rPr>
          <w:szCs w:val="28"/>
        </w:rPr>
        <w:t>4</w:t>
      </w:r>
      <w:r>
        <w:rPr>
          <w:szCs w:val="28"/>
        </w:rPr>
        <w:t xml:space="preserve"> presents the time to re</w:t>
      </w:r>
      <w:r w:rsidR="00AF6B2F">
        <w:rPr>
          <w:szCs w:val="28"/>
        </w:rPr>
        <w:t>-</w:t>
      </w:r>
      <w:r>
        <w:rPr>
          <w:szCs w:val="28"/>
        </w:rPr>
        <w:t xml:space="preserve">supply distribution for the oral medicines. </w:t>
      </w:r>
      <w:r w:rsidR="00BA6E62" w:rsidRPr="00BA6E62">
        <w:rPr>
          <w:szCs w:val="28"/>
        </w:rPr>
        <w:t xml:space="preserve">The PBS maximum quantities </w:t>
      </w:r>
      <w:r w:rsidR="000B0F1D">
        <w:rPr>
          <w:szCs w:val="28"/>
        </w:rPr>
        <w:t>of</w:t>
      </w:r>
      <w:r w:rsidR="00BA6E62" w:rsidRPr="00BA6E62">
        <w:rPr>
          <w:szCs w:val="28"/>
        </w:rPr>
        <w:t xml:space="preserve"> the </w:t>
      </w:r>
      <w:r w:rsidR="00BA6E62">
        <w:rPr>
          <w:szCs w:val="28"/>
        </w:rPr>
        <w:t>oral</w:t>
      </w:r>
      <w:r w:rsidR="00BA6E62" w:rsidRPr="00BA6E62">
        <w:rPr>
          <w:szCs w:val="28"/>
        </w:rPr>
        <w:t xml:space="preserve"> medicines provide sufficient supply (based on the dose in the Product Information) for 28 days of </w:t>
      </w:r>
      <w:r w:rsidR="000B0F1D">
        <w:rPr>
          <w:szCs w:val="28"/>
        </w:rPr>
        <w:t>oral alendronate and risedronate (and combination items), raloxifene and strontium</w:t>
      </w:r>
      <w:r w:rsidR="00E1183C">
        <w:rPr>
          <w:szCs w:val="28"/>
        </w:rPr>
        <w:t>;</w:t>
      </w:r>
      <w:r w:rsidR="00BA6E62" w:rsidRPr="00BA6E62">
        <w:rPr>
          <w:szCs w:val="28"/>
        </w:rPr>
        <w:t xml:space="preserve"> </w:t>
      </w:r>
      <w:r w:rsidR="000B0F1D">
        <w:rPr>
          <w:szCs w:val="28"/>
        </w:rPr>
        <w:t xml:space="preserve">50 days for calcitriol </w:t>
      </w:r>
      <w:r w:rsidR="00BA6E62" w:rsidRPr="00BA6E62">
        <w:rPr>
          <w:szCs w:val="28"/>
        </w:rPr>
        <w:t xml:space="preserve">and </w:t>
      </w:r>
      <w:r w:rsidR="000B0F1D">
        <w:rPr>
          <w:szCs w:val="28"/>
        </w:rPr>
        <w:t>90 days for etidronate with calcium</w:t>
      </w:r>
      <w:r w:rsidR="00BA6E62" w:rsidRPr="00BA6E62">
        <w:rPr>
          <w:szCs w:val="28"/>
        </w:rPr>
        <w:t xml:space="preserve"> (See listing details at </w:t>
      </w:r>
      <w:r w:rsidR="00B57873" w:rsidRPr="00495A8A">
        <w:rPr>
          <w:rFonts w:cs="Baskerville"/>
        </w:rPr>
        <w:t>www.pbs.gov.au</w:t>
      </w:r>
      <w:r w:rsidR="00BA6E62" w:rsidRPr="00BA6E62">
        <w:rPr>
          <w:szCs w:val="28"/>
        </w:rPr>
        <w:t>).</w:t>
      </w:r>
    </w:p>
    <w:p w:rsidR="001E5648" w:rsidRDefault="001E5648" w:rsidP="001E5648">
      <w:pPr>
        <w:rPr>
          <w:b/>
          <w:sz w:val="28"/>
          <w:szCs w:val="28"/>
        </w:rPr>
      </w:pPr>
      <w:r>
        <w:rPr>
          <w:noProof/>
        </w:rPr>
        <w:drawing>
          <wp:inline distT="0" distB="0" distL="0" distR="0" wp14:anchorId="02FF844E" wp14:editId="1F834ADA">
            <wp:extent cx="5687695" cy="3703686"/>
            <wp:effectExtent l="0" t="0" r="27305" b="11430"/>
            <wp:docPr id="21" name="Chart 21" title="Figure 14: Percentage distribution of prescriptions for each oral drug by the number of days to re-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1D4A77">
        <w:rPr>
          <w:b/>
        </w:rPr>
        <w:t xml:space="preserve">Figure </w:t>
      </w:r>
      <w:r w:rsidR="006A5B56">
        <w:rPr>
          <w:b/>
        </w:rPr>
        <w:t>1</w:t>
      </w:r>
      <w:r w:rsidR="00EA14C0">
        <w:rPr>
          <w:b/>
        </w:rPr>
        <w:t>4</w:t>
      </w:r>
      <w:r>
        <w:rPr>
          <w:b/>
        </w:rPr>
        <w:t>:</w:t>
      </w:r>
      <w:r w:rsidRPr="001D4A77">
        <w:rPr>
          <w:b/>
        </w:rPr>
        <w:t xml:space="preserve"> </w:t>
      </w:r>
      <w:r>
        <w:rPr>
          <w:b/>
        </w:rPr>
        <w:t>Percentage d</w:t>
      </w:r>
      <w:r w:rsidRPr="001E5648">
        <w:rPr>
          <w:b/>
        </w:rPr>
        <w:t xml:space="preserve">istribution of </w:t>
      </w:r>
      <w:r>
        <w:rPr>
          <w:b/>
        </w:rPr>
        <w:t>prescriptions</w:t>
      </w:r>
      <w:r w:rsidRPr="001E5648">
        <w:rPr>
          <w:b/>
        </w:rPr>
        <w:t xml:space="preserve"> for each </w:t>
      </w:r>
      <w:r w:rsidR="00A06230">
        <w:rPr>
          <w:b/>
        </w:rPr>
        <w:t xml:space="preserve">oral </w:t>
      </w:r>
      <w:r w:rsidRPr="001E5648">
        <w:rPr>
          <w:b/>
        </w:rPr>
        <w:t>drug by the number of days to re-supply</w:t>
      </w:r>
      <w:r>
        <w:rPr>
          <w:b/>
        </w:rPr>
        <w:t xml:space="preserve">. </w:t>
      </w:r>
      <w:r w:rsidRPr="001E5648">
        <w:rPr>
          <w:sz w:val="20"/>
        </w:rPr>
        <w:t xml:space="preserve">Note: </w:t>
      </w:r>
      <w:r>
        <w:rPr>
          <w:sz w:val="20"/>
        </w:rPr>
        <w:t xml:space="preserve">Scripts can be re-filled by any item of the same drug. See Methods section for details. The distributions are expressed as </w:t>
      </w:r>
      <w:r w:rsidR="00A06230">
        <w:rPr>
          <w:sz w:val="20"/>
        </w:rPr>
        <w:t>% of scripts for each drug, rather than raw script counts to make the distributions more easily comparable.</w:t>
      </w:r>
    </w:p>
    <w:p w:rsidR="001E5648" w:rsidRDefault="00A77EBC" w:rsidP="001E5648">
      <w:pPr>
        <w:rPr>
          <w:szCs w:val="28"/>
        </w:rPr>
      </w:pPr>
      <w:r>
        <w:rPr>
          <w:szCs w:val="28"/>
        </w:rPr>
        <w:t>T</w:t>
      </w:r>
      <w:r w:rsidR="003572BF">
        <w:rPr>
          <w:szCs w:val="28"/>
        </w:rPr>
        <w:t xml:space="preserve">he most common number of days to re-supply are 49 and 91 for calcitriol and the etidronate </w:t>
      </w:r>
      <w:r w:rsidR="00335FA5">
        <w:rPr>
          <w:szCs w:val="28"/>
        </w:rPr>
        <w:t>co-pack</w:t>
      </w:r>
      <w:r w:rsidR="003572BF">
        <w:rPr>
          <w:szCs w:val="28"/>
        </w:rPr>
        <w:t xml:space="preserve"> respectively.</w:t>
      </w:r>
      <w:r w:rsidR="006A5B56">
        <w:rPr>
          <w:szCs w:val="28"/>
        </w:rPr>
        <w:t xml:space="preserve"> For all other oral drugs the most common number of days to resupply is 28 days.</w:t>
      </w:r>
    </w:p>
    <w:p w:rsidR="0007303D" w:rsidRDefault="00A77EBC" w:rsidP="001E5648">
      <w:pPr>
        <w:rPr>
          <w:szCs w:val="28"/>
        </w:rPr>
      </w:pPr>
      <w:r>
        <w:rPr>
          <w:szCs w:val="28"/>
        </w:rPr>
        <w:t xml:space="preserve">Mode and median days to resupply for each medicine are presented in Table </w:t>
      </w:r>
      <w:r w:rsidR="0007303D">
        <w:rPr>
          <w:szCs w:val="28"/>
        </w:rPr>
        <w:t>6</w:t>
      </w:r>
      <w:r>
        <w:rPr>
          <w:szCs w:val="28"/>
        </w:rPr>
        <w:t>. Overall, it appears that osteoporosis medicines are dispensed at time intervals consistent with</w:t>
      </w:r>
      <w:r w:rsidR="008F205C">
        <w:rPr>
          <w:szCs w:val="28"/>
        </w:rPr>
        <w:t xml:space="preserve"> the </w:t>
      </w:r>
      <w:r>
        <w:rPr>
          <w:szCs w:val="28"/>
        </w:rPr>
        <w:t xml:space="preserve">recommended dose regimens and </w:t>
      </w:r>
      <w:r w:rsidR="008F205C">
        <w:rPr>
          <w:szCs w:val="28"/>
        </w:rPr>
        <w:t xml:space="preserve">may </w:t>
      </w:r>
      <w:r>
        <w:rPr>
          <w:szCs w:val="28"/>
        </w:rPr>
        <w:t>indicate</w:t>
      </w:r>
      <w:r w:rsidR="008F205C">
        <w:rPr>
          <w:szCs w:val="28"/>
        </w:rPr>
        <w:t xml:space="preserve"> good </w:t>
      </w:r>
      <w:r>
        <w:rPr>
          <w:szCs w:val="28"/>
        </w:rPr>
        <w:t>adherence.</w:t>
      </w:r>
    </w:p>
    <w:p w:rsidR="005D0DC9" w:rsidRPr="00A77EBC" w:rsidRDefault="00910465" w:rsidP="009B385C">
      <w:pPr>
        <w:spacing w:after="0"/>
        <w:rPr>
          <w:b/>
        </w:rPr>
      </w:pPr>
      <w:r w:rsidRPr="00A77EBC">
        <w:rPr>
          <w:b/>
        </w:rPr>
        <w:t xml:space="preserve">Table </w:t>
      </w:r>
      <w:r w:rsidR="0007303D">
        <w:rPr>
          <w:b/>
        </w:rPr>
        <w:t>6</w:t>
      </w:r>
      <w:r w:rsidRPr="00A77EBC">
        <w:rPr>
          <w:b/>
        </w:rPr>
        <w:t>: Summary statistics for days to re-supply</w:t>
      </w:r>
    </w:p>
    <w:tbl>
      <w:tblPr>
        <w:tblW w:w="84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statistics for days to re-supply"/>
      </w:tblPr>
      <w:tblGrid>
        <w:gridCol w:w="5240"/>
        <w:gridCol w:w="960"/>
        <w:gridCol w:w="963"/>
        <w:gridCol w:w="1309"/>
      </w:tblGrid>
      <w:tr w:rsidR="002B7FE1" w:rsidRPr="005D0DC9" w:rsidTr="00A77EBC">
        <w:trPr>
          <w:trHeight w:val="315"/>
        </w:trPr>
        <w:tc>
          <w:tcPr>
            <w:tcW w:w="5240" w:type="dxa"/>
            <w:shd w:val="clear" w:color="auto" w:fill="BFBFBF" w:themeFill="background1" w:themeFillShade="BF"/>
            <w:noWrap/>
            <w:vAlign w:val="bottom"/>
          </w:tcPr>
          <w:p w:rsidR="002B7FE1" w:rsidRPr="00A77EBC" w:rsidRDefault="002B7FE1" w:rsidP="005D0DC9">
            <w:pPr>
              <w:spacing w:after="0"/>
              <w:rPr>
                <w:rFonts w:ascii="Calibri" w:eastAsia="Times New Roman" w:hAnsi="Calibri" w:cs="Times New Roman"/>
                <w:color w:val="000000"/>
                <w:sz w:val="20"/>
              </w:rPr>
            </w:pPr>
          </w:p>
        </w:tc>
        <w:tc>
          <w:tcPr>
            <w:tcW w:w="3232" w:type="dxa"/>
            <w:gridSpan w:val="3"/>
            <w:shd w:val="clear" w:color="auto" w:fill="BFBFBF" w:themeFill="background1" w:themeFillShade="BF"/>
            <w:noWrap/>
            <w:vAlign w:val="center"/>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Days to re-supply</w:t>
            </w:r>
          </w:p>
        </w:tc>
      </w:tr>
      <w:tr w:rsidR="002B7FE1" w:rsidRPr="005D0DC9" w:rsidTr="00A77EBC">
        <w:trPr>
          <w:trHeight w:val="315"/>
        </w:trPr>
        <w:tc>
          <w:tcPr>
            <w:tcW w:w="5240" w:type="dxa"/>
            <w:shd w:val="clear" w:color="auto" w:fill="BFBFBF" w:themeFill="background1" w:themeFillShade="BF"/>
            <w:noWrap/>
            <w:vAlign w:val="bottom"/>
            <w:hideMark/>
          </w:tcPr>
          <w:p w:rsidR="002B7FE1" w:rsidRPr="00A77EBC" w:rsidRDefault="002B7FE1" w:rsidP="005D0DC9">
            <w:pPr>
              <w:spacing w:after="0"/>
              <w:rPr>
                <w:rFonts w:ascii="Calibri" w:eastAsia="Times New Roman" w:hAnsi="Calibri" w:cs="Times New Roman"/>
                <w:color w:val="000000"/>
                <w:sz w:val="20"/>
              </w:rPr>
            </w:pPr>
            <w:r w:rsidRPr="00A77EBC">
              <w:rPr>
                <w:rFonts w:ascii="Calibri" w:eastAsia="Times New Roman" w:hAnsi="Calibri" w:cs="Times New Roman"/>
                <w:color w:val="000000"/>
                <w:sz w:val="20"/>
              </w:rPr>
              <w:t>Drug</w:t>
            </w:r>
          </w:p>
        </w:tc>
        <w:tc>
          <w:tcPr>
            <w:tcW w:w="960" w:type="dxa"/>
            <w:shd w:val="clear" w:color="auto" w:fill="BFBFBF" w:themeFill="background1" w:themeFillShade="BF"/>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Mode</w:t>
            </w:r>
          </w:p>
        </w:tc>
        <w:tc>
          <w:tcPr>
            <w:tcW w:w="963" w:type="dxa"/>
            <w:shd w:val="clear" w:color="auto" w:fill="BFBFBF" w:themeFill="background1" w:themeFillShade="BF"/>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Median</w:t>
            </w:r>
          </w:p>
        </w:tc>
        <w:tc>
          <w:tcPr>
            <w:tcW w:w="1309" w:type="dxa"/>
            <w:shd w:val="clear" w:color="auto" w:fill="BFBFBF" w:themeFill="background1" w:themeFillShade="BF"/>
            <w:vAlign w:val="bottom"/>
          </w:tcPr>
          <w:p w:rsidR="002B7FE1" w:rsidRPr="00A77EBC" w:rsidRDefault="002B7FE1" w:rsidP="00910465">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 xml:space="preserve"> n </w:t>
            </w:r>
          </w:p>
        </w:tc>
      </w:tr>
      <w:tr w:rsidR="002B7FE1" w:rsidRPr="005D0DC9" w:rsidTr="00A77EBC">
        <w:trPr>
          <w:trHeight w:val="315"/>
        </w:trPr>
        <w:tc>
          <w:tcPr>
            <w:tcW w:w="5240" w:type="dxa"/>
            <w:shd w:val="clear" w:color="auto" w:fill="auto"/>
            <w:noWrap/>
            <w:vAlign w:val="bottom"/>
            <w:hideMark/>
          </w:tcPr>
          <w:p w:rsidR="002B7FE1" w:rsidRPr="00A77EBC" w:rsidRDefault="002B7FE1" w:rsidP="005D0DC9">
            <w:pPr>
              <w:spacing w:after="0"/>
              <w:rPr>
                <w:rFonts w:ascii="Calibri" w:eastAsia="Times New Roman" w:hAnsi="Calibri" w:cs="Times New Roman"/>
                <w:color w:val="000000"/>
                <w:sz w:val="20"/>
              </w:rPr>
            </w:pPr>
            <w:r w:rsidRPr="00A77EBC">
              <w:rPr>
                <w:rFonts w:ascii="Calibri" w:eastAsia="Times New Roman" w:hAnsi="Calibri" w:cs="Times New Roman"/>
                <w:color w:val="000000"/>
                <w:sz w:val="20"/>
              </w:rPr>
              <w:t>ALENDRONATE (incl. combination products)</w:t>
            </w:r>
          </w:p>
        </w:tc>
        <w:tc>
          <w:tcPr>
            <w:tcW w:w="960"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28</w:t>
            </w:r>
          </w:p>
        </w:tc>
        <w:tc>
          <w:tcPr>
            <w:tcW w:w="963"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28</w:t>
            </w:r>
          </w:p>
        </w:tc>
        <w:tc>
          <w:tcPr>
            <w:tcW w:w="1309" w:type="dxa"/>
            <w:vAlign w:val="bottom"/>
          </w:tcPr>
          <w:p w:rsidR="002B7FE1" w:rsidRPr="00A77EBC" w:rsidRDefault="002B7FE1" w:rsidP="00910465">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 xml:space="preserve">21,375,651 </w:t>
            </w:r>
          </w:p>
        </w:tc>
      </w:tr>
      <w:tr w:rsidR="002B7FE1" w:rsidRPr="005D0DC9" w:rsidTr="00A77EBC">
        <w:trPr>
          <w:trHeight w:val="315"/>
        </w:trPr>
        <w:tc>
          <w:tcPr>
            <w:tcW w:w="5240" w:type="dxa"/>
            <w:shd w:val="clear" w:color="auto" w:fill="auto"/>
            <w:noWrap/>
            <w:vAlign w:val="bottom"/>
            <w:hideMark/>
          </w:tcPr>
          <w:p w:rsidR="002B7FE1" w:rsidRPr="00A77EBC" w:rsidRDefault="002B7FE1" w:rsidP="005D0DC9">
            <w:pPr>
              <w:spacing w:after="0"/>
              <w:rPr>
                <w:rFonts w:ascii="Calibri" w:eastAsia="Times New Roman" w:hAnsi="Calibri" w:cs="Times New Roman"/>
                <w:color w:val="000000"/>
                <w:sz w:val="20"/>
              </w:rPr>
            </w:pPr>
            <w:r w:rsidRPr="00A77EBC">
              <w:rPr>
                <w:rFonts w:ascii="Calibri" w:eastAsia="Times New Roman" w:hAnsi="Calibri" w:cs="Times New Roman"/>
                <w:color w:val="000000"/>
                <w:sz w:val="20"/>
              </w:rPr>
              <w:t>RISEDRONATE (incl. combination products)</w:t>
            </w:r>
          </w:p>
        </w:tc>
        <w:tc>
          <w:tcPr>
            <w:tcW w:w="960"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28</w:t>
            </w:r>
          </w:p>
        </w:tc>
        <w:tc>
          <w:tcPr>
            <w:tcW w:w="963"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28</w:t>
            </w:r>
          </w:p>
        </w:tc>
        <w:tc>
          <w:tcPr>
            <w:tcW w:w="1309" w:type="dxa"/>
            <w:vAlign w:val="bottom"/>
          </w:tcPr>
          <w:p w:rsidR="002B7FE1" w:rsidRPr="00A77EBC" w:rsidRDefault="002B7FE1" w:rsidP="00910465">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 xml:space="preserve">13,278,362 </w:t>
            </w:r>
          </w:p>
        </w:tc>
      </w:tr>
      <w:tr w:rsidR="002B7FE1" w:rsidRPr="005D0DC9" w:rsidTr="00A77EBC">
        <w:trPr>
          <w:trHeight w:val="315"/>
        </w:trPr>
        <w:tc>
          <w:tcPr>
            <w:tcW w:w="5240" w:type="dxa"/>
            <w:shd w:val="clear" w:color="auto" w:fill="auto"/>
            <w:noWrap/>
            <w:vAlign w:val="bottom"/>
            <w:hideMark/>
          </w:tcPr>
          <w:p w:rsidR="002B7FE1" w:rsidRPr="00A77EBC" w:rsidRDefault="002B7FE1" w:rsidP="005D0DC9">
            <w:pPr>
              <w:spacing w:after="0"/>
              <w:rPr>
                <w:rFonts w:ascii="Calibri" w:eastAsia="Times New Roman" w:hAnsi="Calibri" w:cs="Times New Roman"/>
                <w:color w:val="000000"/>
                <w:sz w:val="20"/>
              </w:rPr>
            </w:pPr>
            <w:r w:rsidRPr="00A77EBC">
              <w:rPr>
                <w:rFonts w:ascii="Calibri" w:eastAsia="Times New Roman" w:hAnsi="Calibri" w:cs="Times New Roman"/>
                <w:color w:val="000000"/>
                <w:sz w:val="20"/>
              </w:rPr>
              <w:t>RALOXIFENE</w:t>
            </w:r>
          </w:p>
        </w:tc>
        <w:tc>
          <w:tcPr>
            <w:tcW w:w="960"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28</w:t>
            </w:r>
          </w:p>
        </w:tc>
        <w:tc>
          <w:tcPr>
            <w:tcW w:w="963"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28</w:t>
            </w:r>
          </w:p>
        </w:tc>
        <w:tc>
          <w:tcPr>
            <w:tcW w:w="1309" w:type="dxa"/>
            <w:vAlign w:val="bottom"/>
          </w:tcPr>
          <w:p w:rsidR="002B7FE1" w:rsidRPr="00A77EBC" w:rsidRDefault="002B7FE1" w:rsidP="00910465">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 xml:space="preserve">3,175,606 </w:t>
            </w:r>
          </w:p>
        </w:tc>
      </w:tr>
      <w:tr w:rsidR="002B7FE1" w:rsidRPr="005D0DC9" w:rsidTr="00A77EBC">
        <w:trPr>
          <w:trHeight w:val="315"/>
        </w:trPr>
        <w:tc>
          <w:tcPr>
            <w:tcW w:w="5240" w:type="dxa"/>
            <w:shd w:val="clear" w:color="auto" w:fill="auto"/>
            <w:noWrap/>
            <w:vAlign w:val="bottom"/>
            <w:hideMark/>
          </w:tcPr>
          <w:p w:rsidR="002B7FE1" w:rsidRPr="00A77EBC" w:rsidRDefault="002B7FE1" w:rsidP="005D0DC9">
            <w:pPr>
              <w:spacing w:after="0"/>
              <w:rPr>
                <w:rFonts w:ascii="Calibri" w:eastAsia="Times New Roman" w:hAnsi="Calibri" w:cs="Times New Roman"/>
                <w:color w:val="000000"/>
                <w:sz w:val="20"/>
              </w:rPr>
            </w:pPr>
            <w:r w:rsidRPr="00A77EBC">
              <w:rPr>
                <w:rFonts w:ascii="Calibri" w:eastAsia="Times New Roman" w:hAnsi="Calibri" w:cs="Times New Roman"/>
                <w:color w:val="000000"/>
                <w:sz w:val="20"/>
              </w:rPr>
              <w:t>CALCITRIOL</w:t>
            </w:r>
          </w:p>
        </w:tc>
        <w:tc>
          <w:tcPr>
            <w:tcW w:w="960"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49</w:t>
            </w:r>
          </w:p>
        </w:tc>
        <w:tc>
          <w:tcPr>
            <w:tcW w:w="963"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55</w:t>
            </w:r>
          </w:p>
        </w:tc>
        <w:tc>
          <w:tcPr>
            <w:tcW w:w="1309" w:type="dxa"/>
            <w:vAlign w:val="bottom"/>
          </w:tcPr>
          <w:p w:rsidR="002B7FE1" w:rsidRPr="00A77EBC" w:rsidRDefault="002B7FE1" w:rsidP="00910465">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 xml:space="preserve">1,900,771 </w:t>
            </w:r>
          </w:p>
        </w:tc>
      </w:tr>
      <w:tr w:rsidR="002B7FE1" w:rsidRPr="005D0DC9" w:rsidTr="00A77EBC">
        <w:trPr>
          <w:trHeight w:val="315"/>
        </w:trPr>
        <w:tc>
          <w:tcPr>
            <w:tcW w:w="5240" w:type="dxa"/>
            <w:shd w:val="clear" w:color="auto" w:fill="auto"/>
            <w:noWrap/>
            <w:vAlign w:val="bottom"/>
            <w:hideMark/>
          </w:tcPr>
          <w:p w:rsidR="002B7FE1" w:rsidRPr="00A77EBC" w:rsidRDefault="002B7FE1" w:rsidP="005D0DC9">
            <w:pPr>
              <w:spacing w:after="0"/>
              <w:rPr>
                <w:rFonts w:ascii="Calibri" w:eastAsia="Times New Roman" w:hAnsi="Calibri" w:cs="Times New Roman"/>
                <w:color w:val="000000"/>
                <w:sz w:val="20"/>
              </w:rPr>
            </w:pPr>
            <w:r w:rsidRPr="00A77EBC">
              <w:rPr>
                <w:rFonts w:ascii="Calibri" w:eastAsia="Times New Roman" w:hAnsi="Calibri" w:cs="Times New Roman"/>
                <w:color w:val="000000"/>
                <w:sz w:val="20"/>
              </w:rPr>
              <w:t>STRONTIUM</w:t>
            </w:r>
          </w:p>
        </w:tc>
        <w:tc>
          <w:tcPr>
            <w:tcW w:w="960"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28</w:t>
            </w:r>
          </w:p>
        </w:tc>
        <w:tc>
          <w:tcPr>
            <w:tcW w:w="963"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31</w:t>
            </w:r>
          </w:p>
        </w:tc>
        <w:tc>
          <w:tcPr>
            <w:tcW w:w="1309" w:type="dxa"/>
            <w:vAlign w:val="bottom"/>
          </w:tcPr>
          <w:p w:rsidR="002B7FE1" w:rsidRPr="00A77EBC" w:rsidRDefault="002B7FE1" w:rsidP="00910465">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 xml:space="preserve">1,778,766 </w:t>
            </w:r>
          </w:p>
        </w:tc>
      </w:tr>
      <w:tr w:rsidR="002B7FE1" w:rsidRPr="005D0DC9" w:rsidTr="00A77EBC">
        <w:trPr>
          <w:trHeight w:val="315"/>
        </w:trPr>
        <w:tc>
          <w:tcPr>
            <w:tcW w:w="5240" w:type="dxa"/>
            <w:shd w:val="clear" w:color="auto" w:fill="auto"/>
            <w:noWrap/>
            <w:vAlign w:val="bottom"/>
            <w:hideMark/>
          </w:tcPr>
          <w:p w:rsidR="002B7FE1" w:rsidRPr="00A77EBC" w:rsidRDefault="002B7FE1" w:rsidP="005D0DC9">
            <w:pPr>
              <w:spacing w:after="0"/>
              <w:rPr>
                <w:rFonts w:ascii="Calibri" w:eastAsia="Times New Roman" w:hAnsi="Calibri" w:cs="Times New Roman"/>
                <w:color w:val="000000"/>
                <w:sz w:val="20"/>
              </w:rPr>
            </w:pPr>
            <w:r w:rsidRPr="00A77EBC">
              <w:rPr>
                <w:rFonts w:ascii="Calibri" w:eastAsia="Times New Roman" w:hAnsi="Calibri" w:cs="Times New Roman"/>
                <w:color w:val="000000"/>
                <w:sz w:val="20"/>
              </w:rPr>
              <w:t>DENOSUMAB</w:t>
            </w:r>
          </w:p>
        </w:tc>
        <w:tc>
          <w:tcPr>
            <w:tcW w:w="960"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182</w:t>
            </w:r>
          </w:p>
        </w:tc>
        <w:tc>
          <w:tcPr>
            <w:tcW w:w="963"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188</w:t>
            </w:r>
          </w:p>
        </w:tc>
        <w:tc>
          <w:tcPr>
            <w:tcW w:w="1309" w:type="dxa"/>
            <w:vAlign w:val="bottom"/>
          </w:tcPr>
          <w:p w:rsidR="002B7FE1" w:rsidRPr="00A77EBC" w:rsidRDefault="002B7FE1" w:rsidP="00910465">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 xml:space="preserve">257,357 </w:t>
            </w:r>
          </w:p>
        </w:tc>
      </w:tr>
      <w:tr w:rsidR="002B7FE1" w:rsidRPr="005D0DC9" w:rsidTr="00A77EBC">
        <w:trPr>
          <w:trHeight w:val="315"/>
        </w:trPr>
        <w:tc>
          <w:tcPr>
            <w:tcW w:w="5240" w:type="dxa"/>
            <w:shd w:val="clear" w:color="auto" w:fill="auto"/>
            <w:noWrap/>
            <w:vAlign w:val="bottom"/>
            <w:hideMark/>
          </w:tcPr>
          <w:p w:rsidR="002B7FE1" w:rsidRPr="00A77EBC" w:rsidRDefault="002B7FE1" w:rsidP="005D0DC9">
            <w:pPr>
              <w:spacing w:after="0"/>
              <w:rPr>
                <w:rFonts w:ascii="Calibri" w:eastAsia="Times New Roman" w:hAnsi="Calibri" w:cs="Times New Roman"/>
                <w:color w:val="000000"/>
                <w:sz w:val="20"/>
              </w:rPr>
            </w:pPr>
            <w:r w:rsidRPr="00A77EBC">
              <w:rPr>
                <w:rFonts w:ascii="Calibri" w:eastAsia="Times New Roman" w:hAnsi="Calibri" w:cs="Times New Roman"/>
                <w:color w:val="000000"/>
                <w:sz w:val="20"/>
              </w:rPr>
              <w:t>ETIDRONATE DISODIUM (&amp;) CALCIUM CARBONATE</w:t>
            </w:r>
          </w:p>
        </w:tc>
        <w:tc>
          <w:tcPr>
            <w:tcW w:w="960"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91</w:t>
            </w:r>
          </w:p>
        </w:tc>
        <w:tc>
          <w:tcPr>
            <w:tcW w:w="963"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93</w:t>
            </w:r>
          </w:p>
        </w:tc>
        <w:tc>
          <w:tcPr>
            <w:tcW w:w="1309" w:type="dxa"/>
            <w:vAlign w:val="bottom"/>
          </w:tcPr>
          <w:p w:rsidR="002B7FE1" w:rsidRPr="00A77EBC" w:rsidRDefault="002B7FE1" w:rsidP="00910465">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 xml:space="preserve">128,669 </w:t>
            </w:r>
          </w:p>
        </w:tc>
      </w:tr>
      <w:tr w:rsidR="002B7FE1" w:rsidRPr="005D0DC9" w:rsidTr="00A77EBC">
        <w:trPr>
          <w:trHeight w:val="315"/>
        </w:trPr>
        <w:tc>
          <w:tcPr>
            <w:tcW w:w="5240" w:type="dxa"/>
            <w:shd w:val="clear" w:color="auto" w:fill="auto"/>
            <w:noWrap/>
            <w:vAlign w:val="bottom"/>
            <w:hideMark/>
          </w:tcPr>
          <w:p w:rsidR="002B7FE1" w:rsidRPr="00A77EBC" w:rsidRDefault="002B7FE1" w:rsidP="005D0DC9">
            <w:pPr>
              <w:spacing w:after="0"/>
              <w:rPr>
                <w:rFonts w:ascii="Calibri" w:eastAsia="Times New Roman" w:hAnsi="Calibri" w:cs="Times New Roman"/>
                <w:color w:val="000000"/>
                <w:sz w:val="20"/>
              </w:rPr>
            </w:pPr>
            <w:r w:rsidRPr="00A77EBC">
              <w:rPr>
                <w:rFonts w:ascii="Calibri" w:eastAsia="Times New Roman" w:hAnsi="Calibri" w:cs="Times New Roman"/>
                <w:color w:val="000000"/>
                <w:sz w:val="20"/>
              </w:rPr>
              <w:t>ZOLEDRONIC ACID</w:t>
            </w:r>
          </w:p>
        </w:tc>
        <w:tc>
          <w:tcPr>
            <w:tcW w:w="960"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371</w:t>
            </w:r>
          </w:p>
        </w:tc>
        <w:tc>
          <w:tcPr>
            <w:tcW w:w="963"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383</w:t>
            </w:r>
          </w:p>
        </w:tc>
        <w:tc>
          <w:tcPr>
            <w:tcW w:w="1309" w:type="dxa"/>
            <w:vAlign w:val="bottom"/>
          </w:tcPr>
          <w:p w:rsidR="002B7FE1" w:rsidRPr="00A77EBC" w:rsidRDefault="002B7FE1" w:rsidP="00910465">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 xml:space="preserve">66,566 </w:t>
            </w:r>
          </w:p>
        </w:tc>
      </w:tr>
      <w:tr w:rsidR="002B7FE1" w:rsidRPr="005D0DC9" w:rsidTr="00A77EBC">
        <w:trPr>
          <w:trHeight w:val="315"/>
        </w:trPr>
        <w:tc>
          <w:tcPr>
            <w:tcW w:w="5240" w:type="dxa"/>
            <w:shd w:val="clear" w:color="auto" w:fill="auto"/>
            <w:noWrap/>
            <w:vAlign w:val="bottom"/>
            <w:hideMark/>
          </w:tcPr>
          <w:p w:rsidR="002B7FE1" w:rsidRPr="00A77EBC" w:rsidRDefault="002B7FE1" w:rsidP="005D0DC9">
            <w:pPr>
              <w:spacing w:after="0"/>
              <w:rPr>
                <w:rFonts w:ascii="Calibri" w:eastAsia="Times New Roman" w:hAnsi="Calibri" w:cs="Times New Roman"/>
                <w:color w:val="000000"/>
                <w:sz w:val="20"/>
              </w:rPr>
            </w:pPr>
            <w:r w:rsidRPr="00A77EBC">
              <w:rPr>
                <w:rFonts w:ascii="Calibri" w:eastAsia="Times New Roman" w:hAnsi="Calibri" w:cs="Times New Roman"/>
                <w:color w:val="000000"/>
                <w:sz w:val="20"/>
              </w:rPr>
              <w:t>TERIPARATIDE</w:t>
            </w:r>
          </w:p>
        </w:tc>
        <w:tc>
          <w:tcPr>
            <w:tcW w:w="960"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28</w:t>
            </w:r>
          </w:p>
        </w:tc>
        <w:tc>
          <w:tcPr>
            <w:tcW w:w="963" w:type="dxa"/>
            <w:shd w:val="clear" w:color="auto" w:fill="auto"/>
            <w:noWrap/>
            <w:vAlign w:val="center"/>
            <w:hideMark/>
          </w:tcPr>
          <w:p w:rsidR="002B7FE1" w:rsidRPr="00A77EBC" w:rsidRDefault="002B7FE1" w:rsidP="00A77EBC">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29</w:t>
            </w:r>
          </w:p>
        </w:tc>
        <w:tc>
          <w:tcPr>
            <w:tcW w:w="1309" w:type="dxa"/>
            <w:vAlign w:val="bottom"/>
          </w:tcPr>
          <w:p w:rsidR="002B7FE1" w:rsidRPr="00A77EBC" w:rsidRDefault="002B7FE1" w:rsidP="00910465">
            <w:pPr>
              <w:spacing w:after="0"/>
              <w:jc w:val="center"/>
              <w:rPr>
                <w:rFonts w:ascii="Calibri" w:eastAsia="Times New Roman" w:hAnsi="Calibri" w:cs="Times New Roman"/>
                <w:color w:val="000000"/>
                <w:sz w:val="20"/>
              </w:rPr>
            </w:pPr>
            <w:r w:rsidRPr="00A77EBC">
              <w:rPr>
                <w:rFonts w:ascii="Calibri" w:eastAsia="Times New Roman" w:hAnsi="Calibri" w:cs="Times New Roman"/>
                <w:color w:val="000000"/>
                <w:sz w:val="20"/>
              </w:rPr>
              <w:t xml:space="preserve">41,951 </w:t>
            </w:r>
          </w:p>
        </w:tc>
      </w:tr>
    </w:tbl>
    <w:p w:rsidR="00802E46" w:rsidRDefault="00802E46" w:rsidP="006A5B56">
      <w:pPr>
        <w:rPr>
          <w:b/>
          <w:sz w:val="28"/>
          <w:szCs w:val="28"/>
        </w:rPr>
      </w:pPr>
      <w:r>
        <w:rPr>
          <w:b/>
          <w:sz w:val="28"/>
          <w:szCs w:val="28"/>
        </w:rPr>
        <w:br w:type="page"/>
      </w:r>
    </w:p>
    <w:p w:rsidR="001E5648" w:rsidRDefault="00802E46" w:rsidP="001E5648">
      <w:pPr>
        <w:rPr>
          <w:b/>
          <w:sz w:val="28"/>
          <w:szCs w:val="28"/>
        </w:rPr>
      </w:pPr>
      <w:r>
        <w:rPr>
          <w:b/>
          <w:sz w:val="28"/>
          <w:szCs w:val="28"/>
        </w:rPr>
        <w:t xml:space="preserve">Government </w:t>
      </w:r>
      <w:r w:rsidR="001E5648">
        <w:rPr>
          <w:b/>
          <w:sz w:val="28"/>
          <w:szCs w:val="28"/>
        </w:rPr>
        <w:t>Expenditure</w:t>
      </w:r>
    </w:p>
    <w:p w:rsidR="001864C4" w:rsidRDefault="004E6A12" w:rsidP="00A61AE3">
      <w:pPr>
        <w:rPr>
          <w:b/>
        </w:rPr>
      </w:pPr>
      <w:r>
        <w:rPr>
          <w:noProof/>
        </w:rPr>
        <w:drawing>
          <wp:inline distT="0" distB="0" distL="0" distR="0" wp14:anchorId="0ADB4E9D" wp14:editId="1A63971B">
            <wp:extent cx="5687695" cy="3706724"/>
            <wp:effectExtent l="0" t="0" r="27305" b="27305"/>
            <wp:docPr id="1" name="Chart 1" title="Figure 15: Government expenditure on osteoporosis drug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802E46" w:rsidRPr="001D4A77">
        <w:rPr>
          <w:b/>
        </w:rPr>
        <w:t xml:space="preserve">Figure </w:t>
      </w:r>
      <w:r w:rsidR="00D30636">
        <w:rPr>
          <w:b/>
        </w:rPr>
        <w:t>1</w:t>
      </w:r>
      <w:r w:rsidR="00EA14C0">
        <w:rPr>
          <w:b/>
        </w:rPr>
        <w:t>5</w:t>
      </w:r>
      <w:r w:rsidR="00802E46">
        <w:rPr>
          <w:b/>
        </w:rPr>
        <w:t>:</w:t>
      </w:r>
      <w:r w:rsidR="00802E46" w:rsidRPr="001D4A77">
        <w:rPr>
          <w:b/>
        </w:rPr>
        <w:t xml:space="preserve"> </w:t>
      </w:r>
      <w:r w:rsidR="008E0EB8">
        <w:rPr>
          <w:b/>
        </w:rPr>
        <w:t>Government e</w:t>
      </w:r>
      <w:r w:rsidR="008F205C">
        <w:rPr>
          <w:b/>
        </w:rPr>
        <w:t>x</w:t>
      </w:r>
      <w:r w:rsidR="00802E46" w:rsidRPr="00802E46">
        <w:rPr>
          <w:b/>
        </w:rPr>
        <w:t>penditure</w:t>
      </w:r>
      <w:r>
        <w:rPr>
          <w:b/>
        </w:rPr>
        <w:t xml:space="preserve"> on osteoporosis drugs </w:t>
      </w:r>
    </w:p>
    <w:p w:rsidR="00350DA0" w:rsidRDefault="00D30636" w:rsidP="00A61AE3">
      <w:pPr>
        <w:rPr>
          <w:szCs w:val="28"/>
        </w:rPr>
      </w:pPr>
      <w:r>
        <w:rPr>
          <w:szCs w:val="28"/>
        </w:rPr>
        <w:t>Figure 1</w:t>
      </w:r>
      <w:r w:rsidR="00EA14C0">
        <w:rPr>
          <w:szCs w:val="28"/>
        </w:rPr>
        <w:t>5</w:t>
      </w:r>
      <w:r w:rsidR="00802E46">
        <w:rPr>
          <w:szCs w:val="28"/>
        </w:rPr>
        <w:t xml:space="preserve"> shows that total government expenditure peaked in 2007 (the same year as prescription utilisation). It then declined until 2012</w:t>
      </w:r>
      <w:r w:rsidR="000F055C">
        <w:rPr>
          <w:szCs w:val="28"/>
        </w:rPr>
        <w:t>, after which it increased and is currently at a similar level to the peak in 2007.</w:t>
      </w:r>
      <w:r w:rsidR="004E6A12">
        <w:rPr>
          <w:szCs w:val="28"/>
        </w:rPr>
        <w:t xml:space="preserve"> </w:t>
      </w:r>
      <w:r w:rsidR="00277914">
        <w:rPr>
          <w:szCs w:val="28"/>
        </w:rPr>
        <w:t>The price of bisphosphonates has reduced</w:t>
      </w:r>
      <w:r w:rsidR="004E6A12">
        <w:rPr>
          <w:szCs w:val="28"/>
        </w:rPr>
        <w:t xml:space="preserve"> </w:t>
      </w:r>
      <w:r w:rsidR="00277914">
        <w:rPr>
          <w:szCs w:val="28"/>
        </w:rPr>
        <w:t>significantly since 201</w:t>
      </w:r>
      <w:r w:rsidR="006B5098">
        <w:rPr>
          <w:szCs w:val="28"/>
        </w:rPr>
        <w:t>2</w:t>
      </w:r>
      <w:r w:rsidR="00277914">
        <w:rPr>
          <w:szCs w:val="28"/>
        </w:rPr>
        <w:t xml:space="preserve"> however total government expenditure for osteoporosis medicines has not declined to a similar </w:t>
      </w:r>
      <w:r w:rsidR="00715908">
        <w:rPr>
          <w:szCs w:val="28"/>
        </w:rPr>
        <w:t>extent</w:t>
      </w:r>
      <w:r w:rsidR="00277914">
        <w:rPr>
          <w:szCs w:val="28"/>
        </w:rPr>
        <w:t xml:space="preserve"> because </w:t>
      </w:r>
      <w:r w:rsidR="008F205C" w:rsidRPr="008F205C">
        <w:rPr>
          <w:szCs w:val="28"/>
        </w:rPr>
        <w:t xml:space="preserve">during the same period </w:t>
      </w:r>
      <w:r w:rsidR="00277914">
        <w:rPr>
          <w:szCs w:val="28"/>
        </w:rPr>
        <w:t>there has been high uptake of denosumab which is in the F1 formulary.</w:t>
      </w:r>
    </w:p>
    <w:p w:rsidR="004E6A12" w:rsidRDefault="004E6A12">
      <w:pPr>
        <w:spacing w:line="276" w:lineRule="auto"/>
        <w:rPr>
          <w:b/>
          <w:szCs w:val="28"/>
        </w:rPr>
      </w:pPr>
      <w:r>
        <w:rPr>
          <w:b/>
          <w:szCs w:val="28"/>
        </w:rPr>
        <w:br w:type="page"/>
      </w:r>
    </w:p>
    <w:p w:rsidR="00A61AE3" w:rsidRPr="00025DC2" w:rsidRDefault="00D56A25" w:rsidP="00A61AE3">
      <w:pPr>
        <w:spacing w:after="0"/>
        <w:rPr>
          <w:b/>
          <w:szCs w:val="28"/>
        </w:rPr>
      </w:pPr>
      <w:r>
        <w:rPr>
          <w:b/>
          <w:szCs w:val="28"/>
        </w:rPr>
        <w:t xml:space="preserve">Table </w:t>
      </w:r>
      <w:r w:rsidR="0007303D">
        <w:rPr>
          <w:b/>
          <w:szCs w:val="28"/>
        </w:rPr>
        <w:t>7</w:t>
      </w:r>
      <w:r w:rsidR="00A61AE3" w:rsidRPr="00025DC2">
        <w:rPr>
          <w:b/>
          <w:szCs w:val="28"/>
        </w:rPr>
        <w:t xml:space="preserve">: </w:t>
      </w:r>
      <w:r w:rsidR="00A61AE3">
        <w:rPr>
          <w:b/>
          <w:szCs w:val="28"/>
        </w:rPr>
        <w:t>Expenditure, p</w:t>
      </w:r>
      <w:r w:rsidR="00A61AE3" w:rsidRPr="00025DC2">
        <w:rPr>
          <w:b/>
          <w:szCs w:val="28"/>
        </w:rPr>
        <w:t>revalent patients (from Figure 1), and expenditure per patient</w:t>
      </w:r>
    </w:p>
    <w:tbl>
      <w:tblPr>
        <w:tblW w:w="8946" w:type="dxa"/>
        <w:tblInd w:w="93" w:type="dxa"/>
        <w:tblLayout w:type="fixed"/>
        <w:tblLook w:val="04A0" w:firstRow="1" w:lastRow="0" w:firstColumn="1" w:lastColumn="0" w:noHBand="0" w:noVBand="1"/>
        <w:tblCaption w:val="Table 7: Expenditure, prevalent patients (from Figure 1), and expenditure per patient"/>
      </w:tblPr>
      <w:tblGrid>
        <w:gridCol w:w="2066"/>
        <w:gridCol w:w="2067"/>
        <w:gridCol w:w="2066"/>
        <w:gridCol w:w="2747"/>
      </w:tblGrid>
      <w:tr w:rsidR="00A61AE3" w:rsidRPr="00025DC2" w:rsidTr="009B385C">
        <w:trPr>
          <w:trHeight w:val="600"/>
        </w:trPr>
        <w:tc>
          <w:tcPr>
            <w:tcW w:w="2066" w:type="dxa"/>
            <w:tcBorders>
              <w:top w:val="single" w:sz="4" w:space="0" w:color="auto"/>
              <w:left w:val="single" w:sz="4" w:space="0" w:color="auto"/>
              <w:bottom w:val="single" w:sz="4" w:space="0" w:color="auto"/>
              <w:right w:val="single" w:sz="4" w:space="0" w:color="auto"/>
            </w:tcBorders>
            <w:shd w:val="clear" w:color="DCE6F1" w:fill="BFBFBF"/>
            <w:vAlign w:val="center"/>
            <w:hideMark/>
          </w:tcPr>
          <w:p w:rsidR="00A61AE3" w:rsidRPr="00025DC2" w:rsidRDefault="00A61AE3" w:rsidP="005545A1">
            <w:pPr>
              <w:spacing w:after="0"/>
              <w:jc w:val="center"/>
              <w:rPr>
                <w:rFonts w:ascii="Calibri" w:eastAsia="Times New Roman" w:hAnsi="Calibri" w:cs="Times New Roman"/>
                <w:b/>
                <w:bCs/>
                <w:color w:val="000000"/>
                <w:sz w:val="20"/>
                <w:szCs w:val="20"/>
              </w:rPr>
            </w:pPr>
            <w:r w:rsidRPr="00025DC2">
              <w:rPr>
                <w:rFonts w:ascii="Calibri" w:eastAsia="Times New Roman" w:hAnsi="Calibri" w:cs="Times New Roman"/>
                <w:b/>
                <w:bCs/>
                <w:color w:val="000000"/>
                <w:sz w:val="20"/>
                <w:szCs w:val="20"/>
              </w:rPr>
              <w:t>Year</w:t>
            </w:r>
          </w:p>
        </w:tc>
        <w:tc>
          <w:tcPr>
            <w:tcW w:w="2067" w:type="dxa"/>
            <w:tcBorders>
              <w:top w:val="single" w:sz="4" w:space="0" w:color="auto"/>
              <w:left w:val="nil"/>
              <w:bottom w:val="single" w:sz="4" w:space="0" w:color="auto"/>
              <w:right w:val="single" w:sz="4" w:space="0" w:color="auto"/>
            </w:tcBorders>
            <w:shd w:val="clear" w:color="000000" w:fill="BFBFBF"/>
            <w:vAlign w:val="center"/>
            <w:hideMark/>
          </w:tcPr>
          <w:p w:rsidR="00A61AE3" w:rsidRPr="00025DC2" w:rsidRDefault="00277914" w:rsidP="00277914">
            <w:pPr>
              <w:spacing w:after="0"/>
              <w:jc w:val="center"/>
              <w:rPr>
                <w:rFonts w:ascii="Calibri" w:eastAsia="Times New Roman" w:hAnsi="Calibri" w:cs="Times New Roman"/>
                <w:b/>
                <w:bCs/>
                <w:sz w:val="20"/>
                <w:szCs w:val="20"/>
              </w:rPr>
            </w:pPr>
            <w:r>
              <w:rPr>
                <w:rFonts w:ascii="Calibri" w:eastAsia="Times New Roman" w:hAnsi="Calibri" w:cs="Times New Roman"/>
                <w:b/>
                <w:bCs/>
                <w:sz w:val="20"/>
                <w:szCs w:val="20"/>
              </w:rPr>
              <w:t xml:space="preserve">Government </w:t>
            </w:r>
            <w:r w:rsidR="009B385C">
              <w:rPr>
                <w:rFonts w:ascii="Calibri" w:eastAsia="Times New Roman" w:hAnsi="Calibri" w:cs="Times New Roman"/>
                <w:b/>
                <w:bCs/>
                <w:sz w:val="20"/>
                <w:szCs w:val="20"/>
              </w:rPr>
              <w:t xml:space="preserve">PBS </w:t>
            </w:r>
            <w:r>
              <w:rPr>
                <w:rFonts w:ascii="Calibri" w:eastAsia="Times New Roman" w:hAnsi="Calibri" w:cs="Times New Roman"/>
                <w:b/>
                <w:bCs/>
                <w:sz w:val="20"/>
                <w:szCs w:val="20"/>
              </w:rPr>
              <w:t>e</w:t>
            </w:r>
            <w:r w:rsidR="00A61AE3" w:rsidRPr="00025DC2">
              <w:rPr>
                <w:rFonts w:ascii="Calibri" w:eastAsia="Times New Roman" w:hAnsi="Calibri" w:cs="Times New Roman"/>
                <w:b/>
                <w:bCs/>
                <w:sz w:val="20"/>
                <w:szCs w:val="20"/>
              </w:rPr>
              <w:t>xpenditure</w:t>
            </w:r>
          </w:p>
        </w:tc>
        <w:tc>
          <w:tcPr>
            <w:tcW w:w="2066" w:type="dxa"/>
            <w:tcBorders>
              <w:top w:val="single" w:sz="4" w:space="0" w:color="auto"/>
              <w:left w:val="nil"/>
              <w:bottom w:val="single" w:sz="4" w:space="0" w:color="auto"/>
              <w:right w:val="single" w:sz="4" w:space="0" w:color="auto"/>
            </w:tcBorders>
            <w:shd w:val="clear" w:color="DCE6F1" w:fill="BFBFBF"/>
            <w:vAlign w:val="center"/>
            <w:hideMark/>
          </w:tcPr>
          <w:p w:rsidR="00A61AE3" w:rsidRPr="00025DC2" w:rsidRDefault="00A61AE3" w:rsidP="005545A1">
            <w:pPr>
              <w:spacing w:after="0"/>
              <w:jc w:val="center"/>
              <w:rPr>
                <w:rFonts w:ascii="Calibri" w:eastAsia="Times New Roman" w:hAnsi="Calibri" w:cs="Times New Roman"/>
                <w:b/>
                <w:bCs/>
                <w:color w:val="000000"/>
                <w:sz w:val="20"/>
                <w:szCs w:val="20"/>
              </w:rPr>
            </w:pPr>
            <w:r w:rsidRPr="00025DC2">
              <w:rPr>
                <w:rFonts w:ascii="Calibri" w:eastAsia="Times New Roman" w:hAnsi="Calibri" w:cs="Times New Roman"/>
                <w:b/>
                <w:bCs/>
                <w:color w:val="000000"/>
                <w:sz w:val="20"/>
                <w:szCs w:val="20"/>
              </w:rPr>
              <w:t>Prevalent</w:t>
            </w:r>
            <w:r>
              <w:rPr>
                <w:rFonts w:ascii="Calibri" w:eastAsia="Times New Roman" w:hAnsi="Calibri" w:cs="Times New Roman"/>
                <w:b/>
                <w:bCs/>
                <w:color w:val="000000"/>
                <w:sz w:val="20"/>
                <w:szCs w:val="20"/>
              </w:rPr>
              <w:t xml:space="preserve"> </w:t>
            </w:r>
            <w:r w:rsidRPr="00025DC2">
              <w:rPr>
                <w:rFonts w:ascii="Calibri" w:eastAsia="Times New Roman" w:hAnsi="Calibri" w:cs="Times New Roman"/>
                <w:b/>
                <w:bCs/>
                <w:color w:val="000000"/>
                <w:sz w:val="20"/>
                <w:szCs w:val="20"/>
              </w:rPr>
              <w:t>patients</w:t>
            </w:r>
          </w:p>
        </w:tc>
        <w:tc>
          <w:tcPr>
            <w:tcW w:w="2747" w:type="dxa"/>
            <w:tcBorders>
              <w:top w:val="single" w:sz="4" w:space="0" w:color="auto"/>
              <w:left w:val="nil"/>
              <w:bottom w:val="single" w:sz="4" w:space="0" w:color="auto"/>
              <w:right w:val="single" w:sz="4" w:space="0" w:color="auto"/>
            </w:tcBorders>
            <w:shd w:val="clear" w:color="000000" w:fill="BFBFBF"/>
            <w:vAlign w:val="center"/>
            <w:hideMark/>
          </w:tcPr>
          <w:p w:rsidR="00A61AE3" w:rsidRPr="00025DC2" w:rsidRDefault="00277914" w:rsidP="00277914">
            <w:pPr>
              <w:spacing w:after="0"/>
              <w:jc w:val="center"/>
              <w:rPr>
                <w:rFonts w:ascii="Calibri" w:eastAsia="Times New Roman" w:hAnsi="Calibri" w:cs="Times New Roman"/>
                <w:b/>
                <w:bCs/>
                <w:sz w:val="20"/>
                <w:szCs w:val="20"/>
              </w:rPr>
            </w:pPr>
            <w:r>
              <w:rPr>
                <w:rFonts w:ascii="Calibri" w:eastAsia="Times New Roman" w:hAnsi="Calibri" w:cs="Times New Roman"/>
                <w:b/>
                <w:bCs/>
                <w:sz w:val="20"/>
                <w:szCs w:val="20"/>
              </w:rPr>
              <w:t xml:space="preserve">Average annual </w:t>
            </w:r>
            <w:r w:rsidR="00563EEB">
              <w:rPr>
                <w:rFonts w:ascii="Calibri" w:eastAsia="Times New Roman" w:hAnsi="Calibri" w:cs="Times New Roman"/>
                <w:b/>
                <w:bCs/>
                <w:sz w:val="20"/>
                <w:szCs w:val="20"/>
              </w:rPr>
              <w:t xml:space="preserve">government </w:t>
            </w:r>
            <w:r w:rsidR="008F205C">
              <w:rPr>
                <w:rFonts w:ascii="Calibri" w:eastAsia="Times New Roman" w:hAnsi="Calibri" w:cs="Times New Roman"/>
                <w:b/>
                <w:bCs/>
                <w:sz w:val="20"/>
                <w:szCs w:val="20"/>
              </w:rPr>
              <w:t xml:space="preserve">PBS </w:t>
            </w:r>
            <w:r>
              <w:rPr>
                <w:rFonts w:ascii="Calibri" w:eastAsia="Times New Roman" w:hAnsi="Calibri" w:cs="Times New Roman"/>
                <w:b/>
                <w:bCs/>
                <w:sz w:val="20"/>
                <w:szCs w:val="20"/>
              </w:rPr>
              <w:t>e</w:t>
            </w:r>
            <w:r w:rsidR="00A61AE3" w:rsidRPr="00025DC2">
              <w:rPr>
                <w:rFonts w:ascii="Calibri" w:eastAsia="Times New Roman" w:hAnsi="Calibri" w:cs="Times New Roman"/>
                <w:b/>
                <w:bCs/>
                <w:sz w:val="20"/>
                <w:szCs w:val="20"/>
              </w:rPr>
              <w:t>xpenditure</w:t>
            </w:r>
            <w:r w:rsidR="00A61AE3">
              <w:rPr>
                <w:rFonts w:ascii="Calibri" w:eastAsia="Times New Roman" w:hAnsi="Calibri" w:cs="Times New Roman"/>
                <w:b/>
                <w:bCs/>
                <w:sz w:val="20"/>
                <w:szCs w:val="20"/>
              </w:rPr>
              <w:t xml:space="preserve"> </w:t>
            </w:r>
            <w:r w:rsidR="00A61AE3" w:rsidRPr="00025DC2">
              <w:rPr>
                <w:rFonts w:ascii="Calibri" w:eastAsia="Times New Roman" w:hAnsi="Calibri" w:cs="Times New Roman"/>
                <w:b/>
                <w:bCs/>
                <w:sz w:val="20"/>
                <w:szCs w:val="20"/>
              </w:rPr>
              <w:t>per</w:t>
            </w:r>
            <w:r w:rsidR="00A61AE3">
              <w:rPr>
                <w:rFonts w:ascii="Calibri" w:eastAsia="Times New Roman" w:hAnsi="Calibri" w:cs="Times New Roman"/>
                <w:b/>
                <w:bCs/>
                <w:sz w:val="20"/>
                <w:szCs w:val="20"/>
              </w:rPr>
              <w:t xml:space="preserve"> </w:t>
            </w:r>
            <w:r w:rsidR="00A61AE3" w:rsidRPr="00025DC2">
              <w:rPr>
                <w:rFonts w:ascii="Calibri" w:eastAsia="Times New Roman" w:hAnsi="Calibri" w:cs="Times New Roman"/>
                <w:b/>
                <w:bCs/>
                <w:sz w:val="20"/>
                <w:szCs w:val="20"/>
              </w:rPr>
              <w:t>patient</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2003</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$145,381,057</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316,691</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$459</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2004</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$167,778,503</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352,553</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$476</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2005</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$181,668,831</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391,036</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$465</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2006</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$180,298,735</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412,611</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$437</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2007</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$183,607,637</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440,958</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$416</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2008</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$169,446,744</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442,473</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$383</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2009</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$171,618,104</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441,798</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$388</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2010</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$176,528,610</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442,952</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$399</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2011</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$165,706,661</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445,529</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$372</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2012</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$162,641,747</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450,983</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$361</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2013</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$167,544,423</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452,945</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$370</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2014</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$175,242,583</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455,957</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$384</w:t>
            </w:r>
          </w:p>
        </w:tc>
      </w:tr>
      <w:tr w:rsidR="00A61AE3" w:rsidRPr="00025DC2" w:rsidTr="009B385C">
        <w:trPr>
          <w:trHeight w:val="300"/>
        </w:trPr>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2015</w:t>
            </w:r>
          </w:p>
        </w:tc>
        <w:tc>
          <w:tcPr>
            <w:tcW w:w="206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$180,910,066</w:t>
            </w:r>
          </w:p>
        </w:tc>
        <w:tc>
          <w:tcPr>
            <w:tcW w:w="2066"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471,497</w:t>
            </w:r>
          </w:p>
        </w:tc>
        <w:tc>
          <w:tcPr>
            <w:tcW w:w="2747" w:type="dxa"/>
            <w:tcBorders>
              <w:top w:val="nil"/>
              <w:left w:val="nil"/>
              <w:bottom w:val="single" w:sz="4" w:space="0" w:color="auto"/>
              <w:right w:val="single" w:sz="4" w:space="0" w:color="auto"/>
            </w:tcBorders>
            <w:shd w:val="clear" w:color="auto" w:fill="auto"/>
            <w:noWrap/>
            <w:vAlign w:val="center"/>
            <w:hideMark/>
          </w:tcPr>
          <w:p w:rsidR="00A61AE3" w:rsidRPr="00025DC2" w:rsidRDefault="00A61AE3" w:rsidP="005545A1">
            <w:pPr>
              <w:spacing w:after="0"/>
              <w:jc w:val="center"/>
              <w:rPr>
                <w:rFonts w:ascii="Calibri" w:eastAsia="Times New Roman" w:hAnsi="Calibri" w:cs="Times New Roman"/>
                <w:sz w:val="20"/>
                <w:szCs w:val="20"/>
              </w:rPr>
            </w:pPr>
            <w:r w:rsidRPr="00025DC2">
              <w:rPr>
                <w:rFonts w:ascii="Calibri" w:eastAsia="Times New Roman" w:hAnsi="Calibri" w:cs="Times New Roman"/>
                <w:sz w:val="20"/>
                <w:szCs w:val="20"/>
              </w:rPr>
              <w:t>$384</w:t>
            </w:r>
          </w:p>
        </w:tc>
      </w:tr>
    </w:tbl>
    <w:p w:rsidR="008F205C" w:rsidRDefault="008F205C" w:rsidP="00A61AE3">
      <w:pPr>
        <w:rPr>
          <w:szCs w:val="28"/>
        </w:rPr>
      </w:pPr>
    </w:p>
    <w:p w:rsidR="00A61AE3" w:rsidRPr="00802E46" w:rsidRDefault="00A61AE3" w:rsidP="00A61AE3">
      <w:pPr>
        <w:rPr>
          <w:szCs w:val="28"/>
        </w:rPr>
      </w:pPr>
      <w:r>
        <w:rPr>
          <w:szCs w:val="28"/>
        </w:rPr>
        <w:t xml:space="preserve">Table </w:t>
      </w:r>
      <w:r w:rsidR="0007303D">
        <w:rPr>
          <w:szCs w:val="28"/>
        </w:rPr>
        <w:t>7</w:t>
      </w:r>
      <w:r>
        <w:rPr>
          <w:szCs w:val="28"/>
        </w:rPr>
        <w:t xml:space="preserve"> shows that expenditure per patient decreased until 2008 and has remained relatively constant since.</w:t>
      </w:r>
    </w:p>
    <w:p w:rsidR="00ED1B20" w:rsidRPr="00802E46" w:rsidRDefault="00802E46" w:rsidP="001E5648">
      <w:pPr>
        <w:rPr>
          <w:b/>
          <w:i/>
          <w:szCs w:val="28"/>
        </w:rPr>
      </w:pPr>
      <w:r w:rsidRPr="00802E46">
        <w:rPr>
          <w:b/>
          <w:i/>
          <w:szCs w:val="28"/>
        </w:rPr>
        <w:t xml:space="preserve">Government Expenditure </w:t>
      </w:r>
      <w:r w:rsidR="00ED1B20" w:rsidRPr="00802E46">
        <w:rPr>
          <w:b/>
          <w:i/>
          <w:szCs w:val="28"/>
        </w:rPr>
        <w:t>by drug</w:t>
      </w:r>
    </w:p>
    <w:p w:rsidR="00ED1B20" w:rsidRPr="00D708F6" w:rsidRDefault="008E0EB8" w:rsidP="001E5648">
      <w:pPr>
        <w:rPr>
          <w:szCs w:val="28"/>
        </w:rPr>
      </w:pPr>
      <w:r>
        <w:rPr>
          <w:noProof/>
        </w:rPr>
        <w:drawing>
          <wp:inline distT="0" distB="0" distL="0" distR="0" wp14:anchorId="79A8B7E1" wp14:editId="58A3211B">
            <wp:extent cx="5687695" cy="3706724"/>
            <wp:effectExtent l="0" t="0" r="27305" b="27305"/>
            <wp:docPr id="14" name="Chart 14" title="Figure 16: Government expenditure by drug "/>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350DA0" w:rsidRPr="001D4A77">
        <w:rPr>
          <w:b/>
        </w:rPr>
        <w:t xml:space="preserve">Figure </w:t>
      </w:r>
      <w:r w:rsidR="00D30636">
        <w:rPr>
          <w:b/>
        </w:rPr>
        <w:t>1</w:t>
      </w:r>
      <w:r w:rsidR="00EA14C0">
        <w:rPr>
          <w:b/>
        </w:rPr>
        <w:t>6</w:t>
      </w:r>
      <w:r w:rsidR="00913F98">
        <w:rPr>
          <w:b/>
        </w:rPr>
        <w:t>:</w:t>
      </w:r>
      <w:r w:rsidR="00350DA0" w:rsidRPr="001D4A77">
        <w:rPr>
          <w:b/>
        </w:rPr>
        <w:t xml:space="preserve"> </w:t>
      </w:r>
      <w:r>
        <w:rPr>
          <w:b/>
        </w:rPr>
        <w:t>Government exp</w:t>
      </w:r>
      <w:r w:rsidR="00350DA0" w:rsidRPr="00802E46">
        <w:rPr>
          <w:b/>
        </w:rPr>
        <w:t>enditure</w:t>
      </w:r>
      <w:r w:rsidR="00350DA0">
        <w:rPr>
          <w:b/>
        </w:rPr>
        <w:t xml:space="preserve"> </w:t>
      </w:r>
      <w:r w:rsidR="00350DA0" w:rsidRPr="00177C34">
        <w:rPr>
          <w:b/>
        </w:rPr>
        <w:t xml:space="preserve">by </w:t>
      </w:r>
      <w:r w:rsidR="001864C4">
        <w:rPr>
          <w:b/>
        </w:rPr>
        <w:t xml:space="preserve">drug </w:t>
      </w:r>
    </w:p>
    <w:p w:rsidR="001864C4" w:rsidRDefault="001864C4">
      <w:pPr>
        <w:spacing w:line="276" w:lineRule="auto"/>
        <w:rPr>
          <w:b/>
          <w:sz w:val="28"/>
          <w:szCs w:val="28"/>
        </w:rPr>
      </w:pPr>
      <w:r>
        <w:rPr>
          <w:b/>
          <w:sz w:val="28"/>
          <w:szCs w:val="28"/>
        </w:rPr>
        <w:br w:type="page"/>
      </w:r>
    </w:p>
    <w:p w:rsidR="00ED1B20" w:rsidRDefault="00ED1B20" w:rsidP="00ED1B20">
      <w:pPr>
        <w:rPr>
          <w:b/>
          <w:sz w:val="28"/>
          <w:szCs w:val="28"/>
        </w:rPr>
      </w:pPr>
      <w:r>
        <w:rPr>
          <w:b/>
          <w:sz w:val="28"/>
          <w:szCs w:val="28"/>
        </w:rPr>
        <w:t xml:space="preserve">Predicted vs Actual </w:t>
      </w:r>
      <w:r w:rsidR="008E4291">
        <w:rPr>
          <w:b/>
          <w:sz w:val="28"/>
          <w:szCs w:val="28"/>
        </w:rPr>
        <w:t xml:space="preserve">utilisation </w:t>
      </w:r>
      <w:r>
        <w:rPr>
          <w:b/>
          <w:sz w:val="28"/>
          <w:szCs w:val="28"/>
        </w:rPr>
        <w:t>for Denosumab</w:t>
      </w:r>
      <w:r w:rsidR="00335C03">
        <w:rPr>
          <w:b/>
          <w:sz w:val="28"/>
          <w:szCs w:val="28"/>
        </w:rPr>
        <w:t>333</w:t>
      </w:r>
    </w:p>
    <w:p w:rsidR="006F18B4" w:rsidRPr="00B044AF" w:rsidRDefault="008153B4" w:rsidP="000915F5">
      <w:pPr>
        <w:rPr>
          <w:b/>
          <w:u w:val="single"/>
        </w:rPr>
      </w:pPr>
      <w:r w:rsidRPr="00B044AF">
        <w:rPr>
          <w:szCs w:val="28"/>
        </w:rPr>
        <w:t xml:space="preserve">Denosumab was </w:t>
      </w:r>
      <w:r w:rsidR="00331228" w:rsidRPr="00B044AF">
        <w:rPr>
          <w:szCs w:val="28"/>
        </w:rPr>
        <w:t xml:space="preserve">first </w:t>
      </w:r>
      <w:r w:rsidRPr="00B044AF">
        <w:rPr>
          <w:szCs w:val="28"/>
        </w:rPr>
        <w:t>listed in Dec</w:t>
      </w:r>
      <w:r w:rsidR="009B385C" w:rsidRPr="00B044AF">
        <w:rPr>
          <w:szCs w:val="28"/>
        </w:rPr>
        <w:t>ember</w:t>
      </w:r>
      <w:r w:rsidRPr="00B044AF">
        <w:rPr>
          <w:szCs w:val="28"/>
        </w:rPr>
        <w:t xml:space="preserve"> 201</w:t>
      </w:r>
      <w:r w:rsidR="00972C44" w:rsidRPr="00B044AF">
        <w:rPr>
          <w:szCs w:val="28"/>
        </w:rPr>
        <w:t>0</w:t>
      </w:r>
      <w:r w:rsidRPr="00B044AF">
        <w:rPr>
          <w:szCs w:val="28"/>
        </w:rPr>
        <w:t xml:space="preserve"> and the number of patients initiating in that month was relatively low (129 compared to </w:t>
      </w:r>
      <w:r w:rsidR="00972C44" w:rsidRPr="00B044AF">
        <w:rPr>
          <w:szCs w:val="28"/>
        </w:rPr>
        <w:t xml:space="preserve">10,514 </w:t>
      </w:r>
      <w:r w:rsidRPr="00B044AF">
        <w:rPr>
          <w:szCs w:val="28"/>
        </w:rPr>
        <w:t>in 201</w:t>
      </w:r>
      <w:r w:rsidR="00972C44" w:rsidRPr="00B044AF">
        <w:rPr>
          <w:szCs w:val="28"/>
        </w:rPr>
        <w:t>1</w:t>
      </w:r>
      <w:r w:rsidRPr="00B044AF">
        <w:rPr>
          <w:szCs w:val="28"/>
        </w:rPr>
        <w:t>)</w:t>
      </w:r>
      <w:r w:rsidR="00370898" w:rsidRPr="00B044AF">
        <w:rPr>
          <w:szCs w:val="28"/>
        </w:rPr>
        <w:t xml:space="preserve">. As </w:t>
      </w:r>
      <w:r w:rsidR="00BC4EBA" w:rsidRPr="00B044AF">
        <w:rPr>
          <w:szCs w:val="28"/>
        </w:rPr>
        <w:t xml:space="preserve">calendar year </w:t>
      </w:r>
      <w:r w:rsidR="00370898" w:rsidRPr="00B044AF">
        <w:rPr>
          <w:szCs w:val="28"/>
        </w:rPr>
        <w:t>prevalent and initiating patient counts had already been calculated previously in this analysis, it was decided that calendar year 201</w:t>
      </w:r>
      <w:r w:rsidR="00972C44" w:rsidRPr="00B044AF">
        <w:rPr>
          <w:szCs w:val="28"/>
        </w:rPr>
        <w:t>1</w:t>
      </w:r>
      <w:r w:rsidR="00370898" w:rsidRPr="00B044AF">
        <w:rPr>
          <w:szCs w:val="28"/>
        </w:rPr>
        <w:t xml:space="preserve"> was a reasonable approximation to the first year of listing for the purpose of comparing predicted and actual utilisation.</w:t>
      </w:r>
    </w:p>
    <w:p w:rsidR="001523D2" w:rsidRPr="00B044AF" w:rsidRDefault="00E01430" w:rsidP="001523D2">
      <w:pPr>
        <w:rPr>
          <w:b/>
          <w:i/>
        </w:rPr>
      </w:pPr>
      <w:r w:rsidRPr="00B044AF">
        <w:rPr>
          <w:b/>
          <w:i/>
        </w:rPr>
        <w:t>A</w:t>
      </w:r>
      <w:r w:rsidR="001523D2" w:rsidRPr="00B044AF">
        <w:rPr>
          <w:b/>
          <w:i/>
        </w:rPr>
        <w:t>pproach</w:t>
      </w:r>
      <w:r w:rsidR="00BD58D9" w:rsidRPr="00B044AF">
        <w:rPr>
          <w:b/>
          <w:i/>
        </w:rPr>
        <w:t>es</w:t>
      </w:r>
      <w:r w:rsidR="001523D2" w:rsidRPr="00B044AF">
        <w:rPr>
          <w:b/>
          <w:i/>
        </w:rPr>
        <w:t xml:space="preserve"> taken to estimate utilisation</w:t>
      </w:r>
      <w:r w:rsidR="00530EE1" w:rsidRPr="00B044AF">
        <w:rPr>
          <w:b/>
          <w:i/>
        </w:rPr>
        <w:t xml:space="preserve"> of denosumab</w:t>
      </w:r>
    </w:p>
    <w:p w:rsidR="00530EE1" w:rsidRPr="00B044AF" w:rsidRDefault="00530EE1" w:rsidP="00530EE1">
      <w:pPr>
        <w:rPr>
          <w:u w:val="single"/>
        </w:rPr>
      </w:pPr>
      <w:r w:rsidRPr="00B044AF">
        <w:rPr>
          <w:u w:val="single"/>
        </w:rPr>
        <w:t>First recommended submission</w:t>
      </w:r>
      <w:r w:rsidR="00D61DBE" w:rsidRPr="00B044AF">
        <w:rPr>
          <w:u w:val="single"/>
        </w:rPr>
        <w:t xml:space="preserve"> (July 2010 PBAC) </w:t>
      </w:r>
      <w:r w:rsidRPr="00B044AF">
        <w:rPr>
          <w:u w:val="single"/>
        </w:rPr>
        <w:t xml:space="preserve"> </w:t>
      </w:r>
    </w:p>
    <w:p w:rsidR="00530EE1" w:rsidRPr="00B044AF" w:rsidRDefault="00530EE1" w:rsidP="001523D2">
      <w:r w:rsidRPr="00B044AF">
        <w:t xml:space="preserve">Listed on the PBS on a cost-minimisation basis with zoledronic acid (with an adjustment to the price to account for the different requirements for administration) for women aged 70 or older with a BMD T-score of -3.0 or less and for established post-menopausal osteoporosis in patients with fracture due to minimal trauma. Listed as Authority Required in December 2010 and changed to </w:t>
      </w:r>
      <w:r w:rsidR="00FF41BC" w:rsidRPr="00B044AF">
        <w:t>STREAMLINED</w:t>
      </w:r>
      <w:r w:rsidRPr="00B044AF">
        <w:t xml:space="preserve"> in March 2012.</w:t>
      </w:r>
      <w:r w:rsidR="00BE3D8B" w:rsidRPr="00B044AF">
        <w:t xml:space="preserve"> </w:t>
      </w:r>
      <w:r w:rsidR="008112F8" w:rsidRPr="00B044AF">
        <w:t xml:space="preserve">The osteoporosis market was assumed to grow by 3% and a denosumab </w:t>
      </w:r>
      <w:r w:rsidR="00BE3D8B" w:rsidRPr="00B044AF">
        <w:t xml:space="preserve">uptake rate of </w:t>
      </w:r>
      <w:r w:rsidR="00495A8A">
        <w:rPr>
          <w:noProof/>
          <w:color w:val="000000"/>
          <w:highlight w:val="black"/>
        </w:rPr>
        <w:t>'''</w:t>
      </w:r>
      <w:r w:rsidR="00BE3D8B" w:rsidRPr="00B044AF">
        <w:t xml:space="preserve">% to </w:t>
      </w:r>
      <w:r w:rsidR="00495A8A">
        <w:rPr>
          <w:noProof/>
          <w:color w:val="000000"/>
          <w:highlight w:val="black"/>
        </w:rPr>
        <w:t>'''''</w:t>
      </w:r>
      <w:r w:rsidR="005B2920" w:rsidRPr="00B044AF">
        <w:t>% of the market was assumed in listing years 1 to 5.</w:t>
      </w:r>
    </w:p>
    <w:p w:rsidR="001523D2" w:rsidRPr="00B044AF" w:rsidRDefault="00530EE1" w:rsidP="001523D2">
      <w:pPr>
        <w:rPr>
          <w:u w:val="single"/>
        </w:rPr>
      </w:pPr>
      <w:r w:rsidRPr="00B044AF">
        <w:rPr>
          <w:u w:val="single"/>
        </w:rPr>
        <w:t>First listing extension (March 2012 PBAC)</w:t>
      </w:r>
    </w:p>
    <w:p w:rsidR="000044FD" w:rsidRPr="00B044AF" w:rsidRDefault="000044FD" w:rsidP="001523D2">
      <w:r w:rsidRPr="00B044AF">
        <w:t xml:space="preserve">The listing of denosumab was extended to the treatment of osteoporosis for </w:t>
      </w:r>
      <w:r w:rsidR="00BD58D9" w:rsidRPr="00B044AF">
        <w:t>women</w:t>
      </w:r>
      <w:r w:rsidRPr="00B044AF">
        <w:t xml:space="preserve"> aged 70 years and above with a BMD T score of -2.5 or less</w:t>
      </w:r>
      <w:r w:rsidR="00E01430" w:rsidRPr="00B044AF">
        <w:t>.</w:t>
      </w:r>
    </w:p>
    <w:p w:rsidR="00CE58B0" w:rsidRPr="00B044AF" w:rsidRDefault="001523D2" w:rsidP="001523D2">
      <w:r w:rsidRPr="00B044AF">
        <w:t xml:space="preserve">The submission used the Medicare Australia website, a report titled ‘The Burden of Brittle Bones’ (Osteoporosis Australia 2007) and a 10% sample of the PBS dispensing data to establish the size of the existing osteoporosis market and inform future growth rates. The submission used </w:t>
      </w:r>
      <w:r w:rsidR="009B7B32" w:rsidRPr="00B044AF">
        <w:t xml:space="preserve">the </w:t>
      </w:r>
      <w:r w:rsidRPr="00B044AF">
        <w:t>G</w:t>
      </w:r>
      <w:r w:rsidR="009B7B32" w:rsidRPr="00B044AF">
        <w:t xml:space="preserve">eelong </w:t>
      </w:r>
      <w:r w:rsidRPr="00B044AF">
        <w:t>O</w:t>
      </w:r>
      <w:r w:rsidR="009B7B32" w:rsidRPr="00B044AF">
        <w:t xml:space="preserve">steoporosis </w:t>
      </w:r>
      <w:r w:rsidRPr="00B044AF">
        <w:t>S</w:t>
      </w:r>
      <w:r w:rsidR="009B7B32" w:rsidRPr="00B044AF">
        <w:t xml:space="preserve">tudy </w:t>
      </w:r>
      <w:r w:rsidRPr="00B044AF">
        <w:t>to estimate the size of the new PBS population</w:t>
      </w:r>
      <w:r w:rsidR="00E01430" w:rsidRPr="00B044AF">
        <w:t xml:space="preserve"> (ie. those patients with BMD between -3.0 and -2.5)</w:t>
      </w:r>
      <w:r w:rsidRPr="00B044AF">
        <w:t>. The DUSC report, Anti-resorptive drugs for the treatment of osteoporosis (February 2009) was used to estimate the BMD testing rate.</w:t>
      </w:r>
      <w:r w:rsidR="000044FD" w:rsidRPr="00B044AF">
        <w:t xml:space="preserve"> </w:t>
      </w:r>
      <w:r w:rsidR="009B7B32" w:rsidRPr="00B044AF">
        <w:t xml:space="preserve"> The submission estimated minimal expansion of the market due to the extension of listing.</w:t>
      </w:r>
      <w:r w:rsidR="00BD58D9" w:rsidRPr="00B044AF">
        <w:t xml:space="preserve"> That is, </w:t>
      </w:r>
      <w:r w:rsidR="00495A8A">
        <w:rPr>
          <w:noProof/>
          <w:color w:val="000000"/>
          <w:highlight w:val="black"/>
        </w:rPr>
        <w:t>''''''</w:t>
      </w:r>
      <w:r w:rsidR="00BD58D9" w:rsidRPr="00B044AF">
        <w:t xml:space="preserve">% to </w:t>
      </w:r>
      <w:r w:rsidR="00495A8A">
        <w:rPr>
          <w:noProof/>
          <w:color w:val="000000"/>
          <w:highlight w:val="black"/>
        </w:rPr>
        <w:t>''''''</w:t>
      </w:r>
      <w:r w:rsidR="00BD58D9" w:rsidRPr="00B044AF">
        <w:t xml:space="preserve">% in years 1 to 5 post listing respectively. The expected denosumab uptake rate in this expanded market was </w:t>
      </w:r>
      <w:r w:rsidR="00495A8A">
        <w:rPr>
          <w:noProof/>
          <w:color w:val="000000"/>
          <w:highlight w:val="black"/>
        </w:rPr>
        <w:t>'''</w:t>
      </w:r>
      <w:r w:rsidR="00BD58D9" w:rsidRPr="00B044AF">
        <w:t xml:space="preserve">% to </w:t>
      </w:r>
      <w:r w:rsidR="00495A8A">
        <w:rPr>
          <w:noProof/>
          <w:color w:val="000000"/>
          <w:highlight w:val="black"/>
        </w:rPr>
        <w:t>'''''</w:t>
      </w:r>
      <w:r w:rsidR="00BD58D9" w:rsidRPr="00B044AF">
        <w:t>% in years</w:t>
      </w:r>
      <w:r w:rsidR="009B7B32" w:rsidRPr="00B044AF">
        <w:t xml:space="preserve"> </w:t>
      </w:r>
      <w:r w:rsidR="00BD58D9" w:rsidRPr="00B044AF">
        <w:t xml:space="preserve">1 to 5 post listing respectively. </w:t>
      </w:r>
      <w:r w:rsidR="000044FD" w:rsidRPr="00B044AF">
        <w:t>The listing was changed in August 2012.</w:t>
      </w:r>
    </w:p>
    <w:p w:rsidR="00530EE1" w:rsidRPr="00B044AF" w:rsidRDefault="00530EE1" w:rsidP="00530EE1">
      <w:pPr>
        <w:rPr>
          <w:u w:val="single"/>
        </w:rPr>
      </w:pPr>
      <w:r w:rsidRPr="00B044AF">
        <w:rPr>
          <w:u w:val="single"/>
        </w:rPr>
        <w:t>Second listing extension (</w:t>
      </w:r>
      <w:r w:rsidR="000044FD" w:rsidRPr="00B044AF">
        <w:rPr>
          <w:u w:val="single"/>
        </w:rPr>
        <w:t>July 2013</w:t>
      </w:r>
      <w:r w:rsidRPr="00B044AF">
        <w:rPr>
          <w:u w:val="single"/>
        </w:rPr>
        <w:t xml:space="preserve"> PBAC)</w:t>
      </w:r>
    </w:p>
    <w:p w:rsidR="00BD58D9" w:rsidRPr="00B044AF" w:rsidRDefault="000044FD" w:rsidP="001523D2">
      <w:pPr>
        <w:rPr>
          <w:lang w:val="en-US" w:eastAsia="en-US"/>
        </w:rPr>
      </w:pPr>
      <w:r w:rsidRPr="00B044AF">
        <w:rPr>
          <w:lang w:val="en-US" w:eastAsia="en-US"/>
        </w:rPr>
        <w:t>The restriction was expanded to include males</w:t>
      </w:r>
      <w:r w:rsidR="00227749" w:rsidRPr="00B044AF">
        <w:rPr>
          <w:lang w:val="en-US" w:eastAsia="en-US"/>
        </w:rPr>
        <w:t xml:space="preserve"> and the listing was changed in December</w:t>
      </w:r>
      <w:r w:rsidR="009923F1" w:rsidRPr="00B044AF">
        <w:rPr>
          <w:lang w:val="en-US" w:eastAsia="en-US"/>
        </w:rPr>
        <w:t> </w:t>
      </w:r>
      <w:r w:rsidR="00227749" w:rsidRPr="00B044AF">
        <w:rPr>
          <w:lang w:val="en-US" w:eastAsia="en-US"/>
        </w:rPr>
        <w:t>2013.</w:t>
      </w:r>
      <w:r w:rsidRPr="00B044AF">
        <w:rPr>
          <w:lang w:val="en-US" w:eastAsia="en-US"/>
        </w:rPr>
        <w:t xml:space="preserve"> </w:t>
      </w:r>
      <w:r w:rsidR="00E01430" w:rsidRPr="00B044AF">
        <w:rPr>
          <w:lang w:val="en-US" w:eastAsia="en-US"/>
        </w:rPr>
        <w:t xml:space="preserve">This extension was expected to expand the potential denosumab market by 17%. However the predicted uptake rates were </w:t>
      </w:r>
      <w:r w:rsidR="00495A8A">
        <w:rPr>
          <w:noProof/>
          <w:color w:val="000000"/>
          <w:highlight w:val="black"/>
          <w:lang w:val="en-US" w:eastAsia="en-US"/>
        </w:rPr>
        <w:t>'''''</w:t>
      </w:r>
      <w:r w:rsidR="00E01430" w:rsidRPr="00B044AF">
        <w:rPr>
          <w:lang w:val="en-US" w:eastAsia="en-US"/>
        </w:rPr>
        <w:t xml:space="preserve">% in year 1 to </w:t>
      </w:r>
      <w:r w:rsidR="00495A8A">
        <w:rPr>
          <w:noProof/>
          <w:color w:val="000000"/>
          <w:highlight w:val="black"/>
          <w:lang w:val="en-US" w:eastAsia="en-US"/>
        </w:rPr>
        <w:t>'''''''</w:t>
      </w:r>
      <w:r w:rsidR="00E01430" w:rsidRPr="00B044AF">
        <w:rPr>
          <w:lang w:val="en-US" w:eastAsia="en-US"/>
        </w:rPr>
        <w:t>% in year 5, so after incorporating the</w:t>
      </w:r>
      <w:r w:rsidR="007D628F" w:rsidRPr="00B044AF">
        <w:rPr>
          <w:lang w:val="en-US" w:eastAsia="en-US"/>
        </w:rPr>
        <w:t>se</w:t>
      </w:r>
      <w:r w:rsidR="00E01430" w:rsidRPr="00B044AF">
        <w:rPr>
          <w:lang w:val="en-US" w:eastAsia="en-US"/>
        </w:rPr>
        <w:t xml:space="preserve"> uptake rates the predicted denosumab market expansion was </w:t>
      </w:r>
      <w:r w:rsidR="00495A8A">
        <w:rPr>
          <w:noProof/>
          <w:color w:val="000000"/>
          <w:highlight w:val="black"/>
          <w:lang w:val="en-US" w:eastAsia="en-US"/>
        </w:rPr>
        <w:t>''''''</w:t>
      </w:r>
      <w:r w:rsidR="00E01430" w:rsidRPr="00B044AF">
        <w:rPr>
          <w:lang w:val="en-US" w:eastAsia="en-US"/>
        </w:rPr>
        <w:t xml:space="preserve">% in year 1 to </w:t>
      </w:r>
      <w:r w:rsidR="00495A8A">
        <w:rPr>
          <w:noProof/>
          <w:color w:val="000000"/>
          <w:highlight w:val="black"/>
          <w:lang w:val="en-US" w:eastAsia="en-US"/>
        </w:rPr>
        <w:t>'''''</w:t>
      </w:r>
      <w:r w:rsidR="00E01430" w:rsidRPr="00B044AF">
        <w:rPr>
          <w:lang w:val="en-US" w:eastAsia="en-US"/>
        </w:rPr>
        <w:t>% in year 5.</w:t>
      </w:r>
    </w:p>
    <w:p w:rsidR="00530EE1" w:rsidRPr="00B044AF" w:rsidRDefault="000044FD" w:rsidP="001523D2">
      <w:r w:rsidRPr="00B044AF">
        <w:rPr>
          <w:lang w:val="en-US" w:eastAsia="en-US"/>
        </w:rPr>
        <w:t xml:space="preserve">This submission </w:t>
      </w:r>
      <w:r w:rsidR="00E01430" w:rsidRPr="00B044AF">
        <w:rPr>
          <w:lang w:val="en-US" w:eastAsia="en-US"/>
        </w:rPr>
        <w:t xml:space="preserve">also </w:t>
      </w:r>
      <w:r w:rsidRPr="00B044AF">
        <w:rPr>
          <w:lang w:val="en-US" w:eastAsia="en-US"/>
        </w:rPr>
        <w:t xml:space="preserve">estimated the effect of both the extensions to listing on denosumab utilisation. </w:t>
      </w:r>
      <w:r w:rsidR="00700FA3" w:rsidRPr="00B044AF">
        <w:rPr>
          <w:lang w:val="en-US" w:eastAsia="en-US"/>
        </w:rPr>
        <w:t>The predicted number of prescriptions for postmenopausal osteoporosis in this submission was actually less than that in the original submissio</w:t>
      </w:r>
      <w:r w:rsidR="00F31A7A" w:rsidRPr="00B044AF">
        <w:rPr>
          <w:lang w:val="en-US" w:eastAsia="en-US"/>
        </w:rPr>
        <w:t>n (except in Year 5, see Table 8</w:t>
      </w:r>
      <w:r w:rsidR="00700FA3" w:rsidRPr="00B044AF">
        <w:rPr>
          <w:lang w:val="en-US" w:eastAsia="en-US"/>
        </w:rPr>
        <w:t>) even though the restriction was extended to include women with a BMD T score of -2.5 or less on 1/8/2012. This was because the updated prediction had regard to the slower than expected uptake rate.</w:t>
      </w:r>
      <w:r w:rsidRPr="00B044AF">
        <w:rPr>
          <w:lang w:val="en-US" w:eastAsia="en-US"/>
        </w:rPr>
        <w:t xml:space="preserve"> </w:t>
      </w:r>
      <w:r w:rsidR="004373DD" w:rsidRPr="00B044AF">
        <w:rPr>
          <w:lang w:val="en-US" w:eastAsia="en-US"/>
        </w:rPr>
        <w:t xml:space="preserve"> This submission did not estimate patient numbers.</w:t>
      </w:r>
    </w:p>
    <w:p w:rsidR="00530EE1" w:rsidRPr="00B044AF" w:rsidRDefault="000044FD" w:rsidP="00530EE1">
      <w:pPr>
        <w:rPr>
          <w:szCs w:val="28"/>
        </w:rPr>
      </w:pPr>
      <w:r w:rsidRPr="00B044AF">
        <w:rPr>
          <w:szCs w:val="28"/>
        </w:rPr>
        <w:t xml:space="preserve">The original and updated estimates are shown </w:t>
      </w:r>
      <w:r w:rsidR="00717420" w:rsidRPr="00B044AF">
        <w:rPr>
          <w:szCs w:val="28"/>
        </w:rPr>
        <w:t>i</w:t>
      </w:r>
      <w:r w:rsidRPr="00B044AF">
        <w:rPr>
          <w:szCs w:val="28"/>
        </w:rPr>
        <w:t xml:space="preserve">n Table </w:t>
      </w:r>
      <w:r w:rsidR="00F31A7A" w:rsidRPr="00B044AF">
        <w:rPr>
          <w:szCs w:val="28"/>
        </w:rPr>
        <w:t>8</w:t>
      </w:r>
      <w:r w:rsidR="00BE3D8B" w:rsidRPr="00B044AF">
        <w:rPr>
          <w:szCs w:val="28"/>
        </w:rPr>
        <w:t xml:space="preserve">. </w:t>
      </w:r>
    </w:p>
    <w:tbl>
      <w:tblPr>
        <w:tblW w:w="5002" w:type="pct"/>
        <w:tblLayout w:type="fixed"/>
        <w:tblLook w:val="04A0" w:firstRow="1" w:lastRow="0" w:firstColumn="1" w:lastColumn="0" w:noHBand="0" w:noVBand="1"/>
        <w:tblCaption w:val="Table 8: Predicted vs Actual utilisation of denosumab"/>
      </w:tblPr>
      <w:tblGrid>
        <w:gridCol w:w="1387"/>
        <w:gridCol w:w="1845"/>
        <w:gridCol w:w="1173"/>
        <w:gridCol w:w="1173"/>
        <w:gridCol w:w="1173"/>
        <w:gridCol w:w="1173"/>
        <w:gridCol w:w="193"/>
        <w:gridCol w:w="450"/>
        <w:gridCol w:w="527"/>
        <w:gridCol w:w="83"/>
      </w:tblGrid>
      <w:tr w:rsidR="00533A54" w:rsidRPr="000941D8" w:rsidTr="00FB13F1">
        <w:trPr>
          <w:trHeight w:val="330"/>
        </w:trPr>
        <w:tc>
          <w:tcPr>
            <w:tcW w:w="4422" w:type="pct"/>
            <w:gridSpan w:val="7"/>
            <w:tcBorders>
              <w:top w:val="nil"/>
              <w:left w:val="nil"/>
              <w:bottom w:val="nil"/>
              <w:right w:val="nil"/>
            </w:tcBorders>
            <w:shd w:val="clear" w:color="auto" w:fill="auto"/>
            <w:noWrap/>
            <w:vAlign w:val="center"/>
            <w:hideMark/>
          </w:tcPr>
          <w:p w:rsidR="00236AB2" w:rsidRPr="00B044AF" w:rsidRDefault="00D56A25" w:rsidP="0007303D">
            <w:pPr>
              <w:spacing w:after="0"/>
              <w:rPr>
                <w:rFonts w:ascii="Cambria" w:eastAsia="Times New Roman" w:hAnsi="Cambria" w:cs="Times New Roman"/>
                <w:b/>
                <w:bCs/>
                <w:color w:val="4F81BD"/>
                <w:sz w:val="18"/>
                <w:szCs w:val="18"/>
              </w:rPr>
            </w:pPr>
            <w:r w:rsidRPr="00B044AF">
              <w:rPr>
                <w:b/>
              </w:rPr>
              <w:t>Table</w:t>
            </w:r>
            <w:r w:rsidR="009317D2" w:rsidRPr="00B044AF">
              <w:rPr>
                <w:b/>
              </w:rPr>
              <w:t xml:space="preserve"> </w:t>
            </w:r>
            <w:r w:rsidR="0007303D" w:rsidRPr="00B044AF">
              <w:rPr>
                <w:b/>
              </w:rPr>
              <w:t>8</w:t>
            </w:r>
            <w:r w:rsidR="00314F6A" w:rsidRPr="00B044AF">
              <w:rPr>
                <w:b/>
              </w:rPr>
              <w:t xml:space="preserve">: Predicted vs Actual utilisation </w:t>
            </w:r>
            <w:r w:rsidR="00CE58B0" w:rsidRPr="00B044AF">
              <w:rPr>
                <w:b/>
              </w:rPr>
              <w:t>of denosumab</w:t>
            </w:r>
          </w:p>
        </w:tc>
        <w:tc>
          <w:tcPr>
            <w:tcW w:w="245" w:type="pct"/>
            <w:tcBorders>
              <w:top w:val="nil"/>
              <w:left w:val="nil"/>
              <w:bottom w:val="nil"/>
              <w:right w:val="nil"/>
            </w:tcBorders>
            <w:shd w:val="clear" w:color="auto" w:fill="auto"/>
            <w:noWrap/>
            <w:vAlign w:val="bottom"/>
            <w:hideMark/>
          </w:tcPr>
          <w:p w:rsidR="00314F6A" w:rsidRPr="00B044AF" w:rsidRDefault="00314F6A" w:rsidP="00314F6A">
            <w:pPr>
              <w:spacing w:after="0"/>
              <w:rPr>
                <w:rFonts w:ascii="Calibri" w:eastAsia="Times New Roman" w:hAnsi="Calibri" w:cs="Times New Roman"/>
                <w:color w:val="000000"/>
                <w:sz w:val="18"/>
                <w:szCs w:val="18"/>
              </w:rPr>
            </w:pPr>
          </w:p>
        </w:tc>
        <w:tc>
          <w:tcPr>
            <w:tcW w:w="332" w:type="pct"/>
            <w:gridSpan w:val="2"/>
            <w:tcBorders>
              <w:top w:val="nil"/>
              <w:left w:val="nil"/>
              <w:bottom w:val="nil"/>
              <w:right w:val="nil"/>
            </w:tcBorders>
            <w:shd w:val="clear" w:color="auto" w:fill="auto"/>
            <w:noWrap/>
            <w:vAlign w:val="bottom"/>
            <w:hideMark/>
          </w:tcPr>
          <w:p w:rsidR="00314F6A" w:rsidRPr="00B044AF" w:rsidRDefault="00314F6A" w:rsidP="00314F6A">
            <w:pPr>
              <w:spacing w:after="0"/>
              <w:rPr>
                <w:rFonts w:ascii="Calibri" w:eastAsia="Times New Roman" w:hAnsi="Calibri" w:cs="Times New Roman"/>
                <w:color w:val="000000"/>
                <w:sz w:val="18"/>
                <w:szCs w:val="18"/>
              </w:rPr>
            </w:pPr>
          </w:p>
        </w:tc>
      </w:tr>
      <w:tr w:rsidR="00236AB2" w:rsidRPr="000941D8" w:rsidTr="00FB13F1">
        <w:trPr>
          <w:gridAfter w:val="1"/>
          <w:wAfter w:w="45" w:type="pct"/>
          <w:trHeight w:val="227"/>
        </w:trPr>
        <w:tc>
          <w:tcPr>
            <w:tcW w:w="756" w:type="pct"/>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314F6A" w:rsidRPr="00495A8A" w:rsidRDefault="00314F6A" w:rsidP="00314F6A">
            <w:pPr>
              <w:spacing w:after="0"/>
              <w:rPr>
                <w:rFonts w:ascii="Calibri" w:eastAsia="Times New Roman" w:hAnsi="Calibri" w:cs="Times New Roman"/>
                <w:color w:val="000000"/>
                <w:sz w:val="20"/>
                <w:szCs w:val="18"/>
              </w:rPr>
            </w:pPr>
            <w:r w:rsidRPr="00836670">
              <w:rPr>
                <w:rFonts w:ascii="Calibri" w:eastAsia="Times New Roman" w:hAnsi="Calibri" w:cs="Times New Roman"/>
                <w:color w:val="000000"/>
                <w:sz w:val="20"/>
                <w:szCs w:val="18"/>
              </w:rPr>
              <w:t> </w:t>
            </w:r>
          </w:p>
        </w:tc>
        <w:tc>
          <w:tcPr>
            <w:tcW w:w="1005"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14F6A" w:rsidRPr="00495A8A" w:rsidRDefault="00314F6A" w:rsidP="00314F6A">
            <w:pPr>
              <w:spacing w:after="0"/>
              <w:rPr>
                <w:rFonts w:ascii="Calibri" w:eastAsia="Times New Roman" w:hAnsi="Calibri" w:cs="Times New Roman"/>
                <w:b/>
                <w:bCs/>
                <w:color w:val="000000"/>
                <w:sz w:val="20"/>
                <w:szCs w:val="18"/>
              </w:rPr>
            </w:pPr>
            <w:r w:rsidRPr="00EE498F">
              <w:rPr>
                <w:rFonts w:ascii="Calibri" w:eastAsia="Times New Roman" w:hAnsi="Calibri" w:cs="Times New Roman"/>
                <w:b/>
                <w:bCs/>
                <w:color w:val="000000"/>
                <w:sz w:val="20"/>
                <w:szCs w:val="18"/>
              </w:rPr>
              <w:t> </w:t>
            </w:r>
          </w:p>
        </w:tc>
        <w:tc>
          <w:tcPr>
            <w:tcW w:w="639" w:type="pct"/>
            <w:tcBorders>
              <w:top w:val="single" w:sz="8" w:space="0" w:color="auto"/>
              <w:left w:val="nil"/>
              <w:bottom w:val="single" w:sz="8" w:space="0" w:color="auto"/>
              <w:right w:val="single" w:sz="8" w:space="0" w:color="auto"/>
            </w:tcBorders>
            <w:shd w:val="clear" w:color="000000" w:fill="BFBFBF"/>
            <w:noWrap/>
            <w:vAlign w:val="center"/>
            <w:hideMark/>
          </w:tcPr>
          <w:p w:rsidR="00314F6A" w:rsidRPr="00495A8A" w:rsidRDefault="00314F6A" w:rsidP="00314F6A">
            <w:pPr>
              <w:spacing w:after="0"/>
              <w:jc w:val="center"/>
              <w:rPr>
                <w:rFonts w:ascii="Calibri" w:eastAsia="Times New Roman" w:hAnsi="Calibri" w:cs="Times New Roman"/>
                <w:b/>
                <w:bCs/>
                <w:color w:val="000000"/>
                <w:sz w:val="20"/>
                <w:szCs w:val="18"/>
              </w:rPr>
            </w:pPr>
            <w:r w:rsidRPr="00EE498F">
              <w:rPr>
                <w:rFonts w:ascii="Calibri" w:eastAsia="Times New Roman" w:hAnsi="Calibri" w:cs="Times New Roman"/>
                <w:b/>
                <w:bCs/>
                <w:color w:val="000000"/>
                <w:sz w:val="20"/>
                <w:szCs w:val="18"/>
              </w:rPr>
              <w:t>Year</w:t>
            </w:r>
            <w:r w:rsidR="009317D2" w:rsidRPr="00EE498F">
              <w:rPr>
                <w:rFonts w:ascii="Calibri" w:eastAsia="Times New Roman" w:hAnsi="Calibri" w:cs="Times New Roman"/>
                <w:b/>
                <w:bCs/>
                <w:color w:val="000000"/>
                <w:sz w:val="20"/>
                <w:szCs w:val="18"/>
              </w:rPr>
              <w:t xml:space="preserve"> </w:t>
            </w:r>
            <w:r w:rsidRPr="00EE498F">
              <w:rPr>
                <w:rFonts w:ascii="Calibri" w:eastAsia="Times New Roman" w:hAnsi="Calibri" w:cs="Times New Roman"/>
                <w:b/>
                <w:bCs/>
                <w:color w:val="000000"/>
                <w:sz w:val="20"/>
                <w:szCs w:val="18"/>
              </w:rPr>
              <w:t>1</w:t>
            </w:r>
          </w:p>
        </w:tc>
        <w:tc>
          <w:tcPr>
            <w:tcW w:w="639" w:type="pct"/>
            <w:tcBorders>
              <w:top w:val="single" w:sz="8" w:space="0" w:color="auto"/>
              <w:left w:val="nil"/>
              <w:bottom w:val="single" w:sz="8" w:space="0" w:color="auto"/>
              <w:right w:val="single" w:sz="8" w:space="0" w:color="auto"/>
            </w:tcBorders>
            <w:shd w:val="clear" w:color="000000" w:fill="BFBFBF"/>
            <w:noWrap/>
            <w:vAlign w:val="center"/>
            <w:hideMark/>
          </w:tcPr>
          <w:p w:rsidR="00314F6A" w:rsidRPr="00495A8A" w:rsidRDefault="00314F6A" w:rsidP="00314F6A">
            <w:pPr>
              <w:spacing w:after="0"/>
              <w:jc w:val="center"/>
              <w:rPr>
                <w:rFonts w:ascii="Calibri" w:eastAsia="Times New Roman" w:hAnsi="Calibri" w:cs="Times New Roman"/>
                <w:b/>
                <w:bCs/>
                <w:color w:val="000000"/>
                <w:sz w:val="20"/>
                <w:szCs w:val="18"/>
              </w:rPr>
            </w:pPr>
            <w:r w:rsidRPr="00EE498F">
              <w:rPr>
                <w:rFonts w:ascii="Calibri" w:eastAsia="Times New Roman" w:hAnsi="Calibri" w:cs="Times New Roman"/>
                <w:b/>
                <w:bCs/>
                <w:color w:val="000000"/>
                <w:sz w:val="20"/>
                <w:szCs w:val="18"/>
              </w:rPr>
              <w:t>Year 2</w:t>
            </w:r>
          </w:p>
        </w:tc>
        <w:tc>
          <w:tcPr>
            <w:tcW w:w="639" w:type="pct"/>
            <w:tcBorders>
              <w:top w:val="single" w:sz="8" w:space="0" w:color="auto"/>
              <w:left w:val="nil"/>
              <w:bottom w:val="single" w:sz="8" w:space="0" w:color="auto"/>
              <w:right w:val="single" w:sz="8" w:space="0" w:color="auto"/>
            </w:tcBorders>
            <w:shd w:val="clear" w:color="000000" w:fill="BFBFBF"/>
            <w:noWrap/>
            <w:vAlign w:val="center"/>
            <w:hideMark/>
          </w:tcPr>
          <w:p w:rsidR="00314F6A" w:rsidRPr="00495A8A" w:rsidRDefault="00314F6A" w:rsidP="00314F6A">
            <w:pPr>
              <w:spacing w:after="0"/>
              <w:jc w:val="center"/>
              <w:rPr>
                <w:rFonts w:ascii="Calibri" w:eastAsia="Times New Roman" w:hAnsi="Calibri" w:cs="Times New Roman"/>
                <w:b/>
                <w:bCs/>
                <w:color w:val="000000"/>
                <w:sz w:val="20"/>
                <w:szCs w:val="18"/>
              </w:rPr>
            </w:pPr>
            <w:r w:rsidRPr="00EE498F">
              <w:rPr>
                <w:rFonts w:ascii="Calibri" w:eastAsia="Times New Roman" w:hAnsi="Calibri" w:cs="Times New Roman"/>
                <w:b/>
                <w:bCs/>
                <w:color w:val="000000"/>
                <w:sz w:val="20"/>
                <w:szCs w:val="18"/>
              </w:rPr>
              <w:t>Year 3</w:t>
            </w:r>
          </w:p>
        </w:tc>
        <w:tc>
          <w:tcPr>
            <w:tcW w:w="639" w:type="pct"/>
            <w:tcBorders>
              <w:top w:val="single" w:sz="8" w:space="0" w:color="auto"/>
              <w:left w:val="nil"/>
              <w:bottom w:val="single" w:sz="8" w:space="0" w:color="auto"/>
              <w:right w:val="single" w:sz="8" w:space="0" w:color="auto"/>
            </w:tcBorders>
            <w:shd w:val="clear" w:color="000000" w:fill="BFBFBF"/>
            <w:noWrap/>
            <w:vAlign w:val="center"/>
            <w:hideMark/>
          </w:tcPr>
          <w:p w:rsidR="00314F6A" w:rsidRPr="00495A8A" w:rsidRDefault="00314F6A" w:rsidP="00314F6A">
            <w:pPr>
              <w:spacing w:after="0"/>
              <w:jc w:val="center"/>
              <w:rPr>
                <w:rFonts w:ascii="Calibri" w:eastAsia="Times New Roman" w:hAnsi="Calibri" w:cs="Times New Roman"/>
                <w:b/>
                <w:bCs/>
                <w:color w:val="000000"/>
                <w:sz w:val="20"/>
                <w:szCs w:val="18"/>
              </w:rPr>
            </w:pPr>
            <w:r w:rsidRPr="00EE498F">
              <w:rPr>
                <w:rFonts w:ascii="Calibri" w:eastAsia="Times New Roman" w:hAnsi="Calibri" w:cs="Times New Roman"/>
                <w:b/>
                <w:bCs/>
                <w:color w:val="000000"/>
                <w:sz w:val="20"/>
                <w:szCs w:val="18"/>
              </w:rPr>
              <w:t>Year 4</w:t>
            </w:r>
          </w:p>
        </w:tc>
        <w:tc>
          <w:tcPr>
            <w:tcW w:w="637" w:type="pct"/>
            <w:gridSpan w:val="3"/>
            <w:tcBorders>
              <w:top w:val="single" w:sz="8" w:space="0" w:color="auto"/>
              <w:left w:val="nil"/>
              <w:bottom w:val="single" w:sz="8" w:space="0" w:color="auto"/>
              <w:right w:val="single" w:sz="8" w:space="0" w:color="auto"/>
            </w:tcBorders>
            <w:shd w:val="clear" w:color="000000" w:fill="BFBFBF"/>
            <w:noWrap/>
            <w:vAlign w:val="center"/>
            <w:hideMark/>
          </w:tcPr>
          <w:p w:rsidR="00314F6A" w:rsidRPr="00495A8A" w:rsidRDefault="00314F6A" w:rsidP="00314F6A">
            <w:pPr>
              <w:spacing w:after="0"/>
              <w:jc w:val="center"/>
              <w:rPr>
                <w:rFonts w:ascii="Calibri" w:eastAsia="Times New Roman" w:hAnsi="Calibri" w:cs="Times New Roman"/>
                <w:b/>
                <w:bCs/>
                <w:color w:val="000000"/>
                <w:sz w:val="20"/>
                <w:szCs w:val="18"/>
              </w:rPr>
            </w:pPr>
            <w:r w:rsidRPr="00EE498F">
              <w:rPr>
                <w:rFonts w:ascii="Calibri" w:eastAsia="Times New Roman" w:hAnsi="Calibri" w:cs="Times New Roman"/>
                <w:b/>
                <w:bCs/>
                <w:color w:val="000000"/>
                <w:sz w:val="20"/>
                <w:szCs w:val="18"/>
              </w:rPr>
              <w:t>Year 5</w:t>
            </w:r>
          </w:p>
        </w:tc>
      </w:tr>
      <w:tr w:rsidR="00236AB2" w:rsidRPr="000941D8" w:rsidTr="00FB13F1">
        <w:trPr>
          <w:gridAfter w:val="1"/>
          <w:wAfter w:w="45" w:type="pct"/>
          <w:trHeight w:val="227"/>
        </w:trPr>
        <w:tc>
          <w:tcPr>
            <w:tcW w:w="756" w:type="pct"/>
            <w:vMerge/>
            <w:tcBorders>
              <w:top w:val="single" w:sz="8" w:space="0" w:color="auto"/>
              <w:left w:val="single" w:sz="8" w:space="0" w:color="auto"/>
              <w:bottom w:val="single" w:sz="8" w:space="0" w:color="000000"/>
              <w:right w:val="single" w:sz="8" w:space="0" w:color="auto"/>
            </w:tcBorders>
            <w:vAlign w:val="center"/>
            <w:hideMark/>
          </w:tcPr>
          <w:p w:rsidR="00314F6A" w:rsidRPr="00495A8A" w:rsidRDefault="00314F6A" w:rsidP="00314F6A">
            <w:pPr>
              <w:spacing w:after="0"/>
              <w:rPr>
                <w:rFonts w:ascii="Calibri" w:eastAsia="Times New Roman" w:hAnsi="Calibri" w:cs="Times New Roman"/>
                <w:color w:val="000000"/>
                <w:sz w:val="20"/>
                <w:szCs w:val="18"/>
              </w:rPr>
            </w:pPr>
          </w:p>
        </w:tc>
        <w:tc>
          <w:tcPr>
            <w:tcW w:w="1005" w:type="pct"/>
            <w:vMerge/>
            <w:tcBorders>
              <w:top w:val="single" w:sz="8" w:space="0" w:color="auto"/>
              <w:left w:val="single" w:sz="8" w:space="0" w:color="auto"/>
              <w:bottom w:val="single" w:sz="8" w:space="0" w:color="000000"/>
              <w:right w:val="single" w:sz="8" w:space="0" w:color="auto"/>
            </w:tcBorders>
            <w:vAlign w:val="center"/>
            <w:hideMark/>
          </w:tcPr>
          <w:p w:rsidR="00314F6A" w:rsidRPr="00495A8A" w:rsidRDefault="00314F6A" w:rsidP="00314F6A">
            <w:pPr>
              <w:spacing w:after="0"/>
              <w:rPr>
                <w:rFonts w:ascii="Calibri" w:eastAsia="Times New Roman" w:hAnsi="Calibri" w:cs="Times New Roman"/>
                <w:b/>
                <w:bCs/>
                <w:color w:val="000000"/>
                <w:sz w:val="20"/>
                <w:szCs w:val="18"/>
              </w:rPr>
            </w:pPr>
          </w:p>
        </w:tc>
        <w:tc>
          <w:tcPr>
            <w:tcW w:w="639" w:type="pct"/>
            <w:tcBorders>
              <w:top w:val="nil"/>
              <w:left w:val="nil"/>
              <w:bottom w:val="single" w:sz="8" w:space="0" w:color="auto"/>
              <w:right w:val="single" w:sz="8" w:space="0" w:color="auto"/>
            </w:tcBorders>
            <w:shd w:val="clear" w:color="000000" w:fill="BFBFBF"/>
            <w:noWrap/>
            <w:vAlign w:val="center"/>
            <w:hideMark/>
          </w:tcPr>
          <w:p w:rsidR="00314F6A" w:rsidRPr="00495A8A" w:rsidRDefault="00314F6A" w:rsidP="00314F6A">
            <w:pPr>
              <w:spacing w:after="0"/>
              <w:jc w:val="center"/>
              <w:rPr>
                <w:rFonts w:ascii="Calibri" w:eastAsia="Times New Roman" w:hAnsi="Calibri" w:cs="Times New Roman"/>
                <w:b/>
                <w:bCs/>
                <w:color w:val="000000"/>
                <w:sz w:val="20"/>
                <w:szCs w:val="18"/>
              </w:rPr>
            </w:pPr>
            <w:r w:rsidRPr="00EE498F">
              <w:rPr>
                <w:rFonts w:ascii="Calibri" w:eastAsia="Times New Roman" w:hAnsi="Calibri" w:cs="Times New Roman"/>
                <w:b/>
                <w:bCs/>
                <w:color w:val="000000"/>
                <w:sz w:val="20"/>
                <w:szCs w:val="18"/>
              </w:rPr>
              <w:t>2011</w:t>
            </w:r>
          </w:p>
        </w:tc>
        <w:tc>
          <w:tcPr>
            <w:tcW w:w="639" w:type="pct"/>
            <w:tcBorders>
              <w:top w:val="nil"/>
              <w:left w:val="nil"/>
              <w:bottom w:val="single" w:sz="8" w:space="0" w:color="auto"/>
              <w:right w:val="single" w:sz="8" w:space="0" w:color="auto"/>
            </w:tcBorders>
            <w:shd w:val="clear" w:color="000000" w:fill="BFBFBF"/>
            <w:noWrap/>
            <w:vAlign w:val="center"/>
            <w:hideMark/>
          </w:tcPr>
          <w:p w:rsidR="00314F6A" w:rsidRPr="00495A8A" w:rsidRDefault="00314F6A" w:rsidP="00314F6A">
            <w:pPr>
              <w:spacing w:after="0"/>
              <w:jc w:val="center"/>
              <w:rPr>
                <w:rFonts w:ascii="Calibri" w:eastAsia="Times New Roman" w:hAnsi="Calibri" w:cs="Times New Roman"/>
                <w:b/>
                <w:bCs/>
                <w:color w:val="000000"/>
                <w:sz w:val="20"/>
                <w:szCs w:val="18"/>
              </w:rPr>
            </w:pPr>
            <w:r w:rsidRPr="00EE498F">
              <w:rPr>
                <w:rFonts w:ascii="Calibri" w:eastAsia="Times New Roman" w:hAnsi="Calibri" w:cs="Times New Roman"/>
                <w:b/>
                <w:bCs/>
                <w:color w:val="000000"/>
                <w:sz w:val="20"/>
                <w:szCs w:val="18"/>
              </w:rPr>
              <w:t>2012</w:t>
            </w:r>
          </w:p>
        </w:tc>
        <w:tc>
          <w:tcPr>
            <w:tcW w:w="639" w:type="pct"/>
            <w:tcBorders>
              <w:top w:val="nil"/>
              <w:left w:val="nil"/>
              <w:bottom w:val="single" w:sz="8" w:space="0" w:color="auto"/>
              <w:right w:val="single" w:sz="8" w:space="0" w:color="auto"/>
            </w:tcBorders>
            <w:shd w:val="clear" w:color="000000" w:fill="BFBFBF"/>
            <w:noWrap/>
            <w:vAlign w:val="center"/>
            <w:hideMark/>
          </w:tcPr>
          <w:p w:rsidR="00314F6A" w:rsidRPr="00495A8A" w:rsidRDefault="00314F6A" w:rsidP="00314F6A">
            <w:pPr>
              <w:spacing w:after="0"/>
              <w:jc w:val="center"/>
              <w:rPr>
                <w:rFonts w:ascii="Calibri" w:eastAsia="Times New Roman" w:hAnsi="Calibri" w:cs="Times New Roman"/>
                <w:b/>
                <w:bCs/>
                <w:color w:val="000000"/>
                <w:sz w:val="20"/>
                <w:szCs w:val="18"/>
              </w:rPr>
            </w:pPr>
            <w:r w:rsidRPr="00EE498F">
              <w:rPr>
                <w:rFonts w:ascii="Calibri" w:eastAsia="Times New Roman" w:hAnsi="Calibri" w:cs="Times New Roman"/>
                <w:b/>
                <w:bCs/>
                <w:color w:val="000000"/>
                <w:sz w:val="20"/>
                <w:szCs w:val="18"/>
              </w:rPr>
              <w:t>2013</w:t>
            </w:r>
          </w:p>
        </w:tc>
        <w:tc>
          <w:tcPr>
            <w:tcW w:w="639" w:type="pct"/>
            <w:tcBorders>
              <w:top w:val="nil"/>
              <w:left w:val="nil"/>
              <w:bottom w:val="single" w:sz="8" w:space="0" w:color="auto"/>
              <w:right w:val="single" w:sz="8" w:space="0" w:color="auto"/>
            </w:tcBorders>
            <w:shd w:val="clear" w:color="000000" w:fill="BFBFBF"/>
            <w:noWrap/>
            <w:vAlign w:val="center"/>
            <w:hideMark/>
          </w:tcPr>
          <w:p w:rsidR="00314F6A" w:rsidRPr="00495A8A" w:rsidRDefault="00314F6A" w:rsidP="00314F6A">
            <w:pPr>
              <w:spacing w:after="0"/>
              <w:jc w:val="center"/>
              <w:rPr>
                <w:rFonts w:ascii="Calibri" w:eastAsia="Times New Roman" w:hAnsi="Calibri" w:cs="Times New Roman"/>
                <w:b/>
                <w:bCs/>
                <w:color w:val="000000"/>
                <w:sz w:val="20"/>
                <w:szCs w:val="18"/>
              </w:rPr>
            </w:pPr>
            <w:r w:rsidRPr="00EE498F">
              <w:rPr>
                <w:rFonts w:ascii="Calibri" w:eastAsia="Times New Roman" w:hAnsi="Calibri" w:cs="Times New Roman"/>
                <w:b/>
                <w:bCs/>
                <w:color w:val="000000"/>
                <w:sz w:val="20"/>
                <w:szCs w:val="18"/>
              </w:rPr>
              <w:t>2014</w:t>
            </w:r>
          </w:p>
        </w:tc>
        <w:tc>
          <w:tcPr>
            <w:tcW w:w="637" w:type="pct"/>
            <w:gridSpan w:val="3"/>
            <w:tcBorders>
              <w:top w:val="nil"/>
              <w:left w:val="nil"/>
              <w:bottom w:val="single" w:sz="8" w:space="0" w:color="auto"/>
              <w:right w:val="single" w:sz="8" w:space="0" w:color="auto"/>
            </w:tcBorders>
            <w:shd w:val="clear" w:color="000000" w:fill="BFBFBF"/>
            <w:noWrap/>
            <w:vAlign w:val="center"/>
            <w:hideMark/>
          </w:tcPr>
          <w:p w:rsidR="00314F6A" w:rsidRPr="00495A8A" w:rsidRDefault="00315246" w:rsidP="00314F6A">
            <w:pPr>
              <w:spacing w:after="0"/>
              <w:jc w:val="center"/>
              <w:rPr>
                <w:rFonts w:ascii="Calibri" w:eastAsia="Times New Roman" w:hAnsi="Calibri" w:cs="Times New Roman"/>
                <w:b/>
                <w:bCs/>
                <w:color w:val="000000"/>
                <w:sz w:val="20"/>
                <w:szCs w:val="18"/>
              </w:rPr>
            </w:pPr>
            <w:r w:rsidRPr="00EE498F">
              <w:rPr>
                <w:rFonts w:ascii="Calibri" w:eastAsia="Times New Roman" w:hAnsi="Calibri" w:cs="Times New Roman"/>
                <w:b/>
                <w:bCs/>
                <w:color w:val="000000"/>
                <w:sz w:val="20"/>
                <w:szCs w:val="18"/>
              </w:rPr>
              <w:t>2015</w:t>
            </w:r>
          </w:p>
        </w:tc>
      </w:tr>
      <w:tr w:rsidR="00533A54" w:rsidRPr="000941D8" w:rsidTr="00FB13F1">
        <w:trPr>
          <w:gridAfter w:val="1"/>
          <w:wAfter w:w="45" w:type="pct"/>
          <w:trHeight w:val="283"/>
        </w:trPr>
        <w:tc>
          <w:tcPr>
            <w:tcW w:w="756" w:type="pct"/>
            <w:vMerge w:val="restart"/>
            <w:tcBorders>
              <w:top w:val="nil"/>
              <w:left w:val="single" w:sz="8" w:space="0" w:color="auto"/>
              <w:right w:val="single" w:sz="8" w:space="0" w:color="auto"/>
            </w:tcBorders>
            <w:shd w:val="clear" w:color="auto" w:fill="auto"/>
            <w:noWrap/>
            <w:vAlign w:val="center"/>
            <w:hideMark/>
          </w:tcPr>
          <w:p w:rsidR="00533A54" w:rsidRPr="000C5161" w:rsidRDefault="00533A54" w:rsidP="00533A54">
            <w:pPr>
              <w:spacing w:after="0"/>
              <w:rPr>
                <w:rFonts w:ascii="Calibri" w:eastAsia="Times New Roman" w:hAnsi="Calibri" w:cs="Times New Roman"/>
                <w:color w:val="000000"/>
                <w:sz w:val="18"/>
                <w:szCs w:val="18"/>
              </w:rPr>
            </w:pPr>
            <w:r w:rsidRPr="000C5161">
              <w:rPr>
                <w:rFonts w:ascii="Calibri" w:eastAsia="Times New Roman" w:hAnsi="Calibri" w:cs="Times New Roman"/>
                <w:color w:val="000000"/>
                <w:sz w:val="18"/>
                <w:szCs w:val="18"/>
              </w:rPr>
              <w:t>Prescriptions</w:t>
            </w:r>
          </w:p>
        </w:tc>
        <w:tc>
          <w:tcPr>
            <w:tcW w:w="1005" w:type="pct"/>
            <w:tcBorders>
              <w:top w:val="nil"/>
              <w:left w:val="nil"/>
              <w:bottom w:val="single" w:sz="8" w:space="0" w:color="auto"/>
              <w:right w:val="single" w:sz="8" w:space="0" w:color="auto"/>
            </w:tcBorders>
            <w:shd w:val="clear" w:color="auto" w:fill="auto"/>
            <w:vAlign w:val="center"/>
            <w:hideMark/>
          </w:tcPr>
          <w:p w:rsidR="00533A54" w:rsidRPr="00836670" w:rsidRDefault="00533A54" w:rsidP="00700FA3">
            <w:pPr>
              <w:spacing w:after="0"/>
              <w:rPr>
                <w:rFonts w:ascii="Calibri" w:eastAsia="Times New Roman" w:hAnsi="Calibri" w:cs="Times New Roman"/>
                <w:color w:val="000000"/>
                <w:sz w:val="18"/>
                <w:szCs w:val="18"/>
              </w:rPr>
            </w:pPr>
            <w:r w:rsidRPr="000C5161">
              <w:rPr>
                <w:rFonts w:ascii="Calibri" w:eastAsia="Times New Roman" w:hAnsi="Calibri" w:cs="Times New Roman"/>
                <w:color w:val="000000"/>
                <w:sz w:val="18"/>
                <w:szCs w:val="18"/>
              </w:rPr>
              <w:t xml:space="preserve">Predicted </w:t>
            </w:r>
            <w:r w:rsidR="00B1013A" w:rsidRPr="000C5161">
              <w:rPr>
                <w:rFonts w:ascii="Calibri" w:eastAsia="Times New Roman" w:hAnsi="Calibri" w:cs="Times New Roman"/>
                <w:color w:val="000000"/>
                <w:sz w:val="18"/>
                <w:szCs w:val="18"/>
              </w:rPr>
              <w:t>–</w:t>
            </w:r>
            <w:r w:rsidR="00700FA3" w:rsidRPr="000C5161">
              <w:rPr>
                <w:rFonts w:ascii="Calibri" w:eastAsia="Times New Roman" w:hAnsi="Calibri" w:cs="Times New Roman"/>
                <w:color w:val="000000"/>
                <w:sz w:val="18"/>
                <w:szCs w:val="18"/>
              </w:rPr>
              <w:t xml:space="preserve"> original</w:t>
            </w:r>
          </w:p>
        </w:tc>
        <w:tc>
          <w:tcPr>
            <w:tcW w:w="639" w:type="pct"/>
            <w:tcBorders>
              <w:top w:val="nil"/>
              <w:left w:val="nil"/>
              <w:bottom w:val="single" w:sz="8" w:space="0" w:color="auto"/>
              <w:right w:val="single" w:sz="8" w:space="0" w:color="auto"/>
            </w:tcBorders>
            <w:shd w:val="clear" w:color="auto" w:fill="auto"/>
            <w:noWrap/>
            <w:vAlign w:val="center"/>
            <w:hideMark/>
          </w:tcPr>
          <w:p w:rsidR="00533A54"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auto"/>
            <w:noWrap/>
            <w:vAlign w:val="center"/>
            <w:hideMark/>
          </w:tcPr>
          <w:p w:rsidR="00533A54"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auto"/>
            <w:noWrap/>
            <w:vAlign w:val="center"/>
            <w:hideMark/>
          </w:tcPr>
          <w:p w:rsidR="00533A54"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auto"/>
            <w:noWrap/>
            <w:vAlign w:val="center"/>
            <w:hideMark/>
          </w:tcPr>
          <w:p w:rsidR="00533A54"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7" w:type="pct"/>
            <w:gridSpan w:val="3"/>
            <w:tcBorders>
              <w:top w:val="nil"/>
              <w:left w:val="nil"/>
              <w:bottom w:val="single" w:sz="8" w:space="0" w:color="auto"/>
              <w:right w:val="single" w:sz="8" w:space="0" w:color="auto"/>
            </w:tcBorders>
            <w:shd w:val="clear" w:color="auto" w:fill="auto"/>
            <w:noWrap/>
            <w:vAlign w:val="center"/>
            <w:hideMark/>
          </w:tcPr>
          <w:p w:rsidR="00533A54"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r>
      <w:tr w:rsidR="00700FA3" w:rsidRPr="000941D8" w:rsidTr="00FB13F1">
        <w:trPr>
          <w:gridAfter w:val="1"/>
          <w:wAfter w:w="45" w:type="pct"/>
          <w:trHeight w:val="283"/>
        </w:trPr>
        <w:tc>
          <w:tcPr>
            <w:tcW w:w="756" w:type="pct"/>
            <w:vMerge/>
            <w:tcBorders>
              <w:left w:val="single" w:sz="8" w:space="0" w:color="auto"/>
              <w:right w:val="single" w:sz="8" w:space="0" w:color="auto"/>
            </w:tcBorders>
            <w:shd w:val="clear" w:color="auto" w:fill="auto"/>
            <w:noWrap/>
            <w:vAlign w:val="center"/>
          </w:tcPr>
          <w:p w:rsidR="00700FA3" w:rsidRPr="00495A8A" w:rsidRDefault="00700FA3" w:rsidP="00533A54">
            <w:pPr>
              <w:spacing w:after="0"/>
              <w:rPr>
                <w:rFonts w:ascii="Calibri" w:eastAsia="Times New Roman" w:hAnsi="Calibri" w:cs="Times New Roman"/>
                <w:color w:val="000000"/>
                <w:sz w:val="18"/>
                <w:szCs w:val="18"/>
              </w:rPr>
            </w:pPr>
          </w:p>
        </w:tc>
        <w:tc>
          <w:tcPr>
            <w:tcW w:w="1005" w:type="pct"/>
            <w:tcBorders>
              <w:top w:val="nil"/>
              <w:left w:val="nil"/>
              <w:bottom w:val="single" w:sz="8" w:space="0" w:color="auto"/>
              <w:right w:val="single" w:sz="8" w:space="0" w:color="auto"/>
            </w:tcBorders>
            <w:shd w:val="clear" w:color="auto" w:fill="auto"/>
            <w:vAlign w:val="center"/>
          </w:tcPr>
          <w:p w:rsidR="00700FA3" w:rsidRPr="00495A8A" w:rsidRDefault="004373DD" w:rsidP="004373DD">
            <w:pPr>
              <w:spacing w:after="0"/>
              <w:rPr>
                <w:rFonts w:ascii="Calibri" w:eastAsia="Times New Roman" w:hAnsi="Calibri" w:cs="Times New Roman"/>
                <w:color w:val="000000"/>
                <w:sz w:val="18"/>
                <w:szCs w:val="18"/>
              </w:rPr>
            </w:pPr>
            <w:r w:rsidRPr="000C5161">
              <w:rPr>
                <w:rFonts w:ascii="Calibri" w:eastAsia="Times New Roman" w:hAnsi="Calibri" w:cs="Times New Roman"/>
                <w:color w:val="000000"/>
                <w:sz w:val="18"/>
                <w:szCs w:val="18"/>
              </w:rPr>
              <w:t>Predicted - U</w:t>
            </w:r>
            <w:r w:rsidR="00700FA3" w:rsidRPr="000C5161">
              <w:rPr>
                <w:rFonts w:ascii="Calibri" w:eastAsia="Times New Roman" w:hAnsi="Calibri" w:cs="Times New Roman"/>
                <w:color w:val="000000"/>
                <w:sz w:val="18"/>
                <w:szCs w:val="18"/>
              </w:rPr>
              <w:t>pdated Postmenopausal Osteoporosis (in 2</w:t>
            </w:r>
            <w:r w:rsidR="00700FA3" w:rsidRPr="000C5161">
              <w:rPr>
                <w:rFonts w:ascii="Calibri" w:eastAsia="Times New Roman" w:hAnsi="Calibri" w:cs="Times New Roman"/>
                <w:color w:val="000000"/>
                <w:sz w:val="18"/>
                <w:szCs w:val="18"/>
                <w:vertAlign w:val="superscript"/>
              </w:rPr>
              <w:t>nd</w:t>
            </w:r>
            <w:r w:rsidR="00700FA3" w:rsidRPr="000C5161">
              <w:rPr>
                <w:rFonts w:ascii="Calibri" w:eastAsia="Times New Roman" w:hAnsi="Calibri" w:cs="Times New Roman"/>
                <w:color w:val="000000"/>
                <w:sz w:val="18"/>
                <w:szCs w:val="18"/>
              </w:rPr>
              <w:t xml:space="preserve"> listing extension submission)</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7" w:type="pct"/>
            <w:gridSpan w:val="3"/>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r>
      <w:tr w:rsidR="00700FA3" w:rsidRPr="000941D8" w:rsidTr="00FB13F1">
        <w:trPr>
          <w:gridAfter w:val="1"/>
          <w:wAfter w:w="45" w:type="pct"/>
          <w:trHeight w:val="283"/>
        </w:trPr>
        <w:tc>
          <w:tcPr>
            <w:tcW w:w="756" w:type="pct"/>
            <w:vMerge/>
            <w:tcBorders>
              <w:left w:val="single" w:sz="8" w:space="0" w:color="auto"/>
              <w:right w:val="single" w:sz="8" w:space="0" w:color="auto"/>
            </w:tcBorders>
            <w:shd w:val="clear" w:color="auto" w:fill="auto"/>
            <w:noWrap/>
            <w:vAlign w:val="center"/>
          </w:tcPr>
          <w:p w:rsidR="00700FA3" w:rsidRPr="00495A8A" w:rsidRDefault="00700FA3" w:rsidP="00533A54">
            <w:pPr>
              <w:spacing w:after="0"/>
              <w:rPr>
                <w:rFonts w:ascii="Calibri" w:eastAsia="Times New Roman" w:hAnsi="Calibri" w:cs="Times New Roman"/>
                <w:color w:val="000000"/>
                <w:sz w:val="18"/>
                <w:szCs w:val="18"/>
              </w:rPr>
            </w:pPr>
          </w:p>
        </w:tc>
        <w:tc>
          <w:tcPr>
            <w:tcW w:w="1005" w:type="pct"/>
            <w:tcBorders>
              <w:top w:val="nil"/>
              <w:left w:val="nil"/>
              <w:bottom w:val="single" w:sz="8" w:space="0" w:color="auto"/>
              <w:right w:val="single" w:sz="8" w:space="0" w:color="auto"/>
            </w:tcBorders>
            <w:shd w:val="clear" w:color="auto" w:fill="auto"/>
            <w:vAlign w:val="center"/>
          </w:tcPr>
          <w:p w:rsidR="00700FA3" w:rsidRPr="00495A8A" w:rsidRDefault="00700FA3" w:rsidP="004373DD">
            <w:pPr>
              <w:spacing w:after="0"/>
              <w:rPr>
                <w:rFonts w:ascii="Calibri" w:eastAsia="Times New Roman" w:hAnsi="Calibri" w:cs="Times New Roman"/>
                <w:color w:val="000000"/>
                <w:sz w:val="18"/>
                <w:szCs w:val="18"/>
              </w:rPr>
            </w:pPr>
            <w:r w:rsidRPr="00836670">
              <w:rPr>
                <w:rFonts w:ascii="Calibri" w:eastAsia="Times New Roman" w:hAnsi="Calibri" w:cs="Times New Roman"/>
                <w:color w:val="000000"/>
                <w:sz w:val="18"/>
                <w:szCs w:val="18"/>
              </w:rPr>
              <w:t>Predicted</w:t>
            </w:r>
            <w:r w:rsidR="004373DD" w:rsidRPr="00836670">
              <w:rPr>
                <w:rFonts w:ascii="Calibri" w:eastAsia="Times New Roman" w:hAnsi="Calibri" w:cs="Times New Roman"/>
                <w:color w:val="000000"/>
                <w:sz w:val="18"/>
                <w:szCs w:val="18"/>
              </w:rPr>
              <w:t xml:space="preserve"> -</w:t>
            </w:r>
            <w:r w:rsidRPr="00836670">
              <w:rPr>
                <w:rFonts w:ascii="Calibri" w:eastAsia="Times New Roman" w:hAnsi="Calibri" w:cs="Times New Roman"/>
                <w:color w:val="000000"/>
                <w:sz w:val="18"/>
                <w:szCs w:val="18"/>
              </w:rPr>
              <w:t xml:space="preserve"> Male Osteoporosis (in 2</w:t>
            </w:r>
            <w:r w:rsidRPr="00836670">
              <w:rPr>
                <w:rFonts w:ascii="Calibri" w:eastAsia="Times New Roman" w:hAnsi="Calibri" w:cs="Times New Roman"/>
                <w:color w:val="000000"/>
                <w:sz w:val="18"/>
                <w:szCs w:val="18"/>
                <w:vertAlign w:val="superscript"/>
              </w:rPr>
              <w:t>nd</w:t>
            </w:r>
            <w:r w:rsidRPr="00836670">
              <w:rPr>
                <w:rFonts w:ascii="Calibri" w:eastAsia="Times New Roman" w:hAnsi="Calibri" w:cs="Times New Roman"/>
                <w:color w:val="000000"/>
                <w:sz w:val="18"/>
                <w:szCs w:val="18"/>
              </w:rPr>
              <w:t xml:space="preserve"> listing extension submission)</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700FA3" w:rsidP="00314F6A">
            <w:pPr>
              <w:spacing w:after="0"/>
              <w:jc w:val="center"/>
              <w:rPr>
                <w:rFonts w:ascii="Calibri" w:eastAsia="Times New Roman" w:hAnsi="Calibri" w:cs="Times New Roman"/>
                <w:color w:val="000000"/>
                <w:sz w:val="18"/>
                <w:szCs w:val="18"/>
              </w:rPr>
            </w:pPr>
            <w:r w:rsidRPr="00836670">
              <w:rPr>
                <w:rFonts w:ascii="Calibri" w:hAnsi="Calibri"/>
                <w:color w:val="000000"/>
                <w:sz w:val="18"/>
                <w:szCs w:val="20"/>
              </w:rPr>
              <w:t> </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7" w:type="pct"/>
            <w:gridSpan w:val="3"/>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r>
      <w:tr w:rsidR="00700FA3" w:rsidRPr="000941D8" w:rsidTr="00FB13F1">
        <w:trPr>
          <w:gridAfter w:val="1"/>
          <w:wAfter w:w="45" w:type="pct"/>
          <w:trHeight w:val="283"/>
        </w:trPr>
        <w:tc>
          <w:tcPr>
            <w:tcW w:w="756" w:type="pct"/>
            <w:vMerge/>
            <w:tcBorders>
              <w:left w:val="single" w:sz="8" w:space="0" w:color="auto"/>
              <w:right w:val="single" w:sz="8" w:space="0" w:color="auto"/>
            </w:tcBorders>
            <w:shd w:val="clear" w:color="auto" w:fill="auto"/>
            <w:noWrap/>
            <w:vAlign w:val="center"/>
          </w:tcPr>
          <w:p w:rsidR="00700FA3" w:rsidRPr="00495A8A" w:rsidRDefault="00700FA3" w:rsidP="00533A54">
            <w:pPr>
              <w:spacing w:after="0"/>
              <w:rPr>
                <w:rFonts w:ascii="Calibri" w:eastAsia="Times New Roman" w:hAnsi="Calibri" w:cs="Times New Roman"/>
                <w:color w:val="000000"/>
                <w:sz w:val="18"/>
                <w:szCs w:val="18"/>
              </w:rPr>
            </w:pPr>
          </w:p>
        </w:tc>
        <w:tc>
          <w:tcPr>
            <w:tcW w:w="1005" w:type="pct"/>
            <w:tcBorders>
              <w:top w:val="nil"/>
              <w:left w:val="nil"/>
              <w:bottom w:val="single" w:sz="8" w:space="0" w:color="auto"/>
              <w:right w:val="single" w:sz="8" w:space="0" w:color="auto"/>
            </w:tcBorders>
            <w:shd w:val="clear" w:color="auto" w:fill="auto"/>
            <w:vAlign w:val="center"/>
          </w:tcPr>
          <w:p w:rsidR="00700FA3" w:rsidRPr="00495A8A" w:rsidRDefault="004373DD" w:rsidP="004373DD">
            <w:pPr>
              <w:spacing w:after="0"/>
              <w:rPr>
                <w:rFonts w:ascii="Calibri" w:eastAsia="Times New Roman" w:hAnsi="Calibri" w:cs="Times New Roman"/>
                <w:color w:val="000000"/>
                <w:sz w:val="18"/>
                <w:szCs w:val="18"/>
              </w:rPr>
            </w:pPr>
            <w:r w:rsidRPr="00836670">
              <w:rPr>
                <w:rFonts w:ascii="Calibri" w:hAnsi="Calibri"/>
                <w:color w:val="000000"/>
                <w:sz w:val="18"/>
                <w:szCs w:val="20"/>
              </w:rPr>
              <w:t xml:space="preserve">Predicted - </w:t>
            </w:r>
            <w:r w:rsidR="0077756A" w:rsidRPr="00836670">
              <w:rPr>
                <w:rFonts w:ascii="Calibri" w:hAnsi="Calibri"/>
                <w:color w:val="000000"/>
                <w:sz w:val="18"/>
                <w:szCs w:val="20"/>
              </w:rPr>
              <w:t xml:space="preserve">Updated </w:t>
            </w:r>
            <w:r w:rsidR="00700FA3" w:rsidRPr="00836670">
              <w:rPr>
                <w:rFonts w:ascii="Calibri" w:hAnsi="Calibri"/>
                <w:color w:val="000000"/>
                <w:sz w:val="18"/>
                <w:szCs w:val="20"/>
              </w:rPr>
              <w:t>Total (P)</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9" w:type="pct"/>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7" w:type="pct"/>
            <w:gridSpan w:val="3"/>
            <w:tcBorders>
              <w:top w:val="nil"/>
              <w:left w:val="nil"/>
              <w:bottom w:val="single" w:sz="8" w:space="0" w:color="auto"/>
              <w:right w:val="single" w:sz="8" w:space="0" w:color="auto"/>
            </w:tcBorders>
            <w:shd w:val="clear" w:color="auto" w:fill="auto"/>
            <w:noWrap/>
            <w:vAlign w:val="center"/>
          </w:tcPr>
          <w:p w:rsidR="00700FA3"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r>
      <w:tr w:rsidR="00700FA3" w:rsidRPr="000941D8" w:rsidTr="00FB13F1">
        <w:trPr>
          <w:gridAfter w:val="1"/>
          <w:wAfter w:w="45" w:type="pct"/>
          <w:trHeight w:val="283"/>
        </w:trPr>
        <w:tc>
          <w:tcPr>
            <w:tcW w:w="756" w:type="pct"/>
            <w:vMerge/>
            <w:tcBorders>
              <w:left w:val="single" w:sz="8" w:space="0" w:color="auto"/>
              <w:right w:val="single" w:sz="8" w:space="0" w:color="auto"/>
            </w:tcBorders>
            <w:shd w:val="clear" w:color="auto" w:fill="auto"/>
            <w:noWrap/>
            <w:vAlign w:val="center"/>
            <w:hideMark/>
          </w:tcPr>
          <w:p w:rsidR="00700FA3" w:rsidRPr="00495A8A" w:rsidRDefault="00700FA3" w:rsidP="00533A54">
            <w:pPr>
              <w:spacing w:after="0"/>
              <w:rPr>
                <w:rFonts w:ascii="Calibri" w:eastAsia="Times New Roman" w:hAnsi="Calibri" w:cs="Times New Roman"/>
                <w:color w:val="000000"/>
                <w:sz w:val="18"/>
                <w:szCs w:val="18"/>
              </w:rPr>
            </w:pPr>
          </w:p>
        </w:tc>
        <w:tc>
          <w:tcPr>
            <w:tcW w:w="1005" w:type="pct"/>
            <w:tcBorders>
              <w:top w:val="nil"/>
              <w:left w:val="nil"/>
              <w:bottom w:val="single" w:sz="8" w:space="0" w:color="auto"/>
              <w:right w:val="single" w:sz="8" w:space="0" w:color="auto"/>
            </w:tcBorders>
            <w:shd w:val="clear" w:color="auto" w:fill="auto"/>
            <w:vAlign w:val="center"/>
            <w:hideMark/>
          </w:tcPr>
          <w:p w:rsidR="00700FA3" w:rsidRPr="00495A8A" w:rsidRDefault="00700FA3" w:rsidP="00314F6A">
            <w:pPr>
              <w:spacing w:after="0"/>
              <w:rPr>
                <w:rFonts w:ascii="Calibri" w:eastAsia="Times New Roman" w:hAnsi="Calibri" w:cs="Times New Roman"/>
                <w:color w:val="000000"/>
                <w:sz w:val="18"/>
                <w:szCs w:val="18"/>
              </w:rPr>
            </w:pPr>
            <w:r w:rsidRPr="00836670">
              <w:rPr>
                <w:rFonts w:ascii="Calibri" w:eastAsia="Times New Roman" w:hAnsi="Calibri" w:cs="Times New Roman"/>
                <w:color w:val="000000"/>
                <w:sz w:val="18"/>
                <w:szCs w:val="18"/>
              </w:rPr>
              <w:t>Actual (A)</w:t>
            </w:r>
          </w:p>
        </w:tc>
        <w:tc>
          <w:tcPr>
            <w:tcW w:w="639" w:type="pct"/>
            <w:tcBorders>
              <w:top w:val="nil"/>
              <w:left w:val="nil"/>
              <w:bottom w:val="single" w:sz="8" w:space="0" w:color="auto"/>
              <w:right w:val="single" w:sz="8" w:space="0" w:color="auto"/>
            </w:tcBorders>
            <w:shd w:val="clear" w:color="auto" w:fill="auto"/>
            <w:noWrap/>
            <w:vAlign w:val="center"/>
            <w:hideMark/>
          </w:tcPr>
          <w:p w:rsidR="00700FA3" w:rsidRPr="00495A8A" w:rsidRDefault="00700FA3" w:rsidP="00314F6A">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13,460</w:t>
            </w:r>
          </w:p>
        </w:tc>
        <w:tc>
          <w:tcPr>
            <w:tcW w:w="639" w:type="pct"/>
            <w:tcBorders>
              <w:top w:val="nil"/>
              <w:left w:val="nil"/>
              <w:bottom w:val="single" w:sz="8" w:space="0" w:color="auto"/>
              <w:right w:val="single" w:sz="8" w:space="0" w:color="auto"/>
            </w:tcBorders>
            <w:shd w:val="clear" w:color="auto" w:fill="auto"/>
            <w:noWrap/>
            <w:vAlign w:val="center"/>
            <w:hideMark/>
          </w:tcPr>
          <w:p w:rsidR="00700FA3" w:rsidRPr="00495A8A" w:rsidRDefault="00700FA3" w:rsidP="00314F6A">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45,666</w:t>
            </w:r>
          </w:p>
        </w:tc>
        <w:tc>
          <w:tcPr>
            <w:tcW w:w="639" w:type="pct"/>
            <w:tcBorders>
              <w:top w:val="nil"/>
              <w:left w:val="nil"/>
              <w:bottom w:val="single" w:sz="8" w:space="0" w:color="auto"/>
              <w:right w:val="single" w:sz="8" w:space="0" w:color="auto"/>
            </w:tcBorders>
            <w:shd w:val="clear" w:color="auto" w:fill="auto"/>
            <w:noWrap/>
            <w:vAlign w:val="center"/>
            <w:hideMark/>
          </w:tcPr>
          <w:p w:rsidR="00700FA3" w:rsidRPr="00495A8A" w:rsidRDefault="00700FA3" w:rsidP="00314F6A">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97,679</w:t>
            </w:r>
          </w:p>
        </w:tc>
        <w:tc>
          <w:tcPr>
            <w:tcW w:w="639" w:type="pct"/>
            <w:tcBorders>
              <w:top w:val="nil"/>
              <w:left w:val="nil"/>
              <w:bottom w:val="single" w:sz="8" w:space="0" w:color="auto"/>
              <w:right w:val="single" w:sz="8" w:space="0" w:color="auto"/>
            </w:tcBorders>
            <w:shd w:val="clear" w:color="auto" w:fill="auto"/>
            <w:noWrap/>
            <w:vAlign w:val="center"/>
            <w:hideMark/>
          </w:tcPr>
          <w:p w:rsidR="00700FA3" w:rsidRPr="00495A8A" w:rsidRDefault="00700FA3" w:rsidP="00314F6A">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194,337</w:t>
            </w:r>
          </w:p>
        </w:tc>
        <w:tc>
          <w:tcPr>
            <w:tcW w:w="637" w:type="pct"/>
            <w:gridSpan w:val="3"/>
            <w:tcBorders>
              <w:top w:val="nil"/>
              <w:left w:val="nil"/>
              <w:bottom w:val="single" w:sz="8" w:space="0" w:color="auto"/>
              <w:right w:val="single" w:sz="8" w:space="0" w:color="auto"/>
            </w:tcBorders>
            <w:shd w:val="clear" w:color="auto" w:fill="auto"/>
            <w:noWrap/>
            <w:vAlign w:val="center"/>
            <w:hideMark/>
          </w:tcPr>
          <w:p w:rsidR="00700FA3" w:rsidRPr="00495A8A" w:rsidRDefault="00700FA3" w:rsidP="00314F6A">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309,811</w:t>
            </w:r>
          </w:p>
        </w:tc>
      </w:tr>
      <w:tr w:rsidR="007160FD" w:rsidRPr="000941D8" w:rsidTr="007D70A2">
        <w:trPr>
          <w:gridAfter w:val="1"/>
          <w:wAfter w:w="45" w:type="pct"/>
          <w:trHeight w:val="283"/>
        </w:trPr>
        <w:tc>
          <w:tcPr>
            <w:tcW w:w="756" w:type="pct"/>
            <w:vMerge/>
            <w:tcBorders>
              <w:left w:val="single" w:sz="8" w:space="0" w:color="auto"/>
              <w:bottom w:val="single" w:sz="4" w:space="0" w:color="auto"/>
              <w:right w:val="single" w:sz="8" w:space="0" w:color="auto"/>
            </w:tcBorders>
            <w:shd w:val="clear" w:color="auto" w:fill="auto"/>
            <w:noWrap/>
            <w:vAlign w:val="center"/>
            <w:hideMark/>
          </w:tcPr>
          <w:p w:rsidR="007160FD" w:rsidRPr="00495A8A" w:rsidRDefault="007160FD" w:rsidP="00533A54">
            <w:pPr>
              <w:spacing w:after="0"/>
              <w:rPr>
                <w:rFonts w:ascii="Calibri" w:eastAsia="Times New Roman" w:hAnsi="Calibri" w:cs="Times New Roman"/>
                <w:color w:val="000000"/>
                <w:sz w:val="18"/>
                <w:szCs w:val="18"/>
              </w:rPr>
            </w:pPr>
          </w:p>
        </w:tc>
        <w:tc>
          <w:tcPr>
            <w:tcW w:w="1005" w:type="pct"/>
            <w:tcBorders>
              <w:top w:val="nil"/>
              <w:left w:val="nil"/>
              <w:bottom w:val="single" w:sz="8" w:space="0" w:color="auto"/>
              <w:right w:val="single" w:sz="8" w:space="0" w:color="auto"/>
            </w:tcBorders>
            <w:shd w:val="clear" w:color="auto" w:fill="auto"/>
            <w:vAlign w:val="center"/>
            <w:hideMark/>
          </w:tcPr>
          <w:p w:rsidR="007160FD" w:rsidRPr="00495A8A" w:rsidRDefault="007160FD" w:rsidP="00314F6A">
            <w:pPr>
              <w:spacing w:after="0"/>
              <w:rPr>
                <w:rFonts w:ascii="Calibri" w:eastAsia="Times New Roman" w:hAnsi="Calibri" w:cs="Times New Roman"/>
                <w:color w:val="000000"/>
                <w:sz w:val="18"/>
                <w:szCs w:val="18"/>
              </w:rPr>
            </w:pPr>
            <w:r w:rsidRPr="00836670">
              <w:rPr>
                <w:rFonts w:ascii="Calibri" w:eastAsia="Times New Roman" w:hAnsi="Calibri" w:cs="Times New Roman"/>
                <w:color w:val="000000"/>
                <w:sz w:val="18"/>
                <w:szCs w:val="18"/>
              </w:rPr>
              <w:t>% Difference (A-P)/P</w:t>
            </w:r>
          </w:p>
        </w:tc>
        <w:tc>
          <w:tcPr>
            <w:tcW w:w="639" w:type="pct"/>
            <w:tcBorders>
              <w:top w:val="nil"/>
              <w:left w:val="nil"/>
              <w:bottom w:val="single" w:sz="8" w:space="0" w:color="auto"/>
              <w:right w:val="single" w:sz="8" w:space="0" w:color="auto"/>
            </w:tcBorders>
            <w:shd w:val="clear" w:color="auto" w:fill="auto"/>
            <w:noWrap/>
            <w:vAlign w:val="center"/>
          </w:tcPr>
          <w:p w:rsidR="007160FD"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9" w:type="pct"/>
            <w:tcBorders>
              <w:top w:val="nil"/>
              <w:left w:val="nil"/>
              <w:bottom w:val="single" w:sz="8" w:space="0" w:color="auto"/>
              <w:right w:val="single" w:sz="8" w:space="0" w:color="auto"/>
            </w:tcBorders>
            <w:shd w:val="clear" w:color="auto" w:fill="auto"/>
            <w:noWrap/>
            <w:vAlign w:val="center"/>
          </w:tcPr>
          <w:p w:rsidR="007160FD"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9" w:type="pct"/>
            <w:tcBorders>
              <w:top w:val="nil"/>
              <w:left w:val="nil"/>
              <w:bottom w:val="single" w:sz="8" w:space="0" w:color="auto"/>
              <w:right w:val="single" w:sz="8" w:space="0" w:color="auto"/>
            </w:tcBorders>
            <w:shd w:val="clear" w:color="auto" w:fill="auto"/>
            <w:noWrap/>
            <w:vAlign w:val="center"/>
          </w:tcPr>
          <w:p w:rsidR="007160FD"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9" w:type="pct"/>
            <w:tcBorders>
              <w:top w:val="nil"/>
              <w:left w:val="nil"/>
              <w:bottom w:val="single" w:sz="8" w:space="0" w:color="auto"/>
              <w:right w:val="single" w:sz="8" w:space="0" w:color="auto"/>
            </w:tcBorders>
            <w:shd w:val="clear" w:color="auto" w:fill="auto"/>
            <w:noWrap/>
            <w:vAlign w:val="center"/>
          </w:tcPr>
          <w:p w:rsidR="007160FD"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c>
          <w:tcPr>
            <w:tcW w:w="637" w:type="pct"/>
            <w:gridSpan w:val="3"/>
            <w:tcBorders>
              <w:top w:val="nil"/>
              <w:left w:val="nil"/>
              <w:bottom w:val="single" w:sz="8" w:space="0" w:color="auto"/>
              <w:right w:val="single" w:sz="8" w:space="0" w:color="auto"/>
            </w:tcBorders>
            <w:shd w:val="clear" w:color="auto" w:fill="auto"/>
            <w:noWrap/>
            <w:vAlign w:val="center"/>
          </w:tcPr>
          <w:p w:rsidR="007160FD" w:rsidRPr="00495A8A" w:rsidRDefault="00495A8A" w:rsidP="00314F6A">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20"/>
                <w:highlight w:val="black"/>
              </w:rPr>
              <w:t>'''''''''''</w:t>
            </w:r>
          </w:p>
        </w:tc>
      </w:tr>
      <w:tr w:rsidR="00D61DBE" w:rsidRPr="000941D8" w:rsidTr="00FF4C73">
        <w:trPr>
          <w:gridAfter w:val="1"/>
          <w:wAfter w:w="45" w:type="pct"/>
          <w:trHeight w:val="283"/>
        </w:trPr>
        <w:tc>
          <w:tcPr>
            <w:tcW w:w="756" w:type="pct"/>
            <w:vMerge w:val="restart"/>
            <w:tcBorders>
              <w:top w:val="nil"/>
              <w:left w:val="single" w:sz="8" w:space="0" w:color="auto"/>
              <w:right w:val="single" w:sz="8" w:space="0" w:color="auto"/>
            </w:tcBorders>
            <w:shd w:val="clear" w:color="auto" w:fill="auto"/>
            <w:noWrap/>
            <w:vAlign w:val="center"/>
            <w:hideMark/>
          </w:tcPr>
          <w:p w:rsidR="00D61DBE" w:rsidRPr="00495A8A" w:rsidRDefault="00B1013A" w:rsidP="00FF4C73">
            <w:pPr>
              <w:spacing w:after="0"/>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 xml:space="preserve">Prevalent </w:t>
            </w:r>
            <w:r w:rsidR="00D61DBE" w:rsidRPr="00EE498F">
              <w:rPr>
                <w:rFonts w:ascii="Calibri" w:eastAsia="Times New Roman" w:hAnsi="Calibri" w:cs="Times New Roman"/>
                <w:color w:val="000000"/>
                <w:sz w:val="18"/>
                <w:szCs w:val="18"/>
              </w:rPr>
              <w:t>Patients</w:t>
            </w:r>
          </w:p>
        </w:tc>
        <w:tc>
          <w:tcPr>
            <w:tcW w:w="1005" w:type="pct"/>
            <w:tcBorders>
              <w:top w:val="nil"/>
              <w:left w:val="nil"/>
              <w:bottom w:val="single" w:sz="8" w:space="0" w:color="auto"/>
              <w:right w:val="single" w:sz="8" w:space="0" w:color="auto"/>
            </w:tcBorders>
            <w:shd w:val="clear" w:color="auto" w:fill="auto"/>
            <w:vAlign w:val="center"/>
            <w:hideMark/>
          </w:tcPr>
          <w:p w:rsidR="00D61DBE" w:rsidRPr="00495A8A" w:rsidRDefault="00D61DBE" w:rsidP="00FF4C73">
            <w:pPr>
              <w:spacing w:after="0"/>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 xml:space="preserve">Predicted </w:t>
            </w:r>
            <w:r w:rsidR="0058020C" w:rsidRPr="00EE498F">
              <w:rPr>
                <w:rFonts w:ascii="Calibri" w:eastAsia="Times New Roman" w:hAnsi="Calibri" w:cs="Times New Roman"/>
                <w:color w:val="000000"/>
                <w:sz w:val="18"/>
                <w:szCs w:val="18"/>
              </w:rPr>
              <w:t>–</w:t>
            </w:r>
            <w:r w:rsidRPr="00EE498F">
              <w:rPr>
                <w:rFonts w:ascii="Calibri" w:eastAsia="Times New Roman" w:hAnsi="Calibri" w:cs="Times New Roman"/>
                <w:color w:val="000000"/>
                <w:sz w:val="18"/>
                <w:szCs w:val="18"/>
              </w:rPr>
              <w:t xml:space="preserve"> original</w:t>
            </w:r>
            <w:r w:rsidR="0058020C" w:rsidRPr="00EE498F">
              <w:rPr>
                <w:rFonts w:ascii="Calibri" w:eastAsia="Times New Roman" w:hAnsi="Calibri" w:cs="Times New Roman"/>
                <w:color w:val="000000"/>
                <w:sz w:val="18"/>
                <w:szCs w:val="18"/>
              </w:rPr>
              <w:t xml:space="preserve"> (P)</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495A8A" w:rsidP="00FF4C73">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495A8A" w:rsidP="00FF4C73">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495A8A" w:rsidP="00FF4C73">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495A8A" w:rsidP="00FF4C73">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7" w:type="pct"/>
            <w:gridSpan w:val="3"/>
            <w:tcBorders>
              <w:top w:val="nil"/>
              <w:left w:val="nil"/>
              <w:bottom w:val="single" w:sz="8" w:space="0" w:color="auto"/>
              <w:right w:val="single" w:sz="8" w:space="0" w:color="auto"/>
            </w:tcBorders>
            <w:shd w:val="clear" w:color="auto" w:fill="auto"/>
            <w:noWrap/>
            <w:vAlign w:val="center"/>
            <w:hideMark/>
          </w:tcPr>
          <w:p w:rsidR="00D61DBE" w:rsidRPr="00495A8A" w:rsidRDefault="00495A8A" w:rsidP="00FF4C73">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r>
      <w:tr w:rsidR="0058020C" w:rsidRPr="000941D8" w:rsidTr="00FF4C73">
        <w:trPr>
          <w:gridAfter w:val="1"/>
          <w:wAfter w:w="45" w:type="pct"/>
          <w:trHeight w:val="283"/>
        </w:trPr>
        <w:tc>
          <w:tcPr>
            <w:tcW w:w="756" w:type="pct"/>
            <w:vMerge/>
            <w:tcBorders>
              <w:left w:val="single" w:sz="8" w:space="0" w:color="auto"/>
              <w:right w:val="single" w:sz="8" w:space="0" w:color="auto"/>
            </w:tcBorders>
            <w:shd w:val="clear" w:color="auto" w:fill="auto"/>
            <w:noWrap/>
            <w:vAlign w:val="center"/>
          </w:tcPr>
          <w:p w:rsidR="0058020C" w:rsidRPr="00495A8A" w:rsidRDefault="0058020C" w:rsidP="00FF4C73">
            <w:pPr>
              <w:spacing w:after="0"/>
              <w:rPr>
                <w:rFonts w:ascii="Calibri" w:eastAsia="Times New Roman" w:hAnsi="Calibri" w:cs="Times New Roman"/>
                <w:color w:val="000000"/>
                <w:sz w:val="18"/>
                <w:szCs w:val="18"/>
              </w:rPr>
            </w:pPr>
          </w:p>
        </w:tc>
        <w:tc>
          <w:tcPr>
            <w:tcW w:w="1005" w:type="pct"/>
            <w:tcBorders>
              <w:top w:val="nil"/>
              <w:left w:val="nil"/>
              <w:bottom w:val="single" w:sz="8" w:space="0" w:color="auto"/>
              <w:right w:val="single" w:sz="8" w:space="0" w:color="auto"/>
            </w:tcBorders>
            <w:shd w:val="clear" w:color="auto" w:fill="auto"/>
            <w:vAlign w:val="center"/>
          </w:tcPr>
          <w:p w:rsidR="0058020C" w:rsidRPr="00495A8A" w:rsidRDefault="0058020C" w:rsidP="00FF4C73">
            <w:pPr>
              <w:spacing w:after="0"/>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Predicted – updated*</w:t>
            </w:r>
          </w:p>
        </w:tc>
        <w:tc>
          <w:tcPr>
            <w:tcW w:w="639" w:type="pct"/>
            <w:tcBorders>
              <w:top w:val="nil"/>
              <w:left w:val="nil"/>
              <w:bottom w:val="single" w:sz="8" w:space="0" w:color="auto"/>
              <w:right w:val="single" w:sz="8" w:space="0" w:color="auto"/>
            </w:tcBorders>
            <w:shd w:val="clear" w:color="auto" w:fill="auto"/>
            <w:noWrap/>
            <w:vAlign w:val="center"/>
          </w:tcPr>
          <w:p w:rsidR="0058020C" w:rsidRPr="00495A8A" w:rsidRDefault="0058020C" w:rsidP="0058020C">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na</w:t>
            </w:r>
          </w:p>
        </w:tc>
        <w:tc>
          <w:tcPr>
            <w:tcW w:w="639" w:type="pct"/>
            <w:tcBorders>
              <w:top w:val="nil"/>
              <w:left w:val="nil"/>
              <w:bottom w:val="single" w:sz="8" w:space="0" w:color="auto"/>
              <w:right w:val="single" w:sz="8" w:space="0" w:color="auto"/>
            </w:tcBorders>
            <w:shd w:val="clear" w:color="auto" w:fill="auto"/>
            <w:noWrap/>
          </w:tcPr>
          <w:p w:rsidR="0058020C" w:rsidRPr="00495A8A" w:rsidRDefault="0058020C" w:rsidP="00FF4C73">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na</w:t>
            </w:r>
          </w:p>
        </w:tc>
        <w:tc>
          <w:tcPr>
            <w:tcW w:w="639" w:type="pct"/>
            <w:tcBorders>
              <w:top w:val="nil"/>
              <w:left w:val="nil"/>
              <w:bottom w:val="single" w:sz="8" w:space="0" w:color="auto"/>
              <w:right w:val="single" w:sz="8" w:space="0" w:color="auto"/>
            </w:tcBorders>
            <w:shd w:val="clear" w:color="auto" w:fill="auto"/>
            <w:noWrap/>
          </w:tcPr>
          <w:p w:rsidR="0058020C" w:rsidRPr="00495A8A" w:rsidRDefault="0058020C" w:rsidP="00FF4C73">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na</w:t>
            </w:r>
          </w:p>
        </w:tc>
        <w:tc>
          <w:tcPr>
            <w:tcW w:w="639" w:type="pct"/>
            <w:tcBorders>
              <w:top w:val="nil"/>
              <w:left w:val="nil"/>
              <w:bottom w:val="single" w:sz="8" w:space="0" w:color="auto"/>
              <w:right w:val="single" w:sz="8" w:space="0" w:color="auto"/>
            </w:tcBorders>
            <w:shd w:val="clear" w:color="auto" w:fill="auto"/>
            <w:noWrap/>
          </w:tcPr>
          <w:p w:rsidR="0058020C" w:rsidRPr="00495A8A" w:rsidRDefault="0058020C" w:rsidP="00FF4C73">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na</w:t>
            </w:r>
          </w:p>
        </w:tc>
        <w:tc>
          <w:tcPr>
            <w:tcW w:w="637" w:type="pct"/>
            <w:gridSpan w:val="3"/>
            <w:tcBorders>
              <w:top w:val="nil"/>
              <w:left w:val="nil"/>
              <w:bottom w:val="single" w:sz="8" w:space="0" w:color="auto"/>
              <w:right w:val="single" w:sz="8" w:space="0" w:color="auto"/>
            </w:tcBorders>
            <w:shd w:val="clear" w:color="auto" w:fill="auto"/>
            <w:noWrap/>
          </w:tcPr>
          <w:p w:rsidR="0058020C" w:rsidRPr="00495A8A" w:rsidRDefault="0058020C" w:rsidP="00FF4C73">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na</w:t>
            </w:r>
          </w:p>
        </w:tc>
      </w:tr>
      <w:tr w:rsidR="00D61DBE" w:rsidRPr="000941D8" w:rsidTr="00FF4C73">
        <w:trPr>
          <w:gridAfter w:val="1"/>
          <w:wAfter w:w="45" w:type="pct"/>
          <w:trHeight w:val="283"/>
        </w:trPr>
        <w:tc>
          <w:tcPr>
            <w:tcW w:w="756" w:type="pct"/>
            <w:vMerge/>
            <w:tcBorders>
              <w:left w:val="single" w:sz="8" w:space="0" w:color="auto"/>
              <w:right w:val="single" w:sz="8" w:space="0" w:color="auto"/>
            </w:tcBorders>
            <w:shd w:val="clear" w:color="auto" w:fill="auto"/>
            <w:noWrap/>
            <w:vAlign w:val="center"/>
            <w:hideMark/>
          </w:tcPr>
          <w:p w:rsidR="00D61DBE" w:rsidRPr="00495A8A" w:rsidRDefault="00D61DBE" w:rsidP="00FF4C73">
            <w:pPr>
              <w:spacing w:after="0"/>
              <w:rPr>
                <w:rFonts w:ascii="Calibri" w:eastAsia="Times New Roman" w:hAnsi="Calibri" w:cs="Times New Roman"/>
                <w:color w:val="000000"/>
                <w:sz w:val="18"/>
                <w:szCs w:val="18"/>
              </w:rPr>
            </w:pPr>
          </w:p>
        </w:tc>
        <w:tc>
          <w:tcPr>
            <w:tcW w:w="1005" w:type="pct"/>
            <w:tcBorders>
              <w:top w:val="nil"/>
              <w:left w:val="nil"/>
              <w:bottom w:val="single" w:sz="8" w:space="0" w:color="auto"/>
              <w:right w:val="single" w:sz="8" w:space="0" w:color="auto"/>
            </w:tcBorders>
            <w:shd w:val="clear" w:color="auto" w:fill="auto"/>
            <w:vAlign w:val="center"/>
            <w:hideMark/>
          </w:tcPr>
          <w:p w:rsidR="00D61DBE" w:rsidRPr="00495A8A" w:rsidRDefault="00D61DBE" w:rsidP="00FF4C73">
            <w:pPr>
              <w:spacing w:after="0"/>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Actual (A)</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D61DBE" w:rsidP="00FF4C73">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10,514</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D61DBE" w:rsidP="00FF4C73">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31,816</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D61DBE" w:rsidP="00FF4C73">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64,690</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D61DBE" w:rsidP="00FF4C73">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124,931</w:t>
            </w:r>
          </w:p>
        </w:tc>
        <w:tc>
          <w:tcPr>
            <w:tcW w:w="637" w:type="pct"/>
            <w:gridSpan w:val="3"/>
            <w:tcBorders>
              <w:top w:val="nil"/>
              <w:left w:val="nil"/>
              <w:bottom w:val="single" w:sz="8" w:space="0" w:color="auto"/>
              <w:right w:val="single" w:sz="8" w:space="0" w:color="auto"/>
            </w:tcBorders>
            <w:shd w:val="clear" w:color="auto" w:fill="auto"/>
            <w:noWrap/>
            <w:vAlign w:val="center"/>
            <w:hideMark/>
          </w:tcPr>
          <w:p w:rsidR="00D61DBE" w:rsidRPr="00495A8A" w:rsidRDefault="00D61DBE" w:rsidP="00FF4C73">
            <w:pPr>
              <w:spacing w:after="0"/>
              <w:jc w:val="center"/>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191,439</w:t>
            </w:r>
          </w:p>
        </w:tc>
      </w:tr>
      <w:tr w:rsidR="00D61DBE" w:rsidRPr="000941D8" w:rsidTr="00FF4C73">
        <w:trPr>
          <w:gridAfter w:val="1"/>
          <w:wAfter w:w="45" w:type="pct"/>
          <w:trHeight w:val="283"/>
        </w:trPr>
        <w:tc>
          <w:tcPr>
            <w:tcW w:w="756" w:type="pct"/>
            <w:vMerge/>
            <w:tcBorders>
              <w:left w:val="single" w:sz="8" w:space="0" w:color="auto"/>
              <w:bottom w:val="single" w:sz="8" w:space="0" w:color="auto"/>
              <w:right w:val="single" w:sz="8" w:space="0" w:color="auto"/>
            </w:tcBorders>
            <w:shd w:val="clear" w:color="auto" w:fill="auto"/>
            <w:noWrap/>
            <w:vAlign w:val="center"/>
            <w:hideMark/>
          </w:tcPr>
          <w:p w:rsidR="00D61DBE" w:rsidRPr="00495A8A" w:rsidRDefault="00D61DBE" w:rsidP="00FF4C73">
            <w:pPr>
              <w:spacing w:after="0"/>
              <w:rPr>
                <w:rFonts w:ascii="Calibri" w:eastAsia="Times New Roman" w:hAnsi="Calibri" w:cs="Times New Roman"/>
                <w:color w:val="000000"/>
                <w:sz w:val="18"/>
                <w:szCs w:val="18"/>
              </w:rPr>
            </w:pPr>
          </w:p>
        </w:tc>
        <w:tc>
          <w:tcPr>
            <w:tcW w:w="1005" w:type="pct"/>
            <w:tcBorders>
              <w:top w:val="nil"/>
              <w:left w:val="nil"/>
              <w:bottom w:val="single" w:sz="8" w:space="0" w:color="auto"/>
              <w:right w:val="single" w:sz="8" w:space="0" w:color="auto"/>
            </w:tcBorders>
            <w:shd w:val="clear" w:color="auto" w:fill="auto"/>
            <w:vAlign w:val="center"/>
            <w:hideMark/>
          </w:tcPr>
          <w:p w:rsidR="00D61DBE" w:rsidRPr="00495A8A" w:rsidRDefault="00D61DBE" w:rsidP="00FF4C73">
            <w:pPr>
              <w:spacing w:after="0"/>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 Difference (A-P)/P</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495A8A" w:rsidP="00FF4C73">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495A8A" w:rsidP="00FF4C73">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495A8A" w:rsidP="00FF4C73">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auto"/>
            <w:noWrap/>
            <w:vAlign w:val="center"/>
            <w:hideMark/>
          </w:tcPr>
          <w:p w:rsidR="00D61DBE" w:rsidRPr="00495A8A" w:rsidRDefault="00495A8A" w:rsidP="00FF4C73">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7" w:type="pct"/>
            <w:gridSpan w:val="3"/>
            <w:tcBorders>
              <w:top w:val="nil"/>
              <w:left w:val="nil"/>
              <w:bottom w:val="single" w:sz="8" w:space="0" w:color="auto"/>
              <w:right w:val="single" w:sz="8" w:space="0" w:color="auto"/>
            </w:tcBorders>
            <w:shd w:val="clear" w:color="auto" w:fill="auto"/>
            <w:noWrap/>
            <w:vAlign w:val="center"/>
            <w:hideMark/>
          </w:tcPr>
          <w:p w:rsidR="00D61DBE" w:rsidRPr="00495A8A" w:rsidRDefault="00495A8A" w:rsidP="00FF4C73">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r>
      <w:tr w:rsidR="007D70A2" w:rsidRPr="000941D8" w:rsidTr="005012E6">
        <w:trPr>
          <w:gridAfter w:val="1"/>
          <w:wAfter w:w="45" w:type="pct"/>
          <w:trHeight w:val="283"/>
        </w:trPr>
        <w:tc>
          <w:tcPr>
            <w:tcW w:w="7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0A2" w:rsidRPr="00495A8A" w:rsidRDefault="007D70A2" w:rsidP="00533A54">
            <w:pPr>
              <w:spacing w:after="0"/>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R/PBS expenditure  </w:t>
            </w:r>
          </w:p>
        </w:tc>
        <w:tc>
          <w:tcPr>
            <w:tcW w:w="1005" w:type="pct"/>
            <w:tcBorders>
              <w:top w:val="nil"/>
              <w:left w:val="single" w:sz="4" w:space="0" w:color="auto"/>
              <w:bottom w:val="single" w:sz="8" w:space="0" w:color="auto"/>
              <w:right w:val="single" w:sz="8" w:space="0" w:color="auto"/>
            </w:tcBorders>
            <w:shd w:val="clear" w:color="auto" w:fill="FFFFFF" w:themeFill="background1"/>
            <w:vAlign w:val="center"/>
          </w:tcPr>
          <w:p w:rsidR="007D70A2" w:rsidRPr="00495A8A" w:rsidRDefault="005012E6" w:rsidP="0058020C">
            <w:pPr>
              <w:spacing w:after="0"/>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 xml:space="preserve">Predicted </w:t>
            </w:r>
            <w:r w:rsidR="007D70A2" w:rsidRPr="00EE498F">
              <w:rPr>
                <w:rFonts w:ascii="Calibri" w:eastAsia="Times New Roman" w:hAnsi="Calibri" w:cs="Times New Roman"/>
                <w:color w:val="000000"/>
                <w:sz w:val="18"/>
                <w:szCs w:val="18"/>
              </w:rPr>
              <w:t xml:space="preserve"> - </w:t>
            </w:r>
            <w:r w:rsidR="0058020C" w:rsidRPr="00EE498F">
              <w:rPr>
                <w:rFonts w:ascii="Calibri" w:eastAsia="Times New Roman" w:hAnsi="Calibri" w:cs="Times New Roman"/>
                <w:color w:val="000000"/>
                <w:sz w:val="18"/>
                <w:szCs w:val="18"/>
              </w:rPr>
              <w:t>original</w:t>
            </w:r>
            <w:r w:rsidRPr="00EE498F">
              <w:rPr>
                <w:rFonts w:ascii="Calibri" w:eastAsia="Times New Roman" w:hAnsi="Calibri" w:cs="Times New Roman"/>
                <w:color w:val="000000"/>
                <w:sz w:val="18"/>
                <w:szCs w:val="18"/>
              </w:rPr>
              <w:t>**</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7D70A2" w:rsidRPr="00495A8A" w:rsidRDefault="00495A8A" w:rsidP="009828EF">
            <w:pPr>
              <w:spacing w:after="0"/>
              <w:jc w:val="right"/>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7D70A2" w:rsidRPr="00495A8A" w:rsidRDefault="00495A8A" w:rsidP="009828EF">
            <w:pPr>
              <w:spacing w:after="0"/>
              <w:jc w:val="right"/>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7D70A2" w:rsidRPr="00495A8A" w:rsidRDefault="00495A8A" w:rsidP="009828EF">
            <w:pPr>
              <w:spacing w:after="0"/>
              <w:jc w:val="right"/>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7D70A2" w:rsidRPr="00495A8A" w:rsidRDefault="00495A8A" w:rsidP="009828EF">
            <w:pPr>
              <w:spacing w:after="0"/>
              <w:jc w:val="right"/>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7" w:type="pct"/>
            <w:gridSpan w:val="3"/>
            <w:tcBorders>
              <w:top w:val="nil"/>
              <w:left w:val="nil"/>
              <w:bottom w:val="single" w:sz="8" w:space="0" w:color="auto"/>
              <w:right w:val="single" w:sz="8" w:space="0" w:color="auto"/>
            </w:tcBorders>
            <w:shd w:val="clear" w:color="auto" w:fill="FFFFFF" w:themeFill="background1"/>
            <w:noWrap/>
            <w:vAlign w:val="center"/>
          </w:tcPr>
          <w:p w:rsidR="007D70A2" w:rsidRPr="00495A8A" w:rsidRDefault="00495A8A" w:rsidP="009828EF">
            <w:pPr>
              <w:spacing w:after="0"/>
              <w:jc w:val="right"/>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r>
      <w:tr w:rsidR="005012E6" w:rsidRPr="000941D8" w:rsidTr="005012E6">
        <w:trPr>
          <w:gridAfter w:val="1"/>
          <w:wAfter w:w="45" w:type="pct"/>
          <w:trHeight w:val="283"/>
        </w:trPr>
        <w:tc>
          <w:tcPr>
            <w:tcW w:w="756" w:type="pct"/>
            <w:vMerge/>
            <w:tcBorders>
              <w:left w:val="single" w:sz="4" w:space="0" w:color="auto"/>
              <w:bottom w:val="single" w:sz="4" w:space="0" w:color="auto"/>
              <w:right w:val="single" w:sz="4" w:space="0" w:color="auto"/>
            </w:tcBorders>
            <w:shd w:val="clear" w:color="auto" w:fill="auto"/>
            <w:noWrap/>
            <w:vAlign w:val="center"/>
          </w:tcPr>
          <w:p w:rsidR="005012E6" w:rsidRPr="00495A8A" w:rsidRDefault="005012E6" w:rsidP="00533A54">
            <w:pPr>
              <w:spacing w:after="0"/>
              <w:rPr>
                <w:rFonts w:ascii="Calibri" w:eastAsia="Times New Roman" w:hAnsi="Calibri" w:cs="Times New Roman"/>
                <w:color w:val="000000"/>
                <w:sz w:val="18"/>
                <w:szCs w:val="18"/>
              </w:rPr>
            </w:pPr>
          </w:p>
        </w:tc>
        <w:tc>
          <w:tcPr>
            <w:tcW w:w="1005" w:type="pct"/>
            <w:tcBorders>
              <w:top w:val="nil"/>
              <w:left w:val="single" w:sz="4" w:space="0" w:color="auto"/>
              <w:bottom w:val="single" w:sz="8" w:space="0" w:color="auto"/>
              <w:right w:val="single" w:sz="8" w:space="0" w:color="auto"/>
            </w:tcBorders>
            <w:shd w:val="clear" w:color="auto" w:fill="FFFFFF" w:themeFill="background1"/>
            <w:vAlign w:val="center"/>
          </w:tcPr>
          <w:p w:rsidR="005012E6" w:rsidRPr="00495A8A" w:rsidRDefault="005012E6" w:rsidP="009828EF">
            <w:pPr>
              <w:spacing w:after="0"/>
              <w:rPr>
                <w:rFonts w:ascii="Calibri" w:eastAsia="Times New Roman" w:hAnsi="Calibri" w:cs="Times New Roman"/>
                <w:color w:val="000000"/>
                <w:sz w:val="18"/>
                <w:szCs w:val="18"/>
              </w:rPr>
            </w:pPr>
            <w:r w:rsidRPr="00EE498F">
              <w:rPr>
                <w:rFonts w:ascii="Calibri" w:hAnsi="Calibri"/>
                <w:color w:val="000000"/>
                <w:sz w:val="18"/>
                <w:szCs w:val="20"/>
              </w:rPr>
              <w:t xml:space="preserve">Predicted - Updated Total (P) </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5012E6" w:rsidRPr="00495A8A" w:rsidRDefault="00495A8A" w:rsidP="005012E6">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5012E6" w:rsidRPr="00495A8A" w:rsidRDefault="00495A8A" w:rsidP="005012E6">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5012E6" w:rsidRPr="00495A8A" w:rsidRDefault="00495A8A" w:rsidP="005012E6">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5012E6" w:rsidRPr="00495A8A" w:rsidRDefault="00495A8A" w:rsidP="005012E6">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c>
          <w:tcPr>
            <w:tcW w:w="637" w:type="pct"/>
            <w:gridSpan w:val="3"/>
            <w:tcBorders>
              <w:top w:val="nil"/>
              <w:left w:val="nil"/>
              <w:bottom w:val="single" w:sz="8" w:space="0" w:color="auto"/>
              <w:right w:val="single" w:sz="8" w:space="0" w:color="auto"/>
            </w:tcBorders>
            <w:shd w:val="clear" w:color="auto" w:fill="FFFFFF" w:themeFill="background1"/>
            <w:noWrap/>
            <w:vAlign w:val="center"/>
          </w:tcPr>
          <w:p w:rsidR="005012E6" w:rsidRPr="00495A8A" w:rsidRDefault="00495A8A" w:rsidP="005012E6">
            <w:pPr>
              <w:spacing w:after="0"/>
              <w:jc w:val="center"/>
              <w:rPr>
                <w:rFonts w:ascii="Calibri" w:eastAsia="Times New Roman" w:hAnsi="Calibri" w:cs="Times New Roman"/>
                <w:color w:val="000000"/>
                <w:sz w:val="18"/>
                <w:szCs w:val="18"/>
                <w:highlight w:val="black"/>
              </w:rPr>
            </w:pPr>
            <w:r>
              <w:rPr>
                <w:rFonts w:ascii="Calibri" w:eastAsia="Times New Roman" w:hAnsi="Calibri" w:cs="Times New Roman"/>
                <w:noProof/>
                <w:color w:val="000000"/>
                <w:sz w:val="18"/>
                <w:szCs w:val="18"/>
                <w:highlight w:val="black"/>
              </w:rPr>
              <w:t>''''''''''''''''''''''</w:t>
            </w:r>
          </w:p>
        </w:tc>
      </w:tr>
      <w:tr w:rsidR="007D70A2" w:rsidRPr="000941D8" w:rsidTr="005012E6">
        <w:trPr>
          <w:gridAfter w:val="1"/>
          <w:wAfter w:w="45" w:type="pct"/>
          <w:trHeight w:val="283"/>
        </w:trPr>
        <w:tc>
          <w:tcPr>
            <w:tcW w:w="756" w:type="pct"/>
            <w:vMerge/>
            <w:tcBorders>
              <w:left w:val="single" w:sz="4" w:space="0" w:color="auto"/>
              <w:bottom w:val="single" w:sz="4" w:space="0" w:color="auto"/>
              <w:right w:val="single" w:sz="4" w:space="0" w:color="auto"/>
            </w:tcBorders>
            <w:shd w:val="clear" w:color="auto" w:fill="auto"/>
            <w:noWrap/>
            <w:vAlign w:val="center"/>
            <w:hideMark/>
          </w:tcPr>
          <w:p w:rsidR="007D70A2" w:rsidRPr="00495A8A" w:rsidRDefault="007D70A2" w:rsidP="00533A54">
            <w:pPr>
              <w:spacing w:after="0"/>
              <w:rPr>
                <w:rFonts w:ascii="Calibri" w:eastAsia="Times New Roman" w:hAnsi="Calibri" w:cs="Times New Roman"/>
                <w:color w:val="000000"/>
                <w:sz w:val="18"/>
                <w:szCs w:val="18"/>
              </w:rPr>
            </w:pPr>
          </w:p>
        </w:tc>
        <w:tc>
          <w:tcPr>
            <w:tcW w:w="1005" w:type="pct"/>
            <w:tcBorders>
              <w:top w:val="nil"/>
              <w:left w:val="single" w:sz="4" w:space="0" w:color="auto"/>
              <w:bottom w:val="single" w:sz="8" w:space="0" w:color="auto"/>
              <w:right w:val="single" w:sz="8" w:space="0" w:color="auto"/>
            </w:tcBorders>
            <w:shd w:val="clear" w:color="auto" w:fill="FFFFFF" w:themeFill="background1"/>
            <w:vAlign w:val="center"/>
          </w:tcPr>
          <w:p w:rsidR="007D70A2" w:rsidRPr="00495A8A" w:rsidRDefault="007D70A2" w:rsidP="009828EF">
            <w:pPr>
              <w:spacing w:after="0"/>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Actual (A)</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7D70A2" w:rsidRPr="00495A8A" w:rsidRDefault="007D70A2" w:rsidP="009828EF">
            <w:pPr>
              <w:spacing w:after="0"/>
              <w:jc w:val="right"/>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$3,859,383</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7D70A2" w:rsidRPr="00495A8A" w:rsidRDefault="007D70A2" w:rsidP="009828EF">
            <w:pPr>
              <w:spacing w:after="0"/>
              <w:jc w:val="right"/>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$13,249,014</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7D70A2" w:rsidRPr="00495A8A" w:rsidRDefault="007D70A2" w:rsidP="009828EF">
            <w:pPr>
              <w:spacing w:after="0"/>
              <w:jc w:val="right"/>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$28,313,153</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7D70A2" w:rsidRPr="00495A8A" w:rsidRDefault="007D70A2" w:rsidP="009828EF">
            <w:pPr>
              <w:spacing w:after="0"/>
              <w:jc w:val="right"/>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$55,800,359</w:t>
            </w:r>
          </w:p>
        </w:tc>
        <w:tc>
          <w:tcPr>
            <w:tcW w:w="637" w:type="pct"/>
            <w:gridSpan w:val="3"/>
            <w:tcBorders>
              <w:top w:val="nil"/>
              <w:left w:val="nil"/>
              <w:bottom w:val="single" w:sz="8" w:space="0" w:color="auto"/>
              <w:right w:val="single" w:sz="8" w:space="0" w:color="auto"/>
            </w:tcBorders>
            <w:shd w:val="clear" w:color="auto" w:fill="FFFFFF" w:themeFill="background1"/>
            <w:noWrap/>
            <w:vAlign w:val="center"/>
          </w:tcPr>
          <w:p w:rsidR="007D70A2" w:rsidRPr="00495A8A" w:rsidRDefault="007D70A2" w:rsidP="009828EF">
            <w:pPr>
              <w:spacing w:after="0"/>
              <w:jc w:val="right"/>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$86,621,284</w:t>
            </w:r>
          </w:p>
        </w:tc>
      </w:tr>
      <w:tr w:rsidR="00BE3D8B" w:rsidRPr="000941D8" w:rsidTr="005012E6">
        <w:trPr>
          <w:gridAfter w:val="1"/>
          <w:wAfter w:w="45" w:type="pct"/>
          <w:trHeight w:val="283"/>
        </w:trPr>
        <w:tc>
          <w:tcPr>
            <w:tcW w:w="756" w:type="pct"/>
            <w:vMerge/>
            <w:tcBorders>
              <w:left w:val="single" w:sz="4" w:space="0" w:color="auto"/>
              <w:bottom w:val="single" w:sz="4" w:space="0" w:color="auto"/>
              <w:right w:val="single" w:sz="4" w:space="0" w:color="auto"/>
            </w:tcBorders>
            <w:shd w:val="clear" w:color="auto" w:fill="auto"/>
            <w:noWrap/>
            <w:vAlign w:val="center"/>
            <w:hideMark/>
          </w:tcPr>
          <w:p w:rsidR="00BE3D8B" w:rsidRPr="00495A8A" w:rsidRDefault="00BE3D8B" w:rsidP="00533A54">
            <w:pPr>
              <w:spacing w:after="0"/>
              <w:rPr>
                <w:rFonts w:ascii="Calibri" w:eastAsia="Times New Roman" w:hAnsi="Calibri" w:cs="Times New Roman"/>
                <w:color w:val="000000"/>
                <w:sz w:val="18"/>
                <w:szCs w:val="18"/>
              </w:rPr>
            </w:pPr>
          </w:p>
        </w:tc>
        <w:tc>
          <w:tcPr>
            <w:tcW w:w="1005" w:type="pct"/>
            <w:tcBorders>
              <w:top w:val="nil"/>
              <w:left w:val="single" w:sz="4" w:space="0" w:color="auto"/>
              <w:bottom w:val="single" w:sz="8" w:space="0" w:color="auto"/>
              <w:right w:val="single" w:sz="8" w:space="0" w:color="auto"/>
            </w:tcBorders>
            <w:shd w:val="clear" w:color="auto" w:fill="FFFFFF" w:themeFill="background1"/>
            <w:vAlign w:val="center"/>
          </w:tcPr>
          <w:p w:rsidR="00BE3D8B" w:rsidRPr="00495A8A" w:rsidRDefault="00BE3D8B" w:rsidP="009828EF">
            <w:pPr>
              <w:spacing w:after="0"/>
              <w:rPr>
                <w:rFonts w:ascii="Calibri" w:eastAsia="Times New Roman" w:hAnsi="Calibri" w:cs="Times New Roman"/>
                <w:color w:val="000000"/>
                <w:sz w:val="18"/>
                <w:szCs w:val="18"/>
              </w:rPr>
            </w:pPr>
            <w:r w:rsidRPr="00EE498F">
              <w:rPr>
                <w:rFonts w:ascii="Calibri" w:eastAsia="Times New Roman" w:hAnsi="Calibri" w:cs="Times New Roman"/>
                <w:color w:val="000000"/>
                <w:sz w:val="18"/>
                <w:szCs w:val="18"/>
              </w:rPr>
              <w:t>% Difference (A-P)/P</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BE3D8B" w:rsidRPr="00495A8A" w:rsidRDefault="00495A8A" w:rsidP="009828EF">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BE3D8B" w:rsidRPr="00495A8A" w:rsidRDefault="00495A8A" w:rsidP="009828EF">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BE3D8B" w:rsidRPr="00495A8A" w:rsidRDefault="00495A8A" w:rsidP="009828EF">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18"/>
                <w:highlight w:val="black"/>
              </w:rPr>
              <w:t>''''''''</w:t>
            </w:r>
          </w:p>
        </w:tc>
        <w:tc>
          <w:tcPr>
            <w:tcW w:w="639" w:type="pct"/>
            <w:tcBorders>
              <w:top w:val="nil"/>
              <w:left w:val="nil"/>
              <w:bottom w:val="single" w:sz="8" w:space="0" w:color="auto"/>
              <w:right w:val="single" w:sz="8" w:space="0" w:color="auto"/>
            </w:tcBorders>
            <w:shd w:val="clear" w:color="auto" w:fill="FFFFFF" w:themeFill="background1"/>
            <w:noWrap/>
            <w:vAlign w:val="center"/>
          </w:tcPr>
          <w:p w:rsidR="00BE3D8B" w:rsidRPr="00495A8A" w:rsidRDefault="00495A8A" w:rsidP="009828EF">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18"/>
                <w:highlight w:val="black"/>
              </w:rPr>
              <w:t>'''''''''</w:t>
            </w:r>
          </w:p>
        </w:tc>
        <w:tc>
          <w:tcPr>
            <w:tcW w:w="637" w:type="pct"/>
            <w:gridSpan w:val="3"/>
            <w:tcBorders>
              <w:top w:val="nil"/>
              <w:left w:val="nil"/>
              <w:bottom w:val="single" w:sz="8" w:space="0" w:color="auto"/>
              <w:right w:val="single" w:sz="8" w:space="0" w:color="auto"/>
            </w:tcBorders>
            <w:shd w:val="clear" w:color="auto" w:fill="FFFFFF" w:themeFill="background1"/>
            <w:noWrap/>
            <w:vAlign w:val="center"/>
          </w:tcPr>
          <w:p w:rsidR="00BE3D8B" w:rsidRPr="00495A8A" w:rsidRDefault="00495A8A" w:rsidP="009828EF">
            <w:pPr>
              <w:spacing w:after="0"/>
              <w:jc w:val="center"/>
              <w:rPr>
                <w:rFonts w:ascii="Calibri" w:eastAsia="Times New Roman" w:hAnsi="Calibri" w:cs="Times New Roman"/>
                <w:color w:val="000000"/>
                <w:sz w:val="18"/>
                <w:szCs w:val="18"/>
                <w:highlight w:val="black"/>
              </w:rPr>
            </w:pPr>
            <w:r>
              <w:rPr>
                <w:rFonts w:ascii="Calibri" w:hAnsi="Calibri"/>
                <w:noProof/>
                <w:color w:val="000000"/>
                <w:sz w:val="18"/>
                <w:szCs w:val="18"/>
                <w:highlight w:val="black"/>
              </w:rPr>
              <w:t>'''''''''</w:t>
            </w:r>
          </w:p>
        </w:tc>
      </w:tr>
    </w:tbl>
    <w:p w:rsidR="009B385C" w:rsidRPr="000C5161" w:rsidRDefault="006B52F2" w:rsidP="009B385C">
      <w:pPr>
        <w:rPr>
          <w:szCs w:val="28"/>
        </w:rPr>
      </w:pPr>
      <w:r w:rsidRPr="000C5161">
        <w:rPr>
          <w:sz w:val="20"/>
          <w:szCs w:val="28"/>
        </w:rPr>
        <w:t xml:space="preserve">Source of predicted use: </w:t>
      </w:r>
      <w:r w:rsidR="00D61DBE" w:rsidRPr="000C5161">
        <w:rPr>
          <w:sz w:val="20"/>
          <w:szCs w:val="28"/>
        </w:rPr>
        <w:t xml:space="preserve">Original estimates are from the submission to the </w:t>
      </w:r>
      <w:r w:rsidR="0058020C" w:rsidRPr="000C5161">
        <w:rPr>
          <w:sz w:val="20"/>
          <w:szCs w:val="28"/>
        </w:rPr>
        <w:t xml:space="preserve">July 2010 PBAC. Updated estimates are from the </w:t>
      </w:r>
      <w:r w:rsidRPr="000C5161">
        <w:rPr>
          <w:sz w:val="20"/>
          <w:szCs w:val="28"/>
        </w:rPr>
        <w:t>submission to the July 2013 PBAC.</w:t>
      </w:r>
      <w:r w:rsidRPr="000C5161">
        <w:rPr>
          <w:sz w:val="20"/>
          <w:szCs w:val="28"/>
        </w:rPr>
        <w:br/>
        <w:t xml:space="preserve">* Patients numbers estimates were </w:t>
      </w:r>
      <w:r w:rsidR="0058020C" w:rsidRPr="000C5161">
        <w:rPr>
          <w:sz w:val="20"/>
          <w:szCs w:val="28"/>
        </w:rPr>
        <w:t xml:space="preserve">not </w:t>
      </w:r>
      <w:r w:rsidRPr="000C5161">
        <w:rPr>
          <w:sz w:val="20"/>
          <w:szCs w:val="28"/>
        </w:rPr>
        <w:t>included in the submission to the July 2013 PBAC.</w:t>
      </w:r>
      <w:r w:rsidR="005012E6" w:rsidRPr="000C5161">
        <w:rPr>
          <w:sz w:val="20"/>
          <w:szCs w:val="28"/>
        </w:rPr>
        <w:br/>
        <w:t>** based on listing DPMQ of $304.87</w:t>
      </w:r>
      <w:r w:rsidR="009B385C" w:rsidRPr="000C5161">
        <w:rPr>
          <w:sz w:val="20"/>
          <w:szCs w:val="28"/>
        </w:rPr>
        <w:t xml:space="preserve"> rather than submission value.</w:t>
      </w:r>
    </w:p>
    <w:p w:rsidR="009317D2" w:rsidRPr="000C5161" w:rsidRDefault="00F31A7A" w:rsidP="009B385C">
      <w:pPr>
        <w:rPr>
          <w:szCs w:val="28"/>
        </w:rPr>
      </w:pPr>
      <w:r w:rsidRPr="000C5161">
        <w:rPr>
          <w:szCs w:val="28"/>
        </w:rPr>
        <w:t xml:space="preserve">Table </w:t>
      </w:r>
      <w:r w:rsidR="0007303D" w:rsidRPr="000C5161">
        <w:rPr>
          <w:szCs w:val="28"/>
        </w:rPr>
        <w:t>8</w:t>
      </w:r>
      <w:r w:rsidR="00A834FE" w:rsidRPr="000C5161">
        <w:rPr>
          <w:szCs w:val="28"/>
        </w:rPr>
        <w:t xml:space="preserve"> shows that </w:t>
      </w:r>
      <w:r w:rsidR="005012E6" w:rsidRPr="000C5161">
        <w:rPr>
          <w:szCs w:val="28"/>
        </w:rPr>
        <w:t xml:space="preserve">actual </w:t>
      </w:r>
      <w:r w:rsidR="00A834FE" w:rsidRPr="000C5161">
        <w:rPr>
          <w:szCs w:val="28"/>
        </w:rPr>
        <w:t xml:space="preserve">prescriptions </w:t>
      </w:r>
      <w:r w:rsidR="005012E6" w:rsidRPr="000C5161">
        <w:rPr>
          <w:szCs w:val="28"/>
        </w:rPr>
        <w:t xml:space="preserve">and expenditure </w:t>
      </w:r>
      <w:r w:rsidR="00A834FE" w:rsidRPr="000C5161">
        <w:rPr>
          <w:szCs w:val="28"/>
        </w:rPr>
        <w:t xml:space="preserve">exceeded </w:t>
      </w:r>
      <w:r w:rsidR="005012E6" w:rsidRPr="000C5161">
        <w:rPr>
          <w:szCs w:val="28"/>
        </w:rPr>
        <w:t xml:space="preserve">the updated </w:t>
      </w:r>
      <w:r w:rsidR="00A834FE" w:rsidRPr="000C5161">
        <w:rPr>
          <w:szCs w:val="28"/>
        </w:rPr>
        <w:t>predict</w:t>
      </w:r>
      <w:r w:rsidR="00E004F1" w:rsidRPr="000C5161">
        <w:rPr>
          <w:szCs w:val="28"/>
        </w:rPr>
        <w:t>ions</w:t>
      </w:r>
      <w:r w:rsidR="00A834FE" w:rsidRPr="000C5161">
        <w:rPr>
          <w:szCs w:val="28"/>
        </w:rPr>
        <w:t xml:space="preserve"> </w:t>
      </w:r>
      <w:r w:rsidR="009317D2" w:rsidRPr="000C5161">
        <w:rPr>
          <w:szCs w:val="28"/>
        </w:rPr>
        <w:t>because market share ha</w:t>
      </w:r>
      <w:r w:rsidR="00262D64" w:rsidRPr="000C5161">
        <w:rPr>
          <w:szCs w:val="28"/>
        </w:rPr>
        <w:t>d</w:t>
      </w:r>
      <w:r w:rsidR="009317D2" w:rsidRPr="000C5161">
        <w:rPr>
          <w:szCs w:val="28"/>
        </w:rPr>
        <w:t xml:space="preserve"> been greater than anticipated</w:t>
      </w:r>
      <w:r w:rsidR="003B40A7" w:rsidRPr="000C5161">
        <w:rPr>
          <w:szCs w:val="28"/>
        </w:rPr>
        <w:t>.</w:t>
      </w:r>
      <w:r w:rsidR="005012E6" w:rsidRPr="000C5161">
        <w:rPr>
          <w:szCs w:val="28"/>
        </w:rPr>
        <w:t xml:space="preserve"> In 2015 prescriptions and </w:t>
      </w:r>
      <w:r w:rsidR="00BE3D8B" w:rsidRPr="000C5161">
        <w:rPr>
          <w:szCs w:val="28"/>
        </w:rPr>
        <w:t>expenditure were approximately double that predicted</w:t>
      </w:r>
      <w:r w:rsidR="00BA4BB8" w:rsidRPr="000C5161">
        <w:rPr>
          <w:szCs w:val="28"/>
        </w:rPr>
        <w:t>.</w:t>
      </w:r>
      <w:r w:rsidR="007D628F" w:rsidRPr="000C5161">
        <w:rPr>
          <w:szCs w:val="28"/>
        </w:rPr>
        <w:t xml:space="preserve"> A key assumption in the original submission </w:t>
      </w:r>
      <w:r w:rsidR="00875E8A" w:rsidRPr="000C5161">
        <w:rPr>
          <w:szCs w:val="28"/>
        </w:rPr>
        <w:t>wa</w:t>
      </w:r>
      <w:r w:rsidR="007D628F" w:rsidRPr="000C5161">
        <w:rPr>
          <w:szCs w:val="28"/>
        </w:rPr>
        <w:t xml:space="preserve">s that denosumab would take </w:t>
      </w:r>
      <w:r w:rsidR="00495A8A">
        <w:rPr>
          <w:noProof/>
          <w:color w:val="000000"/>
          <w:szCs w:val="28"/>
          <w:highlight w:val="black"/>
        </w:rPr>
        <w:t>'''''</w:t>
      </w:r>
      <w:r w:rsidR="007D628F" w:rsidRPr="000C5161">
        <w:rPr>
          <w:szCs w:val="28"/>
        </w:rPr>
        <w:t xml:space="preserve">% of the osteoporosis market by year 5 (ie. 2015). Figure </w:t>
      </w:r>
      <w:r w:rsidR="00B1013A" w:rsidRPr="000C5161">
        <w:rPr>
          <w:szCs w:val="28"/>
        </w:rPr>
        <w:t>4</w:t>
      </w:r>
      <w:r w:rsidR="007D628F" w:rsidRPr="000C5161">
        <w:rPr>
          <w:szCs w:val="28"/>
        </w:rPr>
        <w:t xml:space="preserve"> shows that </w:t>
      </w:r>
      <w:r w:rsidR="00B1013A" w:rsidRPr="000C5161">
        <w:rPr>
          <w:szCs w:val="28"/>
        </w:rPr>
        <w:t>denosumab had 40.6% (191,439 / 471,497) of prevalent patients in 2015. Also Figure 2 shows that denosumab had 48.9% (35,260 / 72,132) of incident patients in 2015.</w:t>
      </w:r>
    </w:p>
    <w:p w:rsidR="009317D2" w:rsidRPr="000C5161" w:rsidRDefault="009317D2" w:rsidP="009B385C">
      <w:pPr>
        <w:rPr>
          <w:szCs w:val="28"/>
        </w:rPr>
      </w:pPr>
      <w:r w:rsidRPr="000C5161">
        <w:rPr>
          <w:szCs w:val="28"/>
        </w:rPr>
        <w:t xml:space="preserve">The previous predicted versus actual analysis of denosumab considered by DUSC in February 2014 found that denosumab </w:t>
      </w:r>
      <w:r w:rsidR="00262D64" w:rsidRPr="000C5161">
        <w:rPr>
          <w:szCs w:val="28"/>
        </w:rPr>
        <w:t>was</w:t>
      </w:r>
      <w:r w:rsidRPr="000C5161">
        <w:rPr>
          <w:szCs w:val="28"/>
        </w:rPr>
        <w:t xml:space="preserve"> used </w:t>
      </w:r>
      <w:r w:rsidR="00875E8A" w:rsidRPr="000C5161">
        <w:rPr>
          <w:szCs w:val="28"/>
        </w:rPr>
        <w:t xml:space="preserve">both </w:t>
      </w:r>
      <w:r w:rsidRPr="000C5161">
        <w:rPr>
          <w:szCs w:val="28"/>
        </w:rPr>
        <w:t>for patients who are new to osteoporosis therapy and in patients who have been on prior osteoporosis medicines. At the time of the last review most patients on denosumab had switched from another medicine but the proportion of patients initiating osteoporosis therapy on denosumab was increasing.</w:t>
      </w:r>
      <w:r w:rsidR="0007303D" w:rsidRPr="000C5161">
        <w:rPr>
          <w:szCs w:val="28"/>
        </w:rPr>
        <w:t xml:space="preserve"> Table 9 shows how the proportion of new and previously treated patients commencing denosumab has varied over time. The number of prior </w:t>
      </w:r>
      <w:r w:rsidR="009B385C" w:rsidRPr="000C5161">
        <w:rPr>
          <w:szCs w:val="28"/>
        </w:rPr>
        <w:t>therapies is</w:t>
      </w:r>
      <w:r w:rsidR="0007303D" w:rsidRPr="000C5161">
        <w:rPr>
          <w:szCs w:val="28"/>
        </w:rPr>
        <w:t xml:space="preserve"> also </w:t>
      </w:r>
      <w:r w:rsidR="00875E8A" w:rsidRPr="000C5161">
        <w:rPr>
          <w:szCs w:val="28"/>
        </w:rPr>
        <w:t>presented</w:t>
      </w:r>
      <w:r w:rsidR="0007303D" w:rsidRPr="000C5161">
        <w:rPr>
          <w:szCs w:val="28"/>
        </w:rPr>
        <w:t>.</w:t>
      </w:r>
    </w:p>
    <w:p w:rsidR="009317D2" w:rsidRPr="000C5161" w:rsidRDefault="009317D2" w:rsidP="00AE3B1C">
      <w:pPr>
        <w:spacing w:after="0"/>
        <w:rPr>
          <w:b/>
        </w:rPr>
      </w:pPr>
      <w:r w:rsidRPr="000C5161">
        <w:rPr>
          <w:b/>
        </w:rPr>
        <w:t xml:space="preserve">Table </w:t>
      </w:r>
      <w:r w:rsidR="0007303D" w:rsidRPr="000C5161">
        <w:rPr>
          <w:b/>
        </w:rPr>
        <w:t>9</w:t>
      </w:r>
      <w:r w:rsidRPr="000C5161">
        <w:rPr>
          <w:b/>
        </w:rPr>
        <w:t>: Number of osteoporosis drugs initiated prior to initiating denosumab</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Number of osteoporosis drugs initiated prior to initiating denosumab"/>
      </w:tblPr>
      <w:tblGrid>
        <w:gridCol w:w="4062"/>
        <w:gridCol w:w="714"/>
        <w:gridCol w:w="714"/>
        <w:gridCol w:w="714"/>
        <w:gridCol w:w="714"/>
        <w:gridCol w:w="714"/>
      </w:tblGrid>
      <w:tr w:rsidR="009317D2" w:rsidRPr="000941D8" w:rsidTr="00AE3B1C">
        <w:trPr>
          <w:trHeight w:val="300"/>
        </w:trPr>
        <w:tc>
          <w:tcPr>
            <w:tcW w:w="0" w:type="auto"/>
            <w:shd w:val="clear" w:color="auto" w:fill="BFBFBF" w:themeFill="background1" w:themeFillShade="BF"/>
            <w:vAlign w:val="bottom"/>
            <w:hideMark/>
          </w:tcPr>
          <w:p w:rsidR="009317D2" w:rsidRPr="000C5161" w:rsidRDefault="009317D2" w:rsidP="00E71DE9">
            <w:pPr>
              <w:spacing w:after="0"/>
              <w:rPr>
                <w:rFonts w:ascii="Calibri" w:eastAsia="Times New Roman" w:hAnsi="Calibri" w:cs="Times New Roman"/>
                <w:b/>
                <w:bCs/>
                <w:color w:val="000000"/>
                <w:sz w:val="20"/>
                <w:szCs w:val="20"/>
              </w:rPr>
            </w:pPr>
            <w:r w:rsidRPr="000C5161">
              <w:rPr>
                <w:rFonts w:ascii="Calibri" w:eastAsia="Times New Roman" w:hAnsi="Calibri" w:cs="Times New Roman"/>
                <w:b/>
                <w:bCs/>
                <w:color w:val="000000"/>
                <w:sz w:val="20"/>
                <w:szCs w:val="20"/>
              </w:rPr>
              <w:t>% of Patients</w:t>
            </w:r>
          </w:p>
        </w:tc>
        <w:tc>
          <w:tcPr>
            <w:tcW w:w="0" w:type="auto"/>
            <w:gridSpan w:val="5"/>
            <w:shd w:val="clear" w:color="auto" w:fill="BFBFBF" w:themeFill="background1" w:themeFillShade="BF"/>
            <w:vAlign w:val="center"/>
            <w:hideMark/>
          </w:tcPr>
          <w:p w:rsidR="009317D2" w:rsidRPr="000C5161" w:rsidRDefault="009317D2" w:rsidP="00E71DE9">
            <w:pPr>
              <w:spacing w:after="0"/>
              <w:jc w:val="center"/>
              <w:rPr>
                <w:rFonts w:ascii="Calibri" w:eastAsia="Times New Roman" w:hAnsi="Calibri" w:cs="Times New Roman"/>
                <w:b/>
                <w:bCs/>
                <w:color w:val="000000"/>
                <w:sz w:val="20"/>
                <w:szCs w:val="20"/>
              </w:rPr>
            </w:pPr>
            <w:r w:rsidRPr="000C5161">
              <w:rPr>
                <w:rFonts w:ascii="Calibri" w:eastAsia="Times New Roman" w:hAnsi="Calibri" w:cs="Times New Roman"/>
                <w:b/>
                <w:bCs/>
                <w:color w:val="000000"/>
                <w:sz w:val="20"/>
                <w:szCs w:val="20"/>
              </w:rPr>
              <w:t>Year of initiation to denosumab</w:t>
            </w:r>
          </w:p>
        </w:tc>
      </w:tr>
      <w:tr w:rsidR="009317D2" w:rsidRPr="000941D8" w:rsidTr="00AE3B1C">
        <w:trPr>
          <w:trHeight w:val="299"/>
        </w:trPr>
        <w:tc>
          <w:tcPr>
            <w:tcW w:w="0" w:type="auto"/>
            <w:shd w:val="clear" w:color="auto" w:fill="BFBFBF" w:themeFill="background1" w:themeFillShade="BF"/>
            <w:vAlign w:val="center"/>
            <w:hideMark/>
          </w:tcPr>
          <w:p w:rsidR="009317D2" w:rsidRPr="000C5161" w:rsidRDefault="009317D2" w:rsidP="00AE3B1C">
            <w:pPr>
              <w:spacing w:after="0"/>
              <w:rPr>
                <w:rFonts w:ascii="Calibri" w:eastAsia="Times New Roman" w:hAnsi="Calibri" w:cs="Times New Roman"/>
                <w:b/>
                <w:bCs/>
                <w:color w:val="000000"/>
                <w:sz w:val="20"/>
                <w:szCs w:val="20"/>
              </w:rPr>
            </w:pPr>
            <w:r w:rsidRPr="000C5161">
              <w:rPr>
                <w:rFonts w:ascii="Calibri" w:eastAsia="Times New Roman" w:hAnsi="Calibri" w:cs="Times New Roman"/>
                <w:b/>
                <w:bCs/>
                <w:color w:val="000000"/>
                <w:sz w:val="20"/>
                <w:szCs w:val="20"/>
              </w:rPr>
              <w:t>Number of drugs initiated prior to denosumab</w:t>
            </w:r>
          </w:p>
        </w:tc>
        <w:tc>
          <w:tcPr>
            <w:tcW w:w="0" w:type="auto"/>
            <w:shd w:val="clear" w:color="auto" w:fill="BFBFBF" w:themeFill="background1" w:themeFillShade="BF"/>
            <w:noWrap/>
            <w:vAlign w:val="center"/>
            <w:hideMark/>
          </w:tcPr>
          <w:p w:rsidR="009317D2" w:rsidRPr="000C5161" w:rsidRDefault="009317D2" w:rsidP="00AE3B1C">
            <w:pPr>
              <w:spacing w:after="0"/>
              <w:jc w:val="center"/>
              <w:rPr>
                <w:rFonts w:ascii="Calibri" w:eastAsia="Times New Roman" w:hAnsi="Calibri" w:cs="Times New Roman"/>
                <w:b/>
                <w:bCs/>
                <w:color w:val="000000"/>
                <w:sz w:val="20"/>
                <w:szCs w:val="20"/>
              </w:rPr>
            </w:pPr>
            <w:r w:rsidRPr="000C5161">
              <w:rPr>
                <w:rFonts w:ascii="Calibri" w:eastAsia="Times New Roman" w:hAnsi="Calibri" w:cs="Times New Roman"/>
                <w:b/>
                <w:bCs/>
                <w:color w:val="000000"/>
                <w:sz w:val="20"/>
                <w:szCs w:val="20"/>
              </w:rPr>
              <w:t>2011</w:t>
            </w:r>
          </w:p>
        </w:tc>
        <w:tc>
          <w:tcPr>
            <w:tcW w:w="0" w:type="auto"/>
            <w:shd w:val="clear" w:color="auto" w:fill="BFBFBF" w:themeFill="background1" w:themeFillShade="BF"/>
            <w:noWrap/>
            <w:vAlign w:val="center"/>
            <w:hideMark/>
          </w:tcPr>
          <w:p w:rsidR="009317D2" w:rsidRPr="000C5161" w:rsidRDefault="009317D2" w:rsidP="00AE3B1C">
            <w:pPr>
              <w:spacing w:after="0"/>
              <w:jc w:val="center"/>
              <w:rPr>
                <w:rFonts w:ascii="Calibri" w:eastAsia="Times New Roman" w:hAnsi="Calibri" w:cs="Times New Roman"/>
                <w:b/>
                <w:bCs/>
                <w:color w:val="000000"/>
                <w:sz w:val="20"/>
                <w:szCs w:val="20"/>
              </w:rPr>
            </w:pPr>
            <w:r w:rsidRPr="000C5161">
              <w:rPr>
                <w:rFonts w:ascii="Calibri" w:eastAsia="Times New Roman" w:hAnsi="Calibri" w:cs="Times New Roman"/>
                <w:b/>
                <w:bCs/>
                <w:color w:val="000000"/>
                <w:sz w:val="20"/>
                <w:szCs w:val="20"/>
              </w:rPr>
              <w:t>2012</w:t>
            </w:r>
          </w:p>
        </w:tc>
        <w:tc>
          <w:tcPr>
            <w:tcW w:w="0" w:type="auto"/>
            <w:shd w:val="clear" w:color="auto" w:fill="BFBFBF" w:themeFill="background1" w:themeFillShade="BF"/>
            <w:noWrap/>
            <w:vAlign w:val="center"/>
            <w:hideMark/>
          </w:tcPr>
          <w:p w:rsidR="009317D2" w:rsidRPr="000C5161" w:rsidRDefault="009317D2" w:rsidP="00AE3B1C">
            <w:pPr>
              <w:spacing w:after="0"/>
              <w:jc w:val="center"/>
              <w:rPr>
                <w:rFonts w:ascii="Calibri" w:eastAsia="Times New Roman" w:hAnsi="Calibri" w:cs="Times New Roman"/>
                <w:b/>
                <w:bCs/>
                <w:color w:val="000000"/>
                <w:sz w:val="20"/>
                <w:szCs w:val="20"/>
              </w:rPr>
            </w:pPr>
            <w:r w:rsidRPr="000C5161">
              <w:rPr>
                <w:rFonts w:ascii="Calibri" w:eastAsia="Times New Roman" w:hAnsi="Calibri" w:cs="Times New Roman"/>
                <w:b/>
                <w:bCs/>
                <w:color w:val="000000"/>
                <w:sz w:val="20"/>
                <w:szCs w:val="20"/>
              </w:rPr>
              <w:t>2013</w:t>
            </w:r>
          </w:p>
        </w:tc>
        <w:tc>
          <w:tcPr>
            <w:tcW w:w="0" w:type="auto"/>
            <w:shd w:val="clear" w:color="auto" w:fill="BFBFBF" w:themeFill="background1" w:themeFillShade="BF"/>
            <w:noWrap/>
            <w:vAlign w:val="center"/>
            <w:hideMark/>
          </w:tcPr>
          <w:p w:rsidR="009317D2" w:rsidRPr="000C5161" w:rsidRDefault="009317D2" w:rsidP="00AE3B1C">
            <w:pPr>
              <w:spacing w:after="0"/>
              <w:jc w:val="center"/>
              <w:rPr>
                <w:rFonts w:ascii="Calibri" w:eastAsia="Times New Roman" w:hAnsi="Calibri" w:cs="Times New Roman"/>
                <w:b/>
                <w:bCs/>
                <w:color w:val="000000"/>
                <w:sz w:val="20"/>
                <w:szCs w:val="20"/>
              </w:rPr>
            </w:pPr>
            <w:r w:rsidRPr="000C5161">
              <w:rPr>
                <w:rFonts w:ascii="Calibri" w:eastAsia="Times New Roman" w:hAnsi="Calibri" w:cs="Times New Roman"/>
                <w:b/>
                <w:bCs/>
                <w:color w:val="000000"/>
                <w:sz w:val="20"/>
                <w:szCs w:val="20"/>
              </w:rPr>
              <w:t>2014</w:t>
            </w:r>
          </w:p>
        </w:tc>
        <w:tc>
          <w:tcPr>
            <w:tcW w:w="0" w:type="auto"/>
            <w:shd w:val="clear" w:color="auto" w:fill="BFBFBF" w:themeFill="background1" w:themeFillShade="BF"/>
            <w:noWrap/>
            <w:vAlign w:val="center"/>
            <w:hideMark/>
          </w:tcPr>
          <w:p w:rsidR="009317D2" w:rsidRPr="000C5161" w:rsidRDefault="009317D2" w:rsidP="00AE3B1C">
            <w:pPr>
              <w:spacing w:after="0"/>
              <w:jc w:val="center"/>
              <w:rPr>
                <w:rFonts w:ascii="Calibri" w:eastAsia="Times New Roman" w:hAnsi="Calibri" w:cs="Times New Roman"/>
                <w:b/>
                <w:bCs/>
                <w:color w:val="000000"/>
                <w:sz w:val="20"/>
                <w:szCs w:val="20"/>
              </w:rPr>
            </w:pPr>
            <w:r w:rsidRPr="000C5161">
              <w:rPr>
                <w:rFonts w:ascii="Calibri" w:eastAsia="Times New Roman" w:hAnsi="Calibri" w:cs="Times New Roman"/>
                <w:b/>
                <w:bCs/>
                <w:color w:val="000000"/>
                <w:sz w:val="20"/>
                <w:szCs w:val="20"/>
              </w:rPr>
              <w:t>2015</w:t>
            </w:r>
          </w:p>
        </w:tc>
      </w:tr>
      <w:tr w:rsidR="009317D2" w:rsidRPr="000941D8" w:rsidTr="00AE3B1C">
        <w:trPr>
          <w:trHeight w:val="300"/>
        </w:trPr>
        <w:tc>
          <w:tcPr>
            <w:tcW w:w="0" w:type="auto"/>
            <w:shd w:val="clear" w:color="auto" w:fill="auto"/>
            <w:noWrap/>
            <w:vAlign w:val="bottom"/>
            <w:hideMark/>
          </w:tcPr>
          <w:p w:rsidR="009317D2" w:rsidRPr="000C5161" w:rsidRDefault="009317D2" w:rsidP="00E71DE9">
            <w:pPr>
              <w:spacing w:after="0"/>
              <w:rPr>
                <w:rFonts w:ascii="Calibri" w:eastAsia="Times New Roman" w:hAnsi="Calibri" w:cs="Times New Roman"/>
                <w:sz w:val="20"/>
                <w:szCs w:val="20"/>
              </w:rPr>
            </w:pPr>
            <w:r w:rsidRPr="000C5161">
              <w:rPr>
                <w:rFonts w:ascii="Calibri" w:eastAsia="Times New Roman" w:hAnsi="Calibri" w:cs="Times New Roman"/>
                <w:sz w:val="20"/>
                <w:szCs w:val="20"/>
              </w:rPr>
              <w:t>None</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22%</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27%</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31%</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36%</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43%</w:t>
            </w:r>
          </w:p>
        </w:tc>
      </w:tr>
      <w:tr w:rsidR="009317D2" w:rsidRPr="000941D8" w:rsidTr="00AE3B1C">
        <w:trPr>
          <w:trHeight w:val="300"/>
        </w:trPr>
        <w:tc>
          <w:tcPr>
            <w:tcW w:w="0" w:type="auto"/>
            <w:shd w:val="clear" w:color="auto" w:fill="auto"/>
            <w:noWrap/>
            <w:vAlign w:val="bottom"/>
            <w:hideMark/>
          </w:tcPr>
          <w:p w:rsidR="009317D2" w:rsidRPr="000C5161" w:rsidRDefault="009317D2" w:rsidP="00E71DE9">
            <w:pPr>
              <w:spacing w:after="0"/>
              <w:rPr>
                <w:rFonts w:ascii="Calibri" w:eastAsia="Times New Roman" w:hAnsi="Calibri" w:cs="Times New Roman"/>
                <w:sz w:val="20"/>
                <w:szCs w:val="20"/>
              </w:rPr>
            </w:pPr>
            <w:r w:rsidRPr="000C5161">
              <w:rPr>
                <w:rFonts w:ascii="Calibri" w:eastAsia="Times New Roman" w:hAnsi="Calibri" w:cs="Times New Roman"/>
                <w:sz w:val="20"/>
                <w:szCs w:val="20"/>
              </w:rPr>
              <w:t>1</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40%</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40%</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40%</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39%</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37%</w:t>
            </w:r>
          </w:p>
        </w:tc>
      </w:tr>
      <w:tr w:rsidR="009317D2" w:rsidRPr="000941D8" w:rsidTr="00AE3B1C">
        <w:trPr>
          <w:trHeight w:val="300"/>
        </w:trPr>
        <w:tc>
          <w:tcPr>
            <w:tcW w:w="0" w:type="auto"/>
            <w:shd w:val="clear" w:color="auto" w:fill="auto"/>
            <w:noWrap/>
            <w:vAlign w:val="bottom"/>
            <w:hideMark/>
          </w:tcPr>
          <w:p w:rsidR="009317D2" w:rsidRPr="000C5161" w:rsidRDefault="009317D2" w:rsidP="00E71DE9">
            <w:pPr>
              <w:spacing w:after="0"/>
              <w:rPr>
                <w:rFonts w:ascii="Calibri" w:eastAsia="Times New Roman" w:hAnsi="Calibri" w:cs="Times New Roman"/>
                <w:sz w:val="20"/>
                <w:szCs w:val="20"/>
              </w:rPr>
            </w:pPr>
            <w:r w:rsidRPr="000C5161">
              <w:rPr>
                <w:rFonts w:ascii="Calibri" w:eastAsia="Times New Roman" w:hAnsi="Calibri" w:cs="Times New Roman"/>
                <w:sz w:val="20"/>
                <w:szCs w:val="20"/>
              </w:rPr>
              <w:t>2</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26%</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23%</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21%</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19%</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15%</w:t>
            </w:r>
          </w:p>
        </w:tc>
      </w:tr>
      <w:tr w:rsidR="009317D2" w:rsidRPr="000941D8" w:rsidTr="00AE3B1C">
        <w:trPr>
          <w:trHeight w:val="300"/>
        </w:trPr>
        <w:tc>
          <w:tcPr>
            <w:tcW w:w="0" w:type="auto"/>
            <w:shd w:val="clear" w:color="auto" w:fill="auto"/>
            <w:noWrap/>
            <w:vAlign w:val="bottom"/>
            <w:hideMark/>
          </w:tcPr>
          <w:p w:rsidR="009317D2" w:rsidRPr="000C5161" w:rsidRDefault="009317D2" w:rsidP="00E71DE9">
            <w:pPr>
              <w:spacing w:after="0"/>
              <w:rPr>
                <w:rFonts w:ascii="Calibri" w:eastAsia="Times New Roman" w:hAnsi="Calibri" w:cs="Times New Roman"/>
                <w:sz w:val="20"/>
                <w:szCs w:val="20"/>
              </w:rPr>
            </w:pPr>
            <w:r w:rsidRPr="000C5161">
              <w:rPr>
                <w:rFonts w:ascii="Calibri" w:eastAsia="Times New Roman" w:hAnsi="Calibri" w:cs="Times New Roman"/>
                <w:sz w:val="20"/>
                <w:szCs w:val="20"/>
              </w:rPr>
              <w:t>3</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9%</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7%</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6%</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5%</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4%</w:t>
            </w:r>
          </w:p>
        </w:tc>
      </w:tr>
      <w:tr w:rsidR="009317D2" w:rsidRPr="000941D8" w:rsidTr="00AE3B1C">
        <w:trPr>
          <w:trHeight w:val="300"/>
        </w:trPr>
        <w:tc>
          <w:tcPr>
            <w:tcW w:w="0" w:type="auto"/>
            <w:shd w:val="clear" w:color="auto" w:fill="auto"/>
            <w:noWrap/>
            <w:vAlign w:val="bottom"/>
            <w:hideMark/>
          </w:tcPr>
          <w:p w:rsidR="009317D2" w:rsidRPr="000C5161" w:rsidRDefault="009317D2" w:rsidP="00E71DE9">
            <w:pPr>
              <w:spacing w:after="0"/>
              <w:rPr>
                <w:rFonts w:ascii="Calibri" w:eastAsia="Times New Roman" w:hAnsi="Calibri" w:cs="Times New Roman"/>
                <w:sz w:val="20"/>
                <w:szCs w:val="20"/>
              </w:rPr>
            </w:pPr>
            <w:r w:rsidRPr="000C5161">
              <w:rPr>
                <w:rFonts w:ascii="Calibri" w:eastAsia="Times New Roman" w:hAnsi="Calibri" w:cs="Times New Roman"/>
                <w:sz w:val="20"/>
                <w:szCs w:val="20"/>
              </w:rPr>
              <w:t>4</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2%</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2%</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1%</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1%</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1%</w:t>
            </w:r>
          </w:p>
        </w:tc>
      </w:tr>
      <w:tr w:rsidR="009317D2" w:rsidRPr="000941D8" w:rsidTr="00AE3B1C">
        <w:trPr>
          <w:trHeight w:val="300"/>
        </w:trPr>
        <w:tc>
          <w:tcPr>
            <w:tcW w:w="0" w:type="auto"/>
            <w:shd w:val="clear" w:color="auto" w:fill="auto"/>
            <w:noWrap/>
            <w:vAlign w:val="bottom"/>
            <w:hideMark/>
          </w:tcPr>
          <w:p w:rsidR="009317D2" w:rsidRPr="000C5161" w:rsidRDefault="009317D2" w:rsidP="00E71DE9">
            <w:pPr>
              <w:spacing w:after="0"/>
              <w:rPr>
                <w:rFonts w:ascii="Calibri" w:eastAsia="Times New Roman" w:hAnsi="Calibri" w:cs="Times New Roman"/>
                <w:sz w:val="20"/>
                <w:szCs w:val="20"/>
              </w:rPr>
            </w:pPr>
            <w:r w:rsidRPr="000C5161">
              <w:rPr>
                <w:rFonts w:ascii="Calibri" w:eastAsia="Times New Roman" w:hAnsi="Calibri" w:cs="Times New Roman"/>
                <w:sz w:val="20"/>
                <w:szCs w:val="20"/>
              </w:rPr>
              <w:t>5</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0.5%</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0.2%</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0.2%</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0.2%</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0.1%</w:t>
            </w:r>
          </w:p>
        </w:tc>
      </w:tr>
      <w:tr w:rsidR="009317D2" w:rsidRPr="000941D8" w:rsidTr="00AE3B1C">
        <w:trPr>
          <w:trHeight w:val="300"/>
        </w:trPr>
        <w:tc>
          <w:tcPr>
            <w:tcW w:w="0" w:type="auto"/>
            <w:shd w:val="clear" w:color="auto" w:fill="auto"/>
            <w:noWrap/>
            <w:vAlign w:val="bottom"/>
            <w:hideMark/>
          </w:tcPr>
          <w:p w:rsidR="009317D2" w:rsidRPr="000C5161" w:rsidRDefault="009317D2" w:rsidP="00E71DE9">
            <w:pPr>
              <w:spacing w:after="0"/>
              <w:rPr>
                <w:rFonts w:ascii="Calibri" w:eastAsia="Times New Roman" w:hAnsi="Calibri" w:cs="Times New Roman"/>
                <w:sz w:val="20"/>
                <w:szCs w:val="20"/>
              </w:rPr>
            </w:pPr>
            <w:r w:rsidRPr="000C5161">
              <w:rPr>
                <w:rFonts w:ascii="Calibri" w:eastAsia="Times New Roman" w:hAnsi="Calibri" w:cs="Times New Roman"/>
                <w:sz w:val="20"/>
                <w:szCs w:val="20"/>
              </w:rPr>
              <w:t>6</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0.03%</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0.04%</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0.03%</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0.02%</w:t>
            </w:r>
          </w:p>
        </w:tc>
        <w:tc>
          <w:tcPr>
            <w:tcW w:w="0" w:type="auto"/>
            <w:shd w:val="clear" w:color="auto" w:fill="auto"/>
            <w:noWrap/>
            <w:vAlign w:val="bottom"/>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hAnsi="Calibri"/>
                <w:sz w:val="20"/>
                <w:szCs w:val="20"/>
              </w:rPr>
              <w:t>0.02%</w:t>
            </w:r>
          </w:p>
        </w:tc>
      </w:tr>
      <w:tr w:rsidR="009317D2" w:rsidRPr="000941D8" w:rsidTr="00AE3B1C">
        <w:trPr>
          <w:trHeight w:val="300"/>
        </w:trPr>
        <w:tc>
          <w:tcPr>
            <w:tcW w:w="0" w:type="auto"/>
            <w:shd w:val="clear" w:color="auto" w:fill="FFFFFF" w:themeFill="background1"/>
            <w:vAlign w:val="bottom"/>
            <w:hideMark/>
          </w:tcPr>
          <w:p w:rsidR="009317D2" w:rsidRPr="000C5161" w:rsidRDefault="009317D2" w:rsidP="00E71DE9">
            <w:pPr>
              <w:spacing w:after="0"/>
              <w:rPr>
                <w:rFonts w:ascii="Calibri" w:eastAsia="Times New Roman" w:hAnsi="Calibri" w:cs="Times New Roman"/>
                <w:sz w:val="20"/>
                <w:szCs w:val="20"/>
              </w:rPr>
            </w:pPr>
            <w:r w:rsidRPr="000C5161">
              <w:rPr>
                <w:rFonts w:ascii="Calibri" w:eastAsia="Times New Roman" w:hAnsi="Calibri" w:cs="Times New Roman"/>
                <w:sz w:val="20"/>
                <w:szCs w:val="20"/>
              </w:rPr>
              <w:t>Total</w:t>
            </w:r>
          </w:p>
        </w:tc>
        <w:tc>
          <w:tcPr>
            <w:tcW w:w="0" w:type="auto"/>
            <w:shd w:val="clear" w:color="auto" w:fill="FFFFFF" w:themeFill="background1"/>
            <w:noWrap/>
            <w:vAlign w:val="center"/>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eastAsia="Times New Roman" w:hAnsi="Calibri" w:cs="Times New Roman"/>
                <w:sz w:val="20"/>
                <w:szCs w:val="20"/>
              </w:rPr>
              <w:t>100%</w:t>
            </w:r>
          </w:p>
        </w:tc>
        <w:tc>
          <w:tcPr>
            <w:tcW w:w="0" w:type="auto"/>
            <w:shd w:val="clear" w:color="auto" w:fill="FFFFFF" w:themeFill="background1"/>
            <w:noWrap/>
            <w:vAlign w:val="center"/>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eastAsia="Times New Roman" w:hAnsi="Calibri" w:cs="Times New Roman"/>
                <w:sz w:val="20"/>
                <w:szCs w:val="20"/>
              </w:rPr>
              <w:t>100%</w:t>
            </w:r>
          </w:p>
        </w:tc>
        <w:tc>
          <w:tcPr>
            <w:tcW w:w="0" w:type="auto"/>
            <w:shd w:val="clear" w:color="auto" w:fill="FFFFFF" w:themeFill="background1"/>
            <w:noWrap/>
            <w:vAlign w:val="center"/>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eastAsia="Times New Roman" w:hAnsi="Calibri" w:cs="Times New Roman"/>
                <w:sz w:val="20"/>
                <w:szCs w:val="20"/>
              </w:rPr>
              <w:t>100%</w:t>
            </w:r>
          </w:p>
        </w:tc>
        <w:tc>
          <w:tcPr>
            <w:tcW w:w="0" w:type="auto"/>
            <w:shd w:val="clear" w:color="auto" w:fill="FFFFFF" w:themeFill="background1"/>
            <w:noWrap/>
            <w:vAlign w:val="center"/>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eastAsia="Times New Roman" w:hAnsi="Calibri" w:cs="Times New Roman"/>
                <w:sz w:val="20"/>
                <w:szCs w:val="20"/>
              </w:rPr>
              <w:t>100%</w:t>
            </w:r>
          </w:p>
        </w:tc>
        <w:tc>
          <w:tcPr>
            <w:tcW w:w="0" w:type="auto"/>
            <w:shd w:val="clear" w:color="auto" w:fill="FFFFFF" w:themeFill="background1"/>
            <w:noWrap/>
            <w:vAlign w:val="center"/>
            <w:hideMark/>
          </w:tcPr>
          <w:p w:rsidR="009317D2" w:rsidRPr="000C5161" w:rsidRDefault="009317D2" w:rsidP="00E71DE9">
            <w:pPr>
              <w:spacing w:after="0"/>
              <w:jc w:val="center"/>
              <w:rPr>
                <w:rFonts w:ascii="Calibri" w:eastAsia="Times New Roman" w:hAnsi="Calibri" w:cs="Times New Roman"/>
                <w:sz w:val="20"/>
                <w:szCs w:val="20"/>
              </w:rPr>
            </w:pPr>
            <w:r w:rsidRPr="000C5161">
              <w:rPr>
                <w:rFonts w:ascii="Calibri" w:eastAsia="Times New Roman" w:hAnsi="Calibri" w:cs="Times New Roman"/>
                <w:sz w:val="20"/>
                <w:szCs w:val="20"/>
              </w:rPr>
              <w:t>100%</w:t>
            </w:r>
          </w:p>
        </w:tc>
      </w:tr>
    </w:tbl>
    <w:p w:rsidR="009317D2" w:rsidRPr="00D42F58" w:rsidRDefault="009317D2" w:rsidP="009317D2">
      <w:pPr>
        <w:rPr>
          <w:sz w:val="20"/>
          <w:szCs w:val="20"/>
        </w:rPr>
      </w:pPr>
      <w:r w:rsidRPr="000C5161">
        <w:rPr>
          <w:sz w:val="20"/>
          <w:szCs w:val="20"/>
        </w:rPr>
        <w:t>Note: Alendronate and Risedronate combination products are counted under the plain drug names. Prior initiations are counted back to Jan 2005.</w:t>
      </w:r>
    </w:p>
    <w:p w:rsidR="008E4291" w:rsidRDefault="00916C08" w:rsidP="008E4291">
      <w:pPr>
        <w:rPr>
          <w:b/>
          <w:sz w:val="28"/>
        </w:rPr>
      </w:pPr>
      <w:r>
        <w:rPr>
          <w:b/>
          <w:sz w:val="28"/>
        </w:rPr>
        <w:t>Quality Use of Medicines</w:t>
      </w:r>
    </w:p>
    <w:p w:rsidR="0097262C" w:rsidRDefault="00916C08" w:rsidP="008E4291">
      <w:r>
        <w:t>A large number of patients ha</w:t>
      </w:r>
      <w:r w:rsidR="00262D64">
        <w:t>d</w:t>
      </w:r>
      <w:r>
        <w:t xml:space="preserve"> switched from other osteoporosis medicines to denosumab over the past 5</w:t>
      </w:r>
      <w:r w:rsidR="00875E8A">
        <w:t xml:space="preserve"> years</w:t>
      </w:r>
      <w:r>
        <w:t xml:space="preserve">. With denosumab being a six monthly subcutaneous injection </w:t>
      </w:r>
      <w:r w:rsidR="00033ED1">
        <w:t xml:space="preserve">there is possibility of confusion if patients switched to denosumab are not advised to cease taking other osteoporosis medicines. This is also relevant for zoledronic acid </w:t>
      </w:r>
      <w:r>
        <w:t>and</w:t>
      </w:r>
      <w:r w:rsidR="00033ED1">
        <w:t xml:space="preserve"> could also occur when transitioning between other osteoporosis medicines. </w:t>
      </w:r>
    </w:p>
    <w:p w:rsidR="00F34551" w:rsidRDefault="00D56A25" w:rsidP="008E4291">
      <w:r>
        <w:t xml:space="preserve">Table </w:t>
      </w:r>
      <w:r w:rsidR="004F28C4">
        <w:t>10</w:t>
      </w:r>
      <w:r w:rsidR="00D61971">
        <w:t xml:space="preserve"> shows prescription supply sequences </w:t>
      </w:r>
      <w:r w:rsidR="00E71DE9">
        <w:t>for patients supplied bisphosphonate</w:t>
      </w:r>
      <w:r w:rsidR="0097262C">
        <w:t>s</w:t>
      </w:r>
      <w:r w:rsidR="004D0412">
        <w:t xml:space="preserve"> (plain or combination)</w:t>
      </w:r>
      <w:r w:rsidR="00E71DE9">
        <w:t>, teriparatide</w:t>
      </w:r>
      <w:r w:rsidR="004D0412">
        <w:t>, raloxifene</w:t>
      </w:r>
      <w:r w:rsidR="00E71DE9">
        <w:t xml:space="preserve"> or strontium </w:t>
      </w:r>
      <w:r w:rsidR="00D61971">
        <w:t xml:space="preserve">in the </w:t>
      </w:r>
      <w:r w:rsidR="00E71DE9">
        <w:t xml:space="preserve">5 </w:t>
      </w:r>
      <w:r w:rsidR="00D61971">
        <w:t xml:space="preserve">months </w:t>
      </w:r>
      <w:r w:rsidR="0097262C">
        <w:t xml:space="preserve">following </w:t>
      </w:r>
      <w:r w:rsidR="00E71DE9">
        <w:t>their first script of denosumab</w:t>
      </w:r>
      <w:r w:rsidR="00D61971">
        <w:t xml:space="preserve">. Only initiations </w:t>
      </w:r>
      <w:r w:rsidR="0097262C">
        <w:t>to denosumab from the first listing date</w:t>
      </w:r>
      <w:r w:rsidR="00BA21CD">
        <w:t xml:space="preserve"> (</w:t>
      </w:r>
      <w:r w:rsidR="00D61971">
        <w:t>Dec</w:t>
      </w:r>
      <w:r w:rsidR="00BA21CD">
        <w:t>ember</w:t>
      </w:r>
      <w:r w:rsidR="0084554B">
        <w:t> </w:t>
      </w:r>
      <w:r w:rsidR="00D61971">
        <w:t>2010</w:t>
      </w:r>
      <w:r w:rsidR="00BA21CD">
        <w:t>)</w:t>
      </w:r>
      <w:r w:rsidR="00D61971">
        <w:t xml:space="preserve"> to the end of </w:t>
      </w:r>
      <w:r w:rsidR="00BA7E62">
        <w:t xml:space="preserve">October </w:t>
      </w:r>
      <w:r w:rsidR="00D61971">
        <w:t xml:space="preserve">2015 are included so that each patient can have the full </w:t>
      </w:r>
      <w:r w:rsidR="00E71DE9">
        <w:t xml:space="preserve">5 </w:t>
      </w:r>
      <w:r w:rsidR="00D61971">
        <w:t>month follow-up</w:t>
      </w:r>
      <w:r w:rsidR="00BA7E62">
        <w:t>.</w:t>
      </w:r>
      <w:r w:rsidR="00BA7E62" w:rsidRPr="00BA7E62">
        <w:t xml:space="preserve"> </w:t>
      </w:r>
      <w:r w:rsidR="00BA7E62">
        <w:t xml:space="preserve">There were </w:t>
      </w:r>
      <w:r w:rsidR="002573AC">
        <w:t>209,542</w:t>
      </w:r>
      <w:r w:rsidR="00BA7E62">
        <w:t xml:space="preserve"> patients in this analysis cohort</w:t>
      </w:r>
      <w:r w:rsidR="00D61971">
        <w:t>.</w:t>
      </w:r>
      <w:r w:rsidR="00BA21CD">
        <w:t xml:space="preserve"> The results show that a total of </w:t>
      </w:r>
      <w:r w:rsidR="002573AC">
        <w:t xml:space="preserve">9,537 </w:t>
      </w:r>
      <w:r w:rsidR="00BA21CD">
        <w:t>patients (</w:t>
      </w:r>
      <w:r w:rsidR="002573AC">
        <w:t>4.6%</w:t>
      </w:r>
      <w:r w:rsidR="00BA21CD">
        <w:t xml:space="preserve">) were supplied </w:t>
      </w:r>
      <w:r w:rsidR="00E71DE9">
        <w:t xml:space="preserve">at least one script of </w:t>
      </w:r>
      <w:r w:rsidR="0097262C">
        <w:t>a bisphosphonate</w:t>
      </w:r>
      <w:r w:rsidR="0084554B">
        <w:t>,</w:t>
      </w:r>
      <w:r w:rsidR="0097262C">
        <w:t xml:space="preserve"> </w:t>
      </w:r>
      <w:r w:rsidR="00817C76">
        <w:t>strontium</w:t>
      </w:r>
      <w:r w:rsidR="0084554B">
        <w:t>, raloxifene</w:t>
      </w:r>
      <w:r w:rsidR="00817C76">
        <w:t xml:space="preserve"> </w:t>
      </w:r>
      <w:r w:rsidR="00BA21CD">
        <w:t xml:space="preserve">or </w:t>
      </w:r>
      <w:r w:rsidR="0097262C">
        <w:t>teriparatide</w:t>
      </w:r>
      <w:r w:rsidR="00BA21CD">
        <w:t xml:space="preserve"> within </w:t>
      </w:r>
      <w:r w:rsidR="00E71DE9">
        <w:t xml:space="preserve">5 </w:t>
      </w:r>
      <w:r w:rsidR="00BA21CD">
        <w:t>m</w:t>
      </w:r>
      <w:r w:rsidR="000B3EF0">
        <w:t xml:space="preserve">onths of initiating denosumab, </w:t>
      </w:r>
      <w:r w:rsidR="00BA21CD">
        <w:t>thus potential</w:t>
      </w:r>
      <w:r w:rsidR="00DC51B4">
        <w:t>ly</w:t>
      </w:r>
      <w:r w:rsidR="00BA21CD">
        <w:t xml:space="preserve"> co</w:t>
      </w:r>
      <w:r w:rsidR="0084554B">
        <w:t>-</w:t>
      </w:r>
      <w:r w:rsidR="00BA21CD">
        <w:t>administering denosumab with one of these drugs.</w:t>
      </w:r>
    </w:p>
    <w:p w:rsidR="00485F35" w:rsidRPr="00BA21CD" w:rsidRDefault="00485F35" w:rsidP="008E4291">
      <w:pPr>
        <w:sectPr w:rsidR="00485F35" w:rsidRPr="00BA21CD" w:rsidSect="00C06F3C">
          <w:headerReference w:type="even" r:id="rId26"/>
          <w:headerReference w:type="default" r:id="rId27"/>
          <w:footerReference w:type="even" r:id="rId28"/>
          <w:footerReference w:type="default" r:id="rId29"/>
          <w:headerReference w:type="first" r:id="rId30"/>
          <w:footerReference w:type="first" r:id="rId31"/>
          <w:endnotePr>
            <w:numFmt w:val="decimal"/>
          </w:endnotePr>
          <w:pgSz w:w="11906" w:h="16838"/>
          <w:pgMar w:top="1644" w:right="1361" w:bottom="1644" w:left="1588" w:header="709" w:footer="709" w:gutter="0"/>
          <w:cols w:space="708"/>
          <w:docGrid w:linePitch="360"/>
        </w:sectPr>
      </w:pPr>
      <w:r>
        <w:t xml:space="preserve"> </w:t>
      </w:r>
    </w:p>
    <w:p w:rsidR="00F34551" w:rsidRDefault="00D56A25" w:rsidP="00197134">
      <w:pPr>
        <w:spacing w:after="0"/>
        <w:rPr>
          <w:b/>
          <w:sz w:val="28"/>
        </w:rPr>
      </w:pPr>
      <w:r>
        <w:rPr>
          <w:b/>
        </w:rPr>
        <w:t xml:space="preserve">Table </w:t>
      </w:r>
      <w:r w:rsidR="00E71DE9">
        <w:rPr>
          <w:b/>
        </w:rPr>
        <w:t>10</w:t>
      </w:r>
      <w:r w:rsidR="00D04B7C" w:rsidRPr="00314F6A">
        <w:rPr>
          <w:b/>
        </w:rPr>
        <w:t xml:space="preserve">: </w:t>
      </w:r>
      <w:r w:rsidR="0032602F">
        <w:rPr>
          <w:b/>
        </w:rPr>
        <w:t>Supplies of other osteoporosis medicines within</w:t>
      </w:r>
      <w:r w:rsidR="00D04B7C">
        <w:rPr>
          <w:b/>
        </w:rPr>
        <w:t xml:space="preserve"> </w:t>
      </w:r>
      <w:r w:rsidR="0032602F">
        <w:rPr>
          <w:b/>
        </w:rPr>
        <w:t xml:space="preserve">5 </w:t>
      </w:r>
      <w:r w:rsidR="00D04B7C">
        <w:rPr>
          <w:b/>
        </w:rPr>
        <w:t>months after initiation to denosumab</w:t>
      </w:r>
      <w:r w:rsidR="00E2116E">
        <w:rPr>
          <w:b/>
        </w:rPr>
        <w:t xml:space="preserve"> for osteoporosis</w:t>
      </w:r>
    </w:p>
    <w:tbl>
      <w:tblPr>
        <w:tblW w:w="5000" w:type="pct"/>
        <w:tblLook w:val="04A0" w:firstRow="1" w:lastRow="0" w:firstColumn="1" w:lastColumn="0" w:noHBand="0" w:noVBand="1"/>
        <w:tblCaption w:val="Table 10: Supplies of other osteoporosis medicines within 5 months after initiation to denosumab for osteoporosis"/>
      </w:tblPr>
      <w:tblGrid>
        <w:gridCol w:w="10600"/>
        <w:gridCol w:w="1286"/>
        <w:gridCol w:w="1013"/>
        <w:gridCol w:w="867"/>
      </w:tblGrid>
      <w:tr w:rsidR="00D07159" w:rsidRPr="00197134" w:rsidTr="00D07159">
        <w:trPr>
          <w:trHeight w:val="57"/>
        </w:trPr>
        <w:tc>
          <w:tcPr>
            <w:tcW w:w="3850" w:type="pct"/>
            <w:tcBorders>
              <w:top w:val="nil"/>
              <w:left w:val="nil"/>
              <w:bottom w:val="single" w:sz="4" w:space="0" w:color="95B3D7"/>
              <w:right w:val="nil"/>
            </w:tcBorders>
            <w:shd w:val="clear" w:color="auto" w:fill="D9D9D9" w:themeFill="background1" w:themeFillShade="D9"/>
            <w:noWrap/>
            <w:vAlign w:val="bottom"/>
            <w:hideMark/>
          </w:tcPr>
          <w:p w:rsidR="00D07159" w:rsidRPr="00197134" w:rsidRDefault="00D07159" w:rsidP="00D07159">
            <w:pPr>
              <w:spacing w:after="0"/>
              <w:rPr>
                <w:rFonts w:ascii="Calibri" w:eastAsia="Times New Roman" w:hAnsi="Calibri" w:cs="Times New Roman"/>
                <w:b/>
                <w:bCs/>
                <w:color w:val="000000"/>
                <w:sz w:val="18"/>
                <w:szCs w:val="16"/>
              </w:rPr>
            </w:pPr>
            <w:r w:rsidRPr="00197134">
              <w:rPr>
                <w:rFonts w:ascii="Calibri" w:eastAsia="Times New Roman" w:hAnsi="Calibri" w:cs="Times New Roman"/>
                <w:b/>
                <w:bCs/>
                <w:color w:val="000000"/>
                <w:sz w:val="18"/>
                <w:szCs w:val="16"/>
              </w:rPr>
              <w:t>Prescription supply sequence</w:t>
            </w:r>
          </w:p>
        </w:tc>
        <w:tc>
          <w:tcPr>
            <w:tcW w:w="467" w:type="pct"/>
            <w:tcBorders>
              <w:top w:val="nil"/>
              <w:left w:val="nil"/>
              <w:bottom w:val="single" w:sz="4" w:space="0" w:color="95B3D7"/>
              <w:right w:val="nil"/>
            </w:tcBorders>
            <w:shd w:val="clear" w:color="auto" w:fill="D9D9D9" w:themeFill="background1" w:themeFillShade="D9"/>
            <w:noWrap/>
            <w:vAlign w:val="center"/>
            <w:hideMark/>
          </w:tcPr>
          <w:p w:rsidR="00D07159" w:rsidRPr="00197134" w:rsidRDefault="00D07159" w:rsidP="00D07159">
            <w:pPr>
              <w:spacing w:after="0"/>
              <w:jc w:val="center"/>
              <w:rPr>
                <w:rFonts w:ascii="Calibri" w:eastAsia="Times New Roman" w:hAnsi="Calibri" w:cs="Times New Roman"/>
                <w:b/>
                <w:bCs/>
                <w:color w:val="000000"/>
                <w:sz w:val="18"/>
                <w:szCs w:val="16"/>
              </w:rPr>
            </w:pPr>
            <w:r w:rsidRPr="00197134">
              <w:rPr>
                <w:rFonts w:ascii="Calibri" w:eastAsia="Times New Roman" w:hAnsi="Calibri" w:cs="Times New Roman"/>
                <w:b/>
                <w:bCs/>
                <w:color w:val="000000"/>
                <w:sz w:val="18"/>
                <w:szCs w:val="16"/>
              </w:rPr>
              <w:t>Patients</w:t>
            </w:r>
          </w:p>
        </w:tc>
        <w:tc>
          <w:tcPr>
            <w:tcW w:w="368" w:type="pct"/>
            <w:tcBorders>
              <w:top w:val="nil"/>
              <w:left w:val="nil"/>
              <w:bottom w:val="single" w:sz="4" w:space="0" w:color="95B3D7"/>
              <w:right w:val="nil"/>
            </w:tcBorders>
            <w:shd w:val="clear" w:color="auto" w:fill="D9D9D9" w:themeFill="background1" w:themeFillShade="D9"/>
            <w:noWrap/>
            <w:vAlign w:val="center"/>
            <w:hideMark/>
          </w:tcPr>
          <w:p w:rsidR="00D07159" w:rsidRPr="00197134" w:rsidRDefault="00D07159" w:rsidP="00D07159">
            <w:pPr>
              <w:spacing w:after="0"/>
              <w:jc w:val="center"/>
              <w:rPr>
                <w:rFonts w:ascii="Calibri" w:eastAsia="Times New Roman" w:hAnsi="Calibri" w:cs="Times New Roman"/>
                <w:b/>
                <w:bCs/>
                <w:color w:val="000000"/>
                <w:sz w:val="18"/>
                <w:szCs w:val="16"/>
              </w:rPr>
            </w:pPr>
            <w:r w:rsidRPr="00197134">
              <w:rPr>
                <w:rFonts w:ascii="Calibri" w:eastAsia="Times New Roman" w:hAnsi="Calibri" w:cs="Times New Roman"/>
                <w:b/>
                <w:bCs/>
                <w:color w:val="000000"/>
                <w:sz w:val="18"/>
                <w:szCs w:val="16"/>
              </w:rPr>
              <w:t xml:space="preserve">% </w:t>
            </w:r>
            <w:r w:rsidR="0032602F" w:rsidRPr="00197134">
              <w:rPr>
                <w:rFonts w:ascii="Calibri" w:eastAsia="Times New Roman" w:hAnsi="Calibri" w:cs="Times New Roman"/>
                <w:b/>
                <w:bCs/>
                <w:color w:val="000000"/>
                <w:sz w:val="18"/>
                <w:szCs w:val="16"/>
              </w:rPr>
              <w:t>Patients</w:t>
            </w:r>
          </w:p>
        </w:tc>
        <w:tc>
          <w:tcPr>
            <w:tcW w:w="315" w:type="pct"/>
            <w:tcBorders>
              <w:top w:val="nil"/>
              <w:left w:val="nil"/>
              <w:bottom w:val="nil"/>
              <w:right w:val="nil"/>
            </w:tcBorders>
            <w:shd w:val="clear" w:color="auto" w:fill="D9D9D9" w:themeFill="background1" w:themeFillShade="D9"/>
            <w:noWrap/>
            <w:vAlign w:val="center"/>
            <w:hideMark/>
          </w:tcPr>
          <w:p w:rsidR="00D07159" w:rsidRPr="00197134" w:rsidRDefault="00D07159" w:rsidP="00D07159">
            <w:pPr>
              <w:spacing w:after="0"/>
              <w:jc w:val="center"/>
              <w:rPr>
                <w:rFonts w:ascii="Calibri" w:eastAsia="Times New Roman" w:hAnsi="Calibri" w:cs="Times New Roman"/>
                <w:b/>
                <w:color w:val="000000"/>
                <w:sz w:val="18"/>
                <w:szCs w:val="16"/>
              </w:rPr>
            </w:pPr>
            <w:r w:rsidRPr="00197134">
              <w:rPr>
                <w:rFonts w:ascii="Calibri" w:eastAsia="Times New Roman" w:hAnsi="Calibri" w:cs="Times New Roman"/>
                <w:b/>
                <w:color w:val="000000"/>
                <w:sz w:val="18"/>
                <w:szCs w:val="16"/>
              </w:rPr>
              <w:t>Rank</w:t>
            </w:r>
          </w:p>
        </w:tc>
      </w:tr>
      <w:tr w:rsidR="002F3511" w:rsidRPr="00D07159" w:rsidTr="003C01C8">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rPr>
            </w:pPr>
            <w:r w:rsidRPr="009F11F2">
              <w:rPr>
                <w:rFonts w:ascii="Calibri" w:hAnsi="Calibri"/>
                <w:color w:val="000000"/>
                <w:sz w:val="16"/>
                <w:szCs w:val="16"/>
              </w:rPr>
              <w:t>DENOSUMAB-&gt;RISEDRONATE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1</w:t>
            </w:r>
            <w:r w:rsidR="00197134">
              <w:rPr>
                <w:rFonts w:ascii="Calibri" w:hAnsi="Calibri"/>
                <w:color w:val="000000"/>
                <w:sz w:val="16"/>
                <w:szCs w:val="16"/>
              </w:rPr>
              <w:t>,</w:t>
            </w:r>
            <w:r w:rsidRPr="009F11F2">
              <w:rPr>
                <w:rFonts w:ascii="Calibri" w:hAnsi="Calibri"/>
                <w:color w:val="000000"/>
                <w:sz w:val="16"/>
                <w:szCs w:val="16"/>
              </w:rPr>
              <w:t>435</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0.68%</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1</w:t>
            </w:r>
          </w:p>
        </w:tc>
      </w:tr>
      <w:tr w:rsidR="002F3511" w:rsidRPr="00D07159" w:rsidTr="003C01C8">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rPr>
            </w:pPr>
            <w:r w:rsidRPr="009F11F2">
              <w:rPr>
                <w:rFonts w:ascii="Calibri" w:hAnsi="Calibri"/>
                <w:color w:val="000000"/>
                <w:sz w:val="16"/>
                <w:szCs w:val="16"/>
              </w:rPr>
              <w:t>DENOSUMAB-&gt;ALENDRONATE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1</w:t>
            </w:r>
            <w:r w:rsidR="00197134">
              <w:rPr>
                <w:rFonts w:ascii="Calibri" w:hAnsi="Calibri"/>
                <w:color w:val="000000"/>
                <w:sz w:val="16"/>
                <w:szCs w:val="16"/>
              </w:rPr>
              <w:t>,</w:t>
            </w:r>
            <w:r w:rsidRPr="009F11F2">
              <w:rPr>
                <w:rFonts w:ascii="Calibri" w:hAnsi="Calibri"/>
                <w:color w:val="000000"/>
                <w:sz w:val="16"/>
                <w:szCs w:val="16"/>
              </w:rPr>
              <w:t>363</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0.65%</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2</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DENOSUMAB-&gt;STRONTIUM</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highlight w:val="yellow"/>
              </w:rPr>
            </w:pPr>
            <w:r w:rsidRPr="009F11F2">
              <w:rPr>
                <w:rFonts w:ascii="Calibri" w:hAnsi="Calibri"/>
                <w:color w:val="000000"/>
                <w:sz w:val="16"/>
                <w:szCs w:val="16"/>
              </w:rPr>
              <w:t>599</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highlight w:val="yellow"/>
              </w:rPr>
            </w:pPr>
            <w:r w:rsidRPr="002F3511">
              <w:rPr>
                <w:rFonts w:ascii="Calibri" w:hAnsi="Calibri"/>
                <w:color w:val="000000"/>
                <w:sz w:val="16"/>
                <w:szCs w:val="16"/>
              </w:rPr>
              <w:t>0.29%</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3</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DENOSUMAB-&gt;RISEDRONATE-&gt;RISEDRONATE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highlight w:val="yellow"/>
              </w:rPr>
            </w:pPr>
            <w:r w:rsidRPr="009F11F2">
              <w:rPr>
                <w:rFonts w:ascii="Calibri" w:hAnsi="Calibri"/>
                <w:color w:val="000000"/>
                <w:sz w:val="16"/>
                <w:szCs w:val="16"/>
              </w:rPr>
              <w:t>477</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highlight w:val="yellow"/>
              </w:rPr>
            </w:pPr>
            <w:r w:rsidRPr="002F3511">
              <w:rPr>
                <w:rFonts w:ascii="Calibri" w:hAnsi="Calibri"/>
                <w:color w:val="000000"/>
                <w:sz w:val="16"/>
                <w:szCs w:val="16"/>
              </w:rPr>
              <w:t>0.23%</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4</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DENOSUMAB-&gt;ALENDRONATE-&gt;ALENDRONATE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462</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0.22%</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5</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DENOSUMAB-&gt;RISEDRONATE-&gt;RISEDRONATE-&gt;RISEDRONATE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321</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0.15%</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6</w:t>
            </w:r>
          </w:p>
        </w:tc>
      </w:tr>
      <w:tr w:rsidR="002F3511" w:rsidRPr="00D07159" w:rsidTr="003C01C8">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rPr>
            </w:pPr>
            <w:r w:rsidRPr="009F11F2">
              <w:rPr>
                <w:rFonts w:ascii="Calibri" w:hAnsi="Calibri"/>
                <w:color w:val="000000"/>
                <w:sz w:val="16"/>
                <w:szCs w:val="16"/>
              </w:rPr>
              <w:t>DENOSUMAB-&gt;RISEDRONATE(sd)</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316</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0.15%</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7</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rPr>
            </w:pPr>
            <w:r w:rsidRPr="009F11F2">
              <w:rPr>
                <w:rFonts w:ascii="Calibri" w:hAnsi="Calibri"/>
                <w:color w:val="000000"/>
                <w:sz w:val="16"/>
                <w:szCs w:val="16"/>
              </w:rPr>
              <w:t>DENOSUMAB-&gt;ALENDRONATE(sd)</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284</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0.14%</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8</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DENOSUMAB-&gt;RISEDRONATE-&gt;RISEDRONATE-&gt;RISEDRONATE-&gt;RISEDRONATE-&gt;RISEDRONATE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260</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0.12%</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9</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DENOSUMAB-&gt;ALENDRONATE-&gt;ALENDRONATE-&gt;ALENDRONATE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255</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0.12%</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10</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DENOSUMAB-&gt;RISEDRONATE-&gt;RISEDRONATE-&gt;RISEDRONATE-&gt;RISEDRONATE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232</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0.11%</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11</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rPr>
            </w:pPr>
            <w:r w:rsidRPr="009F11F2">
              <w:rPr>
                <w:rFonts w:ascii="Calibri" w:hAnsi="Calibri"/>
                <w:color w:val="000000"/>
                <w:sz w:val="16"/>
                <w:szCs w:val="16"/>
              </w:rPr>
              <w:t>DENOSUMAB-&gt;RALOXIFENE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197</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0.09%</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12</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DENOSUMAB-&gt;ALENDRONATE-&gt;ALENDRONATE-&gt;ALENDRONATE-&gt;ALENDRONATE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191</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0.09%</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13</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DENOSUMAB-&gt;STRONTIUM-&gt;STRONTIUM</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177</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0.08%</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14</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DENOSUMAB-&gt;ALENDRONATE-&gt;ALENDRONATE-&gt;ALENDRONATE-&gt;ALENDRONATE-&gt;ALENDRONATE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169</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0.08%</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15</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DENOSUMAB-&gt;STRONTIUM(sd)</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155</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0.07%</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16</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rPr>
            </w:pPr>
            <w:r w:rsidRPr="009F11F2">
              <w:rPr>
                <w:rFonts w:ascii="Calibri" w:hAnsi="Calibri"/>
                <w:color w:val="000000"/>
                <w:sz w:val="16"/>
                <w:szCs w:val="16"/>
              </w:rPr>
              <w:t>DENOSUMAB-&gt;RISEDRONATE-&gt;RISEDRONATE-&gt;RISEDRONATE-&gt;RISEDRONATE-&gt;RISEDRONATE-&gt;RISEDRONATE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119</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0.06%</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17</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DENOSUMAB-&gt;STRONTIUM-&gt;STRONTIUM-&gt;STRONTIUM</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94</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0.04%</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18</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DENOSUMAB-&gt;ALENDRONATE-&gt;ALENDRONATE-&gt;ALENDRONATE-&gt;ALENDRONATE-&gt;ALENDRONATE-&gt;ALENDRONATE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87</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0.04%</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19</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DENOSUMAB-&gt;RISEDRONATE-&gt;DENOSUMAB</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81</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0.04%</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20</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DENOSUMAB-&gt;RALOXIFENE-&gt;RALOXIFENE-&gt;RALOXIFENE-&gt;RALOXIFENE-&gt;RALOXIFENE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80</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0.04%</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21</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DENOSUMAB-&gt;ALENDRONATE-&gt;DENOSUMAB</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75</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0.04%</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22</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DENOSUMAB-&gt;STRONTIUM-&gt;STRONTIUM-&gt;STRONTIUM-&gt;STRONTIUM</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67</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0.03%</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23</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DENOSUMAB-&gt;RALOXIFENE(sd)</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64</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0.03%</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24</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DENOSUMAB-&gt;RALOXIFENE-&gt;RALOXIFENE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58</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0.03%</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25</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rPr>
            </w:pPr>
            <w:r w:rsidRPr="009F11F2">
              <w:rPr>
                <w:rFonts w:ascii="Calibri" w:hAnsi="Calibri"/>
                <w:color w:val="000000"/>
                <w:sz w:val="16"/>
                <w:szCs w:val="16"/>
              </w:rPr>
              <w:t>DENOSUMAB-&gt;STRONTIUM-&gt;STRONTIUM-&gt;STRONTIUM-&gt;STRONTIUM-&gt;STRONTIUM</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58</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0.03%</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26</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DENOSUMAB-&gt;RISEDRONATE(sd)-&gt;RISEDRONATE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51</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0.02%</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27</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DENOSUMAB-&gt;RALOXIFENE-&gt;RALOXIFENE-&gt;RALOXIFENE-&gt;RALOXIFENE-&gt;RALOXIFENE-&gt;RALOXIFENE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49</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0.02%</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28</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DENOSUMAB-&gt;RALOXIFENE-&gt;RALOXIFENE-&gt;RALOXIFENE-&gt;RALOXIFENE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48</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0.02%</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29</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DENOSUMAB-&gt;ALENDRONATE(sd)-&gt;ALENDRONATE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48</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0.02%</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30</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DENOSUMAB-&gt;RALOXIFENE-&gt;RALOXIFENE-&gt;RALOXIFENE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46</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0.02%</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31</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DENOSUMAB-&gt;RISEDRONATE-&gt;RISEDRONATE(sd)</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40</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0.02%</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32</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rPr>
            </w:pPr>
            <w:r w:rsidRPr="009F11F2">
              <w:rPr>
                <w:rFonts w:ascii="Calibri" w:hAnsi="Calibri"/>
                <w:color w:val="000000"/>
                <w:sz w:val="16"/>
                <w:szCs w:val="16"/>
              </w:rPr>
              <w:t>DENOSUMAB-&gt;ALENDRONATE-&gt;ALENDRONATE(sd)</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39</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0.02%</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33</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rPr>
            </w:pPr>
            <w:r w:rsidRPr="009F11F2">
              <w:rPr>
                <w:rFonts w:ascii="Calibri" w:hAnsi="Calibri"/>
                <w:color w:val="000000"/>
                <w:sz w:val="16"/>
                <w:szCs w:val="16"/>
              </w:rPr>
              <w:t>DENOSUMAB-&gt;STRONTIUM-&gt;DENOSUMAB</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32</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0.02%</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34</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DENOSUMAB-&gt;TERIPARATIDE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31</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0.01%</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35</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DENOSUMAB-&gt;ALENDRONATE(sd)-&gt;ALENDRONATE-&gt;ALENDRONATE-&gt;ALENDRONATE-&gt;ALENDRONATE-&gt;ALENDRONATE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28</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0.01%</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36</w:t>
            </w:r>
          </w:p>
        </w:tc>
      </w:tr>
      <w:tr w:rsidR="002F3511" w:rsidRPr="00D07159" w:rsidTr="003C01C8">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rPr>
            </w:pPr>
            <w:r w:rsidRPr="009F11F2">
              <w:rPr>
                <w:rFonts w:ascii="Calibri" w:hAnsi="Calibri"/>
                <w:color w:val="000000"/>
                <w:sz w:val="16"/>
                <w:szCs w:val="16"/>
              </w:rPr>
              <w:t>DENOSUMAB-&gt;STRONTIUM-&gt;STRONTIUM-&gt;STRONTIUM-&gt;STRONTIUM-&gt;STRONTIUM-&gt;STRONTIUM</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28</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0.01%</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37</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DENOSUMAB-&gt;RISEDRONATE(sd)-&gt;RISEDRONATE-&gt;RISEDRONATE-&gt;RISEDRONATE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28</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0.01%</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38</w:t>
            </w:r>
          </w:p>
        </w:tc>
      </w:tr>
      <w:tr w:rsidR="002F3511" w:rsidRPr="00D07159" w:rsidTr="009F11F2">
        <w:trPr>
          <w:trHeight w:val="57"/>
        </w:trPr>
        <w:tc>
          <w:tcPr>
            <w:tcW w:w="3850" w:type="pct"/>
            <w:tcBorders>
              <w:top w:val="nil"/>
              <w:left w:val="nil"/>
              <w:bottom w:val="nil"/>
              <w:right w:val="nil"/>
            </w:tcBorders>
            <w:shd w:val="clear" w:color="auto" w:fill="auto"/>
            <w:noWrap/>
            <w:vAlign w:val="bottom"/>
          </w:tcPr>
          <w:p w:rsidR="002F3511" w:rsidRPr="009F11F2" w:rsidRDefault="002F3511" w:rsidP="00D07159">
            <w:pPr>
              <w:spacing w:after="0"/>
              <w:rPr>
                <w:rFonts w:ascii="Calibri" w:hAnsi="Calibri"/>
                <w:color w:val="000000"/>
                <w:sz w:val="16"/>
                <w:szCs w:val="16"/>
                <w:highlight w:val="yellow"/>
              </w:rPr>
            </w:pPr>
            <w:r w:rsidRPr="009F11F2">
              <w:rPr>
                <w:rFonts w:ascii="Calibri" w:hAnsi="Calibri"/>
                <w:color w:val="000000"/>
                <w:sz w:val="16"/>
                <w:szCs w:val="16"/>
              </w:rPr>
              <w:t>DENOSUMAB-&gt;RISEDRONATE(sd)-&gt;RISEDRONATE-&gt;RISEDRONATE-&gt;RISEDRONATE-&gt;RISEDRONATE</w:t>
            </w:r>
          </w:p>
        </w:tc>
        <w:tc>
          <w:tcPr>
            <w:tcW w:w="467" w:type="pct"/>
            <w:tcBorders>
              <w:top w:val="nil"/>
              <w:left w:val="nil"/>
              <w:bottom w:val="nil"/>
              <w:right w:val="nil"/>
            </w:tcBorders>
            <w:shd w:val="clear" w:color="auto" w:fill="auto"/>
            <w:noWrap/>
            <w:vAlign w:val="bottom"/>
          </w:tcPr>
          <w:p w:rsidR="002F3511" w:rsidRPr="009F11F2" w:rsidRDefault="002F3511" w:rsidP="00D07159">
            <w:pPr>
              <w:spacing w:after="0"/>
              <w:jc w:val="center"/>
              <w:rPr>
                <w:rFonts w:ascii="Calibri" w:hAnsi="Calibri"/>
                <w:color w:val="000000"/>
                <w:sz w:val="16"/>
                <w:szCs w:val="16"/>
              </w:rPr>
            </w:pPr>
            <w:r w:rsidRPr="009F11F2">
              <w:rPr>
                <w:rFonts w:ascii="Calibri" w:hAnsi="Calibri"/>
                <w:color w:val="000000"/>
                <w:sz w:val="16"/>
                <w:szCs w:val="16"/>
              </w:rPr>
              <w:t>27</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0.01%</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sidRPr="002F3511">
              <w:rPr>
                <w:rFonts w:ascii="Calibri" w:hAnsi="Calibri"/>
                <w:color w:val="000000"/>
                <w:sz w:val="16"/>
                <w:szCs w:val="16"/>
              </w:rPr>
              <w:t>39</w:t>
            </w:r>
          </w:p>
        </w:tc>
      </w:tr>
      <w:tr w:rsidR="002F3511" w:rsidRPr="00D07159" w:rsidTr="00DE3DCD">
        <w:trPr>
          <w:trHeight w:val="57"/>
        </w:trPr>
        <w:tc>
          <w:tcPr>
            <w:tcW w:w="3850" w:type="pct"/>
            <w:tcBorders>
              <w:top w:val="nil"/>
              <w:left w:val="nil"/>
              <w:bottom w:val="nil"/>
              <w:right w:val="nil"/>
            </w:tcBorders>
            <w:shd w:val="clear" w:color="auto" w:fill="auto"/>
            <w:noWrap/>
            <w:vAlign w:val="center"/>
          </w:tcPr>
          <w:p w:rsidR="002F3511" w:rsidRPr="00D07159" w:rsidRDefault="002F3511" w:rsidP="009F11F2">
            <w:pPr>
              <w:spacing w:after="0"/>
              <w:rPr>
                <w:rFonts w:ascii="Calibri" w:hAnsi="Calibri"/>
                <w:color w:val="000000"/>
                <w:sz w:val="16"/>
                <w:szCs w:val="16"/>
              </w:rPr>
            </w:pPr>
            <w:r w:rsidRPr="00D07159">
              <w:rPr>
                <w:rFonts w:ascii="Calibri" w:hAnsi="Calibri"/>
                <w:color w:val="000000"/>
                <w:sz w:val="16"/>
                <w:szCs w:val="16"/>
              </w:rPr>
              <w:t>Other</w:t>
            </w:r>
            <w:r>
              <w:rPr>
                <w:rFonts w:ascii="Calibri" w:hAnsi="Calibri"/>
                <w:color w:val="000000"/>
                <w:sz w:val="16"/>
                <w:szCs w:val="16"/>
              </w:rPr>
              <w:t xml:space="preserve"> sequences including </w:t>
            </w:r>
            <w:r w:rsidRPr="009F11F2">
              <w:rPr>
                <w:rFonts w:ascii="Calibri" w:hAnsi="Calibri"/>
                <w:color w:val="000000"/>
                <w:sz w:val="16"/>
                <w:szCs w:val="16"/>
              </w:rPr>
              <w:t>bisphosphonates, teriparatide, raloxifene or strontium</w:t>
            </w:r>
          </w:p>
        </w:tc>
        <w:tc>
          <w:tcPr>
            <w:tcW w:w="467" w:type="pct"/>
            <w:tcBorders>
              <w:top w:val="nil"/>
              <w:left w:val="nil"/>
              <w:bottom w:val="nil"/>
              <w:right w:val="nil"/>
            </w:tcBorders>
            <w:shd w:val="clear" w:color="auto" w:fill="auto"/>
            <w:noWrap/>
            <w:vAlign w:val="center"/>
          </w:tcPr>
          <w:p w:rsidR="002F3511" w:rsidRPr="00D07159" w:rsidRDefault="002F3511" w:rsidP="00D07159">
            <w:pPr>
              <w:spacing w:after="0"/>
              <w:jc w:val="center"/>
              <w:rPr>
                <w:rFonts w:ascii="Calibri" w:hAnsi="Calibri"/>
                <w:color w:val="000000"/>
                <w:sz w:val="16"/>
                <w:szCs w:val="16"/>
              </w:rPr>
            </w:pPr>
            <w:r>
              <w:rPr>
                <w:rFonts w:ascii="Calibri" w:hAnsi="Calibri"/>
                <w:color w:val="000000"/>
                <w:sz w:val="16"/>
                <w:szCs w:val="16"/>
              </w:rPr>
              <w:t>1,304</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Pr>
                <w:rFonts w:ascii="Calibri" w:hAnsi="Calibri"/>
                <w:color w:val="000000"/>
                <w:sz w:val="16"/>
                <w:szCs w:val="16"/>
              </w:rPr>
              <w:t>0.65%</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p>
        </w:tc>
      </w:tr>
      <w:tr w:rsidR="00197134" w:rsidRPr="00197134" w:rsidTr="00DE3DCD">
        <w:trPr>
          <w:trHeight w:val="57"/>
        </w:trPr>
        <w:tc>
          <w:tcPr>
            <w:tcW w:w="3850" w:type="pct"/>
            <w:tcBorders>
              <w:top w:val="nil"/>
              <w:left w:val="nil"/>
              <w:bottom w:val="nil"/>
              <w:right w:val="nil"/>
            </w:tcBorders>
            <w:shd w:val="clear" w:color="auto" w:fill="auto"/>
            <w:noWrap/>
            <w:vAlign w:val="center"/>
          </w:tcPr>
          <w:p w:rsidR="00197134" w:rsidRPr="00197134" w:rsidRDefault="00197134" w:rsidP="009F11F2">
            <w:pPr>
              <w:spacing w:after="0"/>
              <w:rPr>
                <w:rFonts w:ascii="Calibri" w:hAnsi="Calibri"/>
                <w:b/>
                <w:color w:val="000000"/>
                <w:sz w:val="16"/>
                <w:szCs w:val="16"/>
              </w:rPr>
            </w:pPr>
            <w:r w:rsidRPr="00197134">
              <w:rPr>
                <w:rFonts w:ascii="Calibri" w:hAnsi="Calibri"/>
                <w:b/>
                <w:color w:val="000000"/>
                <w:sz w:val="16"/>
                <w:szCs w:val="16"/>
              </w:rPr>
              <w:t>Total sequences including bisphosphonates, teriparatide, raloxifene or strontium</w:t>
            </w:r>
          </w:p>
        </w:tc>
        <w:tc>
          <w:tcPr>
            <w:tcW w:w="467" w:type="pct"/>
            <w:tcBorders>
              <w:top w:val="nil"/>
              <w:left w:val="nil"/>
              <w:bottom w:val="nil"/>
              <w:right w:val="nil"/>
            </w:tcBorders>
            <w:shd w:val="clear" w:color="auto" w:fill="auto"/>
            <w:noWrap/>
            <w:vAlign w:val="center"/>
          </w:tcPr>
          <w:p w:rsidR="00197134" w:rsidRPr="00197134" w:rsidRDefault="00197134" w:rsidP="002F3511">
            <w:pPr>
              <w:spacing w:after="0"/>
              <w:jc w:val="center"/>
              <w:rPr>
                <w:rFonts w:ascii="Calibri" w:hAnsi="Calibri"/>
                <w:b/>
                <w:color w:val="000000"/>
                <w:sz w:val="16"/>
                <w:szCs w:val="16"/>
              </w:rPr>
            </w:pPr>
            <w:r w:rsidRPr="00197134">
              <w:rPr>
                <w:rFonts w:ascii="Calibri" w:hAnsi="Calibri"/>
                <w:b/>
                <w:color w:val="000000"/>
                <w:sz w:val="16"/>
                <w:szCs w:val="16"/>
              </w:rPr>
              <w:t>9,537</w:t>
            </w:r>
          </w:p>
        </w:tc>
        <w:tc>
          <w:tcPr>
            <w:tcW w:w="368" w:type="pct"/>
            <w:tcBorders>
              <w:top w:val="nil"/>
              <w:left w:val="nil"/>
              <w:bottom w:val="nil"/>
              <w:right w:val="nil"/>
            </w:tcBorders>
            <w:shd w:val="clear" w:color="auto" w:fill="auto"/>
            <w:noWrap/>
            <w:vAlign w:val="bottom"/>
          </w:tcPr>
          <w:p w:rsidR="00197134" w:rsidRPr="00197134" w:rsidRDefault="00197134" w:rsidP="00D07159">
            <w:pPr>
              <w:spacing w:after="0"/>
              <w:jc w:val="center"/>
              <w:rPr>
                <w:rFonts w:ascii="Calibri" w:hAnsi="Calibri"/>
                <w:b/>
                <w:color w:val="000000"/>
                <w:sz w:val="16"/>
                <w:szCs w:val="16"/>
              </w:rPr>
            </w:pPr>
            <w:r w:rsidRPr="00197134">
              <w:rPr>
                <w:rFonts w:ascii="Calibri" w:hAnsi="Calibri"/>
                <w:b/>
                <w:color w:val="000000"/>
                <w:sz w:val="16"/>
                <w:szCs w:val="16"/>
              </w:rPr>
              <w:t>4.55%</w:t>
            </w:r>
          </w:p>
        </w:tc>
        <w:tc>
          <w:tcPr>
            <w:tcW w:w="315" w:type="pct"/>
            <w:tcBorders>
              <w:top w:val="nil"/>
              <w:left w:val="nil"/>
              <w:bottom w:val="nil"/>
              <w:right w:val="nil"/>
            </w:tcBorders>
            <w:shd w:val="clear" w:color="auto" w:fill="auto"/>
            <w:noWrap/>
            <w:vAlign w:val="bottom"/>
          </w:tcPr>
          <w:p w:rsidR="00197134" w:rsidRPr="00197134" w:rsidRDefault="00197134" w:rsidP="00D07159">
            <w:pPr>
              <w:spacing w:after="0"/>
              <w:jc w:val="center"/>
              <w:rPr>
                <w:rFonts w:ascii="Calibri" w:hAnsi="Calibri"/>
                <w:b/>
                <w:color w:val="000000"/>
                <w:sz w:val="16"/>
                <w:szCs w:val="16"/>
              </w:rPr>
            </w:pPr>
          </w:p>
        </w:tc>
      </w:tr>
      <w:tr w:rsidR="002F3511" w:rsidRPr="00D07159" w:rsidTr="00DE3DCD">
        <w:trPr>
          <w:trHeight w:val="57"/>
        </w:trPr>
        <w:tc>
          <w:tcPr>
            <w:tcW w:w="3850" w:type="pct"/>
            <w:tcBorders>
              <w:top w:val="nil"/>
              <w:left w:val="nil"/>
              <w:bottom w:val="nil"/>
              <w:right w:val="nil"/>
            </w:tcBorders>
            <w:shd w:val="clear" w:color="auto" w:fill="auto"/>
            <w:noWrap/>
            <w:vAlign w:val="center"/>
          </w:tcPr>
          <w:p w:rsidR="002F3511" w:rsidRPr="00D07159" w:rsidRDefault="002F3511" w:rsidP="009F11F2">
            <w:pPr>
              <w:spacing w:after="0"/>
              <w:rPr>
                <w:rFonts w:ascii="Calibri" w:hAnsi="Calibri"/>
                <w:color w:val="000000"/>
                <w:sz w:val="16"/>
                <w:szCs w:val="16"/>
              </w:rPr>
            </w:pPr>
            <w:r w:rsidRPr="00D07159">
              <w:rPr>
                <w:rFonts w:ascii="Calibri" w:hAnsi="Calibri"/>
                <w:color w:val="000000"/>
                <w:sz w:val="16"/>
                <w:szCs w:val="16"/>
              </w:rPr>
              <w:t>Other</w:t>
            </w:r>
            <w:r>
              <w:rPr>
                <w:rFonts w:ascii="Calibri" w:hAnsi="Calibri"/>
                <w:color w:val="000000"/>
                <w:sz w:val="16"/>
                <w:szCs w:val="16"/>
              </w:rPr>
              <w:t xml:space="preserve"> sequences not including </w:t>
            </w:r>
            <w:r w:rsidRPr="009F11F2">
              <w:rPr>
                <w:rFonts w:ascii="Calibri" w:hAnsi="Calibri"/>
                <w:color w:val="000000"/>
                <w:sz w:val="16"/>
                <w:szCs w:val="16"/>
              </w:rPr>
              <w:t>bisphosphonates, teriparatide, raloxifene or strontium</w:t>
            </w:r>
          </w:p>
        </w:tc>
        <w:tc>
          <w:tcPr>
            <w:tcW w:w="467" w:type="pct"/>
            <w:tcBorders>
              <w:top w:val="nil"/>
              <w:left w:val="nil"/>
              <w:bottom w:val="nil"/>
              <w:right w:val="nil"/>
            </w:tcBorders>
            <w:shd w:val="clear" w:color="auto" w:fill="auto"/>
            <w:noWrap/>
            <w:vAlign w:val="center"/>
          </w:tcPr>
          <w:p w:rsidR="002F3511" w:rsidRPr="00D07159" w:rsidRDefault="002F3511" w:rsidP="002F3511">
            <w:pPr>
              <w:spacing w:after="0"/>
              <w:jc w:val="center"/>
              <w:rPr>
                <w:rFonts w:ascii="Calibri" w:hAnsi="Calibri"/>
                <w:color w:val="000000"/>
                <w:sz w:val="16"/>
                <w:szCs w:val="16"/>
              </w:rPr>
            </w:pPr>
            <w:r>
              <w:rPr>
                <w:rFonts w:ascii="Calibri" w:hAnsi="Calibri"/>
                <w:color w:val="000000"/>
                <w:sz w:val="16"/>
                <w:szCs w:val="16"/>
              </w:rPr>
              <w:t>200,005</w:t>
            </w:r>
          </w:p>
        </w:tc>
        <w:tc>
          <w:tcPr>
            <w:tcW w:w="368"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r>
              <w:rPr>
                <w:rFonts w:ascii="Calibri" w:hAnsi="Calibri"/>
                <w:color w:val="000000"/>
                <w:sz w:val="16"/>
                <w:szCs w:val="16"/>
              </w:rPr>
              <w:t>95.4</w:t>
            </w:r>
            <w:r w:rsidRPr="002F3511">
              <w:rPr>
                <w:rFonts w:ascii="Calibri" w:hAnsi="Calibri"/>
                <w:color w:val="000000"/>
                <w:sz w:val="16"/>
                <w:szCs w:val="16"/>
              </w:rPr>
              <w:t>%</w:t>
            </w:r>
          </w:p>
        </w:tc>
        <w:tc>
          <w:tcPr>
            <w:tcW w:w="315" w:type="pct"/>
            <w:tcBorders>
              <w:top w:val="nil"/>
              <w:left w:val="nil"/>
              <w:bottom w:val="nil"/>
              <w:right w:val="nil"/>
            </w:tcBorders>
            <w:shd w:val="clear" w:color="auto" w:fill="auto"/>
            <w:noWrap/>
            <w:vAlign w:val="bottom"/>
          </w:tcPr>
          <w:p w:rsidR="002F3511" w:rsidRPr="002F3511" w:rsidRDefault="002F3511" w:rsidP="00D07159">
            <w:pPr>
              <w:spacing w:after="0"/>
              <w:jc w:val="center"/>
              <w:rPr>
                <w:rFonts w:ascii="Calibri" w:hAnsi="Calibri"/>
                <w:color w:val="000000"/>
                <w:sz w:val="16"/>
                <w:szCs w:val="16"/>
              </w:rPr>
            </w:pPr>
          </w:p>
        </w:tc>
      </w:tr>
      <w:tr w:rsidR="00D07159" w:rsidRPr="004D6C8B" w:rsidTr="00D07159">
        <w:trPr>
          <w:trHeight w:val="57"/>
        </w:trPr>
        <w:tc>
          <w:tcPr>
            <w:tcW w:w="3850" w:type="pct"/>
            <w:tcBorders>
              <w:top w:val="nil"/>
              <w:left w:val="nil"/>
              <w:bottom w:val="nil"/>
              <w:right w:val="nil"/>
            </w:tcBorders>
            <w:shd w:val="clear" w:color="auto" w:fill="auto"/>
            <w:noWrap/>
            <w:vAlign w:val="center"/>
          </w:tcPr>
          <w:p w:rsidR="00D07159" w:rsidRPr="004D6C8B" w:rsidRDefault="00D07159" w:rsidP="00D07159">
            <w:pPr>
              <w:spacing w:after="0"/>
              <w:rPr>
                <w:rFonts w:ascii="Calibri" w:hAnsi="Calibri"/>
                <w:b/>
                <w:color w:val="000000"/>
                <w:sz w:val="16"/>
                <w:szCs w:val="16"/>
              </w:rPr>
            </w:pPr>
            <w:r w:rsidRPr="004D6C8B">
              <w:rPr>
                <w:rFonts w:ascii="Calibri" w:hAnsi="Calibri"/>
                <w:b/>
                <w:color w:val="000000"/>
                <w:sz w:val="16"/>
                <w:szCs w:val="16"/>
              </w:rPr>
              <w:t>Total</w:t>
            </w:r>
          </w:p>
        </w:tc>
        <w:tc>
          <w:tcPr>
            <w:tcW w:w="467" w:type="pct"/>
            <w:tcBorders>
              <w:top w:val="nil"/>
              <w:left w:val="nil"/>
              <w:bottom w:val="nil"/>
              <w:right w:val="nil"/>
            </w:tcBorders>
            <w:shd w:val="clear" w:color="auto" w:fill="auto"/>
            <w:noWrap/>
            <w:vAlign w:val="center"/>
          </w:tcPr>
          <w:p w:rsidR="00D07159" w:rsidRPr="004D6C8B" w:rsidRDefault="00D07159" w:rsidP="002F3511">
            <w:pPr>
              <w:spacing w:after="0"/>
              <w:jc w:val="center"/>
              <w:rPr>
                <w:rFonts w:ascii="Calibri" w:hAnsi="Calibri"/>
                <w:b/>
                <w:color w:val="000000"/>
                <w:sz w:val="16"/>
                <w:szCs w:val="16"/>
              </w:rPr>
            </w:pPr>
            <w:r w:rsidRPr="004D6C8B">
              <w:rPr>
                <w:rFonts w:ascii="Calibri" w:hAnsi="Calibri"/>
                <w:b/>
                <w:color w:val="000000"/>
                <w:sz w:val="16"/>
                <w:szCs w:val="16"/>
              </w:rPr>
              <w:t>20</w:t>
            </w:r>
            <w:r w:rsidR="002F3511">
              <w:rPr>
                <w:rFonts w:ascii="Calibri" w:hAnsi="Calibri"/>
                <w:b/>
                <w:color w:val="000000"/>
                <w:sz w:val="16"/>
                <w:szCs w:val="16"/>
              </w:rPr>
              <w:t>9</w:t>
            </w:r>
            <w:r w:rsidRPr="004D6C8B">
              <w:rPr>
                <w:rFonts w:ascii="Calibri" w:hAnsi="Calibri"/>
                <w:b/>
                <w:color w:val="000000"/>
                <w:sz w:val="16"/>
                <w:szCs w:val="16"/>
              </w:rPr>
              <w:t>,</w:t>
            </w:r>
            <w:r w:rsidR="002F3511">
              <w:rPr>
                <w:rFonts w:ascii="Calibri" w:hAnsi="Calibri"/>
                <w:b/>
                <w:color w:val="000000"/>
                <w:sz w:val="16"/>
                <w:szCs w:val="16"/>
              </w:rPr>
              <w:t>542</w:t>
            </w:r>
          </w:p>
        </w:tc>
        <w:tc>
          <w:tcPr>
            <w:tcW w:w="368" w:type="pct"/>
            <w:tcBorders>
              <w:top w:val="nil"/>
              <w:left w:val="nil"/>
              <w:bottom w:val="nil"/>
              <w:right w:val="nil"/>
            </w:tcBorders>
            <w:shd w:val="clear" w:color="auto" w:fill="auto"/>
            <w:noWrap/>
            <w:vAlign w:val="center"/>
          </w:tcPr>
          <w:p w:rsidR="00D07159" w:rsidRPr="004D6C8B" w:rsidRDefault="00D07159" w:rsidP="00D07159">
            <w:pPr>
              <w:spacing w:after="0"/>
              <w:jc w:val="center"/>
              <w:rPr>
                <w:rFonts w:ascii="Calibri" w:hAnsi="Calibri"/>
                <w:b/>
                <w:color w:val="000000"/>
                <w:sz w:val="16"/>
                <w:szCs w:val="16"/>
              </w:rPr>
            </w:pPr>
            <w:r w:rsidRPr="004D6C8B">
              <w:rPr>
                <w:rFonts w:ascii="Calibri" w:hAnsi="Calibri"/>
                <w:b/>
                <w:color w:val="000000"/>
                <w:sz w:val="16"/>
                <w:szCs w:val="16"/>
              </w:rPr>
              <w:t>100%</w:t>
            </w:r>
          </w:p>
        </w:tc>
        <w:tc>
          <w:tcPr>
            <w:tcW w:w="315" w:type="pct"/>
            <w:tcBorders>
              <w:top w:val="nil"/>
              <w:left w:val="nil"/>
              <w:bottom w:val="nil"/>
              <w:right w:val="nil"/>
            </w:tcBorders>
            <w:shd w:val="clear" w:color="auto" w:fill="auto"/>
            <w:noWrap/>
            <w:vAlign w:val="center"/>
          </w:tcPr>
          <w:p w:rsidR="00D07159" w:rsidRPr="004D6C8B" w:rsidRDefault="00D07159" w:rsidP="00D07159">
            <w:pPr>
              <w:spacing w:after="0"/>
              <w:jc w:val="center"/>
              <w:rPr>
                <w:rFonts w:ascii="Calibri" w:hAnsi="Calibri"/>
                <w:b/>
                <w:color w:val="000000"/>
                <w:sz w:val="16"/>
                <w:szCs w:val="16"/>
              </w:rPr>
            </w:pPr>
          </w:p>
        </w:tc>
      </w:tr>
      <w:tr w:rsidR="004D6C8B" w:rsidRPr="00D07159" w:rsidTr="00D07159">
        <w:trPr>
          <w:trHeight w:val="57"/>
        </w:trPr>
        <w:tc>
          <w:tcPr>
            <w:tcW w:w="3850" w:type="pct"/>
            <w:tcBorders>
              <w:top w:val="nil"/>
              <w:left w:val="nil"/>
              <w:bottom w:val="nil"/>
              <w:right w:val="nil"/>
            </w:tcBorders>
            <w:shd w:val="clear" w:color="auto" w:fill="auto"/>
            <w:noWrap/>
            <w:vAlign w:val="center"/>
          </w:tcPr>
          <w:p w:rsidR="004D6C8B" w:rsidRPr="00D07159" w:rsidRDefault="004D6C8B" w:rsidP="00197134">
            <w:pPr>
              <w:spacing w:after="0"/>
              <w:rPr>
                <w:rFonts w:ascii="Calibri" w:hAnsi="Calibri"/>
                <w:color w:val="000000"/>
                <w:sz w:val="16"/>
                <w:szCs w:val="16"/>
              </w:rPr>
            </w:pPr>
            <w:r>
              <w:rPr>
                <w:rFonts w:ascii="Calibri" w:hAnsi="Calibri"/>
                <w:color w:val="000000"/>
                <w:sz w:val="16"/>
                <w:szCs w:val="16"/>
              </w:rPr>
              <w:t>Note: (sd) after a drug indicates that it was s</w:t>
            </w:r>
            <w:r w:rsidR="00972217">
              <w:rPr>
                <w:rFonts w:ascii="Calibri" w:hAnsi="Calibri"/>
                <w:color w:val="000000"/>
                <w:sz w:val="16"/>
                <w:szCs w:val="16"/>
              </w:rPr>
              <w:t>upply on the same day as the drug</w:t>
            </w:r>
            <w:r>
              <w:rPr>
                <w:rFonts w:ascii="Calibri" w:hAnsi="Calibri"/>
                <w:color w:val="000000"/>
                <w:sz w:val="16"/>
                <w:szCs w:val="16"/>
              </w:rPr>
              <w:t xml:space="preserve"> before it in the sequence.</w:t>
            </w:r>
          </w:p>
        </w:tc>
        <w:tc>
          <w:tcPr>
            <w:tcW w:w="467" w:type="pct"/>
            <w:tcBorders>
              <w:top w:val="nil"/>
              <w:left w:val="nil"/>
              <w:bottom w:val="nil"/>
              <w:right w:val="nil"/>
            </w:tcBorders>
            <w:shd w:val="clear" w:color="auto" w:fill="auto"/>
            <w:noWrap/>
            <w:vAlign w:val="center"/>
          </w:tcPr>
          <w:p w:rsidR="004D6C8B" w:rsidRPr="00D07159" w:rsidRDefault="004D6C8B" w:rsidP="00D07159">
            <w:pPr>
              <w:spacing w:after="0"/>
              <w:jc w:val="center"/>
              <w:rPr>
                <w:rFonts w:ascii="Calibri" w:hAnsi="Calibri"/>
                <w:color w:val="000000"/>
                <w:sz w:val="16"/>
                <w:szCs w:val="16"/>
              </w:rPr>
            </w:pPr>
          </w:p>
        </w:tc>
        <w:tc>
          <w:tcPr>
            <w:tcW w:w="368" w:type="pct"/>
            <w:tcBorders>
              <w:top w:val="nil"/>
              <w:left w:val="nil"/>
              <w:bottom w:val="nil"/>
              <w:right w:val="nil"/>
            </w:tcBorders>
            <w:shd w:val="clear" w:color="auto" w:fill="auto"/>
            <w:noWrap/>
            <w:vAlign w:val="center"/>
          </w:tcPr>
          <w:p w:rsidR="004D6C8B" w:rsidRDefault="004D6C8B" w:rsidP="00D07159">
            <w:pPr>
              <w:spacing w:after="0"/>
              <w:jc w:val="center"/>
              <w:rPr>
                <w:rFonts w:ascii="Calibri" w:hAnsi="Calibri"/>
                <w:color w:val="000000"/>
                <w:sz w:val="16"/>
                <w:szCs w:val="16"/>
              </w:rPr>
            </w:pPr>
          </w:p>
        </w:tc>
        <w:tc>
          <w:tcPr>
            <w:tcW w:w="315" w:type="pct"/>
            <w:tcBorders>
              <w:top w:val="nil"/>
              <w:left w:val="nil"/>
              <w:bottom w:val="nil"/>
              <w:right w:val="nil"/>
            </w:tcBorders>
            <w:shd w:val="clear" w:color="auto" w:fill="auto"/>
            <w:noWrap/>
            <w:vAlign w:val="center"/>
          </w:tcPr>
          <w:p w:rsidR="004D6C8B" w:rsidRPr="00D07159" w:rsidRDefault="004D6C8B" w:rsidP="00D07159">
            <w:pPr>
              <w:spacing w:after="0"/>
              <w:jc w:val="center"/>
              <w:rPr>
                <w:rFonts w:ascii="Calibri" w:hAnsi="Calibri"/>
                <w:color w:val="000000"/>
                <w:sz w:val="16"/>
                <w:szCs w:val="16"/>
              </w:rPr>
            </w:pPr>
          </w:p>
        </w:tc>
      </w:tr>
    </w:tbl>
    <w:p w:rsidR="00D07159" w:rsidRDefault="00D07159" w:rsidP="008E4291">
      <w:pPr>
        <w:rPr>
          <w:b/>
          <w:sz w:val="28"/>
        </w:rPr>
        <w:sectPr w:rsidR="00D07159" w:rsidSect="009F11F2">
          <w:footnotePr>
            <w:numFmt w:val="upperLetter"/>
          </w:footnotePr>
          <w:endnotePr>
            <w:numFmt w:val="decimal"/>
          </w:endnotePr>
          <w:pgSz w:w="16838" w:h="11906" w:orient="landscape"/>
          <w:pgMar w:top="1268" w:right="1644" w:bottom="1134" w:left="1644" w:header="709" w:footer="399" w:gutter="0"/>
          <w:cols w:space="708"/>
          <w:docGrid w:linePitch="360"/>
        </w:sectPr>
      </w:pPr>
    </w:p>
    <w:p w:rsidR="0084554B" w:rsidRDefault="00F9734E" w:rsidP="00F9734E">
      <w:r>
        <w:t xml:space="preserve">DUSC also requested an assessment of the </w:t>
      </w:r>
      <w:r w:rsidRPr="00485F35">
        <w:t>frequency of administration</w:t>
      </w:r>
      <w:r>
        <w:t xml:space="preserve"> of denosumab. The time to re</w:t>
      </w:r>
      <w:r w:rsidR="00E7249F">
        <w:t>-</w:t>
      </w:r>
      <w:r>
        <w:t xml:space="preserve">supply analysis indicates that most often resupply </w:t>
      </w:r>
      <w:r w:rsidR="0084554B">
        <w:t xml:space="preserve">of denosumab occurs </w:t>
      </w:r>
      <w:r>
        <w:t>at 182 days</w:t>
      </w:r>
      <w:r w:rsidR="00A20A9E">
        <w:t xml:space="preserve"> (Table 6 and Figure 13)</w:t>
      </w:r>
      <w:r>
        <w:t xml:space="preserve">. </w:t>
      </w:r>
      <w:r w:rsidR="0084554B">
        <w:t xml:space="preserve">However there </w:t>
      </w:r>
      <w:r w:rsidR="0084554B" w:rsidRPr="0084554B">
        <w:t xml:space="preserve">may be a QUM concern if patients are having denosumab injections more frequently than 6 months or if there is wastage of medicine dispensed but never administered. </w:t>
      </w:r>
    </w:p>
    <w:p w:rsidR="00F9734E" w:rsidRDefault="0084554B" w:rsidP="00F9734E">
      <w:r>
        <w:t>An a</w:t>
      </w:r>
      <w:r w:rsidR="00F9734E">
        <w:t>ssessment of the number of denosumab supplies</w:t>
      </w:r>
      <w:r>
        <w:t xml:space="preserve"> in the </w:t>
      </w:r>
      <w:r w:rsidRPr="0084554B">
        <w:t xml:space="preserve">5 months following </w:t>
      </w:r>
      <w:r>
        <w:t xml:space="preserve">a </w:t>
      </w:r>
      <w:r w:rsidRPr="0084554B">
        <w:t>first script of denosumab</w:t>
      </w:r>
      <w:r w:rsidR="00F9734E">
        <w:t xml:space="preserve"> </w:t>
      </w:r>
      <w:r>
        <w:t>(same cohort as presented in Table 10)</w:t>
      </w:r>
      <w:r w:rsidR="00A20A9E">
        <w:t xml:space="preserve"> is presented in Table 11. </w:t>
      </w:r>
    </w:p>
    <w:p w:rsidR="00F9734E" w:rsidRPr="00F9734E" w:rsidRDefault="00F9734E" w:rsidP="00F9734E">
      <w:pPr>
        <w:spacing w:after="0"/>
        <w:rPr>
          <w:b/>
        </w:rPr>
      </w:pPr>
      <w:r w:rsidRPr="00F9734E">
        <w:rPr>
          <w:b/>
        </w:rPr>
        <w:t>Table 11: Number of denosumab supplies within 5 months of initiating denosumab</w:t>
      </w:r>
    </w:p>
    <w:tbl>
      <w:tblPr>
        <w:tblStyle w:val="TableGrid"/>
        <w:tblW w:w="0" w:type="auto"/>
        <w:tblInd w:w="108" w:type="dxa"/>
        <w:tblLook w:val="04A0" w:firstRow="1" w:lastRow="0" w:firstColumn="1" w:lastColumn="0" w:noHBand="0" w:noVBand="1"/>
        <w:tblCaption w:val="Table 11: Number of denosumab supplies within 5 months of initiating denosumab"/>
      </w:tblPr>
      <w:tblGrid>
        <w:gridCol w:w="3175"/>
        <w:gridCol w:w="965"/>
        <w:gridCol w:w="1175"/>
      </w:tblGrid>
      <w:tr w:rsidR="00F9734E" w:rsidRPr="003469D4" w:rsidTr="003469D4">
        <w:trPr>
          <w:tblHeader/>
        </w:trPr>
        <w:tc>
          <w:tcPr>
            <w:tcW w:w="3175" w:type="dxa"/>
            <w:shd w:val="clear" w:color="auto" w:fill="BFBFBF" w:themeFill="background1" w:themeFillShade="BF"/>
            <w:vAlign w:val="center"/>
          </w:tcPr>
          <w:p w:rsidR="004941D7" w:rsidRPr="003469D4" w:rsidRDefault="004941D7" w:rsidP="00BB2F16">
            <w:pPr>
              <w:rPr>
                <w:rFonts w:ascii="Calibri" w:eastAsia="Times New Roman" w:hAnsi="Calibri" w:cs="Times New Roman"/>
                <w:b/>
                <w:szCs w:val="22"/>
              </w:rPr>
            </w:pPr>
            <w:r w:rsidRPr="003469D4">
              <w:rPr>
                <w:rFonts w:ascii="Calibri" w:eastAsia="Times New Roman" w:hAnsi="Calibri" w:cs="Times New Roman"/>
                <w:b/>
                <w:szCs w:val="22"/>
              </w:rPr>
              <w:t>Number of denosumab supplies</w:t>
            </w:r>
          </w:p>
        </w:tc>
        <w:tc>
          <w:tcPr>
            <w:tcW w:w="0" w:type="auto"/>
            <w:shd w:val="clear" w:color="auto" w:fill="BFBFBF" w:themeFill="background1" w:themeFillShade="BF"/>
            <w:vAlign w:val="center"/>
          </w:tcPr>
          <w:p w:rsidR="00F9734E" w:rsidRPr="003469D4" w:rsidRDefault="00F9734E" w:rsidP="00A20A9E">
            <w:pPr>
              <w:rPr>
                <w:rFonts w:ascii="Calibri" w:eastAsia="Times New Roman" w:hAnsi="Calibri" w:cs="Times New Roman"/>
                <w:b/>
                <w:szCs w:val="22"/>
              </w:rPr>
            </w:pPr>
            <w:r w:rsidRPr="003469D4">
              <w:rPr>
                <w:rFonts w:ascii="Calibri" w:eastAsia="Times New Roman" w:hAnsi="Calibri" w:cs="Times New Roman"/>
                <w:b/>
                <w:szCs w:val="22"/>
              </w:rPr>
              <w:t>Patients</w:t>
            </w:r>
          </w:p>
        </w:tc>
        <w:tc>
          <w:tcPr>
            <w:tcW w:w="0" w:type="auto"/>
            <w:shd w:val="clear" w:color="auto" w:fill="BFBFBF" w:themeFill="background1" w:themeFillShade="BF"/>
            <w:vAlign w:val="center"/>
          </w:tcPr>
          <w:p w:rsidR="00F9734E" w:rsidRPr="003469D4" w:rsidRDefault="00F9734E" w:rsidP="00A20A9E">
            <w:pPr>
              <w:rPr>
                <w:rFonts w:ascii="Calibri" w:eastAsia="Times New Roman" w:hAnsi="Calibri" w:cs="Times New Roman"/>
                <w:b/>
                <w:szCs w:val="22"/>
              </w:rPr>
            </w:pPr>
            <w:r w:rsidRPr="003469D4">
              <w:rPr>
                <w:rFonts w:ascii="Calibri" w:eastAsia="Times New Roman" w:hAnsi="Calibri" w:cs="Times New Roman"/>
                <w:b/>
                <w:szCs w:val="22"/>
              </w:rPr>
              <w:t>% Patients</w:t>
            </w:r>
          </w:p>
        </w:tc>
      </w:tr>
      <w:tr w:rsidR="00F9734E" w:rsidRPr="00A20A9E" w:rsidTr="00F9734E">
        <w:tc>
          <w:tcPr>
            <w:tcW w:w="3175" w:type="dxa"/>
            <w:vAlign w:val="center"/>
          </w:tcPr>
          <w:p w:rsidR="00F9734E" w:rsidRPr="00A20A9E" w:rsidRDefault="00F9734E" w:rsidP="00DE3DCD">
            <w:pPr>
              <w:rPr>
                <w:rFonts w:ascii="Calibri" w:eastAsia="Times New Roman" w:hAnsi="Calibri" w:cs="Times New Roman"/>
                <w:szCs w:val="22"/>
              </w:rPr>
            </w:pPr>
            <w:r w:rsidRPr="00A20A9E">
              <w:rPr>
                <w:rFonts w:ascii="Calibri" w:eastAsia="Times New Roman" w:hAnsi="Calibri" w:cs="Times New Roman"/>
                <w:szCs w:val="22"/>
              </w:rPr>
              <w:t>1</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200,023</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95.4</w:t>
            </w:r>
          </w:p>
        </w:tc>
      </w:tr>
      <w:tr w:rsidR="00F9734E" w:rsidRPr="00A20A9E" w:rsidTr="00F9734E">
        <w:tc>
          <w:tcPr>
            <w:tcW w:w="3175" w:type="dxa"/>
            <w:vAlign w:val="center"/>
          </w:tcPr>
          <w:p w:rsidR="00F9734E" w:rsidRPr="00A20A9E" w:rsidRDefault="00F9734E" w:rsidP="00DE3DCD">
            <w:pPr>
              <w:rPr>
                <w:rFonts w:ascii="Calibri" w:eastAsia="Times New Roman" w:hAnsi="Calibri" w:cs="Times New Roman"/>
                <w:szCs w:val="22"/>
              </w:rPr>
            </w:pPr>
            <w:r w:rsidRPr="00A20A9E">
              <w:rPr>
                <w:rFonts w:ascii="Calibri" w:eastAsia="Times New Roman" w:hAnsi="Calibri" w:cs="Times New Roman"/>
                <w:szCs w:val="22"/>
              </w:rPr>
              <w:t>2</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9,342</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4.45</w:t>
            </w:r>
          </w:p>
        </w:tc>
      </w:tr>
      <w:tr w:rsidR="00F9734E" w:rsidRPr="00A20A9E" w:rsidTr="00F9734E">
        <w:tc>
          <w:tcPr>
            <w:tcW w:w="3175" w:type="dxa"/>
            <w:vAlign w:val="center"/>
          </w:tcPr>
          <w:p w:rsidR="00F9734E" w:rsidRPr="00A20A9E" w:rsidRDefault="00F9734E" w:rsidP="00DE3DCD">
            <w:pPr>
              <w:rPr>
                <w:rFonts w:ascii="Calibri" w:eastAsia="Times New Roman" w:hAnsi="Calibri" w:cs="Times New Roman"/>
                <w:szCs w:val="22"/>
              </w:rPr>
            </w:pPr>
            <w:r w:rsidRPr="00A20A9E">
              <w:rPr>
                <w:rFonts w:ascii="Calibri" w:eastAsia="Times New Roman" w:hAnsi="Calibri" w:cs="Times New Roman"/>
                <w:szCs w:val="22"/>
              </w:rPr>
              <w:t>3</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152</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0.07</w:t>
            </w:r>
          </w:p>
        </w:tc>
      </w:tr>
      <w:tr w:rsidR="00F9734E" w:rsidRPr="00A20A9E" w:rsidTr="00F9734E">
        <w:tc>
          <w:tcPr>
            <w:tcW w:w="3175" w:type="dxa"/>
            <w:vAlign w:val="center"/>
          </w:tcPr>
          <w:p w:rsidR="00F9734E" w:rsidRPr="00A20A9E" w:rsidRDefault="00F9734E" w:rsidP="00DE3DCD">
            <w:pPr>
              <w:rPr>
                <w:rFonts w:ascii="Calibri" w:eastAsia="Times New Roman" w:hAnsi="Calibri" w:cs="Times New Roman"/>
                <w:szCs w:val="22"/>
              </w:rPr>
            </w:pPr>
            <w:r w:rsidRPr="00A20A9E">
              <w:rPr>
                <w:rFonts w:ascii="Calibri" w:eastAsia="Times New Roman" w:hAnsi="Calibri" w:cs="Times New Roman"/>
                <w:szCs w:val="22"/>
              </w:rPr>
              <w:t>4</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12</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0.005</w:t>
            </w:r>
          </w:p>
        </w:tc>
      </w:tr>
      <w:tr w:rsidR="00F9734E" w:rsidRPr="00A20A9E" w:rsidTr="00F9734E">
        <w:tc>
          <w:tcPr>
            <w:tcW w:w="3175" w:type="dxa"/>
            <w:vAlign w:val="center"/>
          </w:tcPr>
          <w:p w:rsidR="00F9734E" w:rsidRPr="00A20A9E" w:rsidRDefault="00F9734E" w:rsidP="00DE3DCD">
            <w:pPr>
              <w:rPr>
                <w:rFonts w:ascii="Calibri" w:eastAsia="Times New Roman" w:hAnsi="Calibri" w:cs="Times New Roman"/>
                <w:szCs w:val="22"/>
              </w:rPr>
            </w:pPr>
            <w:r w:rsidRPr="00A20A9E">
              <w:rPr>
                <w:rFonts w:ascii="Calibri" w:eastAsia="Times New Roman" w:hAnsi="Calibri" w:cs="Times New Roman"/>
                <w:szCs w:val="22"/>
              </w:rPr>
              <w:t>5</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10</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0.004</w:t>
            </w:r>
          </w:p>
        </w:tc>
      </w:tr>
      <w:tr w:rsidR="00F9734E" w:rsidRPr="00A20A9E" w:rsidTr="00F9734E">
        <w:tc>
          <w:tcPr>
            <w:tcW w:w="3175" w:type="dxa"/>
            <w:vAlign w:val="center"/>
          </w:tcPr>
          <w:p w:rsidR="00F9734E" w:rsidRPr="00A20A9E" w:rsidRDefault="00F9734E" w:rsidP="00DE3DCD">
            <w:pPr>
              <w:rPr>
                <w:rFonts w:ascii="Calibri" w:eastAsia="Times New Roman" w:hAnsi="Calibri" w:cs="Times New Roman"/>
                <w:szCs w:val="22"/>
              </w:rPr>
            </w:pPr>
            <w:r w:rsidRPr="00A20A9E">
              <w:rPr>
                <w:rFonts w:ascii="Calibri" w:eastAsia="Times New Roman" w:hAnsi="Calibri" w:cs="Times New Roman"/>
                <w:szCs w:val="22"/>
              </w:rPr>
              <w:t>6</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2</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0.0009</w:t>
            </w:r>
          </w:p>
        </w:tc>
      </w:tr>
      <w:tr w:rsidR="00F9734E" w:rsidRPr="00A20A9E" w:rsidTr="00F9734E">
        <w:tc>
          <w:tcPr>
            <w:tcW w:w="3175" w:type="dxa"/>
            <w:vAlign w:val="center"/>
          </w:tcPr>
          <w:p w:rsidR="00F9734E" w:rsidRPr="00A20A9E" w:rsidRDefault="00F9734E" w:rsidP="00DE3DCD">
            <w:pPr>
              <w:rPr>
                <w:rFonts w:ascii="Calibri" w:eastAsia="Times New Roman" w:hAnsi="Calibri" w:cs="Times New Roman"/>
                <w:szCs w:val="22"/>
              </w:rPr>
            </w:pPr>
            <w:r w:rsidRPr="00A20A9E">
              <w:rPr>
                <w:rFonts w:ascii="Calibri" w:eastAsia="Times New Roman" w:hAnsi="Calibri" w:cs="Times New Roman"/>
                <w:szCs w:val="22"/>
              </w:rPr>
              <w:t>7</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1</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0.0004</w:t>
            </w:r>
          </w:p>
        </w:tc>
      </w:tr>
      <w:tr w:rsidR="00F9734E" w:rsidRPr="00A20A9E" w:rsidTr="00F9734E">
        <w:tc>
          <w:tcPr>
            <w:tcW w:w="3175" w:type="dxa"/>
            <w:vAlign w:val="center"/>
          </w:tcPr>
          <w:p w:rsidR="00F9734E" w:rsidRPr="00A20A9E" w:rsidRDefault="00F9734E" w:rsidP="00DE3DCD">
            <w:pPr>
              <w:rPr>
                <w:rFonts w:ascii="Calibri" w:eastAsia="Times New Roman" w:hAnsi="Calibri" w:cs="Times New Roman"/>
                <w:szCs w:val="22"/>
              </w:rPr>
            </w:pPr>
            <w:r w:rsidRPr="00A20A9E">
              <w:rPr>
                <w:rFonts w:ascii="Calibri" w:eastAsia="Times New Roman" w:hAnsi="Calibri" w:cs="Times New Roman"/>
                <w:szCs w:val="22"/>
              </w:rPr>
              <w:t xml:space="preserve">Total </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209,542</w:t>
            </w:r>
          </w:p>
        </w:tc>
        <w:tc>
          <w:tcPr>
            <w:tcW w:w="0" w:type="auto"/>
            <w:vAlign w:val="center"/>
          </w:tcPr>
          <w:p w:rsidR="00F9734E" w:rsidRPr="00A20A9E" w:rsidRDefault="00F9734E" w:rsidP="00F9734E">
            <w:pPr>
              <w:rPr>
                <w:rFonts w:ascii="Calibri" w:eastAsia="Times New Roman" w:hAnsi="Calibri" w:cs="Times New Roman"/>
                <w:szCs w:val="22"/>
              </w:rPr>
            </w:pPr>
            <w:r w:rsidRPr="00A20A9E">
              <w:rPr>
                <w:rFonts w:ascii="Calibri" w:eastAsia="Times New Roman" w:hAnsi="Calibri" w:cs="Times New Roman"/>
                <w:szCs w:val="22"/>
              </w:rPr>
              <w:t>100</w:t>
            </w:r>
          </w:p>
        </w:tc>
      </w:tr>
    </w:tbl>
    <w:p w:rsidR="00F9734E" w:rsidRDefault="00F9734E" w:rsidP="00F9734E">
      <w:pPr>
        <w:spacing w:after="0"/>
      </w:pPr>
    </w:p>
    <w:p w:rsidR="00A20A9E" w:rsidRDefault="00A20A9E" w:rsidP="00A20A9E">
      <w:r>
        <w:t>The vast majority of patients (</w:t>
      </w:r>
      <w:r w:rsidR="00BB2F16">
        <w:t>95.4</w:t>
      </w:r>
      <w:r>
        <w:t xml:space="preserve">%) appropriately did not receive a subsequent supply in this time period. A very small number of patients had a frequency of resupply that could indicate that denosumab is being administered more frequently than 6 monthly or that patients are having more prescriptions filled than are needed. </w:t>
      </w:r>
    </w:p>
    <w:p w:rsidR="004D1E4C" w:rsidRDefault="004D1E4C">
      <w:pPr>
        <w:spacing w:line="276" w:lineRule="auto"/>
        <w:rPr>
          <w:b/>
          <w:sz w:val="28"/>
        </w:rPr>
      </w:pPr>
      <w:r>
        <w:rPr>
          <w:b/>
          <w:sz w:val="28"/>
        </w:rPr>
        <w:br w:type="page"/>
      </w:r>
    </w:p>
    <w:p w:rsidR="004F5CD2" w:rsidRDefault="004F5CD2" w:rsidP="004F5CD2">
      <w:pPr>
        <w:rPr>
          <w:b/>
          <w:sz w:val="28"/>
        </w:rPr>
      </w:pPr>
      <w:r>
        <w:rPr>
          <w:b/>
          <w:sz w:val="28"/>
        </w:rPr>
        <w:t>Analysis of utilisation of MBS items for bone densitometry</w:t>
      </w:r>
    </w:p>
    <w:p w:rsidR="004F5CD2" w:rsidRDefault="004F5CD2" w:rsidP="004F5CD2">
      <w:r>
        <w:t>There are 7 MBS items for bone densitometry listed in the MBS Schedule. An analysis of the restrictions for these items showed they can be summarised into the following indication groups.</w:t>
      </w:r>
    </w:p>
    <w:p w:rsidR="004F5CD2" w:rsidRPr="00033947" w:rsidRDefault="004F5CD2" w:rsidP="004F5CD2">
      <w:pPr>
        <w:pStyle w:val="ListParagraph"/>
        <w:numPr>
          <w:ilvl w:val="0"/>
          <w:numId w:val="40"/>
        </w:numPr>
      </w:pPr>
      <w:r>
        <w:t xml:space="preserve">Items </w:t>
      </w:r>
      <w:r w:rsidRPr="00033947">
        <w:t>12306, 12309 &amp; 12321 -  1 or more fractures after minimal trauma, or monitoring of low BMD</w:t>
      </w:r>
    </w:p>
    <w:p w:rsidR="004F5CD2" w:rsidRDefault="004F5CD2" w:rsidP="004F5CD2">
      <w:pPr>
        <w:pStyle w:val="ListParagraph"/>
        <w:numPr>
          <w:ilvl w:val="0"/>
          <w:numId w:val="40"/>
        </w:numPr>
      </w:pPr>
      <w:r w:rsidRPr="00033947">
        <w:t>Items 12312, 12315 &amp; 12318</w:t>
      </w:r>
      <w:r>
        <w:t xml:space="preserve"> - </w:t>
      </w:r>
      <w:r w:rsidRPr="004F5CD2">
        <w:t>diagnosis and monitoring of bone loss associated with various conditions</w:t>
      </w:r>
    </w:p>
    <w:p w:rsidR="004F5CD2" w:rsidRPr="004F5CD2" w:rsidRDefault="004F5CD2" w:rsidP="004F5CD2">
      <w:pPr>
        <w:pStyle w:val="ListParagraph"/>
        <w:numPr>
          <w:ilvl w:val="0"/>
          <w:numId w:val="40"/>
        </w:numPr>
      </w:pPr>
      <w:r>
        <w:t xml:space="preserve">Item 12323 - </w:t>
      </w:r>
      <w:r w:rsidRPr="004F5CD2">
        <w:t>for a person aged 70 years or over</w:t>
      </w:r>
    </w:p>
    <w:p w:rsidR="00BC7011" w:rsidRDefault="00BC7011" w:rsidP="00B4376F">
      <w:pPr>
        <w:spacing w:after="0"/>
      </w:pPr>
      <w:r w:rsidRPr="00BC7011">
        <w:t xml:space="preserve">Figure </w:t>
      </w:r>
      <w:r w:rsidR="009B024B">
        <w:t>17</w:t>
      </w:r>
      <w:r w:rsidR="00B4376F">
        <w:t xml:space="preserve"> shows the utilisation of these MBS items grouped by these indications.</w:t>
      </w:r>
    </w:p>
    <w:p w:rsidR="00B4376F" w:rsidRDefault="00B4376F" w:rsidP="00B4376F">
      <w:pPr>
        <w:spacing w:after="0"/>
      </w:pPr>
    </w:p>
    <w:p w:rsidR="00525E88" w:rsidRPr="00525E88" w:rsidRDefault="004D6265" w:rsidP="00525E88">
      <w:pPr>
        <w:spacing w:line="276" w:lineRule="auto"/>
        <w:rPr>
          <w:sz w:val="20"/>
        </w:rPr>
      </w:pPr>
      <w:r>
        <w:rPr>
          <w:noProof/>
        </w:rPr>
        <w:drawing>
          <wp:inline distT="0" distB="0" distL="0" distR="0" wp14:anchorId="0539F815" wp14:editId="1BEEE6FE">
            <wp:extent cx="5687695" cy="3710978"/>
            <wp:effectExtent l="0" t="0" r="27305" b="22860"/>
            <wp:docPr id="288" name="Chart 288" title="Figure 17: MBS services for bone densitometry items by indi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525E88" w:rsidRPr="001D4A77">
        <w:rPr>
          <w:b/>
        </w:rPr>
        <w:t xml:space="preserve">Figure </w:t>
      </w:r>
      <w:r w:rsidR="006539BE">
        <w:rPr>
          <w:b/>
        </w:rPr>
        <w:t>1</w:t>
      </w:r>
      <w:r w:rsidR="00454628">
        <w:rPr>
          <w:b/>
        </w:rPr>
        <w:t>7</w:t>
      </w:r>
      <w:r w:rsidR="00525E88">
        <w:rPr>
          <w:b/>
        </w:rPr>
        <w:t>:</w:t>
      </w:r>
      <w:r w:rsidR="00525E88" w:rsidRPr="001D4A77">
        <w:rPr>
          <w:b/>
        </w:rPr>
        <w:t xml:space="preserve"> </w:t>
      </w:r>
      <w:r w:rsidR="00525E88">
        <w:rPr>
          <w:b/>
        </w:rPr>
        <w:t xml:space="preserve">MBS services for bone densitometry items by indication </w:t>
      </w:r>
      <w:r w:rsidR="00525E88">
        <w:rPr>
          <w:sz w:val="20"/>
        </w:rPr>
        <w:t>Source: Medicare Item Reports (</w:t>
      </w:r>
      <w:r w:rsidR="00525E88" w:rsidRPr="00495A8A">
        <w:rPr>
          <w:sz w:val="20"/>
        </w:rPr>
        <w:t>http://medicarestatistics.humanservices.gov.au/statistics/mbs_item.jsp</w:t>
      </w:r>
      <w:r w:rsidR="00525E88">
        <w:rPr>
          <w:sz w:val="20"/>
        </w:rPr>
        <w:t>). Note that these reports are based on quarter of processing, not quarter of service</w:t>
      </w:r>
    </w:p>
    <w:p w:rsidR="00205C44" w:rsidRDefault="00E75E5C" w:rsidP="00E75E5C">
      <w:pPr>
        <w:spacing w:line="276" w:lineRule="auto"/>
      </w:pPr>
      <w:r>
        <w:t xml:space="preserve">Figure </w:t>
      </w:r>
      <w:r w:rsidR="006539BE">
        <w:t>1</w:t>
      </w:r>
      <w:r w:rsidR="00454628">
        <w:t>7</w:t>
      </w:r>
      <w:r>
        <w:t xml:space="preserve"> shows that there was a large increase in the number of services in 2007</w:t>
      </w:r>
      <w:r w:rsidR="00B77F2B">
        <w:t xml:space="preserve"> </w:t>
      </w:r>
      <w:r>
        <w:t>when a new MBS item was listed (12323) specifically for people a</w:t>
      </w:r>
      <w:r w:rsidR="00454628">
        <w:t>ged</w:t>
      </w:r>
      <w:r>
        <w:t xml:space="preserve"> 70 years and over. This listing was in response the expanded PBS listing of alendronate in April 2007 to patients </w:t>
      </w:r>
      <w:r w:rsidR="004D6265">
        <w:t xml:space="preserve">who are </w:t>
      </w:r>
      <w:r>
        <w:t>70 years or more at risk of fracture based on BMD testing</w:t>
      </w:r>
      <w:r w:rsidR="00454628">
        <w:t xml:space="preserve"> </w:t>
      </w:r>
      <w:r>
        <w:t xml:space="preserve">(T-score </w:t>
      </w:r>
      <w:r w:rsidR="00454628">
        <w:t>≤</w:t>
      </w:r>
      <w:r>
        <w:t xml:space="preserve"> -3.0).</w:t>
      </w:r>
      <w:r w:rsidR="00B77F2B">
        <w:t xml:space="preserve"> Use of MBS bone densi</w:t>
      </w:r>
      <w:r w:rsidR="00F30855">
        <w:t>to</w:t>
      </w:r>
      <w:r w:rsidR="00B77F2B">
        <w:t>met</w:t>
      </w:r>
      <w:r w:rsidR="00F30855">
        <w:t>r</w:t>
      </w:r>
      <w:r w:rsidR="00B77F2B">
        <w:t xml:space="preserve">y </w:t>
      </w:r>
      <w:r w:rsidR="00F30855">
        <w:t xml:space="preserve">services </w:t>
      </w:r>
      <w:r w:rsidR="00B77F2B">
        <w:t>ha</w:t>
      </w:r>
      <w:r w:rsidR="00F30855">
        <w:t>s</w:t>
      </w:r>
      <w:r w:rsidR="00B77F2B">
        <w:t xml:space="preserve"> continued </w:t>
      </w:r>
      <w:r w:rsidR="00F30855">
        <w:t>with an annual growth of 5-11% per annum.</w:t>
      </w:r>
    </w:p>
    <w:p w:rsidR="00205C44" w:rsidRDefault="00205C44" w:rsidP="00E75E5C">
      <w:pPr>
        <w:spacing w:line="276" w:lineRule="auto"/>
      </w:pPr>
      <w:r>
        <w:t>It is not possible to count patients from the</w:t>
      </w:r>
      <w:r w:rsidR="00776C92">
        <w:t xml:space="preserve"> publically available </w:t>
      </w:r>
      <w:r>
        <w:t xml:space="preserve">data used </w:t>
      </w:r>
      <w:r w:rsidR="00B77F2B">
        <w:t>for</w:t>
      </w:r>
      <w:r>
        <w:t xml:space="preserve"> Figure </w:t>
      </w:r>
      <w:r w:rsidR="00B77F2B">
        <w:t>17</w:t>
      </w:r>
      <w:r>
        <w:t>. The item restrictions specify a limit of “1 service only in a period of 24 months” for all items except for items 12312 and 12321, which specify a limit of “1 service only in a period of 12 months” and item 12323 (</w:t>
      </w:r>
      <w:r w:rsidRPr="004F5CD2">
        <w:t>for a person aged 70 years or over</w:t>
      </w:r>
      <w:r>
        <w:t xml:space="preserve">) which had no specific time based restriction. Thus the </w:t>
      </w:r>
      <w:r w:rsidR="009F673F">
        <w:t xml:space="preserve">non-age based indication plots in Figure </w:t>
      </w:r>
      <w:r w:rsidR="00B77F2B">
        <w:t>17</w:t>
      </w:r>
      <w:r w:rsidR="009F673F">
        <w:t xml:space="preserve"> </w:t>
      </w:r>
      <w:r w:rsidR="0093053D">
        <w:t>are likely to have only one service per patient per year.</w:t>
      </w:r>
      <w:r w:rsidR="009F673F">
        <w:t xml:space="preserve"> </w:t>
      </w:r>
    </w:p>
    <w:p w:rsidR="00693785" w:rsidRDefault="00693785" w:rsidP="000915F5">
      <w:pPr>
        <w:pStyle w:val="Heading4"/>
        <w:rPr>
          <w:i w:val="0"/>
        </w:rPr>
      </w:pPr>
      <w:r>
        <w:rPr>
          <w:i w:val="0"/>
        </w:rPr>
        <w:t>Safety of osteoporosis medicines</w:t>
      </w:r>
    </w:p>
    <w:p w:rsidR="00693785" w:rsidRDefault="00693785" w:rsidP="00693785">
      <w:r w:rsidRPr="00AC5CA9">
        <w:t xml:space="preserve">DUSC </w:t>
      </w:r>
      <w:r>
        <w:t xml:space="preserve">(June 2016) </w:t>
      </w:r>
      <w:r w:rsidRPr="00AC5CA9">
        <w:t xml:space="preserve">requested that updated advice be sought from the </w:t>
      </w:r>
      <w:r>
        <w:t>Therapeutic Goods Administration (</w:t>
      </w:r>
      <w:r w:rsidRPr="00AC5CA9">
        <w:t>TGA</w:t>
      </w:r>
      <w:r>
        <w:t>)</w:t>
      </w:r>
      <w:r w:rsidRPr="00AC5CA9">
        <w:t xml:space="preserve"> on the safety of denosumab particularly given the large number of people, many who are older, using this monoclonal antibody. DUSC has previously raised concern about the possible increased risks of infection with denosumab and noted that there have been case reports of peripheral neuropathy.</w:t>
      </w:r>
    </w:p>
    <w:p w:rsidR="00CD4B94" w:rsidRDefault="00693785" w:rsidP="00E7293C">
      <w:r>
        <w:t>When recommending listing of denosumab on the PBS</w:t>
      </w:r>
      <w:r w:rsidR="00137409">
        <w:t xml:space="preserve"> in July 2010</w:t>
      </w:r>
      <w:r>
        <w:t xml:space="preserve"> the PBAC </w:t>
      </w:r>
      <w:r w:rsidR="00B26963" w:rsidRPr="00B26963">
        <w:t xml:space="preserve">was concerned about the long-term toxicity of denosumab. In addition to concerns about risks of cancer and serious infection, the PBAC noted that denosumab markedly suppressed osteoclast and osteoblast counts compared to placebo and alendronate. Dynamic bone formation parameters were also suppressed. Further, the FDA review suggests that long-term denosumab treatment may lead to delayed fracture healing, </w:t>
      </w:r>
      <w:r w:rsidR="0048042C" w:rsidRPr="000A22EB">
        <w:t>osteonecrosis of the jaw (</w:t>
      </w:r>
      <w:r w:rsidR="00B26963" w:rsidRPr="00B26963">
        <w:t>ONJ</w:t>
      </w:r>
      <w:r w:rsidR="0048042C">
        <w:t>)</w:t>
      </w:r>
      <w:r w:rsidR="00B26963" w:rsidRPr="00B26963">
        <w:t xml:space="preserve"> or atypical fracture. The PBAC also noted that the Advisory Committee on Prescription Medicines had recommended a risk management plan as a pre-requisite for registration, including the establishment of a patient registry. The PBAC requested that it be kept informed about any toxicity signals that may arise from this post-marketing surveillance</w:t>
      </w:r>
      <w:r w:rsidR="00CD4B94">
        <w:t>.</w:t>
      </w:r>
      <w:r w:rsidR="00290779">
        <w:rPr>
          <w:rStyle w:val="FootnoteReference"/>
        </w:rPr>
        <w:footnoteReference w:id="19"/>
      </w:r>
    </w:p>
    <w:p w:rsidR="00693785" w:rsidRDefault="00CD4B94" w:rsidP="00E7293C">
      <w:r>
        <w:t>In the pre-DUSC response to the October 2013 meeting</w:t>
      </w:r>
      <w:r w:rsidR="00681E3B">
        <w:t>,</w:t>
      </w:r>
      <w:r>
        <w:t xml:space="preserve"> the Sponsor of denosumab noted publication of six year follow-up data in women with post-menopausal osteoporosis from the FREEDOM trial.</w:t>
      </w:r>
      <w:r w:rsidR="00681E3B">
        <w:rPr>
          <w:rStyle w:val="FootnoteReference"/>
        </w:rPr>
        <w:footnoteReference w:id="20"/>
      </w:r>
      <w:r>
        <w:t xml:space="preserve"> </w:t>
      </w:r>
      <w:r w:rsidR="00681E3B">
        <w:t>A subsequent publication has reported 8 year follow-up data.</w:t>
      </w:r>
      <w:r w:rsidR="00681E3B">
        <w:rPr>
          <w:rStyle w:val="FootnoteReference"/>
        </w:rPr>
        <w:footnoteReference w:id="21"/>
      </w:r>
    </w:p>
    <w:p w:rsidR="00CA3316" w:rsidRDefault="00CA3316" w:rsidP="00CA3316">
      <w:r>
        <w:t>The Product Information (PI) for denosumab for the treatment of osteoporosis (Prolia</w:t>
      </w:r>
      <w:r w:rsidR="000636FE">
        <w:sym w:font="Symbol" w:char="F0E2"/>
      </w:r>
      <w:r>
        <w:t>) was revised in June 2016 to include the potential risk of QT prolongation associated with hypocalcaemia</w:t>
      </w:r>
      <w:r>
        <w:rPr>
          <w:rStyle w:val="FootnoteReference"/>
          <w:sz w:val="28"/>
        </w:rPr>
        <w:footnoteReference w:id="22"/>
      </w:r>
      <w:r>
        <w:t>. This issue was also reported in a TGA Medicines Safety Update in August 2016.</w:t>
      </w:r>
      <w:r>
        <w:rPr>
          <w:rStyle w:val="FootnoteReference"/>
        </w:rPr>
        <w:footnoteReference w:id="23"/>
      </w:r>
      <w:r>
        <w:t xml:space="preserve"> There was also an update regarding denosumab in the TGA Medicines Safety Update in April 2016.</w:t>
      </w:r>
      <w:r>
        <w:rPr>
          <w:rStyle w:val="FootnoteReference"/>
        </w:rPr>
        <w:footnoteReference w:id="24"/>
      </w:r>
      <w:r>
        <w:t xml:space="preserve"> However this was in regard to the higher dose product, Xgeva</w:t>
      </w:r>
      <w:r w:rsidR="000636FE">
        <w:sym w:font="Symbol" w:char="F0E2"/>
      </w:r>
      <w:r>
        <w:t xml:space="preserve"> which is for the prevention of skeletal-related events in adults with bone metastases from solid tumours. Xgeva is now contraindicated in patient</w:t>
      </w:r>
      <w:r w:rsidR="000636FE">
        <w:t>s</w:t>
      </w:r>
      <w:r>
        <w:t xml:space="preserve"> with unhealed lesions from dental or oral surgery due to increased risk of osteonecrosis of the jaw. The PI was updated in March 2016.</w:t>
      </w:r>
    </w:p>
    <w:p w:rsidR="00FA16FE" w:rsidRDefault="00FA16FE" w:rsidP="00E7293C"/>
    <w:p w:rsidR="00D736A8" w:rsidRDefault="00D736A8" w:rsidP="00E7293C">
      <w:r>
        <w:t>The Secretariat requested that TGA provide an update to DUSC on the safety of denosumab.</w:t>
      </w:r>
    </w:p>
    <w:p w:rsidR="00D746A6" w:rsidRDefault="00D746A6" w:rsidP="000915F5">
      <w:pPr>
        <w:pStyle w:val="Heading4"/>
        <w:rPr>
          <w:i w:val="0"/>
        </w:rPr>
      </w:pPr>
      <w:r w:rsidRPr="0055354C">
        <w:rPr>
          <w:i w:val="0"/>
        </w:rPr>
        <w:t>Discussion and Secretariat comments</w:t>
      </w:r>
    </w:p>
    <w:p w:rsidR="00C0787F" w:rsidRDefault="00C0787F" w:rsidP="00C0787F">
      <w:r>
        <w:t>Osteoporosis is a very common preventable condition that is under</w:t>
      </w:r>
      <w:r w:rsidR="00D74D34">
        <w:t>-</w:t>
      </w:r>
      <w:r>
        <w:t>diagnosed and under-treated.</w:t>
      </w:r>
      <w:r>
        <w:rPr>
          <w:rStyle w:val="FootnoteReference"/>
        </w:rPr>
        <w:footnoteReference w:id="25"/>
      </w:r>
      <w:r w:rsidRPr="00C0787F">
        <w:rPr>
          <w:vertAlign w:val="superscript"/>
        </w:rPr>
        <w:t>,</w:t>
      </w:r>
      <w:r w:rsidRPr="00373103">
        <w:rPr>
          <w:vertAlign w:val="superscript"/>
        </w:rPr>
        <w:footnoteReference w:id="26"/>
      </w:r>
      <w:r>
        <w:t xml:space="preserve"> Osteoporosis medicines are used to reduce the risk of subsequent fractures in people who have already experienced a minimal trauma fracture and to reduce the risk of a first fracture in patients with low bone mineral density meeting certain criteria. </w:t>
      </w:r>
    </w:p>
    <w:p w:rsidR="00C0787F" w:rsidRDefault="00C0787F" w:rsidP="00C0787F">
      <w:r>
        <w:t>The number of patients treated with PBS medicines for osteoporosis was steady between 2007 and 2014, but age-standardised rates indicate a 15% decline in treatment rates over this time. There is likely to be under-treatment both in patients who have already experienced a minimal trauma fracture</w:t>
      </w:r>
      <w:r w:rsidRPr="00C0787F">
        <w:rPr>
          <w:vertAlign w:val="superscript"/>
        </w:rPr>
        <w:t>25,26</w:t>
      </w:r>
      <w:r>
        <w:t xml:space="preserve"> and in patients with low BMD who have not yet experienced a fracture.</w:t>
      </w:r>
      <w:r>
        <w:rPr>
          <w:rStyle w:val="FootnoteReference"/>
        </w:rPr>
        <w:footnoteReference w:id="27"/>
      </w:r>
      <w:r>
        <w:t xml:space="preserve"> </w:t>
      </w:r>
      <w:r w:rsidRPr="00737EA6">
        <w:t xml:space="preserve">Further data will be needed to confirm </w:t>
      </w:r>
      <w:r>
        <w:t xml:space="preserve">if a small increase in treatment rate in 2015 (0.5%) </w:t>
      </w:r>
      <w:r w:rsidRPr="00C1627A">
        <w:t xml:space="preserve">is sustained.  </w:t>
      </w:r>
      <w:r>
        <w:t xml:space="preserve"> </w:t>
      </w:r>
    </w:p>
    <w:p w:rsidR="00C0787F" w:rsidRDefault="00C0787F" w:rsidP="00C0787F">
      <w:r>
        <w:t>One contributing factor to the decline in treatment rates may be concerns about the safety of osteoporosis medicines.  In the mid-2000s t</w:t>
      </w:r>
      <w:r w:rsidRPr="000A22EB">
        <w:t>here were several warnings in the medical literature and from the TGA regarding bisphosphonates</w:t>
      </w:r>
      <w:r w:rsidRPr="000A22EB">
        <w:rPr>
          <w:vertAlign w:val="superscript"/>
        </w:rPr>
        <w:footnoteReference w:id="28"/>
      </w:r>
      <w:r w:rsidRPr="000A22EB">
        <w:t>. In February 2005 and August 2006 TGA published items in the Australian Adverse Drug Reactions Bulletin drawing attention to the association of bisphosphonates and ONJ. In December 2007 the TGA published a whole report on this subject. Also in December 2007 there was a report on ABC Television’s “The 7.30 Report” on ONJ being related to alendronate</w:t>
      </w:r>
      <w:r>
        <w:rPr>
          <w:vertAlign w:val="superscript"/>
        </w:rPr>
        <w:t>28</w:t>
      </w:r>
      <w:r w:rsidRPr="000A22EB">
        <w:t xml:space="preserve">. </w:t>
      </w:r>
    </w:p>
    <w:p w:rsidR="00C0787F" w:rsidRDefault="00C0787F" w:rsidP="00C0787F">
      <w:r>
        <w:t xml:space="preserve">Patients having treatment “holidays” may also influence treatment rates.  Analysis of PBS prescription data </w:t>
      </w:r>
      <w:r w:rsidRPr="000A22EB">
        <w:t>shows an increasing number of patients who have had a break in treatment for at least 2 years return</w:t>
      </w:r>
      <w:r>
        <w:t>ing</w:t>
      </w:r>
      <w:r w:rsidRPr="000A22EB">
        <w:t xml:space="preserve"> to treatment</w:t>
      </w:r>
      <w:r>
        <w:t xml:space="preserve"> (Figure 1)</w:t>
      </w:r>
      <w:r w:rsidRPr="000A22EB">
        <w:t xml:space="preserve">. </w:t>
      </w:r>
      <w:r>
        <w:t>The optimal duration of treatment of osteoporosis medicines is uncertain. Drug holidays from bisphosphonates or switching to another medicine may be considered for some patients but there is limited evidence to guide this decision</w:t>
      </w:r>
      <w:r w:rsidR="00A34F74" w:rsidRPr="004941D7">
        <w:t>.</w:t>
      </w:r>
      <w:r w:rsidR="00A34F74" w:rsidRPr="004941D7">
        <w:rPr>
          <w:vertAlign w:val="superscript"/>
        </w:rPr>
        <w:t>26,</w:t>
      </w:r>
      <w:r w:rsidR="00A34F74" w:rsidRPr="004941D7">
        <w:rPr>
          <w:vertAlign w:val="superscript"/>
        </w:rPr>
        <w:footnoteReference w:id="29"/>
      </w:r>
      <w:r w:rsidR="00A34F74" w:rsidRPr="004941D7">
        <w:rPr>
          <w:vertAlign w:val="superscript"/>
        </w:rPr>
        <w:t>,</w:t>
      </w:r>
      <w:r w:rsidRPr="004941D7">
        <w:rPr>
          <w:rStyle w:val="FootnoteReference"/>
        </w:rPr>
        <w:footnoteReference w:id="30"/>
      </w:r>
      <w:r w:rsidR="00A34F74" w:rsidRPr="004941D7">
        <w:rPr>
          <w:vertAlign w:val="superscript"/>
        </w:rPr>
        <w:t>,</w:t>
      </w:r>
      <w:r w:rsidR="002302FF" w:rsidRPr="004941D7">
        <w:rPr>
          <w:rStyle w:val="FootnoteReference"/>
        </w:rPr>
        <w:footnoteReference w:id="31"/>
      </w:r>
      <w:r w:rsidRPr="004941D7">
        <w:t xml:space="preserve">  </w:t>
      </w:r>
    </w:p>
    <w:p w:rsidR="00C0787F" w:rsidRDefault="00C0787F" w:rsidP="00C0787F">
      <w:r>
        <w:t>Older people living in residential aged care facilities are at considerably higher risk of suffering fractures than older people living in the community.</w:t>
      </w:r>
      <w:r>
        <w:rPr>
          <w:rStyle w:val="FootnoteReference"/>
        </w:rPr>
        <w:footnoteReference w:id="32"/>
      </w:r>
      <w:r>
        <w:t xml:space="preserve"> Rates of treatment in this setting are unknown. </w:t>
      </w:r>
      <w:r w:rsidRPr="00D70526">
        <w:t xml:space="preserve">DUSC </w:t>
      </w:r>
      <w:r>
        <w:t xml:space="preserve">suggested that an analysis of </w:t>
      </w:r>
      <w:r w:rsidRPr="00D70526">
        <w:t>uptake</w:t>
      </w:r>
      <w:r>
        <w:t xml:space="preserve"> of osteoporosis medicines</w:t>
      </w:r>
      <w:r w:rsidRPr="00D70526">
        <w:t xml:space="preserve"> in residential aged care facilities</w:t>
      </w:r>
      <w:r>
        <w:t xml:space="preserve"> be undertaken</w:t>
      </w:r>
      <w:r w:rsidRPr="00D70526">
        <w:t>.</w:t>
      </w:r>
      <w:r>
        <w:t xml:space="preserve"> U</w:t>
      </w:r>
      <w:r w:rsidRPr="00D70526">
        <w:t xml:space="preserve">se of medicines in residential aged care facilities (RACF) cannot be </w:t>
      </w:r>
      <w:r>
        <w:t xml:space="preserve">readily </w:t>
      </w:r>
      <w:r w:rsidRPr="00D70526">
        <w:t>distinguished in the PBS prescription data</w:t>
      </w:r>
      <w:r>
        <w:t xml:space="preserve"> and a</w:t>
      </w:r>
      <w:r w:rsidRPr="00D70526">
        <w:t>dditional data sources and/or data linkage would be required.</w:t>
      </w:r>
      <w:r>
        <w:t xml:space="preserve">  T</w:t>
      </w:r>
      <w:r w:rsidRPr="00805A00">
        <w:t>his has been flagged as a potential future area of research</w:t>
      </w:r>
      <w:r>
        <w:t>. The roll-out of the standardised PBS me</w:t>
      </w:r>
      <w:r w:rsidRPr="000F0CC4">
        <w:t>dication chart in residential aged care facilities</w:t>
      </w:r>
      <w:r>
        <w:t xml:space="preserve"> may provide improved data to understand extent of use of osteoporosis medicines in this setting. </w:t>
      </w:r>
    </w:p>
    <w:p w:rsidR="00C0787F" w:rsidRDefault="00C0787F" w:rsidP="00C0787F">
      <w:r>
        <w:t xml:space="preserve">Despite the valid concern of under-diagnosis and under-treatment of osteoporosis, there has been a continual increase </w:t>
      </w:r>
      <w:r w:rsidRPr="001B341A">
        <w:t xml:space="preserve">in the utilisation of MBS services for BMD testing (Figure </w:t>
      </w:r>
      <w:r>
        <w:t>17</w:t>
      </w:r>
      <w:r w:rsidRPr="001B341A">
        <w:t>)</w:t>
      </w:r>
      <w:r>
        <w:t>. There is a potential for patients with low fracture risk to be inappropriately treated</w:t>
      </w:r>
      <w:r w:rsidR="00F13EFD">
        <w:t>.</w:t>
      </w:r>
      <w:r>
        <w:rPr>
          <w:rStyle w:val="FootnoteReference"/>
        </w:rPr>
        <w:footnoteReference w:id="33"/>
      </w:r>
      <w:r>
        <w:t xml:space="preserve">  Fracture risk calculators are considered useful for identifying patients with low fracture risk who do not require treatment</w:t>
      </w:r>
      <w:r w:rsidR="00F13EFD">
        <w:t>.</w:t>
      </w:r>
      <w:r w:rsidR="00F13EFD">
        <w:rPr>
          <w:rStyle w:val="FootnoteReference"/>
        </w:rPr>
        <w:footnoteReference w:id="34"/>
      </w:r>
      <w:r>
        <w:t xml:space="preserve"> </w:t>
      </w:r>
    </w:p>
    <w:p w:rsidR="00C0787F" w:rsidRDefault="00C0787F" w:rsidP="00C0787F">
      <w:r>
        <w:t xml:space="preserve">Denosumab is replacing the other agents in the osteoporosis market (see Figures 2 and 4). The extent of this replacement is greater than expected, as evidenced by the number of prescriptions and government expenditure for denosumab being approximately </w:t>
      </w:r>
      <w:r w:rsidRPr="0048042C">
        <w:t xml:space="preserve"> </w:t>
      </w:r>
      <w:r w:rsidR="00495A8A">
        <w:rPr>
          <w:noProof/>
          <w:color w:val="000000"/>
          <w:highlight w:val="black"/>
        </w:rPr>
        <w:t>'''''''''''''</w:t>
      </w:r>
      <w:r>
        <w:t xml:space="preserve"> that predicted for 2015 (see Table 8). The convenience of a 6 monthly subcutaneous injection may be one reason for the high uptake of denosumab. Preference and satisfaction questionnaires completed in clinical trials (noting limitations including that none of the studies were undertaken in Australia), indicate that patients prefer the less frequent denosumab regime</w:t>
      </w:r>
      <w:r w:rsidR="00F13EFD">
        <w:t>n over weekly oral alendronate.</w:t>
      </w:r>
      <w:r>
        <w:rPr>
          <w:rStyle w:val="FootnoteReference"/>
        </w:rPr>
        <w:footnoteReference w:id="35"/>
      </w:r>
    </w:p>
    <w:p w:rsidR="00C0787F" w:rsidRDefault="00C0787F" w:rsidP="00C0787F">
      <w:r>
        <w:t>It is important that up to date, balanced information on the benefits and risks of osteoporosis medicines is available to clinicians and consumers particularly given past experience that safety concerns have impacted use of these medicines. The benefit to risk profile of bisphosphonates is now well understood, the risk profile of strontium has been recently been revised, and the Product Information for denosumab has recently been updated to i</w:t>
      </w:r>
      <w:r w:rsidRPr="001479BF">
        <w:t>nclude the potential risk of QT prolongation associated with hypocalcaemia</w:t>
      </w:r>
      <w:r>
        <w:t>. A range of awareness and education activities are underway that may increase treatment rates and optimise management of osteoporosis</w:t>
      </w:r>
      <w:r w:rsidR="00F13EFD">
        <w:t>.</w:t>
      </w:r>
      <w:r w:rsidR="00F13EFD">
        <w:rPr>
          <w:rStyle w:val="FootnoteReference"/>
        </w:rPr>
        <w:footnoteReference w:id="36"/>
      </w:r>
      <w:r w:rsidR="00F13EFD" w:rsidRPr="00F13EFD">
        <w:rPr>
          <w:vertAlign w:val="superscript"/>
        </w:rPr>
        <w:t>,</w:t>
      </w:r>
      <w:r w:rsidR="00F13EFD">
        <w:rPr>
          <w:rStyle w:val="FootnoteReference"/>
        </w:rPr>
        <w:footnoteReference w:id="37"/>
      </w:r>
      <w:r>
        <w:t xml:space="preserve"> </w:t>
      </w:r>
    </w:p>
    <w:p w:rsidR="00C0787F" w:rsidRPr="000B2E9F" w:rsidRDefault="00C0787F" w:rsidP="00C0787F">
      <w:r>
        <w:t xml:space="preserve">This report adds significantly to previous reviews of the utilisation of osteoporosis medicines that have relied on prescription counts and/or costs to monitor use. Prescription volumes have declined substantially because of the less frequent dosing regimens and prescription refills for zoledronic acid and denosumab (Figure 11). This information, in the absence of treatment rates, may be misleading. Assessing utilisation by counting the number of patients treated and adjusting for changes in the age distribution over time allows a more robust assessment of treatment rates in Australia. </w:t>
      </w:r>
    </w:p>
    <w:p w:rsidR="002D1A8C" w:rsidRPr="00AA06D8" w:rsidRDefault="002D1A8C" w:rsidP="002D1A8C">
      <w:pPr>
        <w:rPr>
          <w:b/>
          <w:sz w:val="32"/>
          <w:szCs w:val="32"/>
        </w:rPr>
      </w:pPr>
      <w:r>
        <w:rPr>
          <w:b/>
          <w:sz w:val="32"/>
          <w:szCs w:val="32"/>
        </w:rPr>
        <w:t>A</w:t>
      </w:r>
      <w:r w:rsidRPr="00AA06D8">
        <w:rPr>
          <w:b/>
          <w:sz w:val="32"/>
          <w:szCs w:val="32"/>
        </w:rPr>
        <w:t>ctions</w:t>
      </w:r>
      <w:r>
        <w:rPr>
          <w:b/>
          <w:sz w:val="32"/>
          <w:szCs w:val="32"/>
        </w:rPr>
        <w:t xml:space="preserve"> undertaken by the Secretariat </w:t>
      </w:r>
    </w:p>
    <w:p w:rsidR="002D1A8C" w:rsidRDefault="002D1A8C" w:rsidP="00560A56">
      <w:pPr>
        <w:pStyle w:val="ListParagraph"/>
        <w:numPr>
          <w:ilvl w:val="0"/>
          <w:numId w:val="55"/>
        </w:numPr>
        <w:shd w:val="clear" w:color="auto" w:fill="FFFFFF" w:themeFill="background1"/>
        <w:ind w:left="426" w:hanging="426"/>
      </w:pPr>
      <w:r>
        <w:t xml:space="preserve">A copy of the report has been provided to the TGA and an update was requested </w:t>
      </w:r>
      <w:r w:rsidRPr="000B1DB7">
        <w:t>on the safety of denosumab particularly given the large number of people, many who are older, using this monoclonal antibody.</w:t>
      </w:r>
    </w:p>
    <w:p w:rsidR="002D1A8C" w:rsidRPr="00692490" w:rsidRDefault="002D1A8C" w:rsidP="00560A56">
      <w:pPr>
        <w:pStyle w:val="ListParagraph"/>
        <w:numPr>
          <w:ilvl w:val="0"/>
          <w:numId w:val="55"/>
        </w:numPr>
        <w:ind w:left="426" w:hanging="426"/>
      </w:pPr>
      <w:r w:rsidRPr="00692490">
        <w:t>A copy of the report has been provided to Osteoporosis Australia and the Royal Australia College of General Practitioners (RACGP) for comment.</w:t>
      </w:r>
    </w:p>
    <w:p w:rsidR="00BB2AA5" w:rsidRPr="00605DA3" w:rsidRDefault="00BB2AA5" w:rsidP="00BB2AA5">
      <w:pPr>
        <w:pStyle w:val="Heading4"/>
        <w:rPr>
          <w:i w:val="0"/>
        </w:rPr>
      </w:pPr>
      <w:r w:rsidRPr="00605DA3">
        <w:rPr>
          <w:i w:val="0"/>
        </w:rPr>
        <w:t>DUSC consideration</w:t>
      </w:r>
    </w:p>
    <w:p w:rsidR="00BB2AA5" w:rsidRPr="00313209" w:rsidRDefault="00BB2AA5" w:rsidP="00BB2AA5">
      <w:r w:rsidRPr="00313209">
        <w:t>DUSC noted that</w:t>
      </w:r>
      <w:r>
        <w:t>:</w:t>
      </w:r>
    </w:p>
    <w:p w:rsidR="00323C45" w:rsidRPr="00334F2D" w:rsidRDefault="00323C45" w:rsidP="00323C45">
      <w:pPr>
        <w:pStyle w:val="ListParagraph"/>
        <w:numPr>
          <w:ilvl w:val="0"/>
          <w:numId w:val="14"/>
        </w:numPr>
      </w:pPr>
      <w:r>
        <w:t xml:space="preserve">Rates of treatment with osteoporosis medicines declined by 15% </w:t>
      </w:r>
      <w:r w:rsidRPr="00334F2D">
        <w:t xml:space="preserve">between 2007 </w:t>
      </w:r>
      <w:r>
        <w:t>and</w:t>
      </w:r>
      <w:r w:rsidRPr="00334F2D">
        <w:t xml:space="preserve"> 2014</w:t>
      </w:r>
      <w:r>
        <w:t xml:space="preserve"> despite reports of increasing prevalence of osteoporosis. In 2015 the treatment rate increased. Further data will be needed to confirm if this increase is sustained.</w:t>
      </w:r>
      <w:r w:rsidRPr="00334F2D">
        <w:t xml:space="preserve">  </w:t>
      </w:r>
    </w:p>
    <w:p w:rsidR="00323C45" w:rsidRPr="007B0003" w:rsidRDefault="00323C45" w:rsidP="00323C45">
      <w:pPr>
        <w:pStyle w:val="ListParagraph"/>
        <w:numPr>
          <w:ilvl w:val="0"/>
          <w:numId w:val="14"/>
        </w:numPr>
      </w:pPr>
      <w:r w:rsidRPr="007B0003">
        <w:t>In 2015, 471,497 patients were treated with osteoporosis medicines through the PBS</w:t>
      </w:r>
      <w:r>
        <w:t>, and 15% of these people (72,132) commenced osteoporosis treatment for the first time.</w:t>
      </w:r>
    </w:p>
    <w:p w:rsidR="00323C45" w:rsidRDefault="00323C45" w:rsidP="00323C45">
      <w:pPr>
        <w:pStyle w:val="ListParagraph"/>
        <w:numPr>
          <w:ilvl w:val="0"/>
          <w:numId w:val="14"/>
        </w:numPr>
        <w:spacing w:after="0"/>
        <w:contextualSpacing w:val="0"/>
      </w:pPr>
      <w:r>
        <w:t>The average age when starting osteoporosis medicines is 71 years. This was similar between men and women.</w:t>
      </w:r>
    </w:p>
    <w:p w:rsidR="00323C45" w:rsidRDefault="00323C45" w:rsidP="00323C45">
      <w:pPr>
        <w:pStyle w:val="ListParagraph"/>
        <w:numPr>
          <w:ilvl w:val="0"/>
          <w:numId w:val="14"/>
        </w:numPr>
        <w:spacing w:after="0"/>
        <w:contextualSpacing w:val="0"/>
      </w:pPr>
      <w:r>
        <w:t>Osteoporosis is more prevalent in women than men, with an estimated prevalence ratio in Australia of 3.8:1 for people over 50 years. The ratio of women to men aged 50 years or older treated with PBS osteoporosis medicines in 2015 was 3.9:1.</w:t>
      </w:r>
    </w:p>
    <w:p w:rsidR="00323C45" w:rsidRDefault="00323C45" w:rsidP="00323C45">
      <w:pPr>
        <w:pStyle w:val="ListParagraph"/>
        <w:numPr>
          <w:ilvl w:val="0"/>
          <w:numId w:val="14"/>
        </w:numPr>
      </w:pPr>
      <w:r w:rsidRPr="00C31A74">
        <w:t xml:space="preserve">Utilisation of denosumab has been much higher than expected. Approximately half of </w:t>
      </w:r>
      <w:r>
        <w:t xml:space="preserve">all </w:t>
      </w:r>
      <w:r w:rsidRPr="00C31A74">
        <w:t>people starting osteoporosis therapy for the first time in 2015 were prescribed denosumab. A large number of people already on tre</w:t>
      </w:r>
      <w:r>
        <w:t>atment with other medicines had</w:t>
      </w:r>
      <w:r w:rsidRPr="00C31A74">
        <w:t xml:space="preserve"> switched to denosumab. In 2015, 57% of patients initiating denosumab had previously used at least one other osteoporosis drug. </w:t>
      </w:r>
    </w:p>
    <w:p w:rsidR="00323C45" w:rsidRDefault="00323C45" w:rsidP="00323C45">
      <w:pPr>
        <w:rPr>
          <w:i/>
        </w:rPr>
      </w:pPr>
      <w:r>
        <w:t xml:space="preserve">The number of patients treated with PBS medicines for osteoporosis was steady between 2007 and 2014, but age-standardised rates indicated a 15% decline in treatment rates over this time. </w:t>
      </w:r>
      <w:r w:rsidRPr="00D929A2">
        <w:t>DUSC noted that there was a 3.4% increase in the number of prevalent patients in 2015 compared to 2014 but this only translated to a 0.5% increase in the treatment rate. DUSC considered that the lowering of the treatment rate may have occurred from safety concerns with the use of these medicines, such as the association of bisphosphonate drugs with osteonecrosis of the jaw and cardiovascular and venous thromboembolic risks with strontium. DUSC also considered that the clinical practice of taking drug ‘holidays’ from the bisphosphonates may also be a factor in the lower treatment rates. The analysis of PBS prescription data showed an increasing number of patients had a break in treatment for at least 2 years before returning to treatment. Patients continue to be monitored during these drug holidays and may continue to derive benefit given the mechanism of action and evidence of sustained effect beyond cessation of bisphosphonates. However, as patients are not supplied medicines during this time, they are not captured in the treatment rate analysis.</w:t>
      </w:r>
    </w:p>
    <w:p w:rsidR="00323C45" w:rsidRDefault="00323C45" w:rsidP="00323C45">
      <w:r>
        <w:rPr>
          <w:i/>
        </w:rPr>
        <w:t xml:space="preserve"> </w:t>
      </w:r>
    </w:p>
    <w:p w:rsidR="00323C45" w:rsidRDefault="00323C45" w:rsidP="00323C45">
      <w:pPr>
        <w:rPr>
          <w:i/>
        </w:rPr>
      </w:pPr>
      <w:r>
        <w:t xml:space="preserve">Denosumab is replacing the other agents in the osteoporosis market. The extent of this replacement was greater than expected, as evidenced by </w:t>
      </w:r>
      <w:r w:rsidRPr="00BD25DE">
        <w:t xml:space="preserve">the number of prescriptions and government expenditure for denosumab being approximately </w:t>
      </w:r>
      <w:r w:rsidR="00495A8A">
        <w:rPr>
          <w:noProof/>
          <w:color w:val="000000"/>
          <w:highlight w:val="black"/>
        </w:rPr>
        <w:t>''''''''''''</w:t>
      </w:r>
      <w:r w:rsidRPr="00BD25DE">
        <w:t xml:space="preserve"> th</w:t>
      </w:r>
      <w:r>
        <w:t xml:space="preserve">at predicted for 2015. </w:t>
      </w:r>
      <w:r w:rsidRPr="00D929A2">
        <w:t>DUSC noted that since August 2016, nurse practitioners have been permitted to initiate denosumab, which may lead to a further increase in its use.</w:t>
      </w:r>
      <w:r w:rsidRPr="00F04DE5">
        <w:t xml:space="preserve"> </w:t>
      </w:r>
      <w:r w:rsidRPr="00D929A2">
        <w:t xml:space="preserve">DUSC considered that the higher than expected use of denosumab may relate to patient and clinician preference and easier administration. Denosumab is a six monthly subcutaneous injection compared with oral bisphosphonates that require administration daily, weekly or monthly on an empty stomach with the patient needing to remain upright for at least 30 minutes. The different adverse event profiles may also be a factor contributing to the high uptake rate of denosumab. While the more common adverse events for oral bisphosphonates such as gastrointestinal disturbances are well understood, DUSC considered that adverse events for denosumab such as eczema may not be recognised or may be misattributed. DUSC considered that the six monthly frequency of denosumab administration may mean that it may not always be recorded on medication charts (for example in aged care settings) or be visible to all health practitioners involved in the care of the patient. There is also a risk of inadvertent co-administration of osteoporosis medicines. </w:t>
      </w:r>
      <w:r w:rsidRPr="00F04DE5">
        <w:t>There were 9</w:t>
      </w:r>
      <w:r w:rsidRPr="00307AF2">
        <w:t xml:space="preserve">,537 patients (4.6%) supplied at least one prescription for a bisphosphonate, strontium, raloxifene or teriparatide within 5 months of initiating denosumab. </w:t>
      </w:r>
      <w:r w:rsidRPr="00D929A2">
        <w:t>DUSC considered that further education of general practitioners and pharmacists may be required to minimise the risk of co-administration of oral osteoporosis medicines with the injectable medicines, given 6 or 12 monthly.</w:t>
      </w:r>
      <w:r>
        <w:rPr>
          <w:i/>
        </w:rPr>
        <w:t xml:space="preserve"> </w:t>
      </w:r>
      <w:r w:rsidRPr="008E0F02">
        <w:t xml:space="preserve">The sponsor of denosumab </w:t>
      </w:r>
      <w:r>
        <w:rPr>
          <w:rFonts w:cs="Arial"/>
        </w:rPr>
        <w:t>noted</w:t>
      </w:r>
      <w:r w:rsidRPr="00554797">
        <w:rPr>
          <w:rFonts w:cs="Arial"/>
        </w:rPr>
        <w:t xml:space="preserve"> the finding that a small percentage of patients received a supply of a different osteoporosis medication within 5 months of initiation of denosumab</w:t>
      </w:r>
      <w:r>
        <w:rPr>
          <w:rFonts w:cs="Arial"/>
        </w:rPr>
        <w:t xml:space="preserve"> and considered this finding to warrant further understanding</w:t>
      </w:r>
      <w:r w:rsidRPr="00554797">
        <w:rPr>
          <w:rFonts w:cs="Arial"/>
        </w:rPr>
        <w:t xml:space="preserve"> and </w:t>
      </w:r>
      <w:r>
        <w:rPr>
          <w:rFonts w:cs="Arial"/>
        </w:rPr>
        <w:t xml:space="preserve">should also be explored </w:t>
      </w:r>
      <w:r w:rsidRPr="00554797">
        <w:rPr>
          <w:rFonts w:cs="Arial"/>
        </w:rPr>
        <w:t xml:space="preserve">for the other parenteral osteoporosis agent, IV zoledronic acid.  </w:t>
      </w:r>
      <w:r>
        <w:rPr>
          <w:rFonts w:cs="Arial"/>
        </w:rPr>
        <w:t>If a quality use of medicine issue is confirmed, the sponsor indicated a willingness to work with relevant stakeholders to address this through appropriate educational activities.</w:t>
      </w:r>
    </w:p>
    <w:p w:rsidR="00323C45" w:rsidRPr="00D929A2" w:rsidRDefault="00323C45" w:rsidP="00323C45">
      <w:r w:rsidRPr="00D929A2">
        <w:t xml:space="preserve">DUSC noted that the sponsor of denosumab and clinicians consider that denosumab appears safe for use over extended periods time. DUSC considered that ongoing vigilance with </w:t>
      </w:r>
      <w:r w:rsidR="00307AF2">
        <w:t xml:space="preserve">the </w:t>
      </w:r>
      <w:r w:rsidRPr="00D929A2">
        <w:t xml:space="preserve">use of denosumab is required given the possibility of misattribution of adverse effects, the risk of hypocalcaemia particularly in patients with renal impairment, and that longer term data on efficacy and safety remain limited. DUSC noted that some patients commencing on denosumab are relatively young and may use denosumab for many years. </w:t>
      </w:r>
    </w:p>
    <w:p w:rsidR="00323C45" w:rsidRPr="00D929A2" w:rsidRDefault="00323C45" w:rsidP="00323C45">
      <w:r w:rsidRPr="00D929A2">
        <w:t xml:space="preserve">DUSC commented that the impact of denosumab on the immune system is not well understood particularly in the context of treatment in a large number of patients, many with multiple co-morbidities and who may be treated with multiple monoclonal antibodies. DUSC noted that while patients in residential care settings may be considered at higher risk of fractures than people living in the community, there may be </w:t>
      </w:r>
      <w:r w:rsidR="00307AF2">
        <w:t xml:space="preserve">a </w:t>
      </w:r>
      <w:r w:rsidRPr="00D929A2">
        <w:t>greater risk of adverse events and quality use of medicines concerns in this setting because of age and co-morbidities. DUSC noted the findings of a review of Ontario pharmacy claims data showing a greater use of denosumab over zoledronic acid in long-term care facilities,</w:t>
      </w:r>
      <w:r w:rsidRPr="00D929A2">
        <w:rPr>
          <w:rStyle w:val="FootnoteReference"/>
        </w:rPr>
        <w:footnoteReference w:id="38"/>
      </w:r>
      <w:r w:rsidRPr="00D929A2">
        <w:t xml:space="preserve"> but noted that the use of osteoporosis medicines in residential aged care settings cannot not be identified in the PBS data alone.  </w:t>
      </w:r>
    </w:p>
    <w:p w:rsidR="00323C45" w:rsidRPr="00D929A2" w:rsidRDefault="00323C45" w:rsidP="00323C45">
      <w:r w:rsidRPr="00D929A2">
        <w:t>DUSC noted that for bisphosphonates, a consensus statement ha</w:t>
      </w:r>
      <w:r w:rsidR="00307AF2">
        <w:t>d</w:t>
      </w:r>
      <w:r w:rsidRPr="00D929A2">
        <w:t xml:space="preserve"> been developed to assess optimal durations of therapy that weighs up the benefits and risks and takes account of   effects on bone that may continue after stopping these medicines (Adler et al 2015). Optimal use of denosumab, including duration and discontinuation, </w:t>
      </w:r>
      <w:r w:rsidR="00307AF2">
        <w:t>was</w:t>
      </w:r>
      <w:r w:rsidRPr="00D929A2">
        <w:t xml:space="preserve"> yet to be established. </w:t>
      </w:r>
      <w:r w:rsidRPr="00307AF2">
        <w:t>The product information state</w:t>
      </w:r>
      <w:r w:rsidR="00307AF2">
        <w:t>d</w:t>
      </w:r>
      <w:r w:rsidRPr="00307AF2">
        <w:t xml:space="preserve"> that in clinical studies examining the effects of discontinuation of denosumab (Prolia</w:t>
      </w:r>
      <w:r w:rsidRPr="00307AF2">
        <w:rPr>
          <w:vertAlign w:val="superscript"/>
        </w:rPr>
        <w:sym w:font="Symbol" w:char="F0E2"/>
      </w:r>
      <w:r w:rsidRPr="00307AF2">
        <w:t xml:space="preserve">), bone mass density returned to approximately pre-treatment levels and remained above placebo within 18 months of the last dose. These data indicate that continued treatment with Prolia® is required to maintain the effect of the drug. </w:t>
      </w:r>
      <w:r w:rsidRPr="00D929A2">
        <w:t>DUSC noted that the time to resupply analysis (Figure 13) show</w:t>
      </w:r>
      <w:r w:rsidR="00307AF2">
        <w:t>ed</w:t>
      </w:r>
      <w:r w:rsidRPr="00D929A2">
        <w:t xml:space="preserve"> that although the majority of resupplies of denosumab occur at around six months, there is a long tail indicating that some patients may not be treated at the required interval for treatment effect. DUSC was concerned by reports in the published literature of vertebral fractures occurring after denosumab discontinuation and reiterated that ongoing vigilance and education on use of denosumab is required. </w:t>
      </w:r>
    </w:p>
    <w:p w:rsidR="00323C45" w:rsidRPr="00206E2E" w:rsidRDefault="00323C45" w:rsidP="00323C45">
      <w:pPr>
        <w:rPr>
          <w:i/>
        </w:rPr>
      </w:pPr>
      <w:r w:rsidRPr="004C3FB9">
        <w:t xml:space="preserve">In the pre-DUSC response, the sponsor of denosumab </w:t>
      </w:r>
      <w:r w:rsidRPr="00206E2E">
        <w:t>claim</w:t>
      </w:r>
      <w:r>
        <w:t>ed</w:t>
      </w:r>
      <w:r w:rsidRPr="004C3FB9">
        <w:t xml:space="preserve"> that in practice better health outcomes are being achieved for Australian osteoporosis patients with the introduction of denosumab</w:t>
      </w:r>
      <w:r>
        <w:t xml:space="preserve">. The sponsor presented a </w:t>
      </w:r>
      <w:r w:rsidRPr="00206E2E">
        <w:t>commissioned</w:t>
      </w:r>
      <w:r w:rsidRPr="004C3FB9">
        <w:t xml:space="preserve"> analysis of the 10% PBS sample </w:t>
      </w:r>
      <w:r>
        <w:t xml:space="preserve">and claimed that this </w:t>
      </w:r>
      <w:r w:rsidRPr="004C3FB9">
        <w:t>show</w:t>
      </w:r>
      <w:r w:rsidR="00307AF2">
        <w:t>ed</w:t>
      </w:r>
      <w:r w:rsidRPr="004C3FB9">
        <w:t xml:space="preserve"> that denosumab had a significant positive impact on long-term osteoporosis medication adherence in Australia. </w:t>
      </w:r>
      <w:r w:rsidRPr="00D929A2">
        <w:t>DUSC noted that the limited methods describing the analysis did not allow assessment of this claim. Further, no evidence was presented to establish that any improvement in adherence results in improved health outcomes compared with alternative therapies. DUSC considered that any claim of improved compliance and associated outcomes would need to be presented in the form of a</w:t>
      </w:r>
      <w:r w:rsidR="00D929A2">
        <w:t xml:space="preserve"> major submission to the PBAC.</w:t>
      </w:r>
    </w:p>
    <w:p w:rsidR="00323C45" w:rsidRPr="00D929A2" w:rsidRDefault="00323C45" w:rsidP="00323C45">
      <w:r w:rsidRPr="00D929A2">
        <w:t>DUSC noted that denosumab was recommended on a cost-minimisation basis compared with zoledronic acid with an adjustment to the price to account for the different requirements for doctors’ visits and administration.</w:t>
      </w:r>
      <w:r w:rsidRPr="00307AF2">
        <w:t xml:space="preserve"> </w:t>
      </w:r>
      <w:r w:rsidRPr="00D929A2">
        <w:t xml:space="preserve">DUSC considered that monitoring requirements in clinical practice may not have been adequately accounted for in the cost-minimisation analysis and this may result in increased total costs to the health system. The product information for bisphosphonate therapy (including alendronate, risedronate, </w:t>
      </w:r>
      <w:r w:rsidR="00FD3BCD" w:rsidRPr="00D929A2">
        <w:t>and zoledronic</w:t>
      </w:r>
      <w:r w:rsidRPr="00D929A2">
        <w:t xml:space="preserve"> acid) and denosumab recommends monitoring for hypocalcaemia, vitamin D deficiency and renal impairment. While the PBAC ha</w:t>
      </w:r>
      <w:r w:rsidR="00307AF2">
        <w:t>d</w:t>
      </w:r>
      <w:r w:rsidRPr="00D929A2">
        <w:t xml:space="preserve"> previously considered (July 2013) that the inclusion of calcium monitoring was not required for the cost-minimisation analysis, DUSC considered that monitoring in practice may differ, noting concerns with hypocalcaemia for denosumab. DUSC also considered that the requirement for continued use of denosumab compared with established practice for treatment holidays with bisphosphonates may impact on the comparative costs of the treatment options. DUSC also noted that the PBS expenditure per patient for osteoporosis had increased since 2012 as a result of pricing policy. Prices for zoledronic acid and other osteoporosis medicines </w:t>
      </w:r>
      <w:r w:rsidR="00307AF2" w:rsidRPr="00D929A2">
        <w:t>ha</w:t>
      </w:r>
      <w:r w:rsidR="00307AF2">
        <w:t>d</w:t>
      </w:r>
      <w:r w:rsidR="00307AF2" w:rsidRPr="00D929A2">
        <w:t xml:space="preserve"> </w:t>
      </w:r>
      <w:r w:rsidRPr="00D929A2">
        <w:t xml:space="preserve">decreased while uptake of denosumab, which </w:t>
      </w:r>
      <w:r w:rsidR="00307AF2">
        <w:t>wa</w:t>
      </w:r>
      <w:r w:rsidRPr="00D929A2">
        <w:t>s in the F1 formulary and ha</w:t>
      </w:r>
      <w:r w:rsidR="00AF2F02">
        <w:t>d</w:t>
      </w:r>
      <w:r w:rsidRPr="00D929A2">
        <w:t xml:space="preserve"> not been subject to significant price reductions, ha</w:t>
      </w:r>
      <w:r w:rsidR="00307AF2">
        <w:t>d</w:t>
      </w:r>
      <w:r w:rsidRPr="00D929A2">
        <w:t xml:space="preserve"> increased. Denosumab was subject to a 5% statutory price reduction on 1 April 2016. </w:t>
      </w:r>
    </w:p>
    <w:p w:rsidR="00323C45" w:rsidRPr="005913F3" w:rsidRDefault="00323C45" w:rsidP="00323C45">
      <w:pPr>
        <w:pStyle w:val="PBACBullets"/>
        <w:numPr>
          <w:ilvl w:val="0"/>
          <w:numId w:val="0"/>
        </w:numPr>
        <w:spacing w:before="0" w:after="0"/>
        <w:rPr>
          <w:sz w:val="24"/>
          <w:szCs w:val="24"/>
        </w:rPr>
      </w:pPr>
    </w:p>
    <w:p w:rsidR="00323C45" w:rsidRPr="00D929A2" w:rsidRDefault="00323C45" w:rsidP="00323C45">
      <w:pPr>
        <w:pStyle w:val="PBACBullets"/>
        <w:numPr>
          <w:ilvl w:val="0"/>
          <w:numId w:val="0"/>
        </w:numPr>
        <w:spacing w:before="0" w:after="0"/>
        <w:rPr>
          <w:sz w:val="24"/>
          <w:szCs w:val="24"/>
        </w:rPr>
      </w:pPr>
      <w:r w:rsidRPr="00D929A2">
        <w:rPr>
          <w:sz w:val="24"/>
          <w:szCs w:val="24"/>
        </w:rPr>
        <w:t>DUSC noted that the report had been provided to Osteoporosis Australia, the Royal Australia</w:t>
      </w:r>
      <w:r w:rsidRPr="00307AF2">
        <w:rPr>
          <w:sz w:val="24"/>
          <w:szCs w:val="24"/>
        </w:rPr>
        <w:t xml:space="preserve"> </w:t>
      </w:r>
      <w:r w:rsidRPr="00D929A2">
        <w:rPr>
          <w:sz w:val="24"/>
          <w:szCs w:val="24"/>
        </w:rPr>
        <w:t>College of General Practitioners (RACGP) and</w:t>
      </w:r>
      <w:r w:rsidRPr="00307AF2">
        <w:rPr>
          <w:sz w:val="24"/>
          <w:szCs w:val="24"/>
        </w:rPr>
        <w:t xml:space="preserve"> </w:t>
      </w:r>
      <w:r w:rsidRPr="00D929A2">
        <w:rPr>
          <w:sz w:val="24"/>
          <w:szCs w:val="24"/>
        </w:rPr>
        <w:t>the sponsors of osteoporosis medicines listed on the PBS, for comment. Comments were received from Amgen Australia and the RACGP. DUSC noted that the RACGP considered that denosumab was a well-tolerated and effective treatment which appeared safe for use over the longer-term. DUSC noted Amgen Australia’s response on the higher than expected use of denosumab, which the sponsor suggested could relate to the following factors: demonstrated efficacy across clinically important fracture sites; good tolerability; following the delisting of strontium ranelate, denosumab is the only subsidised non-bisphosphonate therapy for male and female patients; and its administration as a six monthly subcutaneous injection may promote adherence to therapy. DUSC noted the sponsor’s suggestion to also seek comment on the report from the Australian and New Zealand Bone and Mineral Society (ANZBMS).</w:t>
      </w:r>
    </w:p>
    <w:p w:rsidR="00323C45" w:rsidRPr="00D929A2" w:rsidRDefault="00323C45" w:rsidP="00D929A2">
      <w:pPr>
        <w:pStyle w:val="Heading4"/>
        <w:rPr>
          <w:b w:val="0"/>
        </w:rPr>
      </w:pPr>
      <w:r w:rsidRPr="00D929A2">
        <w:rPr>
          <w:i w:val="0"/>
        </w:rPr>
        <w:t>DUSC Actions</w:t>
      </w:r>
    </w:p>
    <w:p w:rsidR="00323C45" w:rsidRPr="005913F3" w:rsidRDefault="00323C45" w:rsidP="00323C45">
      <w:pPr>
        <w:pStyle w:val="PBACBullets"/>
        <w:numPr>
          <w:ilvl w:val="0"/>
          <w:numId w:val="0"/>
        </w:numPr>
        <w:spacing w:before="0" w:after="200"/>
        <w:rPr>
          <w:sz w:val="24"/>
          <w:szCs w:val="24"/>
        </w:rPr>
      </w:pPr>
      <w:r w:rsidRPr="005913F3">
        <w:rPr>
          <w:sz w:val="24"/>
          <w:szCs w:val="24"/>
        </w:rPr>
        <w:t>The DUSC requested that the report be provided to the PBAC.</w:t>
      </w:r>
    </w:p>
    <w:p w:rsidR="00BB2AA5" w:rsidRPr="00365B75" w:rsidRDefault="00BB2AA5" w:rsidP="00BB2AA5">
      <w:pPr>
        <w:spacing w:before="240"/>
        <w:outlineLvl w:val="3"/>
        <w:rPr>
          <w:rFonts w:ascii="Calibri" w:eastAsia="MS Mincho" w:hAnsi="Calibri" w:cs="Times New Roman"/>
          <w:b/>
          <w:sz w:val="32"/>
          <w:szCs w:val="32"/>
        </w:rPr>
      </w:pPr>
      <w:r w:rsidRPr="00365B75">
        <w:rPr>
          <w:rFonts w:ascii="Calibri" w:eastAsia="MS Mincho" w:hAnsi="Calibri" w:cs="Times New Roman"/>
          <w:b/>
          <w:sz w:val="32"/>
          <w:szCs w:val="32"/>
        </w:rPr>
        <w:t>Context for analysis</w:t>
      </w:r>
    </w:p>
    <w:p w:rsidR="00BB2AA5" w:rsidRPr="00365B75" w:rsidRDefault="00BB2AA5" w:rsidP="00BB2AA5">
      <w:pPr>
        <w:rPr>
          <w:rFonts w:ascii="Calibri" w:eastAsia="MS Mincho" w:hAnsi="Calibri" w:cs="Times New Roman"/>
        </w:rPr>
      </w:pPr>
      <w:r w:rsidRPr="00365B75">
        <w:rPr>
          <w:rFonts w:ascii="Calibri" w:eastAsia="MS Mincho" w:hAnsi="Calibri" w:cs="Times New Roman"/>
        </w:rPr>
        <w:t>The DUSC is a Sub Committee of the Pharmaceutical Benefits Advisory Committee (PBAC). The DUSC assesses estimates on projected usage and financial cost of medicines.</w:t>
      </w:r>
    </w:p>
    <w:p w:rsidR="00BB2AA5" w:rsidRPr="00365B75" w:rsidRDefault="00BB2AA5" w:rsidP="00BB2AA5">
      <w:pPr>
        <w:rPr>
          <w:rFonts w:ascii="Calibri" w:eastAsia="MS Mincho" w:hAnsi="Calibri" w:cs="Times New Roman"/>
        </w:rPr>
      </w:pPr>
      <w:r w:rsidRPr="00365B75">
        <w:rPr>
          <w:rFonts w:ascii="Calibri" w:eastAsia="MS Mincho" w:hAnsi="Calibri" w:cs="Times New Roman"/>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BB2AA5" w:rsidRPr="00365B75" w:rsidRDefault="00BB2AA5" w:rsidP="00BB2AA5">
      <w:pPr>
        <w:rPr>
          <w:rFonts w:ascii="Calibri" w:eastAsia="MS Mincho" w:hAnsi="Calibri" w:cs="Times New Roman"/>
        </w:rPr>
      </w:pPr>
      <w:r w:rsidRPr="00365B75">
        <w:rPr>
          <w:rFonts w:ascii="Calibri" w:eastAsia="MS Mincho" w:hAnsi="Calibri" w:cs="Times New Roman"/>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BB2AA5" w:rsidRPr="00365B75" w:rsidRDefault="00BB2AA5" w:rsidP="00BB2AA5">
      <w:pPr>
        <w:rPr>
          <w:rFonts w:ascii="Calibri" w:eastAsia="MS Mincho" w:hAnsi="Calibri" w:cs="Times New Roman"/>
        </w:rPr>
      </w:pPr>
      <w:r w:rsidRPr="00365B75">
        <w:rPr>
          <w:rFonts w:ascii="Calibri" w:eastAsia="MS Mincho" w:hAnsi="Calibri" w:cs="Times New Roman"/>
        </w:rPr>
        <w:t>The utilisation analysis report was provided to the pharmaceutical sponsors of each drug and comments on the report were provided to DUSC prior to its consideration of the analysis.</w:t>
      </w:r>
    </w:p>
    <w:p w:rsidR="00BB2AA5" w:rsidRPr="00365B75" w:rsidRDefault="00BB2AA5" w:rsidP="00BB2AA5">
      <w:pPr>
        <w:spacing w:before="240"/>
        <w:outlineLvl w:val="3"/>
        <w:rPr>
          <w:rFonts w:ascii="Calibri" w:eastAsia="MS Mincho" w:hAnsi="Calibri" w:cs="Times New Roman"/>
          <w:b/>
          <w:sz w:val="32"/>
          <w:szCs w:val="32"/>
        </w:rPr>
      </w:pPr>
      <w:r w:rsidRPr="00365B75">
        <w:rPr>
          <w:rFonts w:ascii="Calibri" w:eastAsia="MS Mincho" w:hAnsi="Calibri" w:cs="Times New Roman"/>
          <w:b/>
          <w:sz w:val="32"/>
          <w:szCs w:val="32"/>
        </w:rPr>
        <w:t>Sponsors’ comments</w:t>
      </w:r>
    </w:p>
    <w:p w:rsidR="00760CF6" w:rsidRPr="003303BB" w:rsidRDefault="00760CF6" w:rsidP="00760CF6">
      <w:pPr>
        <w:rPr>
          <w:rFonts w:ascii="Calibri" w:eastAsia="MS Mincho" w:hAnsi="Calibri" w:cs="Times New Roman"/>
        </w:rPr>
      </w:pPr>
      <w:r w:rsidRPr="003303BB">
        <w:rPr>
          <w:rFonts w:ascii="Calibri" w:eastAsia="MS Mincho" w:hAnsi="Calibri" w:cs="Times New Roman"/>
        </w:rPr>
        <w:t>The following sponsors have no comment; Actavis Pty Ltd, Amgen Australia Pty Ltd, Alphapharm Pty Ltd, Amneal Pharmaceuticals Pty Ltd, Apotex Pty Ltd, Arrow Pharma Pty Ltd, Aurobindo Pharma Pty Ltd, Bayer Australia Ltd, Dr Reddy's Laboratories Pty Ltd, Eli Lilly Australia Pty Ltd, Eris Pharmaceuticals Pty Ltd, Generic Health Pty Ltd, Hospira Pty Ltd, Merck Sharp &amp; Dohme Pty Ltd, Novartis Pharmaceuticals Pty Ltd, Roche Products Pty Ltd, Sandoz Pty Ltd.</w:t>
      </w:r>
    </w:p>
    <w:p w:rsidR="00BB2AA5" w:rsidRPr="00365B75" w:rsidRDefault="00BB2AA5" w:rsidP="00BB2AA5">
      <w:pPr>
        <w:spacing w:before="240"/>
        <w:outlineLvl w:val="3"/>
        <w:rPr>
          <w:rFonts w:ascii="Calibri" w:eastAsia="MS Mincho" w:hAnsi="Calibri" w:cs="Times New Roman"/>
          <w:b/>
          <w:sz w:val="32"/>
          <w:szCs w:val="32"/>
        </w:rPr>
      </w:pPr>
      <w:r w:rsidRPr="00365B75">
        <w:rPr>
          <w:rFonts w:ascii="Calibri" w:eastAsia="MS Mincho" w:hAnsi="Calibri" w:cs="Times New Roman"/>
          <w:b/>
          <w:sz w:val="32"/>
          <w:szCs w:val="32"/>
        </w:rPr>
        <w:t>Disclaimer</w:t>
      </w:r>
    </w:p>
    <w:p w:rsidR="00BB2AA5" w:rsidRPr="00365B75" w:rsidRDefault="00BB2AA5" w:rsidP="00BB2AA5">
      <w:pPr>
        <w:rPr>
          <w:rFonts w:ascii="Calibri" w:eastAsia="MS Mincho" w:hAnsi="Calibri" w:cs="Times New Roman"/>
        </w:rPr>
      </w:pPr>
      <w:r w:rsidRPr="00365B75">
        <w:rPr>
          <w:rFonts w:ascii="Calibri" w:eastAsia="MS Mincho" w:hAnsi="Calibri" w:cs="Times New Roman"/>
        </w:rP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BB2AA5" w:rsidRPr="00365B75" w:rsidRDefault="00BB2AA5" w:rsidP="00BB2AA5">
      <w:pPr>
        <w:rPr>
          <w:rFonts w:ascii="Calibri" w:eastAsia="MS Mincho" w:hAnsi="Calibri" w:cs="Times New Roman"/>
        </w:rPr>
      </w:pPr>
      <w:r w:rsidRPr="00365B75">
        <w:rPr>
          <w:rFonts w:ascii="Calibri" w:eastAsia="MS Mincho" w:hAnsi="Calibri" w:cs="Times New Roman"/>
        </w:rP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BB2AA5" w:rsidRPr="00365B75" w:rsidRDefault="00BB2AA5" w:rsidP="00BB2AA5">
      <w:pPr>
        <w:rPr>
          <w:rFonts w:ascii="Calibri" w:eastAsia="MS Mincho" w:hAnsi="Calibri" w:cs="Times New Roman"/>
        </w:rPr>
      </w:pPr>
      <w:r w:rsidRPr="00365B75">
        <w:rPr>
          <w:rFonts w:ascii="Calibri" w:eastAsia="MS Mincho" w:hAnsi="Calibri" w:cs="Times New Roman"/>
        </w:rPr>
        <w:t xml:space="preserve">To the extent provided by law, DoH makes no warranties or representations as to accuracy or completeness of information contained in this report. </w:t>
      </w:r>
    </w:p>
    <w:p w:rsidR="00BB2AA5" w:rsidRPr="00365B75" w:rsidRDefault="00BB2AA5" w:rsidP="00BB2AA5">
      <w:pPr>
        <w:rPr>
          <w:rFonts w:ascii="Calibri" w:eastAsia="MS Mincho" w:hAnsi="Calibri" w:cs="Times New Roman"/>
        </w:rPr>
      </w:pPr>
      <w:r w:rsidRPr="00365B75">
        <w:rPr>
          <w:rFonts w:ascii="Calibri" w:eastAsia="MS Mincho" w:hAnsi="Calibri" w:cs="Times New Roman"/>
        </w:rP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2D1A8C" w:rsidRDefault="002D1A8C" w:rsidP="00C0787F">
      <w:pPr>
        <w:rPr>
          <w:b/>
          <w:sz w:val="32"/>
          <w:szCs w:val="32"/>
        </w:rPr>
      </w:pPr>
    </w:p>
    <w:p w:rsidR="00D74F47" w:rsidRDefault="00D74F47">
      <w:pPr>
        <w:spacing w:line="276" w:lineRule="auto"/>
        <w:rPr>
          <w:b/>
          <w:sz w:val="28"/>
          <w:szCs w:val="28"/>
        </w:rPr>
      </w:pPr>
      <w:r>
        <w:rPr>
          <w:b/>
          <w:sz w:val="28"/>
          <w:szCs w:val="28"/>
        </w:rPr>
        <w:br w:type="page"/>
      </w:r>
    </w:p>
    <w:p w:rsidR="0047670D" w:rsidRPr="0068588A" w:rsidRDefault="0047670D" w:rsidP="0047670D">
      <w:pPr>
        <w:pStyle w:val="Heading3"/>
        <w:tabs>
          <w:tab w:val="left" w:pos="1825"/>
        </w:tabs>
        <w:rPr>
          <w:i w:val="0"/>
          <w:sz w:val="28"/>
        </w:rPr>
      </w:pPr>
      <w:r w:rsidRPr="00D74F47">
        <w:rPr>
          <w:i w:val="0"/>
          <w:sz w:val="28"/>
        </w:rPr>
        <w:t>Appendix A</w:t>
      </w:r>
      <w:r>
        <w:rPr>
          <w:i w:val="0"/>
          <w:sz w:val="28"/>
        </w:rPr>
        <w:t xml:space="preserve">: </w:t>
      </w:r>
      <w:r w:rsidRPr="0068588A">
        <w:rPr>
          <w:i w:val="0"/>
          <w:sz w:val="28"/>
        </w:rPr>
        <w:t>Pharmacology</w:t>
      </w:r>
      <w:r w:rsidR="00D63707">
        <w:rPr>
          <w:rStyle w:val="FootnoteReference"/>
          <w:i w:val="0"/>
          <w:sz w:val="28"/>
        </w:rPr>
        <w:footnoteReference w:id="39"/>
      </w:r>
      <w:r w:rsidR="00D63707" w:rsidRPr="00D63707">
        <w:rPr>
          <w:i w:val="0"/>
          <w:sz w:val="28"/>
          <w:vertAlign w:val="superscript"/>
        </w:rPr>
        <w:t>,</w:t>
      </w:r>
      <w:r w:rsidRPr="0068588A">
        <w:rPr>
          <w:rStyle w:val="FootnoteReference"/>
          <w:i w:val="0"/>
          <w:sz w:val="28"/>
        </w:rPr>
        <w:footnoteReference w:id="40"/>
      </w:r>
    </w:p>
    <w:p w:rsidR="0047670D" w:rsidRPr="009C1E36" w:rsidRDefault="0047670D" w:rsidP="0047670D">
      <w:r w:rsidRPr="009C1E36">
        <w:t xml:space="preserve">Bisphosphonates slow bone loss by reducing bone resorption. In addition, they bind strongly to bone mineral, thus forming a depot from which they are released as the bisphosphonate-containing bone is remodelled. </w:t>
      </w:r>
    </w:p>
    <w:p w:rsidR="0047670D" w:rsidRPr="009C1E36" w:rsidRDefault="0047670D" w:rsidP="0047670D">
      <w:r w:rsidRPr="009C1E36">
        <w:t>Denosumab is a fully human IgG2 monoclonal antibody, which binds to the proteins responsible for bone resorption. This decreases bone resorption and increases bone mass and strength.</w:t>
      </w:r>
    </w:p>
    <w:p w:rsidR="0047670D" w:rsidRPr="009C1E36" w:rsidRDefault="0047670D" w:rsidP="0047670D">
      <w:r w:rsidRPr="009C1E36">
        <w:t>Raloxifene is a selective oestrogen receptor modulator that has been shown to prevent postmenopausal bone loss. It is an alternative drug for women with postmenopausal osteoporosis.</w:t>
      </w:r>
      <w:r w:rsidRPr="009C1E36" w:rsidDel="00EF2174">
        <w:t xml:space="preserve"> </w:t>
      </w:r>
    </w:p>
    <w:p w:rsidR="0047670D" w:rsidRPr="009C1E36" w:rsidRDefault="0047670D" w:rsidP="0047670D">
      <w:r w:rsidRPr="009C1E36">
        <w:t>Strontium ranelate acts by uncoupling bone resorption and formation.</w:t>
      </w:r>
      <w:r w:rsidRPr="009C1E36" w:rsidDel="00EF2174">
        <w:t xml:space="preserve"> </w:t>
      </w:r>
    </w:p>
    <w:p w:rsidR="0047670D" w:rsidRPr="009C1E36" w:rsidRDefault="0047670D" w:rsidP="0047670D">
      <w:r w:rsidRPr="009C1E36">
        <w:t>Teriparatide is a synthetic form of human parathyroid hormone (</w:t>
      </w:r>
      <w:r w:rsidRPr="009C1E36">
        <w:rPr>
          <w:rStyle w:val="abbreviation"/>
        </w:rPr>
        <w:t>PTH</w:t>
      </w:r>
      <w:r w:rsidRPr="009C1E36">
        <w:t>) and acts by increasing bone formation.</w:t>
      </w:r>
      <w:r w:rsidRPr="009C1E36" w:rsidDel="00EF2174">
        <w:t xml:space="preserve"> </w:t>
      </w:r>
    </w:p>
    <w:p w:rsidR="0047670D" w:rsidRPr="009C1E36" w:rsidRDefault="0047670D" w:rsidP="0047670D">
      <w:r w:rsidRPr="009C1E36">
        <w:t>Calcium supplementation may reduce the rate of bone loss, particularly in late menopausal women with low dietary intake and without previous fragility fractures.</w:t>
      </w:r>
    </w:p>
    <w:p w:rsidR="0047670D" w:rsidRPr="009C1E36" w:rsidRDefault="0047670D" w:rsidP="0047670D">
      <w:r w:rsidRPr="009C1E36">
        <w:t>The biologically active form of Vitamin D is responsible for endocrine functions for maintaining calcium homeostasis.</w:t>
      </w:r>
      <w:r w:rsidRPr="009C1E36">
        <w:rPr>
          <w:rStyle w:val="FootnoteReference"/>
        </w:rPr>
        <w:footnoteReference w:id="41"/>
      </w:r>
      <w:r w:rsidRPr="009C1E36">
        <w:t xml:space="preserve"> </w:t>
      </w:r>
    </w:p>
    <w:p w:rsidR="0047670D" w:rsidRDefault="0047670D" w:rsidP="0047670D">
      <w:pPr>
        <w:spacing w:line="276" w:lineRule="auto"/>
        <w:rPr>
          <w:b/>
          <w:sz w:val="28"/>
          <w:szCs w:val="28"/>
        </w:rPr>
      </w:pPr>
    </w:p>
    <w:p w:rsidR="0047670D" w:rsidRDefault="0047670D" w:rsidP="0047670D">
      <w:pPr>
        <w:spacing w:line="276" w:lineRule="auto"/>
        <w:rPr>
          <w:b/>
          <w:sz w:val="28"/>
          <w:szCs w:val="28"/>
        </w:rPr>
      </w:pPr>
    </w:p>
    <w:p w:rsidR="00D74F47" w:rsidRPr="00D74F47" w:rsidRDefault="0047670D" w:rsidP="0047670D">
      <w:pPr>
        <w:pStyle w:val="Heading3"/>
        <w:tabs>
          <w:tab w:val="left" w:pos="1825"/>
        </w:tabs>
        <w:rPr>
          <w:i w:val="0"/>
          <w:sz w:val="28"/>
        </w:rPr>
      </w:pPr>
      <w:r>
        <w:rPr>
          <w:i w:val="0"/>
          <w:sz w:val="28"/>
        </w:rPr>
        <w:br w:type="page"/>
      </w:r>
      <w:r w:rsidR="00D63707">
        <w:rPr>
          <w:i w:val="0"/>
          <w:sz w:val="28"/>
        </w:rPr>
        <w:t>Appendix B</w:t>
      </w:r>
      <w:r>
        <w:rPr>
          <w:i w:val="0"/>
          <w:sz w:val="28"/>
        </w:rPr>
        <w:tab/>
      </w:r>
    </w:p>
    <w:p w:rsidR="00D74F47" w:rsidRPr="007D29C2" w:rsidRDefault="00D74F47" w:rsidP="00D74F47">
      <w:pPr>
        <w:rPr>
          <w:b/>
          <w:szCs w:val="20"/>
        </w:rPr>
      </w:pPr>
      <w:r w:rsidRPr="007D29C2">
        <w:rPr>
          <w:b/>
          <w:szCs w:val="20"/>
        </w:rPr>
        <w:t xml:space="preserve">Table </w:t>
      </w:r>
      <w:r w:rsidR="00D63707">
        <w:rPr>
          <w:b/>
          <w:szCs w:val="20"/>
        </w:rPr>
        <w:t>B</w:t>
      </w:r>
      <w:r w:rsidR="007D29C2">
        <w:rPr>
          <w:b/>
          <w:szCs w:val="20"/>
        </w:rPr>
        <w:t>.1</w:t>
      </w:r>
      <w:r w:rsidRPr="007D29C2">
        <w:rPr>
          <w:b/>
          <w:szCs w:val="20"/>
        </w:rPr>
        <w:t>: Osteoporosis drugs listing history</w:t>
      </w:r>
    </w:p>
    <w:tbl>
      <w:tblPr>
        <w:tblW w:w="8987" w:type="dxa"/>
        <w:tblInd w:w="93" w:type="dxa"/>
        <w:tblLook w:val="0000" w:firstRow="0" w:lastRow="0" w:firstColumn="0" w:lastColumn="0" w:noHBand="0" w:noVBand="0"/>
      </w:tblPr>
      <w:tblGrid>
        <w:gridCol w:w="1106"/>
        <w:gridCol w:w="3912"/>
        <w:gridCol w:w="3969"/>
      </w:tblGrid>
      <w:tr w:rsidR="00D74F47" w:rsidRPr="00BB09E1" w:rsidTr="00BB09E1">
        <w:trPr>
          <w:trHeight w:val="255"/>
        </w:trPr>
        <w:tc>
          <w:tcPr>
            <w:tcW w:w="11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74F47" w:rsidRPr="00BB09E1" w:rsidRDefault="00D74F47" w:rsidP="00C8250E">
            <w:pPr>
              <w:pStyle w:val="Tablewriting"/>
              <w:rPr>
                <w:b/>
                <w:lang w:val="en-US" w:eastAsia="en-US"/>
              </w:rPr>
            </w:pPr>
            <w:r w:rsidRPr="00BB09E1">
              <w:rPr>
                <w:b/>
                <w:lang w:val="en-US" w:eastAsia="en-US"/>
              </w:rPr>
              <w:t>Date</w:t>
            </w:r>
          </w:p>
        </w:tc>
        <w:tc>
          <w:tcPr>
            <w:tcW w:w="391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D74F47" w:rsidRPr="00BB09E1" w:rsidRDefault="00BB09E1" w:rsidP="00C8250E">
            <w:pPr>
              <w:pStyle w:val="Tablewriting"/>
              <w:rPr>
                <w:b/>
                <w:lang w:val="en-US" w:eastAsia="en-US"/>
              </w:rPr>
            </w:pPr>
            <w:r>
              <w:rPr>
                <w:b/>
                <w:lang w:val="en-US" w:eastAsia="en-US"/>
              </w:rPr>
              <w:t>Drug</w:t>
            </w:r>
          </w:p>
        </w:tc>
        <w:tc>
          <w:tcPr>
            <w:tcW w:w="396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D74F47" w:rsidRPr="00BB09E1" w:rsidRDefault="00D74F47" w:rsidP="00C8250E">
            <w:pPr>
              <w:pStyle w:val="Tablewriting"/>
              <w:rPr>
                <w:b/>
                <w:lang w:val="en-US" w:eastAsia="en-US"/>
              </w:rPr>
            </w:pPr>
            <w:r w:rsidRPr="00BB09E1">
              <w:rPr>
                <w:b/>
                <w:lang w:val="en-US" w:eastAsia="en-US"/>
              </w:rPr>
              <w:t>Detail</w:t>
            </w:r>
          </w:p>
        </w:tc>
      </w:tr>
      <w:tr w:rsidR="00C97ADB" w:rsidRPr="00F72494" w:rsidTr="001F7C8D">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C97ADB" w:rsidRPr="00F72494" w:rsidRDefault="00C97ADB" w:rsidP="001F7C8D">
            <w:pPr>
              <w:pStyle w:val="Tablewriting"/>
              <w:rPr>
                <w:lang w:val="en-US" w:eastAsia="en-US"/>
              </w:rPr>
            </w:pPr>
            <w:r>
              <w:rPr>
                <w:lang w:val="en-US" w:eastAsia="en-US"/>
              </w:rPr>
              <w:t>1/12</w:t>
            </w:r>
            <w:r w:rsidRPr="00F72494">
              <w:rPr>
                <w:lang w:val="en-US" w:eastAsia="en-US"/>
              </w:rPr>
              <w:t>/199</w:t>
            </w:r>
            <w:r>
              <w:rPr>
                <w:lang w:val="en-US" w:eastAsia="en-US"/>
              </w:rPr>
              <w:t>1</w:t>
            </w:r>
          </w:p>
        </w:tc>
        <w:tc>
          <w:tcPr>
            <w:tcW w:w="3912" w:type="dxa"/>
            <w:tcBorders>
              <w:top w:val="nil"/>
              <w:left w:val="nil"/>
              <w:bottom w:val="single" w:sz="4" w:space="0" w:color="auto"/>
              <w:right w:val="single" w:sz="4" w:space="0" w:color="auto"/>
            </w:tcBorders>
            <w:shd w:val="clear" w:color="auto" w:fill="auto"/>
            <w:vAlign w:val="center"/>
          </w:tcPr>
          <w:p w:rsidR="00C97ADB" w:rsidRPr="00F72494" w:rsidRDefault="00C97ADB" w:rsidP="001F7C8D">
            <w:pPr>
              <w:pStyle w:val="Tablewriting"/>
              <w:rPr>
                <w:lang w:val="en-US" w:eastAsia="en-US"/>
              </w:rPr>
            </w:pPr>
            <w:r w:rsidRPr="00F72494">
              <w:rPr>
                <w:lang w:val="en-US" w:eastAsia="en-US"/>
              </w:rPr>
              <w:t>CALCITRIOL</w:t>
            </w:r>
          </w:p>
        </w:tc>
        <w:tc>
          <w:tcPr>
            <w:tcW w:w="3969" w:type="dxa"/>
            <w:tcBorders>
              <w:top w:val="nil"/>
              <w:left w:val="nil"/>
              <w:bottom w:val="single" w:sz="4" w:space="0" w:color="auto"/>
              <w:right w:val="single" w:sz="4" w:space="0" w:color="auto"/>
            </w:tcBorders>
            <w:shd w:val="clear" w:color="auto" w:fill="auto"/>
            <w:vAlign w:val="center"/>
          </w:tcPr>
          <w:p w:rsidR="00C97ADB" w:rsidRPr="00F72494" w:rsidRDefault="00C97ADB" w:rsidP="001F7C8D">
            <w:pPr>
              <w:pStyle w:val="Tablewriting"/>
              <w:rPr>
                <w:lang w:val="en-US" w:eastAsia="en-US"/>
              </w:rPr>
            </w:pPr>
            <w:r w:rsidRPr="00F72494">
              <w:rPr>
                <w:lang w:val="en-US" w:eastAsia="en-US"/>
              </w:rPr>
              <w:t>Listed on PBS</w:t>
            </w:r>
            <w:r>
              <w:rPr>
                <w:lang w:val="en-US" w:eastAsia="en-US"/>
              </w:rPr>
              <w:t xml:space="preserve"> for established osteoporosis in patients with fracture due to minimal trauma</w:t>
            </w:r>
          </w:p>
        </w:tc>
      </w:tr>
      <w:tr w:rsidR="00D74F47"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F72494" w:rsidRDefault="00D74F47" w:rsidP="00C8250E">
            <w:pPr>
              <w:pStyle w:val="Tablewriting"/>
              <w:rPr>
                <w:lang w:val="en-US" w:eastAsia="en-US"/>
              </w:rPr>
            </w:pPr>
            <w:r w:rsidRPr="00F72494">
              <w:rPr>
                <w:lang w:val="en-US" w:eastAsia="en-US"/>
              </w:rPr>
              <w:t>1/08/1996</w:t>
            </w:r>
          </w:p>
        </w:tc>
        <w:tc>
          <w:tcPr>
            <w:tcW w:w="3912" w:type="dxa"/>
            <w:tcBorders>
              <w:top w:val="nil"/>
              <w:left w:val="nil"/>
              <w:bottom w:val="single" w:sz="4" w:space="0" w:color="auto"/>
              <w:right w:val="single" w:sz="4" w:space="0" w:color="auto"/>
            </w:tcBorders>
            <w:shd w:val="clear" w:color="auto" w:fill="auto"/>
            <w:vAlign w:val="center"/>
          </w:tcPr>
          <w:p w:rsidR="00D74F47" w:rsidRPr="00F72494" w:rsidRDefault="00D74F47" w:rsidP="00C8250E">
            <w:pPr>
              <w:pStyle w:val="Tablewriting"/>
              <w:rPr>
                <w:lang w:val="en-US" w:eastAsia="en-US"/>
              </w:rPr>
            </w:pPr>
            <w:r w:rsidRPr="00F72494">
              <w:rPr>
                <w:lang w:val="en-US" w:eastAsia="en-US"/>
              </w:rPr>
              <w:t>DISODIUM ETIDRONATE and CALCIUM CARBONATE</w:t>
            </w:r>
          </w:p>
        </w:tc>
        <w:tc>
          <w:tcPr>
            <w:tcW w:w="3969" w:type="dxa"/>
            <w:tcBorders>
              <w:top w:val="nil"/>
              <w:left w:val="nil"/>
              <w:bottom w:val="single" w:sz="4" w:space="0" w:color="auto"/>
              <w:right w:val="single" w:sz="4" w:space="0" w:color="auto"/>
            </w:tcBorders>
            <w:shd w:val="clear" w:color="auto" w:fill="auto"/>
            <w:vAlign w:val="center"/>
          </w:tcPr>
          <w:p w:rsidR="00D74F47" w:rsidRPr="00F72494" w:rsidRDefault="00D74F47" w:rsidP="002D3D10">
            <w:pPr>
              <w:pStyle w:val="Tablewriting"/>
              <w:rPr>
                <w:lang w:val="en-US" w:eastAsia="en-US"/>
              </w:rPr>
            </w:pPr>
            <w:r w:rsidRPr="00F72494">
              <w:rPr>
                <w:lang w:val="en-US" w:eastAsia="en-US"/>
              </w:rPr>
              <w:t>Listed on PBS</w:t>
            </w:r>
            <w:r>
              <w:rPr>
                <w:lang w:val="en-US" w:eastAsia="en-US"/>
              </w:rPr>
              <w:t xml:space="preserve"> </w:t>
            </w:r>
            <w:r w:rsidR="002D3D10">
              <w:rPr>
                <w:lang w:val="en-US" w:eastAsia="en-US"/>
              </w:rPr>
              <w:t xml:space="preserve">on a cost-minimisation basis with calcitriol </w:t>
            </w:r>
            <w:r>
              <w:rPr>
                <w:lang w:val="en-US" w:eastAsia="en-US"/>
              </w:rPr>
              <w:t>for established osteoporosis in patients with fracture due to minimal trauma</w:t>
            </w:r>
          </w:p>
        </w:tc>
      </w:tr>
      <w:tr w:rsidR="00D74F47"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F72494" w:rsidRDefault="00D74F47" w:rsidP="00C8250E">
            <w:pPr>
              <w:pStyle w:val="Tablewriting"/>
              <w:rPr>
                <w:lang w:val="en-US" w:eastAsia="en-US"/>
              </w:rPr>
            </w:pPr>
            <w:r w:rsidRPr="00F72494">
              <w:rPr>
                <w:lang w:val="en-US" w:eastAsia="en-US"/>
              </w:rPr>
              <w:t>1/11/1996</w:t>
            </w:r>
          </w:p>
        </w:tc>
        <w:tc>
          <w:tcPr>
            <w:tcW w:w="3912" w:type="dxa"/>
            <w:tcBorders>
              <w:top w:val="nil"/>
              <w:left w:val="nil"/>
              <w:bottom w:val="single" w:sz="4" w:space="0" w:color="auto"/>
              <w:right w:val="single" w:sz="4" w:space="0" w:color="auto"/>
            </w:tcBorders>
            <w:shd w:val="clear" w:color="auto" w:fill="auto"/>
            <w:vAlign w:val="center"/>
          </w:tcPr>
          <w:p w:rsidR="00D74F47" w:rsidRPr="00F72494" w:rsidRDefault="00FC51D8" w:rsidP="00C8250E">
            <w:pPr>
              <w:pStyle w:val="Tablewriting"/>
              <w:rPr>
                <w:lang w:val="en-US" w:eastAsia="en-US"/>
              </w:rPr>
            </w:pPr>
            <w:r>
              <w:rPr>
                <w:lang w:val="en-US" w:eastAsia="en-US"/>
              </w:rPr>
              <w:t>ALENDRONATE</w:t>
            </w:r>
          </w:p>
        </w:tc>
        <w:tc>
          <w:tcPr>
            <w:tcW w:w="3969" w:type="dxa"/>
            <w:tcBorders>
              <w:top w:val="nil"/>
              <w:left w:val="nil"/>
              <w:bottom w:val="single" w:sz="4" w:space="0" w:color="auto"/>
              <w:right w:val="single" w:sz="4" w:space="0" w:color="auto"/>
            </w:tcBorders>
            <w:shd w:val="clear" w:color="auto" w:fill="auto"/>
            <w:vAlign w:val="center"/>
          </w:tcPr>
          <w:p w:rsidR="00D74F47" w:rsidRPr="00F72494" w:rsidRDefault="00D74F47" w:rsidP="002D3D10">
            <w:pPr>
              <w:pStyle w:val="Tablewriting"/>
              <w:rPr>
                <w:lang w:val="en-US" w:eastAsia="en-US"/>
              </w:rPr>
            </w:pPr>
            <w:r w:rsidRPr="00F72494">
              <w:rPr>
                <w:lang w:val="en-US" w:eastAsia="en-US"/>
              </w:rPr>
              <w:t>Listed on PBS</w:t>
            </w:r>
            <w:r>
              <w:rPr>
                <w:lang w:val="en-US" w:eastAsia="en-US"/>
              </w:rPr>
              <w:t xml:space="preserve"> </w:t>
            </w:r>
            <w:r w:rsidR="002D3D10">
              <w:rPr>
                <w:lang w:val="en-US" w:eastAsia="en-US"/>
              </w:rPr>
              <w:t xml:space="preserve">on a </w:t>
            </w:r>
            <w:r w:rsidR="002D3D10" w:rsidRPr="002D3D10">
              <w:rPr>
                <w:lang w:val="en-US" w:eastAsia="en-US"/>
              </w:rPr>
              <w:t xml:space="preserve">cost-effectiveness </w:t>
            </w:r>
            <w:r w:rsidR="002D3D10">
              <w:rPr>
                <w:lang w:val="en-US" w:eastAsia="en-US"/>
              </w:rPr>
              <w:t xml:space="preserve">basis with </w:t>
            </w:r>
            <w:r w:rsidR="002D3D10" w:rsidRPr="002D3D10">
              <w:rPr>
                <w:lang w:val="en-US" w:eastAsia="en-US"/>
              </w:rPr>
              <w:t xml:space="preserve">calcitriol </w:t>
            </w:r>
            <w:r>
              <w:rPr>
                <w:lang w:val="en-US" w:eastAsia="en-US"/>
              </w:rPr>
              <w:t>for established post-menopausal osteoporosis in patients with fracture due to minimal trauma</w:t>
            </w:r>
          </w:p>
        </w:tc>
      </w:tr>
      <w:tr w:rsidR="00D74F47"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F72494" w:rsidRDefault="00D74F47" w:rsidP="00C8250E">
            <w:pPr>
              <w:pStyle w:val="Tablewriting"/>
              <w:rPr>
                <w:lang w:val="en-US" w:eastAsia="en-US"/>
              </w:rPr>
            </w:pPr>
            <w:r w:rsidRPr="00F72494">
              <w:rPr>
                <w:lang w:val="en-US" w:eastAsia="en-US"/>
              </w:rPr>
              <w:t>1/11/1999</w:t>
            </w:r>
          </w:p>
        </w:tc>
        <w:tc>
          <w:tcPr>
            <w:tcW w:w="3912" w:type="dxa"/>
            <w:tcBorders>
              <w:top w:val="nil"/>
              <w:left w:val="nil"/>
              <w:bottom w:val="single" w:sz="4" w:space="0" w:color="auto"/>
              <w:right w:val="single" w:sz="4" w:space="0" w:color="auto"/>
            </w:tcBorders>
            <w:shd w:val="clear" w:color="auto" w:fill="auto"/>
            <w:vAlign w:val="center"/>
          </w:tcPr>
          <w:p w:rsidR="00D74F47" w:rsidRPr="00F72494" w:rsidRDefault="00D74F47" w:rsidP="00C8250E">
            <w:pPr>
              <w:pStyle w:val="Tablewriting"/>
              <w:rPr>
                <w:lang w:val="en-US" w:eastAsia="en-US"/>
              </w:rPr>
            </w:pPr>
            <w:r w:rsidRPr="00F72494">
              <w:rPr>
                <w:lang w:val="en-US" w:eastAsia="en-US"/>
              </w:rPr>
              <w:t>RALOXIFENE HYDROCHLORIDE</w:t>
            </w:r>
          </w:p>
        </w:tc>
        <w:tc>
          <w:tcPr>
            <w:tcW w:w="3969" w:type="dxa"/>
            <w:tcBorders>
              <w:top w:val="nil"/>
              <w:left w:val="nil"/>
              <w:bottom w:val="single" w:sz="4" w:space="0" w:color="auto"/>
              <w:right w:val="single" w:sz="4" w:space="0" w:color="auto"/>
            </w:tcBorders>
            <w:shd w:val="clear" w:color="auto" w:fill="auto"/>
            <w:vAlign w:val="center"/>
          </w:tcPr>
          <w:p w:rsidR="00D74F47" w:rsidRPr="00F72494" w:rsidRDefault="00D74F47" w:rsidP="002D3D10">
            <w:pPr>
              <w:pStyle w:val="Tablewriting"/>
              <w:rPr>
                <w:lang w:val="en-US" w:eastAsia="en-US"/>
              </w:rPr>
            </w:pPr>
            <w:r w:rsidRPr="00F72494">
              <w:rPr>
                <w:lang w:val="en-US" w:eastAsia="en-US"/>
              </w:rPr>
              <w:t>Listed on PBS</w:t>
            </w:r>
            <w:r>
              <w:rPr>
                <w:lang w:val="en-US" w:eastAsia="en-US"/>
              </w:rPr>
              <w:t xml:space="preserve"> </w:t>
            </w:r>
            <w:r w:rsidR="002D3D10">
              <w:rPr>
                <w:lang w:val="en-US" w:eastAsia="en-US"/>
              </w:rPr>
              <w:t xml:space="preserve">on a cost-minimisation basis with alendronate </w:t>
            </w:r>
            <w:r>
              <w:rPr>
                <w:lang w:val="en-US" w:eastAsia="en-US"/>
              </w:rPr>
              <w:t>for established post-menopausal osteoporosis in patients with fracture due to minimal trauma</w:t>
            </w:r>
          </w:p>
        </w:tc>
      </w:tr>
      <w:tr w:rsidR="00D74F47"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F72494" w:rsidRDefault="00D74F47" w:rsidP="00C8250E">
            <w:pPr>
              <w:pStyle w:val="Tablewriting"/>
              <w:rPr>
                <w:lang w:val="en-US" w:eastAsia="en-US"/>
              </w:rPr>
            </w:pPr>
            <w:r w:rsidRPr="00F72494">
              <w:rPr>
                <w:lang w:val="en-US" w:eastAsia="en-US"/>
              </w:rPr>
              <w:t>1/02/2001</w:t>
            </w:r>
          </w:p>
        </w:tc>
        <w:tc>
          <w:tcPr>
            <w:tcW w:w="3912" w:type="dxa"/>
            <w:tcBorders>
              <w:top w:val="nil"/>
              <w:left w:val="nil"/>
              <w:bottom w:val="single" w:sz="4" w:space="0" w:color="auto"/>
              <w:right w:val="single" w:sz="4" w:space="0" w:color="auto"/>
            </w:tcBorders>
            <w:shd w:val="clear" w:color="auto" w:fill="auto"/>
            <w:vAlign w:val="center"/>
          </w:tcPr>
          <w:p w:rsidR="00D74F47" w:rsidRPr="00F72494" w:rsidRDefault="00FC51D8" w:rsidP="00C8250E">
            <w:pPr>
              <w:pStyle w:val="Tablewriting"/>
              <w:rPr>
                <w:lang w:val="en-US" w:eastAsia="en-US"/>
              </w:rPr>
            </w:pPr>
            <w:r>
              <w:rPr>
                <w:lang w:val="en-US" w:eastAsia="en-US"/>
              </w:rPr>
              <w:t>RISEDRONATE</w:t>
            </w:r>
          </w:p>
        </w:tc>
        <w:tc>
          <w:tcPr>
            <w:tcW w:w="3969" w:type="dxa"/>
            <w:tcBorders>
              <w:top w:val="nil"/>
              <w:left w:val="nil"/>
              <w:bottom w:val="single" w:sz="4" w:space="0" w:color="auto"/>
              <w:right w:val="single" w:sz="4" w:space="0" w:color="auto"/>
            </w:tcBorders>
            <w:shd w:val="clear" w:color="auto" w:fill="auto"/>
            <w:vAlign w:val="center"/>
          </w:tcPr>
          <w:p w:rsidR="00D74F47" w:rsidRPr="00F72494" w:rsidRDefault="00D74F47" w:rsidP="002D3D10">
            <w:pPr>
              <w:pStyle w:val="Tablewriting"/>
              <w:rPr>
                <w:lang w:val="en-US" w:eastAsia="en-US"/>
              </w:rPr>
            </w:pPr>
            <w:r w:rsidRPr="00F72494">
              <w:rPr>
                <w:lang w:val="en-US" w:eastAsia="en-US"/>
              </w:rPr>
              <w:t>Listed on PBS</w:t>
            </w:r>
            <w:r>
              <w:rPr>
                <w:lang w:val="en-US" w:eastAsia="en-US"/>
              </w:rPr>
              <w:t xml:space="preserve"> </w:t>
            </w:r>
            <w:r w:rsidR="002D3D10">
              <w:rPr>
                <w:lang w:val="en-US" w:eastAsia="en-US"/>
              </w:rPr>
              <w:t>on a cost-minimisation basis with alendronate</w:t>
            </w:r>
            <w:r w:rsidR="00294AD4">
              <w:rPr>
                <w:lang w:val="en-US" w:eastAsia="en-US"/>
              </w:rPr>
              <w:t xml:space="preserve"> </w:t>
            </w:r>
            <w:r>
              <w:rPr>
                <w:lang w:val="en-US" w:eastAsia="en-US"/>
              </w:rPr>
              <w:t>for established post-menopausal osteoporosis in patients with fracture due to minimal trauma</w:t>
            </w:r>
          </w:p>
        </w:tc>
      </w:tr>
      <w:tr w:rsidR="00D74F47"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D92944" w:rsidRDefault="00D74F47" w:rsidP="00C8250E">
            <w:pPr>
              <w:pStyle w:val="Tablewriting"/>
              <w:rPr>
                <w:lang w:val="en-US" w:eastAsia="en-US"/>
              </w:rPr>
            </w:pPr>
            <w:r w:rsidRPr="00D92944">
              <w:rPr>
                <w:lang w:val="en-US" w:eastAsia="en-US"/>
              </w:rPr>
              <w:t>1/12/2005</w:t>
            </w:r>
          </w:p>
        </w:tc>
        <w:tc>
          <w:tcPr>
            <w:tcW w:w="3912" w:type="dxa"/>
            <w:tcBorders>
              <w:top w:val="nil"/>
              <w:left w:val="nil"/>
              <w:bottom w:val="single" w:sz="4" w:space="0" w:color="auto"/>
              <w:right w:val="single" w:sz="4" w:space="0" w:color="auto"/>
            </w:tcBorders>
            <w:shd w:val="clear" w:color="auto" w:fill="auto"/>
            <w:vAlign w:val="center"/>
          </w:tcPr>
          <w:p w:rsidR="00D74F47" w:rsidRPr="00D92944" w:rsidRDefault="00D74F47" w:rsidP="00C8250E">
            <w:pPr>
              <w:pStyle w:val="Tablewriting"/>
              <w:rPr>
                <w:lang w:val="en-US" w:eastAsia="en-US"/>
              </w:rPr>
            </w:pPr>
            <w:r w:rsidRPr="00D92944">
              <w:rPr>
                <w:lang w:val="en-US" w:eastAsia="en-US"/>
              </w:rPr>
              <w:t>CALCIUM</w:t>
            </w:r>
          </w:p>
        </w:tc>
        <w:tc>
          <w:tcPr>
            <w:tcW w:w="3969" w:type="dxa"/>
            <w:tcBorders>
              <w:top w:val="nil"/>
              <w:left w:val="nil"/>
              <w:bottom w:val="single" w:sz="4" w:space="0" w:color="auto"/>
              <w:right w:val="single" w:sz="4" w:space="0" w:color="auto"/>
            </w:tcBorders>
            <w:shd w:val="clear" w:color="auto" w:fill="auto"/>
            <w:vAlign w:val="center"/>
          </w:tcPr>
          <w:p w:rsidR="00D74F47" w:rsidRDefault="00D74F47" w:rsidP="00C8250E">
            <w:pPr>
              <w:pStyle w:val="Tablewriting"/>
              <w:rPr>
                <w:lang w:val="en-US" w:eastAsia="en-US"/>
              </w:rPr>
            </w:pPr>
            <w:r w:rsidRPr="00D92944">
              <w:rPr>
                <w:lang w:val="en-US" w:eastAsia="en-US"/>
              </w:rPr>
              <w:t>Delisting of calcium</w:t>
            </w:r>
            <w:r>
              <w:rPr>
                <w:lang w:val="en-US" w:eastAsia="en-US"/>
              </w:rPr>
              <w:t xml:space="preserve"> for </w:t>
            </w:r>
            <w:r w:rsidRPr="0020541A">
              <w:rPr>
                <w:lang w:val="en-US" w:eastAsia="en-US"/>
              </w:rPr>
              <w:t>patients other than those with chronic renal failure</w:t>
            </w:r>
            <w:r w:rsidRPr="00D92944">
              <w:rPr>
                <w:lang w:val="en-US" w:eastAsia="en-US"/>
              </w:rPr>
              <w:t xml:space="preserve"> </w:t>
            </w:r>
          </w:p>
        </w:tc>
      </w:tr>
      <w:tr w:rsidR="00D74F47"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F72494" w:rsidRDefault="00D74F47" w:rsidP="00C8250E">
            <w:pPr>
              <w:pStyle w:val="Tablewriting"/>
              <w:rPr>
                <w:lang w:val="en-US" w:eastAsia="en-US"/>
              </w:rPr>
            </w:pPr>
            <w:r>
              <w:rPr>
                <w:lang w:val="en-US" w:eastAsia="en-US"/>
              </w:rPr>
              <w:t>1/04/2006</w:t>
            </w:r>
          </w:p>
        </w:tc>
        <w:tc>
          <w:tcPr>
            <w:tcW w:w="3912" w:type="dxa"/>
            <w:tcBorders>
              <w:top w:val="nil"/>
              <w:left w:val="nil"/>
              <w:bottom w:val="single" w:sz="4" w:space="0" w:color="auto"/>
              <w:right w:val="single" w:sz="4" w:space="0" w:color="auto"/>
            </w:tcBorders>
            <w:shd w:val="clear" w:color="auto" w:fill="auto"/>
            <w:vAlign w:val="center"/>
          </w:tcPr>
          <w:p w:rsidR="00D74F47" w:rsidRPr="00F72494" w:rsidRDefault="00FC51D8" w:rsidP="00C8250E">
            <w:pPr>
              <w:pStyle w:val="Tablewriting"/>
              <w:rPr>
                <w:lang w:val="en-US" w:eastAsia="en-US"/>
              </w:rPr>
            </w:pPr>
            <w:r>
              <w:rPr>
                <w:lang w:val="en-US" w:eastAsia="en-US"/>
              </w:rPr>
              <w:t>ALENDRONATE</w:t>
            </w:r>
            <w:r w:rsidR="00D74F47" w:rsidRPr="00404F50">
              <w:rPr>
                <w:lang w:val="en-US" w:eastAsia="en-US"/>
              </w:rPr>
              <w:t xml:space="preserve"> (</w:t>
            </w:r>
            <w:r w:rsidR="00D74F47" w:rsidRPr="00404F50">
              <w:t>70 mg tabs)</w:t>
            </w:r>
            <w:r w:rsidR="00D74F47" w:rsidRPr="00404F50">
              <w:rPr>
                <w:lang w:val="en-US" w:eastAsia="en-US"/>
              </w:rPr>
              <w:t xml:space="preserve">, </w:t>
            </w:r>
            <w:r w:rsidR="00AC0771">
              <w:rPr>
                <w:lang w:val="en-US" w:eastAsia="en-US"/>
              </w:rPr>
              <w:t>RISEDRONATE</w:t>
            </w:r>
            <w:r w:rsidR="00D74F47" w:rsidRPr="00404F50">
              <w:rPr>
                <w:lang w:val="en-US" w:eastAsia="en-US"/>
              </w:rPr>
              <w:t xml:space="preserve"> (</w:t>
            </w:r>
            <w:r w:rsidR="00D74F47" w:rsidRPr="00404F50">
              <w:t>5 mg and 35 mg tabs)</w:t>
            </w:r>
            <w:r w:rsidR="00D74F47" w:rsidRPr="00404F50">
              <w:rPr>
                <w:lang w:val="en-US" w:eastAsia="en-US"/>
              </w:rPr>
              <w:t>, RALOXIFENE HYDROCHLORIDE (</w:t>
            </w:r>
            <w:r w:rsidR="00D74F47" w:rsidRPr="00404F50">
              <w:t>60 mg)</w:t>
            </w:r>
            <w:r w:rsidR="00D74F47" w:rsidRPr="00404F50">
              <w:rPr>
                <w:lang w:val="en-US" w:eastAsia="en-US"/>
              </w:rPr>
              <w:t>, DISODIUM ETIDRONATE,</w:t>
            </w:r>
            <w:r w:rsidR="00D74F47">
              <w:rPr>
                <w:lang w:val="en-US" w:eastAsia="en-US"/>
              </w:rPr>
              <w:t xml:space="preserve"> CALCITRIOL</w:t>
            </w:r>
          </w:p>
        </w:tc>
        <w:tc>
          <w:tcPr>
            <w:tcW w:w="3969" w:type="dxa"/>
            <w:tcBorders>
              <w:top w:val="nil"/>
              <w:left w:val="nil"/>
              <w:bottom w:val="single" w:sz="4" w:space="0" w:color="auto"/>
              <w:right w:val="single" w:sz="4" w:space="0" w:color="auto"/>
            </w:tcBorders>
            <w:shd w:val="clear" w:color="auto" w:fill="auto"/>
            <w:vAlign w:val="center"/>
          </w:tcPr>
          <w:p w:rsidR="00D74F47" w:rsidRPr="00F72494" w:rsidRDefault="00D74F47" w:rsidP="00C8250E">
            <w:pPr>
              <w:pStyle w:val="Tablewriting"/>
              <w:rPr>
                <w:lang w:val="en-US" w:eastAsia="en-US"/>
              </w:rPr>
            </w:pPr>
            <w:r>
              <w:rPr>
                <w:lang w:val="en-US" w:eastAsia="en-US"/>
              </w:rPr>
              <w:t>Restriction amended to sole therapy for established osteoporosis</w:t>
            </w:r>
          </w:p>
        </w:tc>
      </w:tr>
      <w:tr w:rsidR="00D74F47"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F72494" w:rsidRDefault="00D74F47" w:rsidP="00C8250E">
            <w:pPr>
              <w:pStyle w:val="Tablewriting"/>
              <w:rPr>
                <w:lang w:val="en-US" w:eastAsia="en-US"/>
              </w:rPr>
            </w:pPr>
            <w:r w:rsidRPr="00F72494">
              <w:rPr>
                <w:lang w:val="en-US" w:eastAsia="en-US"/>
              </w:rPr>
              <w:t>1/04/2006</w:t>
            </w:r>
          </w:p>
        </w:tc>
        <w:tc>
          <w:tcPr>
            <w:tcW w:w="3912" w:type="dxa"/>
            <w:tcBorders>
              <w:top w:val="nil"/>
              <w:left w:val="nil"/>
              <w:bottom w:val="single" w:sz="4" w:space="0" w:color="auto"/>
              <w:right w:val="single" w:sz="4" w:space="0" w:color="auto"/>
            </w:tcBorders>
            <w:shd w:val="clear" w:color="auto" w:fill="auto"/>
            <w:vAlign w:val="center"/>
          </w:tcPr>
          <w:p w:rsidR="00D74F47" w:rsidRPr="00F72494" w:rsidRDefault="00AC0771" w:rsidP="00C8250E">
            <w:pPr>
              <w:pStyle w:val="Tablewriting"/>
              <w:rPr>
                <w:lang w:val="en-US" w:eastAsia="en-US"/>
              </w:rPr>
            </w:pPr>
            <w:r>
              <w:rPr>
                <w:lang w:val="en-US" w:eastAsia="en-US"/>
              </w:rPr>
              <w:t>RISEDRONATE</w:t>
            </w:r>
            <w:r w:rsidR="00D74F47" w:rsidRPr="00F72494">
              <w:rPr>
                <w:lang w:val="en-US" w:eastAsia="en-US"/>
              </w:rPr>
              <w:t xml:space="preserve"> and CALCIUM CARBONATE</w:t>
            </w:r>
          </w:p>
        </w:tc>
        <w:tc>
          <w:tcPr>
            <w:tcW w:w="3969" w:type="dxa"/>
            <w:tcBorders>
              <w:top w:val="nil"/>
              <w:left w:val="nil"/>
              <w:bottom w:val="single" w:sz="4" w:space="0" w:color="auto"/>
              <w:right w:val="single" w:sz="4" w:space="0" w:color="auto"/>
            </w:tcBorders>
            <w:shd w:val="clear" w:color="auto" w:fill="auto"/>
            <w:vAlign w:val="center"/>
          </w:tcPr>
          <w:p w:rsidR="00D74F47" w:rsidRPr="00F72494" w:rsidRDefault="00D74F47" w:rsidP="00C8250E">
            <w:pPr>
              <w:pStyle w:val="Tablewriting"/>
              <w:rPr>
                <w:lang w:val="en-US" w:eastAsia="en-US"/>
              </w:rPr>
            </w:pPr>
            <w:r w:rsidRPr="00F72494">
              <w:rPr>
                <w:lang w:val="en-US" w:eastAsia="en-US"/>
              </w:rPr>
              <w:t>Listed on PBS</w:t>
            </w:r>
            <w:r>
              <w:rPr>
                <w:lang w:val="en-US" w:eastAsia="en-US"/>
              </w:rPr>
              <w:t xml:space="preserve"> for established osteoporosis in patients </w:t>
            </w:r>
            <w:r w:rsidRPr="00AD1B76">
              <w:rPr>
                <w:lang w:val="en-US" w:eastAsia="en-US"/>
              </w:rPr>
              <w:t>with fracture due to minimal trauma</w:t>
            </w:r>
          </w:p>
        </w:tc>
      </w:tr>
      <w:tr w:rsidR="00D74F47"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F72494" w:rsidRDefault="00D74F47" w:rsidP="00C8250E">
            <w:pPr>
              <w:pStyle w:val="Tablewriting"/>
              <w:rPr>
                <w:lang w:val="en-US" w:eastAsia="en-US"/>
              </w:rPr>
            </w:pPr>
            <w:r w:rsidRPr="00F72494">
              <w:rPr>
                <w:lang w:val="en-US" w:eastAsia="en-US"/>
              </w:rPr>
              <w:t>1/08/2006</w:t>
            </w:r>
          </w:p>
        </w:tc>
        <w:tc>
          <w:tcPr>
            <w:tcW w:w="3912" w:type="dxa"/>
            <w:tcBorders>
              <w:top w:val="nil"/>
              <w:left w:val="nil"/>
              <w:bottom w:val="single" w:sz="4" w:space="0" w:color="auto"/>
              <w:right w:val="single" w:sz="4" w:space="0" w:color="auto"/>
            </w:tcBorders>
            <w:shd w:val="clear" w:color="auto" w:fill="auto"/>
            <w:vAlign w:val="center"/>
          </w:tcPr>
          <w:p w:rsidR="00D74F47" w:rsidRPr="00F72494" w:rsidRDefault="00FC51D8" w:rsidP="00C8250E">
            <w:pPr>
              <w:pStyle w:val="Tablewriting"/>
              <w:rPr>
                <w:lang w:val="en-US" w:eastAsia="en-US"/>
              </w:rPr>
            </w:pPr>
            <w:r>
              <w:rPr>
                <w:lang w:val="en-US" w:eastAsia="en-US"/>
              </w:rPr>
              <w:t>ALENDRONATE</w:t>
            </w:r>
            <w:r w:rsidR="00D74F47" w:rsidRPr="00F72494">
              <w:rPr>
                <w:lang w:val="en-US" w:eastAsia="en-US"/>
              </w:rPr>
              <w:t xml:space="preserve"> with COLECALCIFEROL</w:t>
            </w:r>
          </w:p>
        </w:tc>
        <w:tc>
          <w:tcPr>
            <w:tcW w:w="3969" w:type="dxa"/>
            <w:tcBorders>
              <w:top w:val="nil"/>
              <w:left w:val="nil"/>
              <w:bottom w:val="single" w:sz="4" w:space="0" w:color="auto"/>
              <w:right w:val="single" w:sz="4" w:space="0" w:color="auto"/>
            </w:tcBorders>
            <w:shd w:val="clear" w:color="auto" w:fill="auto"/>
            <w:vAlign w:val="center"/>
          </w:tcPr>
          <w:p w:rsidR="00D74F47" w:rsidRPr="00F72494" w:rsidRDefault="00D74F47" w:rsidP="00C8250E">
            <w:pPr>
              <w:pStyle w:val="Tablewriting"/>
              <w:rPr>
                <w:lang w:val="en-US" w:eastAsia="en-US"/>
              </w:rPr>
            </w:pPr>
            <w:r w:rsidRPr="00D92944">
              <w:rPr>
                <w:lang w:val="en-US" w:eastAsia="en-US"/>
              </w:rPr>
              <w:t>Listed on PBS</w:t>
            </w:r>
            <w:r>
              <w:rPr>
                <w:lang w:val="en-US" w:eastAsia="en-US"/>
              </w:rPr>
              <w:t xml:space="preserve"> for established osteoporosis in patients with fracture due to minimal trauma</w:t>
            </w:r>
          </w:p>
        </w:tc>
      </w:tr>
      <w:tr w:rsidR="00D74F47"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F72494" w:rsidRDefault="00D74F47" w:rsidP="00C8250E">
            <w:pPr>
              <w:pStyle w:val="Tablewriting"/>
              <w:rPr>
                <w:lang w:val="en-US" w:eastAsia="en-US"/>
              </w:rPr>
            </w:pPr>
            <w:r w:rsidRPr="00F72494">
              <w:rPr>
                <w:lang w:val="en-US" w:eastAsia="en-US"/>
              </w:rPr>
              <w:t>1/04/2007</w:t>
            </w:r>
          </w:p>
        </w:tc>
        <w:tc>
          <w:tcPr>
            <w:tcW w:w="3912" w:type="dxa"/>
            <w:tcBorders>
              <w:top w:val="nil"/>
              <w:left w:val="nil"/>
              <w:bottom w:val="single" w:sz="4" w:space="0" w:color="auto"/>
              <w:right w:val="single" w:sz="4" w:space="0" w:color="auto"/>
            </w:tcBorders>
            <w:shd w:val="clear" w:color="auto" w:fill="auto"/>
            <w:vAlign w:val="center"/>
          </w:tcPr>
          <w:p w:rsidR="00D74F47" w:rsidRPr="00F72494" w:rsidRDefault="00D74F47" w:rsidP="00C8250E">
            <w:pPr>
              <w:pStyle w:val="Tablewriting"/>
              <w:rPr>
                <w:lang w:val="en-US" w:eastAsia="en-US"/>
              </w:rPr>
            </w:pPr>
            <w:r w:rsidRPr="00F72494">
              <w:rPr>
                <w:lang w:val="en-US" w:eastAsia="en-US"/>
              </w:rPr>
              <w:t>STRONTIUM RANELATE</w:t>
            </w:r>
          </w:p>
        </w:tc>
        <w:tc>
          <w:tcPr>
            <w:tcW w:w="3969" w:type="dxa"/>
            <w:tcBorders>
              <w:top w:val="nil"/>
              <w:left w:val="nil"/>
              <w:bottom w:val="single" w:sz="4" w:space="0" w:color="auto"/>
              <w:right w:val="single" w:sz="4" w:space="0" w:color="auto"/>
            </w:tcBorders>
            <w:shd w:val="clear" w:color="auto" w:fill="auto"/>
            <w:vAlign w:val="center"/>
          </w:tcPr>
          <w:p w:rsidR="00D74F47" w:rsidRPr="00F72494" w:rsidRDefault="00D74F47" w:rsidP="00796C2E">
            <w:pPr>
              <w:pStyle w:val="Tablewriting"/>
              <w:rPr>
                <w:lang w:val="en-US" w:eastAsia="en-US"/>
              </w:rPr>
            </w:pPr>
            <w:r w:rsidRPr="00D92944">
              <w:rPr>
                <w:lang w:val="en-US" w:eastAsia="en-US"/>
              </w:rPr>
              <w:t>Listed on PBS</w:t>
            </w:r>
            <w:r>
              <w:rPr>
                <w:lang w:val="en-US" w:eastAsia="en-US"/>
              </w:rPr>
              <w:t xml:space="preserve"> </w:t>
            </w:r>
            <w:r w:rsidR="00796C2E" w:rsidRPr="00796C2E">
              <w:rPr>
                <w:lang w:val="en-US" w:eastAsia="en-US"/>
              </w:rPr>
              <w:t xml:space="preserve">on a cost-minimisation basis </w:t>
            </w:r>
            <w:r w:rsidR="00796C2E">
              <w:rPr>
                <w:lang w:val="en-US" w:eastAsia="en-US"/>
              </w:rPr>
              <w:t>with</w:t>
            </w:r>
            <w:r w:rsidR="00796C2E" w:rsidRPr="00796C2E">
              <w:rPr>
                <w:lang w:val="en-US" w:eastAsia="en-US"/>
              </w:rPr>
              <w:t xml:space="preserve"> alendronate </w:t>
            </w:r>
            <w:r>
              <w:rPr>
                <w:lang w:val="en-US" w:eastAsia="en-US"/>
              </w:rPr>
              <w:t>for established post-menopausal osteoporosis in patients with fracture due to minimal trauma</w:t>
            </w:r>
          </w:p>
        </w:tc>
      </w:tr>
      <w:tr w:rsidR="00D74F47" w:rsidRPr="00F72494" w:rsidTr="007D29C2">
        <w:trPr>
          <w:trHeight w:val="744"/>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F72494" w:rsidRDefault="00D74F47" w:rsidP="00C8250E">
            <w:pPr>
              <w:pStyle w:val="Tablewriting"/>
              <w:rPr>
                <w:lang w:val="en-US" w:eastAsia="en-US"/>
              </w:rPr>
            </w:pPr>
            <w:r w:rsidRPr="00F72494">
              <w:rPr>
                <w:lang w:val="en-US" w:eastAsia="en-US"/>
              </w:rPr>
              <w:t>1/04/2007</w:t>
            </w:r>
          </w:p>
        </w:tc>
        <w:tc>
          <w:tcPr>
            <w:tcW w:w="3912" w:type="dxa"/>
            <w:tcBorders>
              <w:top w:val="nil"/>
              <w:left w:val="nil"/>
              <w:bottom w:val="single" w:sz="4" w:space="0" w:color="auto"/>
              <w:right w:val="single" w:sz="4" w:space="0" w:color="auto"/>
            </w:tcBorders>
            <w:shd w:val="clear" w:color="auto" w:fill="auto"/>
            <w:vAlign w:val="center"/>
          </w:tcPr>
          <w:p w:rsidR="00D74F47" w:rsidRPr="00F72494" w:rsidRDefault="00FC51D8" w:rsidP="00C8250E">
            <w:pPr>
              <w:pStyle w:val="Tablewriting"/>
              <w:rPr>
                <w:lang w:val="en-US" w:eastAsia="en-US"/>
              </w:rPr>
            </w:pPr>
            <w:r>
              <w:rPr>
                <w:lang w:val="en-US" w:eastAsia="en-US"/>
              </w:rPr>
              <w:t>ALENDRONATE</w:t>
            </w:r>
          </w:p>
        </w:tc>
        <w:tc>
          <w:tcPr>
            <w:tcW w:w="3969" w:type="dxa"/>
            <w:tcBorders>
              <w:top w:val="nil"/>
              <w:left w:val="nil"/>
              <w:bottom w:val="single" w:sz="4" w:space="0" w:color="auto"/>
              <w:right w:val="single" w:sz="4" w:space="0" w:color="auto"/>
            </w:tcBorders>
            <w:shd w:val="clear" w:color="auto" w:fill="auto"/>
            <w:vAlign w:val="center"/>
          </w:tcPr>
          <w:p w:rsidR="00D74F47" w:rsidRPr="00F72494" w:rsidRDefault="00D74F47" w:rsidP="00C8250E">
            <w:pPr>
              <w:pStyle w:val="Tablewriting"/>
              <w:rPr>
                <w:lang w:val="en-US" w:eastAsia="en-US"/>
              </w:rPr>
            </w:pPr>
            <w:r w:rsidRPr="00F72494">
              <w:rPr>
                <w:lang w:val="en-US" w:eastAsia="en-US"/>
              </w:rPr>
              <w:t xml:space="preserve">Extension to patients 70 years or more at risk of fracture based on </w:t>
            </w:r>
            <w:r>
              <w:rPr>
                <w:lang w:val="en-US" w:eastAsia="en-US"/>
              </w:rPr>
              <w:t>BMD test (-3.0 or less)</w:t>
            </w:r>
          </w:p>
        </w:tc>
      </w:tr>
      <w:tr w:rsidR="00D74F47"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F72494" w:rsidRDefault="00D74F47" w:rsidP="00C8250E">
            <w:pPr>
              <w:pStyle w:val="Tablewriting"/>
              <w:rPr>
                <w:lang w:val="en-US" w:eastAsia="en-US"/>
              </w:rPr>
            </w:pPr>
            <w:r>
              <w:rPr>
                <w:lang w:val="en-US" w:eastAsia="en-US"/>
              </w:rPr>
              <w:t>1/07/2007</w:t>
            </w:r>
          </w:p>
        </w:tc>
        <w:tc>
          <w:tcPr>
            <w:tcW w:w="3912" w:type="dxa"/>
            <w:tcBorders>
              <w:top w:val="nil"/>
              <w:left w:val="nil"/>
              <w:bottom w:val="single" w:sz="4" w:space="0" w:color="auto"/>
              <w:right w:val="single" w:sz="4" w:space="0" w:color="auto"/>
            </w:tcBorders>
            <w:shd w:val="clear" w:color="auto" w:fill="auto"/>
            <w:vAlign w:val="center"/>
          </w:tcPr>
          <w:p w:rsidR="00D74F47" w:rsidRPr="00F72494" w:rsidRDefault="00D74F47" w:rsidP="00C8250E">
            <w:pPr>
              <w:pStyle w:val="Tablewriting"/>
              <w:rPr>
                <w:lang w:val="en-US" w:eastAsia="en-US"/>
              </w:rPr>
            </w:pPr>
            <w:r w:rsidRPr="00F72494">
              <w:rPr>
                <w:lang w:val="en-US" w:eastAsia="en-US"/>
              </w:rPr>
              <w:t>ALENDRONATE</w:t>
            </w:r>
            <w:r>
              <w:rPr>
                <w:lang w:val="en-US" w:eastAsia="en-US"/>
              </w:rPr>
              <w:t xml:space="preserve"> AND COMBINATIONS, RISEDRONATE AND COMBINATIONS, </w:t>
            </w:r>
            <w:r w:rsidRPr="00F72494">
              <w:rPr>
                <w:lang w:val="en-US" w:eastAsia="en-US"/>
              </w:rPr>
              <w:t>DISODIUM ETIDRONATE and CALCIUM CARBONATE</w:t>
            </w:r>
            <w:r>
              <w:rPr>
                <w:lang w:val="en-US" w:eastAsia="en-US"/>
              </w:rPr>
              <w:t xml:space="preserve">, CALCITROL, RALOXIFENE </w:t>
            </w:r>
            <w:r w:rsidRPr="00F72494">
              <w:rPr>
                <w:lang w:val="en-US" w:eastAsia="en-US"/>
              </w:rPr>
              <w:t>HYDROCHLORIDE</w:t>
            </w:r>
            <w:r>
              <w:rPr>
                <w:lang w:val="en-US" w:eastAsia="en-US"/>
              </w:rPr>
              <w:t xml:space="preserve"> and </w:t>
            </w:r>
            <w:r w:rsidRPr="00F72494">
              <w:rPr>
                <w:lang w:val="en-US" w:eastAsia="en-US"/>
              </w:rPr>
              <w:t>STRONTIUM RANELATE</w:t>
            </w:r>
          </w:p>
        </w:tc>
        <w:tc>
          <w:tcPr>
            <w:tcW w:w="3969" w:type="dxa"/>
            <w:tcBorders>
              <w:top w:val="nil"/>
              <w:left w:val="nil"/>
              <w:bottom w:val="single" w:sz="4" w:space="0" w:color="auto"/>
              <w:right w:val="single" w:sz="4" w:space="0" w:color="auto"/>
            </w:tcBorders>
            <w:shd w:val="clear" w:color="auto" w:fill="auto"/>
            <w:vAlign w:val="center"/>
          </w:tcPr>
          <w:p w:rsidR="00D74F47" w:rsidRPr="00F72494" w:rsidRDefault="00FF41BC" w:rsidP="00C8250E">
            <w:pPr>
              <w:pStyle w:val="Tablewriting"/>
              <w:rPr>
                <w:lang w:val="en-US" w:eastAsia="en-US"/>
              </w:rPr>
            </w:pPr>
            <w:r>
              <w:rPr>
                <w:lang w:val="en-US" w:eastAsia="en-US"/>
              </w:rPr>
              <w:t>STREAMLINED</w:t>
            </w:r>
            <w:r w:rsidR="00D74F47">
              <w:rPr>
                <w:lang w:val="en-US" w:eastAsia="en-US"/>
              </w:rPr>
              <w:t xml:space="preserve"> process was introduced</w:t>
            </w:r>
          </w:p>
        </w:tc>
      </w:tr>
      <w:tr w:rsidR="00D74F47" w:rsidRPr="00F72494" w:rsidTr="007D29C2">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74F47" w:rsidRPr="00F72494" w:rsidRDefault="00D74F47" w:rsidP="00C8250E">
            <w:pPr>
              <w:pStyle w:val="Tablewriting"/>
              <w:rPr>
                <w:lang w:val="en-US" w:eastAsia="en-US"/>
              </w:rPr>
            </w:pPr>
            <w:r w:rsidRPr="00F72494">
              <w:rPr>
                <w:lang w:val="en-US" w:eastAsia="en-US"/>
              </w:rPr>
              <w:t>1/</w:t>
            </w:r>
            <w:r>
              <w:rPr>
                <w:lang w:val="en-US" w:eastAsia="en-US"/>
              </w:rPr>
              <w:t>08/2007</w:t>
            </w:r>
          </w:p>
        </w:tc>
        <w:tc>
          <w:tcPr>
            <w:tcW w:w="3912" w:type="dxa"/>
            <w:tcBorders>
              <w:top w:val="nil"/>
              <w:left w:val="nil"/>
              <w:bottom w:val="single" w:sz="4" w:space="0" w:color="auto"/>
              <w:right w:val="single" w:sz="4" w:space="0" w:color="auto"/>
            </w:tcBorders>
            <w:shd w:val="clear" w:color="auto" w:fill="auto"/>
            <w:vAlign w:val="center"/>
          </w:tcPr>
          <w:p w:rsidR="00D74F47" w:rsidRPr="00F72494" w:rsidRDefault="00AC0771" w:rsidP="00C8250E">
            <w:pPr>
              <w:pStyle w:val="Tablewriting"/>
              <w:rPr>
                <w:lang w:val="en-US" w:eastAsia="en-US"/>
              </w:rPr>
            </w:pPr>
            <w:r>
              <w:rPr>
                <w:lang w:val="en-US" w:eastAsia="en-US"/>
              </w:rPr>
              <w:t>RISEDRONATE</w:t>
            </w:r>
            <w:r w:rsidR="00D74F47" w:rsidRPr="00F72494">
              <w:rPr>
                <w:lang w:val="en-US" w:eastAsia="en-US"/>
              </w:rPr>
              <w:t xml:space="preserve"> and </w:t>
            </w:r>
            <w:r w:rsidR="00D74F47">
              <w:rPr>
                <w:lang w:val="en-US" w:eastAsia="en-US"/>
              </w:rPr>
              <w:t>COMBINATIONS</w:t>
            </w:r>
          </w:p>
        </w:tc>
        <w:tc>
          <w:tcPr>
            <w:tcW w:w="3969" w:type="dxa"/>
            <w:tcBorders>
              <w:top w:val="nil"/>
              <w:left w:val="nil"/>
              <w:bottom w:val="single" w:sz="4" w:space="0" w:color="auto"/>
              <w:right w:val="single" w:sz="4" w:space="0" w:color="auto"/>
            </w:tcBorders>
            <w:shd w:val="clear" w:color="auto" w:fill="auto"/>
            <w:vAlign w:val="center"/>
          </w:tcPr>
          <w:p w:rsidR="00D74F47" w:rsidRPr="00F72494" w:rsidRDefault="00D74F47" w:rsidP="00C8250E">
            <w:pPr>
              <w:pStyle w:val="Tablewriting"/>
              <w:rPr>
                <w:lang w:val="en-US" w:eastAsia="en-US"/>
              </w:rPr>
            </w:pPr>
            <w:r w:rsidRPr="00F72494">
              <w:rPr>
                <w:lang w:val="en-US" w:eastAsia="en-US"/>
              </w:rPr>
              <w:t xml:space="preserve">Extension to patients 70 years or more at risk of fracture based on </w:t>
            </w:r>
            <w:r>
              <w:rPr>
                <w:lang w:val="en-US" w:eastAsia="en-US"/>
              </w:rPr>
              <w:t>BMD test (-3.0 or less)</w:t>
            </w:r>
          </w:p>
        </w:tc>
      </w:tr>
      <w:tr w:rsidR="00001122"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C65CC4" w:rsidP="00C8250E">
            <w:pPr>
              <w:pStyle w:val="Tablewriting"/>
              <w:rPr>
                <w:lang w:val="en-US" w:eastAsia="en-US"/>
              </w:rPr>
            </w:pPr>
            <w:r>
              <w:rPr>
                <w:lang w:val="en-US" w:eastAsia="en-US"/>
              </w:rPr>
              <w:t>1/11</w:t>
            </w:r>
            <w:r w:rsidR="00001122" w:rsidRPr="00F72494">
              <w:rPr>
                <w:lang w:val="en-US" w:eastAsia="en-US"/>
              </w:rPr>
              <w:t>/2007</w:t>
            </w:r>
          </w:p>
        </w:tc>
        <w:tc>
          <w:tcPr>
            <w:tcW w:w="3912" w:type="dxa"/>
            <w:tcBorders>
              <w:top w:val="nil"/>
              <w:left w:val="nil"/>
              <w:bottom w:val="single" w:sz="4" w:space="0" w:color="auto"/>
              <w:right w:val="single" w:sz="4" w:space="0" w:color="auto"/>
            </w:tcBorders>
            <w:shd w:val="clear" w:color="auto" w:fill="auto"/>
            <w:vAlign w:val="center"/>
          </w:tcPr>
          <w:p w:rsidR="00001122" w:rsidRDefault="00001122" w:rsidP="00C8250E">
            <w:pPr>
              <w:pStyle w:val="Tablewriting"/>
              <w:rPr>
                <w:lang w:val="en-US" w:eastAsia="en-US"/>
              </w:rPr>
            </w:pPr>
            <w:r w:rsidRPr="00F72494">
              <w:rPr>
                <w:lang w:val="en-US" w:eastAsia="en-US"/>
              </w:rPr>
              <w:t>STRONTIUM RANELATE</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C65CC4" w:rsidP="00796C2E">
            <w:pPr>
              <w:pStyle w:val="Tablewriting"/>
              <w:rPr>
                <w:lang w:val="en-US" w:eastAsia="en-US"/>
              </w:rPr>
            </w:pPr>
            <w:r w:rsidRPr="00F72494">
              <w:rPr>
                <w:lang w:val="en-US" w:eastAsia="en-US"/>
              </w:rPr>
              <w:t xml:space="preserve">Extension to patients 70 years or more at risk of fracture based on </w:t>
            </w:r>
            <w:r>
              <w:rPr>
                <w:lang w:val="en-US" w:eastAsia="en-US"/>
              </w:rPr>
              <w:t>BMD test (-3.0 or less)</w:t>
            </w:r>
            <w:r w:rsidR="00796C2E">
              <w:rPr>
                <w:lang w:val="en-US" w:eastAsia="en-US"/>
              </w:rPr>
              <w:t>.</w:t>
            </w:r>
            <w:r w:rsidR="00796C2E" w:rsidRPr="00D92944">
              <w:rPr>
                <w:lang w:val="en-US" w:eastAsia="en-US"/>
              </w:rPr>
              <w:t xml:space="preserve"> </w:t>
            </w:r>
            <w:r w:rsidR="00796C2E">
              <w:rPr>
                <w:lang w:val="en-US" w:eastAsia="en-US"/>
              </w:rPr>
              <w:t xml:space="preserve">Based on </w:t>
            </w:r>
            <w:r w:rsidR="00796C2E" w:rsidRPr="00796C2E">
              <w:rPr>
                <w:lang w:val="en-US" w:eastAsia="en-US"/>
              </w:rPr>
              <w:t xml:space="preserve">cost-minimisation </w:t>
            </w:r>
            <w:r w:rsidR="00796C2E">
              <w:rPr>
                <w:lang w:val="en-US" w:eastAsia="en-US"/>
              </w:rPr>
              <w:t>with</w:t>
            </w:r>
            <w:r w:rsidR="00796C2E" w:rsidRPr="00796C2E">
              <w:rPr>
                <w:lang w:val="en-US" w:eastAsia="en-US"/>
              </w:rPr>
              <w:t xml:space="preserve"> alendronate</w:t>
            </w:r>
          </w:p>
        </w:tc>
      </w:tr>
      <w:tr w:rsidR="00001122"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1/12/2007</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Pr>
                <w:lang w:val="en-US" w:eastAsia="en-US"/>
              </w:rPr>
              <w:t>ALENDRONATE</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Statutory price reduction</w:t>
            </w:r>
          </w:p>
        </w:tc>
      </w:tr>
      <w:tr w:rsidR="00001122" w:rsidRPr="00F72494" w:rsidTr="007D29C2">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1/12/2007</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Pr>
                <w:lang w:val="en-US" w:eastAsia="en-US"/>
              </w:rPr>
              <w:t>ALENDRONATE</w:t>
            </w:r>
            <w:r w:rsidRPr="00F72494">
              <w:rPr>
                <w:lang w:val="en-US" w:eastAsia="en-US"/>
              </w:rPr>
              <w:t xml:space="preserve"> with COLECALCIFEROL</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Partial 12.5% price reduction to alendronate component</w:t>
            </w:r>
          </w:p>
        </w:tc>
      </w:tr>
      <w:tr w:rsidR="00001122" w:rsidRPr="00F72494" w:rsidTr="007D29C2">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1/05/2008</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Pr>
                <w:lang w:val="en-US" w:eastAsia="en-US"/>
              </w:rPr>
              <w:t>RISEDRONATE</w:t>
            </w:r>
            <w:r w:rsidRPr="00F72494">
              <w:rPr>
                <w:lang w:val="en-US" w:eastAsia="en-US"/>
              </w:rPr>
              <w:t xml:space="preserve"> and CALCIUM CARBONATE with COLECALCIFEROL</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5361A6">
              <w:rPr>
                <w:lang w:val="en-US" w:eastAsia="en-US"/>
              </w:rPr>
              <w:t>Listed on PBS</w:t>
            </w:r>
            <w:r w:rsidRPr="00F72494">
              <w:rPr>
                <w:lang w:val="en-US" w:eastAsia="en-US"/>
              </w:rPr>
              <w:t xml:space="preserve"> </w:t>
            </w:r>
            <w:r>
              <w:rPr>
                <w:lang w:val="en-US" w:eastAsia="en-US"/>
              </w:rPr>
              <w:t xml:space="preserve">for established osteoporosis in </w:t>
            </w:r>
            <w:r w:rsidRPr="00F72494">
              <w:rPr>
                <w:lang w:val="en-US" w:eastAsia="en-US"/>
              </w:rPr>
              <w:t xml:space="preserve">patients 70 years or </w:t>
            </w:r>
            <w:r>
              <w:rPr>
                <w:lang w:val="en-US" w:eastAsia="en-US"/>
              </w:rPr>
              <w:t>older</w:t>
            </w:r>
            <w:r w:rsidRPr="00F72494">
              <w:rPr>
                <w:lang w:val="en-US" w:eastAsia="en-US"/>
              </w:rPr>
              <w:t xml:space="preserve"> </w:t>
            </w:r>
            <w:r>
              <w:rPr>
                <w:lang w:val="en-US" w:eastAsia="en-US"/>
              </w:rPr>
              <w:t xml:space="preserve">with a </w:t>
            </w:r>
            <w:r w:rsidRPr="00D12C08">
              <w:rPr>
                <w:lang w:val="en-US" w:eastAsia="en-US"/>
              </w:rPr>
              <w:t>BMD T-score of -3.0 or less</w:t>
            </w:r>
            <w:r>
              <w:rPr>
                <w:lang w:val="en-US" w:eastAsia="en-US"/>
              </w:rPr>
              <w:t xml:space="preserve"> and for established osteoporosis in patients with fracture due to minimal trauma</w:t>
            </w:r>
          </w:p>
        </w:tc>
      </w:tr>
      <w:tr w:rsidR="00001122"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1/12/2008</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ZOLEDRONIC ACID</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5361A6">
              <w:rPr>
                <w:lang w:val="en-US" w:eastAsia="en-US"/>
              </w:rPr>
              <w:t>Listed on PBS</w:t>
            </w:r>
            <w:r>
              <w:rPr>
                <w:lang w:val="en-US" w:eastAsia="en-US"/>
              </w:rPr>
              <w:t xml:space="preserve"> </w:t>
            </w:r>
            <w:r w:rsidR="000A148C" w:rsidRPr="000A148C">
              <w:rPr>
                <w:lang w:val="en-US" w:eastAsia="en-US"/>
              </w:rPr>
              <w:t xml:space="preserve">on a cost-minimisation basis with alendronate </w:t>
            </w:r>
            <w:r>
              <w:rPr>
                <w:lang w:val="en-US" w:eastAsia="en-US"/>
              </w:rPr>
              <w:t>for established post-menopausal osteoporosis in women with fracture due to minimal trauma and for established osteoporosis in men with hip fracture due to minimal trauma</w:t>
            </w:r>
          </w:p>
        </w:tc>
      </w:tr>
      <w:tr w:rsidR="00001122"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t>1/02/2009</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t>RISEDRONATE and COMBINATIONS</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t xml:space="preserve">Extension </w:t>
            </w:r>
            <w:r w:rsidRPr="00F72494">
              <w:rPr>
                <w:lang w:val="en-US" w:eastAsia="en-US"/>
              </w:rPr>
              <w:t>to include treatment for corticoid-induced osteopo</w:t>
            </w:r>
            <w:r>
              <w:rPr>
                <w:lang w:val="en-US" w:eastAsia="en-US"/>
              </w:rPr>
              <w:t>rosis in a patient on at least three months</w:t>
            </w:r>
            <w:r w:rsidRPr="00F72494">
              <w:rPr>
                <w:lang w:val="en-US" w:eastAsia="en-US"/>
              </w:rPr>
              <w:t xml:space="preserve"> high-dose corticosteroid therapy with a </w:t>
            </w:r>
            <w:r>
              <w:rPr>
                <w:lang w:val="en-US" w:eastAsia="en-US"/>
              </w:rPr>
              <w:t>BMD</w:t>
            </w:r>
            <w:r w:rsidRPr="00F72494">
              <w:rPr>
                <w:lang w:val="en-US" w:eastAsia="en-US"/>
              </w:rPr>
              <w:t xml:space="preserve"> (BMD) T-score of -1.5 or less</w:t>
            </w:r>
            <w:r>
              <w:t>.</w:t>
            </w:r>
          </w:p>
        </w:tc>
      </w:tr>
      <w:tr w:rsidR="00001122"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Pr>
                <w:lang w:val="en-US" w:eastAsia="en-US"/>
              </w:rPr>
              <w:t>1/04/2009</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ZOLEDRONIC ACID</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Pr>
                <w:lang w:val="en-US" w:eastAsia="en-US"/>
              </w:rPr>
              <w:t>Extension to include treatment for</w:t>
            </w:r>
            <w:r w:rsidRPr="00273EC8">
              <w:rPr>
                <w:lang w:val="en-US" w:eastAsia="en-US"/>
              </w:rPr>
              <w:t xml:space="preserve"> </w:t>
            </w:r>
            <w:r>
              <w:rPr>
                <w:lang w:val="en-US" w:eastAsia="en-US"/>
              </w:rPr>
              <w:t xml:space="preserve">osteoporosis in </w:t>
            </w:r>
            <w:r w:rsidRPr="00F72494">
              <w:rPr>
                <w:lang w:val="en-US" w:eastAsia="en-US"/>
              </w:rPr>
              <w:t xml:space="preserve">patients 70 years or </w:t>
            </w:r>
            <w:r>
              <w:rPr>
                <w:lang w:val="en-US" w:eastAsia="en-US"/>
              </w:rPr>
              <w:t>older</w:t>
            </w:r>
            <w:r w:rsidRPr="00F72494">
              <w:rPr>
                <w:lang w:val="en-US" w:eastAsia="en-US"/>
              </w:rPr>
              <w:t xml:space="preserve"> </w:t>
            </w:r>
            <w:r>
              <w:rPr>
                <w:lang w:val="en-US" w:eastAsia="en-US"/>
              </w:rPr>
              <w:t xml:space="preserve">with a </w:t>
            </w:r>
            <w:r w:rsidRPr="00D12C08">
              <w:rPr>
                <w:lang w:val="en-US" w:eastAsia="en-US"/>
              </w:rPr>
              <w:t>BMD T-score of -3.0 or less</w:t>
            </w:r>
            <w:r w:rsidR="000A148C">
              <w:rPr>
                <w:lang w:val="en-US" w:eastAsia="en-US"/>
              </w:rPr>
              <w:t xml:space="preserve">. Based on </w:t>
            </w:r>
            <w:r w:rsidR="000A148C" w:rsidRPr="00796C2E">
              <w:rPr>
                <w:lang w:val="en-US" w:eastAsia="en-US"/>
              </w:rPr>
              <w:t xml:space="preserve">cost-minimisation </w:t>
            </w:r>
            <w:r w:rsidR="000A148C">
              <w:rPr>
                <w:lang w:val="en-US" w:eastAsia="en-US"/>
              </w:rPr>
              <w:t>with</w:t>
            </w:r>
            <w:r w:rsidR="000A148C" w:rsidRPr="00796C2E">
              <w:rPr>
                <w:lang w:val="en-US" w:eastAsia="en-US"/>
              </w:rPr>
              <w:t xml:space="preserve"> alendronate</w:t>
            </w:r>
            <w:r w:rsidR="00D0749B">
              <w:rPr>
                <w:lang w:val="en-US" w:eastAsia="en-US"/>
              </w:rPr>
              <w:t>.</w:t>
            </w:r>
          </w:p>
        </w:tc>
      </w:tr>
      <w:tr w:rsidR="00001122"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1/05/2009</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TERIPARATIDE</w:t>
            </w:r>
          </w:p>
        </w:tc>
        <w:tc>
          <w:tcPr>
            <w:tcW w:w="3969" w:type="dxa"/>
            <w:tcBorders>
              <w:top w:val="nil"/>
              <w:left w:val="nil"/>
              <w:bottom w:val="single" w:sz="4" w:space="0" w:color="auto"/>
              <w:right w:val="single" w:sz="4" w:space="0" w:color="auto"/>
            </w:tcBorders>
            <w:shd w:val="clear" w:color="auto" w:fill="auto"/>
            <w:vAlign w:val="center"/>
          </w:tcPr>
          <w:p w:rsidR="00001122" w:rsidRPr="00D12C08" w:rsidRDefault="00001122" w:rsidP="00C8250E">
            <w:pPr>
              <w:pStyle w:val="Tablewriting"/>
              <w:rPr>
                <w:lang w:val="en-US" w:eastAsia="en-US"/>
              </w:rPr>
            </w:pPr>
            <w:r w:rsidRPr="00F72494">
              <w:rPr>
                <w:lang w:val="en-US" w:eastAsia="en-US"/>
              </w:rPr>
              <w:t>Listed on PBS</w:t>
            </w:r>
            <w:r w:rsidR="00D0749B">
              <w:rPr>
                <w:lang w:val="en-US" w:eastAsia="en-US"/>
              </w:rPr>
              <w:t xml:space="preserve"> on a </w:t>
            </w:r>
            <w:r w:rsidR="00D0749B" w:rsidRPr="00D0749B">
              <w:rPr>
                <w:lang w:val="en-US" w:eastAsia="en-US"/>
              </w:rPr>
              <w:t xml:space="preserve">cost-effectiveness </w:t>
            </w:r>
            <w:r w:rsidR="00D0749B">
              <w:rPr>
                <w:lang w:val="en-US" w:eastAsia="en-US"/>
              </w:rPr>
              <w:t xml:space="preserve">basis </w:t>
            </w:r>
            <w:r w:rsidR="00D0749B" w:rsidRPr="00D0749B">
              <w:rPr>
                <w:lang w:val="en-US" w:eastAsia="en-US"/>
              </w:rPr>
              <w:t>over</w:t>
            </w:r>
            <w:r w:rsidR="00D0749B">
              <w:rPr>
                <w:lang w:val="en-US" w:eastAsia="en-US"/>
              </w:rPr>
              <w:t xml:space="preserve"> </w:t>
            </w:r>
            <w:r w:rsidR="00D0749B" w:rsidRPr="00D0749B">
              <w:rPr>
                <w:lang w:val="en-US" w:eastAsia="en-US"/>
              </w:rPr>
              <w:t>alendronate</w:t>
            </w:r>
            <w:r>
              <w:rPr>
                <w:lang w:val="en-US" w:eastAsia="en-US"/>
              </w:rPr>
              <w:t xml:space="preserve"> for</w:t>
            </w:r>
            <w:r w:rsidRPr="00D12C08">
              <w:rPr>
                <w:lang w:val="en-US" w:eastAsia="en-US"/>
              </w:rPr>
              <w:t xml:space="preserve"> patients as the sole PBS subsidised treatment of severe osteoporosis </w:t>
            </w:r>
            <w:r>
              <w:rPr>
                <w:lang w:val="en-US" w:eastAsia="en-US"/>
              </w:rPr>
              <w:t xml:space="preserve">for patients with </w:t>
            </w:r>
            <w:r w:rsidRPr="00D12C08">
              <w:rPr>
                <w:lang w:val="en-US" w:eastAsia="en-US"/>
              </w:rPr>
              <w:t>a very high risk of fracture</w:t>
            </w:r>
            <w:r>
              <w:rPr>
                <w:lang w:val="en-US" w:eastAsia="en-US"/>
              </w:rPr>
              <w:t xml:space="preserve"> who have:</w:t>
            </w:r>
          </w:p>
          <w:p w:rsidR="00001122" w:rsidRPr="00FE1245" w:rsidRDefault="00001122" w:rsidP="00C8250E">
            <w:pPr>
              <w:pStyle w:val="Tablewriting"/>
              <w:rPr>
                <w:lang w:val="en-US" w:eastAsia="en-US"/>
              </w:rPr>
            </w:pPr>
            <w:r w:rsidRPr="00FE1245">
              <w:rPr>
                <w:lang w:val="en-US" w:eastAsia="en-US"/>
              </w:rPr>
              <w:t xml:space="preserve">a BMD T-score of -3.0 or less; </w:t>
            </w:r>
          </w:p>
          <w:p w:rsidR="00001122" w:rsidRPr="00FE1245" w:rsidRDefault="00001122" w:rsidP="00C8250E">
            <w:pPr>
              <w:pStyle w:val="Tablewriting"/>
              <w:rPr>
                <w:lang w:val="en-US" w:eastAsia="en-US"/>
              </w:rPr>
            </w:pPr>
            <w:r w:rsidRPr="00FE1245">
              <w:rPr>
                <w:lang w:val="en-US" w:eastAsia="en-US"/>
              </w:rPr>
              <w:t xml:space="preserve">had two or more fractures due to minimal trauma; and </w:t>
            </w:r>
          </w:p>
          <w:p w:rsidR="00001122" w:rsidRPr="00FE1245" w:rsidRDefault="00001122" w:rsidP="00C8250E">
            <w:pPr>
              <w:pStyle w:val="Tablewriting"/>
              <w:rPr>
                <w:lang w:val="en-US" w:eastAsia="en-US"/>
              </w:rPr>
            </w:pPr>
            <w:r w:rsidRPr="00FE1245">
              <w:rPr>
                <w:lang w:val="en-US" w:eastAsia="en-US"/>
              </w:rPr>
              <w:t>experienced at least one symptomatic new fracture after at least 12 months continuous therapy with an anti-resorptive agent at an adequate dose.</w:t>
            </w:r>
          </w:p>
        </w:tc>
      </w:tr>
      <w:tr w:rsidR="00001122" w:rsidRPr="00F72494" w:rsidTr="007D29C2">
        <w:trPr>
          <w:trHeight w:val="1327"/>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1/04/2010</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ZOLEDRONIC ACID</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 xml:space="preserve">Extension to include treatment for corticoid-induced osteoporosis in a patient on long-term, high-dose corticosteroid therapy with a </w:t>
            </w:r>
            <w:r>
              <w:rPr>
                <w:lang w:val="en-US" w:eastAsia="en-US"/>
              </w:rPr>
              <w:t>BMD</w:t>
            </w:r>
            <w:r w:rsidRPr="00F72494">
              <w:rPr>
                <w:lang w:val="en-US" w:eastAsia="en-US"/>
              </w:rPr>
              <w:t xml:space="preserve"> (BMD) T-score of -1.5 or less</w:t>
            </w:r>
          </w:p>
        </w:tc>
      </w:tr>
      <w:tr w:rsidR="00001122" w:rsidRPr="00F72494" w:rsidTr="007D29C2">
        <w:trPr>
          <w:trHeight w:val="1589"/>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1/04/2010</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ZOLEDRONIC ACID</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 xml:space="preserve">Amending the listing to include men with established osteoporosis with fractures other than hip fracture due to minimal trauma, and men aged 70 years or older with a </w:t>
            </w:r>
            <w:r>
              <w:rPr>
                <w:lang w:val="en-US" w:eastAsia="en-US"/>
              </w:rPr>
              <w:t>BMD</w:t>
            </w:r>
            <w:r w:rsidRPr="00F72494">
              <w:rPr>
                <w:lang w:val="en-US" w:eastAsia="en-US"/>
              </w:rPr>
              <w:t xml:space="preserve"> (BMD) T-score of -3</w:t>
            </w:r>
            <w:r>
              <w:rPr>
                <w:lang w:val="en-US" w:eastAsia="en-US"/>
              </w:rPr>
              <w:t>.0</w:t>
            </w:r>
            <w:r w:rsidRPr="00F72494">
              <w:rPr>
                <w:lang w:val="en-US" w:eastAsia="en-US"/>
              </w:rPr>
              <w:t xml:space="preserve"> or less</w:t>
            </w:r>
            <w:r w:rsidR="00D0749B">
              <w:rPr>
                <w:lang w:val="en-US" w:eastAsia="en-US"/>
              </w:rPr>
              <w:t xml:space="preserve">. Based on </w:t>
            </w:r>
            <w:r w:rsidR="00D0749B" w:rsidRPr="00796C2E">
              <w:rPr>
                <w:lang w:val="en-US" w:eastAsia="en-US"/>
              </w:rPr>
              <w:t xml:space="preserve">cost-minimisation </w:t>
            </w:r>
            <w:r w:rsidR="00D0749B">
              <w:rPr>
                <w:lang w:val="en-US" w:eastAsia="en-US"/>
              </w:rPr>
              <w:t xml:space="preserve">with </w:t>
            </w:r>
            <w:r w:rsidR="004C5FF6">
              <w:rPr>
                <w:lang w:val="en-US" w:eastAsia="en-US"/>
              </w:rPr>
              <w:t>zoledronic</w:t>
            </w:r>
            <w:r w:rsidR="00D0749B">
              <w:rPr>
                <w:lang w:val="en-US" w:eastAsia="en-US"/>
              </w:rPr>
              <w:t xml:space="preserve"> acid.</w:t>
            </w:r>
          </w:p>
        </w:tc>
      </w:tr>
      <w:tr w:rsidR="00001122" w:rsidRPr="00F72494" w:rsidTr="007D29C2">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1/06/2010</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D0749B">
              <w:rPr>
                <w:lang w:val="en-US" w:eastAsia="en-US"/>
              </w:rPr>
              <w:t>ALENDRONATE with COLECALCIFEROL and CALCIUM CARBONATE</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273EC8">
              <w:rPr>
                <w:lang w:val="en-US" w:eastAsia="en-US"/>
              </w:rPr>
              <w:t xml:space="preserve">Listed on PBS for </w:t>
            </w:r>
            <w:r>
              <w:rPr>
                <w:lang w:val="en-US" w:eastAsia="en-US"/>
              </w:rPr>
              <w:t xml:space="preserve">osteoporosis in </w:t>
            </w:r>
            <w:r w:rsidRPr="00F72494">
              <w:rPr>
                <w:lang w:val="en-US" w:eastAsia="en-US"/>
              </w:rPr>
              <w:t xml:space="preserve">patients 70 years or </w:t>
            </w:r>
            <w:r>
              <w:rPr>
                <w:lang w:val="en-US" w:eastAsia="en-US"/>
              </w:rPr>
              <w:t>older</w:t>
            </w:r>
            <w:r w:rsidRPr="00F72494">
              <w:rPr>
                <w:lang w:val="en-US" w:eastAsia="en-US"/>
              </w:rPr>
              <w:t xml:space="preserve"> </w:t>
            </w:r>
            <w:r>
              <w:rPr>
                <w:lang w:val="en-US" w:eastAsia="en-US"/>
              </w:rPr>
              <w:t xml:space="preserve">with a </w:t>
            </w:r>
            <w:r w:rsidRPr="00D12C08">
              <w:rPr>
                <w:lang w:val="en-US" w:eastAsia="en-US"/>
              </w:rPr>
              <w:t>BMD T-score of -3.0 or less</w:t>
            </w:r>
            <w:r>
              <w:rPr>
                <w:lang w:val="en-US" w:eastAsia="en-US"/>
              </w:rPr>
              <w:t xml:space="preserve"> and for established osteoporosis in patients with fracture due to minimal trauma</w:t>
            </w:r>
          </w:p>
        </w:tc>
      </w:tr>
      <w:tr w:rsidR="00001122" w:rsidRPr="00F72494" w:rsidTr="007D29C2">
        <w:trPr>
          <w:trHeight w:val="76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1/11/2010</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ALENDRONATE AND COMBINATIONS</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 xml:space="preserve">Extension for people with corticosteroid-induced osteoporosis in a patient on long-term, high-dose corticosteroid therapy with a </w:t>
            </w:r>
            <w:r>
              <w:rPr>
                <w:lang w:val="en-US" w:eastAsia="en-US"/>
              </w:rPr>
              <w:t>BMD</w:t>
            </w:r>
            <w:r w:rsidRPr="00F72494">
              <w:rPr>
                <w:lang w:val="en-US" w:eastAsia="en-US"/>
              </w:rPr>
              <w:t xml:space="preserve"> (BMD) T-score of -1.5</w:t>
            </w:r>
            <w:r>
              <w:rPr>
                <w:lang w:val="en-US" w:eastAsia="en-US"/>
              </w:rPr>
              <w:t xml:space="preserve"> or less</w:t>
            </w:r>
          </w:p>
        </w:tc>
      </w:tr>
      <w:tr w:rsidR="00001122"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1/12/2010</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DENOSUMAB</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D0749B">
            <w:pPr>
              <w:pStyle w:val="Tablewriting"/>
              <w:rPr>
                <w:lang w:val="en-US" w:eastAsia="en-US"/>
              </w:rPr>
            </w:pPr>
            <w:r w:rsidRPr="005361A6">
              <w:rPr>
                <w:lang w:val="en-US" w:eastAsia="en-US"/>
              </w:rPr>
              <w:t>Listed on PBS</w:t>
            </w:r>
            <w:r w:rsidR="00D0749B">
              <w:rPr>
                <w:lang w:val="en-US" w:eastAsia="en-US"/>
              </w:rPr>
              <w:t xml:space="preserve"> on cost-minimisation basis </w:t>
            </w:r>
            <w:r w:rsidR="00D0749B" w:rsidRPr="00D0749B">
              <w:rPr>
                <w:lang w:val="en-US" w:eastAsia="en-US"/>
              </w:rPr>
              <w:t>with zoledronic acid</w:t>
            </w:r>
            <w:r w:rsidR="00D0749B">
              <w:rPr>
                <w:lang w:val="en-US" w:eastAsia="en-US"/>
              </w:rPr>
              <w:t xml:space="preserve"> (</w:t>
            </w:r>
            <w:r w:rsidR="00D0749B" w:rsidRPr="00D0749B">
              <w:rPr>
                <w:lang w:val="en-US" w:eastAsia="en-US"/>
              </w:rPr>
              <w:t>with an adjustment to the price to account for the different requirements for administration</w:t>
            </w:r>
            <w:r w:rsidR="00D0749B">
              <w:rPr>
                <w:lang w:val="en-US" w:eastAsia="en-US"/>
              </w:rPr>
              <w:t xml:space="preserve">) </w:t>
            </w:r>
            <w:r>
              <w:rPr>
                <w:lang w:val="en-US" w:eastAsia="en-US"/>
              </w:rPr>
              <w:t>for women aged 70 or older with a BMD T-score of -3.0 or less and for established post-menopausal osteoporosis in patients with fracture due to minimal trauma</w:t>
            </w:r>
            <w:r w:rsidR="00582DC9">
              <w:rPr>
                <w:lang w:val="en-US" w:eastAsia="en-US"/>
              </w:rPr>
              <w:t xml:space="preserve">. Listed as Authority Required and changed to </w:t>
            </w:r>
            <w:r w:rsidR="00FF41BC">
              <w:rPr>
                <w:lang w:val="en-US" w:eastAsia="en-US"/>
              </w:rPr>
              <w:t>STREAMLINED</w:t>
            </w:r>
            <w:r w:rsidR="00582DC9">
              <w:rPr>
                <w:lang w:val="en-US" w:eastAsia="en-US"/>
              </w:rPr>
              <w:t xml:space="preserve"> in March 2012.</w:t>
            </w:r>
          </w:p>
        </w:tc>
      </w:tr>
      <w:tr w:rsidR="00001122" w:rsidRPr="00F72494" w:rsidTr="007D29C2">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1/04/2011</w:t>
            </w:r>
          </w:p>
        </w:tc>
        <w:tc>
          <w:tcPr>
            <w:tcW w:w="3912" w:type="dxa"/>
            <w:tcBorders>
              <w:top w:val="nil"/>
              <w:left w:val="nil"/>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RISEDRONATE AND COMBINATIONS</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Statutory price reduction</w:t>
            </w:r>
          </w:p>
        </w:tc>
      </w:tr>
      <w:tr w:rsidR="00001122" w:rsidRPr="00F72494" w:rsidTr="007D29C2">
        <w:trPr>
          <w:trHeight w:val="1411"/>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1/12/2011</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ALENDRONATE AND COMBINATIONS</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Amend the listing of alendronate for the treatment of osteoporosis for patients aged 70 years and above be changed to include patients wit</w:t>
            </w:r>
            <w:r>
              <w:rPr>
                <w:lang w:val="en-US" w:eastAsia="en-US"/>
              </w:rPr>
              <w:t>h a BMD T score of -2.5 or less</w:t>
            </w:r>
          </w:p>
        </w:tc>
      </w:tr>
      <w:tr w:rsidR="00D0749B" w:rsidRPr="00F72494" w:rsidTr="007D29C2">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rsidR="00582DC9" w:rsidRPr="00F72494" w:rsidRDefault="00582DC9" w:rsidP="00C8250E">
            <w:pPr>
              <w:pStyle w:val="Tablewriting"/>
              <w:rPr>
                <w:lang w:val="en-US" w:eastAsia="en-US"/>
              </w:rPr>
            </w:pPr>
            <w:r>
              <w:rPr>
                <w:lang w:val="en-US" w:eastAsia="en-US"/>
              </w:rPr>
              <w:t>1/3/2012</w:t>
            </w:r>
          </w:p>
        </w:tc>
        <w:tc>
          <w:tcPr>
            <w:tcW w:w="3912" w:type="dxa"/>
            <w:tcBorders>
              <w:top w:val="nil"/>
              <w:left w:val="nil"/>
              <w:bottom w:val="single" w:sz="4" w:space="0" w:color="auto"/>
              <w:right w:val="single" w:sz="4" w:space="0" w:color="auto"/>
            </w:tcBorders>
            <w:shd w:val="clear" w:color="auto" w:fill="auto"/>
            <w:vAlign w:val="center"/>
          </w:tcPr>
          <w:p w:rsidR="00D0749B" w:rsidRDefault="00582DC9" w:rsidP="00C8250E">
            <w:pPr>
              <w:pStyle w:val="Tablewriting"/>
              <w:rPr>
                <w:lang w:val="en-US" w:eastAsia="en-US"/>
              </w:rPr>
            </w:pPr>
            <w:r w:rsidRPr="00F72494">
              <w:rPr>
                <w:lang w:val="en-US" w:eastAsia="en-US"/>
              </w:rPr>
              <w:t>DENOSUMAB</w:t>
            </w:r>
          </w:p>
        </w:tc>
        <w:tc>
          <w:tcPr>
            <w:tcW w:w="3969" w:type="dxa"/>
            <w:tcBorders>
              <w:top w:val="nil"/>
              <w:left w:val="nil"/>
              <w:bottom w:val="single" w:sz="4" w:space="0" w:color="auto"/>
              <w:right w:val="single" w:sz="4" w:space="0" w:color="auto"/>
            </w:tcBorders>
            <w:shd w:val="clear" w:color="auto" w:fill="auto"/>
            <w:vAlign w:val="center"/>
          </w:tcPr>
          <w:p w:rsidR="00D0749B" w:rsidRPr="00F72494" w:rsidRDefault="000442CE" w:rsidP="00C8250E">
            <w:pPr>
              <w:pStyle w:val="Tablewriting"/>
              <w:rPr>
                <w:lang w:val="en-US" w:eastAsia="en-US"/>
              </w:rPr>
            </w:pPr>
            <w:r>
              <w:rPr>
                <w:lang w:val="en-US" w:eastAsia="en-US"/>
              </w:rPr>
              <w:t>C</w:t>
            </w:r>
            <w:r w:rsidR="00582DC9">
              <w:rPr>
                <w:lang w:val="en-US" w:eastAsia="en-US"/>
              </w:rPr>
              <w:t>hanged to Authority Required (Streamlined)</w:t>
            </w:r>
          </w:p>
        </w:tc>
      </w:tr>
      <w:tr w:rsidR="00001122" w:rsidRPr="00F72494" w:rsidTr="007D29C2">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1/04/2012</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Pr>
                <w:lang w:val="en-US" w:eastAsia="en-US"/>
              </w:rPr>
              <w:t>ALENDRONATE</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Price disclosure reduction of 31.84%</w:t>
            </w:r>
          </w:p>
        </w:tc>
      </w:tr>
      <w:tr w:rsidR="00001122" w:rsidRPr="00F72494" w:rsidTr="00A36FBE">
        <w:trPr>
          <w:trHeight w:val="255"/>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AC0771">
            <w:pPr>
              <w:pStyle w:val="Tablewriting"/>
              <w:rPr>
                <w:lang w:val="en-US" w:eastAsia="en-US"/>
              </w:rPr>
            </w:pPr>
            <w:r>
              <w:rPr>
                <w:lang w:val="en-US" w:eastAsia="en-US"/>
              </w:rPr>
              <w:t>1/07</w:t>
            </w:r>
            <w:r w:rsidRPr="00F72494">
              <w:rPr>
                <w:lang w:val="en-US" w:eastAsia="en-US"/>
              </w:rPr>
              <w:t>/20</w:t>
            </w:r>
            <w:r>
              <w:rPr>
                <w:lang w:val="en-US" w:eastAsia="en-US"/>
              </w:rPr>
              <w:t>12</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A36FBE">
            <w:pPr>
              <w:pStyle w:val="Tablewriting"/>
              <w:rPr>
                <w:lang w:val="en-US" w:eastAsia="en-US"/>
              </w:rPr>
            </w:pPr>
            <w:r w:rsidRPr="00F72494">
              <w:rPr>
                <w:lang w:val="en-US" w:eastAsia="en-US"/>
              </w:rPr>
              <w:t>TERIPARATIDE</w:t>
            </w:r>
          </w:p>
        </w:tc>
        <w:tc>
          <w:tcPr>
            <w:tcW w:w="3969" w:type="dxa"/>
            <w:tcBorders>
              <w:top w:val="nil"/>
              <w:left w:val="nil"/>
              <w:bottom w:val="single" w:sz="4" w:space="0" w:color="auto"/>
              <w:right w:val="single" w:sz="4" w:space="0" w:color="auto"/>
            </w:tcBorders>
            <w:shd w:val="clear" w:color="auto" w:fill="auto"/>
            <w:vAlign w:val="center"/>
          </w:tcPr>
          <w:p w:rsidR="00001122" w:rsidRPr="00FE1245" w:rsidRDefault="00001122" w:rsidP="00AC0771">
            <w:pPr>
              <w:pStyle w:val="Tablewriting"/>
              <w:rPr>
                <w:lang w:val="en-US" w:eastAsia="en-US"/>
              </w:rPr>
            </w:pPr>
            <w:r>
              <w:rPr>
                <w:lang w:val="en-US" w:eastAsia="en-US"/>
              </w:rPr>
              <w:t>Changed from written authority (Complex Authority Required to telephone authority (Authority Required)</w:t>
            </w:r>
          </w:p>
        </w:tc>
      </w:tr>
      <w:tr w:rsidR="00001122" w:rsidRPr="00F72494" w:rsidTr="007D29C2">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Pr>
                <w:lang w:val="en-US" w:eastAsia="en-US"/>
              </w:rPr>
              <w:t>1/08/2012</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DENOSUMAB</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BD58D9">
            <w:pPr>
              <w:pStyle w:val="Tablewriting"/>
              <w:rPr>
                <w:lang w:val="en-US" w:eastAsia="en-US"/>
              </w:rPr>
            </w:pPr>
            <w:r w:rsidRPr="00F72494">
              <w:rPr>
                <w:lang w:val="en-US" w:eastAsia="en-US"/>
              </w:rPr>
              <w:t xml:space="preserve">Amend the listing of </w:t>
            </w:r>
            <w:r>
              <w:rPr>
                <w:lang w:val="en-US" w:eastAsia="en-US"/>
              </w:rPr>
              <w:t>denosumab</w:t>
            </w:r>
            <w:r w:rsidRPr="00F72494">
              <w:rPr>
                <w:lang w:val="en-US" w:eastAsia="en-US"/>
              </w:rPr>
              <w:t xml:space="preserve"> for the treatment of osteoporosis for </w:t>
            </w:r>
            <w:r w:rsidR="00BD58D9">
              <w:rPr>
                <w:lang w:val="en-US" w:eastAsia="en-US"/>
              </w:rPr>
              <w:t>women</w:t>
            </w:r>
            <w:r w:rsidRPr="00F72494">
              <w:rPr>
                <w:lang w:val="en-US" w:eastAsia="en-US"/>
              </w:rPr>
              <w:t xml:space="preserve"> aged 70 years and above be changed to include patients wit</w:t>
            </w:r>
            <w:r>
              <w:rPr>
                <w:lang w:val="en-US" w:eastAsia="en-US"/>
              </w:rPr>
              <w:t>h a BMD T score of -2.5 or less</w:t>
            </w:r>
          </w:p>
        </w:tc>
      </w:tr>
      <w:tr w:rsidR="00001122" w:rsidRPr="00F72494" w:rsidTr="007D29C2">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Pr>
                <w:lang w:val="en-US" w:eastAsia="en-US"/>
              </w:rPr>
              <w:t>1/09/2012</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E07B11">
              <w:rPr>
                <w:lang w:val="en-US" w:eastAsia="en-US"/>
              </w:rPr>
              <w:t>DISODIUM ETIDRONATE</w:t>
            </w:r>
            <w:r w:rsidRPr="00F72494">
              <w:rPr>
                <w:lang w:val="en-US" w:eastAsia="en-US"/>
              </w:rPr>
              <w:t xml:space="preserve"> AND COMBINATIONS</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2D4014">
              <w:rPr>
                <w:lang w:val="en-US" w:eastAsia="en-US"/>
              </w:rPr>
              <w:t>Delisted at request of Sponsor</w:t>
            </w:r>
          </w:p>
        </w:tc>
      </w:tr>
      <w:tr w:rsidR="00001122" w:rsidRPr="00F72494" w:rsidTr="007D29C2">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Pr>
                <w:lang w:val="en-US" w:eastAsia="en-US"/>
              </w:rPr>
              <w:t>1/12/2012</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RISEDRONATE AND COMBINATIONS</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Pr>
                <w:lang w:val="en-US" w:eastAsia="en-US"/>
              </w:rPr>
              <w:t>The price was decreased on 1 December 2012, however following a court order on 6 December 2012 the prices were corrected to the 1 November 2012 prices</w:t>
            </w:r>
          </w:p>
        </w:tc>
      </w:tr>
      <w:tr w:rsidR="00001122" w:rsidRPr="00F72494" w:rsidTr="007D29C2">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sidRPr="00F72494">
              <w:rPr>
                <w:lang w:val="en-US" w:eastAsia="en-US"/>
              </w:rPr>
              <w:t>1/04/201</w:t>
            </w:r>
            <w:r>
              <w:rPr>
                <w:lang w:val="en-US" w:eastAsia="en-US"/>
              </w:rPr>
              <w:t>3</w:t>
            </w:r>
          </w:p>
        </w:tc>
        <w:tc>
          <w:tcPr>
            <w:tcW w:w="3912"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Pr>
                <w:lang w:val="en-US" w:eastAsia="en-US"/>
              </w:rPr>
              <w:t>ALENDRONATE</w:t>
            </w:r>
          </w:p>
        </w:tc>
        <w:tc>
          <w:tcPr>
            <w:tcW w:w="3969" w:type="dxa"/>
            <w:tcBorders>
              <w:top w:val="nil"/>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Price disclosure reduction of 31.84%</w:t>
            </w:r>
          </w:p>
        </w:tc>
      </w:tr>
      <w:tr w:rsidR="00001122" w:rsidRPr="00F72494" w:rsidTr="007D29C2">
        <w:trPr>
          <w:trHeight w:val="51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1122" w:rsidRDefault="00001122" w:rsidP="00C8250E">
            <w:pPr>
              <w:pStyle w:val="Tablewriting"/>
              <w:rPr>
                <w:lang w:val="en-US" w:eastAsia="en-US"/>
              </w:rPr>
            </w:pPr>
            <w:r w:rsidRPr="00F72494">
              <w:rPr>
                <w:lang w:val="en-US" w:eastAsia="en-US"/>
              </w:rPr>
              <w:t>1/0</w:t>
            </w:r>
            <w:r>
              <w:rPr>
                <w:lang w:val="en-US" w:eastAsia="en-US"/>
              </w:rPr>
              <w:t>8</w:t>
            </w:r>
            <w:r w:rsidRPr="00F72494">
              <w:rPr>
                <w:lang w:val="en-US" w:eastAsia="en-US"/>
              </w:rPr>
              <w:t>/201</w:t>
            </w:r>
            <w:r>
              <w:rPr>
                <w:lang w:val="en-US" w:eastAsia="en-US"/>
              </w:rPr>
              <w:t>3</w:t>
            </w:r>
          </w:p>
        </w:tc>
        <w:tc>
          <w:tcPr>
            <w:tcW w:w="3912" w:type="dxa"/>
            <w:tcBorders>
              <w:top w:val="single" w:sz="4" w:space="0" w:color="auto"/>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Pr>
                <w:lang w:val="en-US" w:eastAsia="en-US"/>
              </w:rPr>
              <w:t>RISEDRONATE AND COMBINATIONS</w:t>
            </w:r>
          </w:p>
        </w:tc>
        <w:tc>
          <w:tcPr>
            <w:tcW w:w="3969" w:type="dxa"/>
            <w:tcBorders>
              <w:top w:val="single" w:sz="4" w:space="0" w:color="auto"/>
              <w:left w:val="nil"/>
              <w:bottom w:val="single" w:sz="4" w:space="0" w:color="auto"/>
              <w:right w:val="single" w:sz="4" w:space="0" w:color="auto"/>
            </w:tcBorders>
            <w:shd w:val="clear" w:color="auto" w:fill="auto"/>
            <w:vAlign w:val="center"/>
          </w:tcPr>
          <w:p w:rsidR="00001122" w:rsidRPr="00F72494" w:rsidRDefault="00001122" w:rsidP="00C8250E">
            <w:pPr>
              <w:pStyle w:val="Tablewriting"/>
              <w:rPr>
                <w:lang w:val="en-US" w:eastAsia="en-US"/>
              </w:rPr>
            </w:pPr>
            <w:r w:rsidRPr="00F72494">
              <w:rPr>
                <w:lang w:val="en-US" w:eastAsia="en-US"/>
              </w:rPr>
              <w:t xml:space="preserve">Amend the listing of </w:t>
            </w:r>
            <w:r>
              <w:rPr>
                <w:lang w:val="en-US" w:eastAsia="en-US"/>
              </w:rPr>
              <w:t>risedronate</w:t>
            </w:r>
            <w:r w:rsidRPr="00F72494">
              <w:rPr>
                <w:lang w:val="en-US" w:eastAsia="en-US"/>
              </w:rPr>
              <w:t xml:space="preserve"> for the treatment of osteoporosis for patients aged 70 years and above be changed to include patients wit</w:t>
            </w:r>
            <w:r>
              <w:rPr>
                <w:lang w:val="en-US" w:eastAsia="en-US"/>
              </w:rPr>
              <w:t xml:space="preserve">h a BMD T score of </w:t>
            </w:r>
            <w:r>
              <w:rPr>
                <w:lang w:val="en-US" w:eastAsia="en-US"/>
              </w:rPr>
              <w:noBreakHyphen/>
              <w:t>2.5 or less</w:t>
            </w:r>
          </w:p>
        </w:tc>
      </w:tr>
      <w:tr w:rsidR="00001122" w:rsidRPr="00F72494" w:rsidTr="007D29C2">
        <w:trPr>
          <w:trHeight w:val="51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1122" w:rsidRDefault="00001122" w:rsidP="00C8250E">
            <w:pPr>
              <w:pStyle w:val="Tablewriting"/>
              <w:rPr>
                <w:lang w:val="en-US" w:eastAsia="en-US"/>
              </w:rPr>
            </w:pPr>
            <w:r>
              <w:rPr>
                <w:lang w:val="en-US" w:eastAsia="en-US"/>
              </w:rPr>
              <w:t>1/12/2013</w:t>
            </w:r>
          </w:p>
        </w:tc>
        <w:tc>
          <w:tcPr>
            <w:tcW w:w="3912" w:type="dxa"/>
            <w:tcBorders>
              <w:top w:val="single" w:sz="4" w:space="0" w:color="auto"/>
              <w:left w:val="nil"/>
              <w:bottom w:val="single" w:sz="4" w:space="0" w:color="auto"/>
              <w:right w:val="single" w:sz="4" w:space="0" w:color="auto"/>
            </w:tcBorders>
            <w:shd w:val="clear" w:color="auto" w:fill="auto"/>
            <w:vAlign w:val="center"/>
          </w:tcPr>
          <w:p w:rsidR="00001122" w:rsidRDefault="00001122" w:rsidP="00E45428">
            <w:pPr>
              <w:pStyle w:val="Tablewriting"/>
              <w:rPr>
                <w:lang w:val="en-US" w:eastAsia="en-US"/>
              </w:rPr>
            </w:pPr>
            <w:r w:rsidRPr="00F72494">
              <w:rPr>
                <w:lang w:val="en-US" w:eastAsia="en-US"/>
              </w:rPr>
              <w:t>DENOSUMAB</w:t>
            </w:r>
          </w:p>
        </w:tc>
        <w:tc>
          <w:tcPr>
            <w:tcW w:w="3969" w:type="dxa"/>
            <w:tcBorders>
              <w:top w:val="single" w:sz="4" w:space="0" w:color="auto"/>
              <w:left w:val="nil"/>
              <w:bottom w:val="single" w:sz="4" w:space="0" w:color="auto"/>
              <w:right w:val="single" w:sz="4" w:space="0" w:color="auto"/>
            </w:tcBorders>
            <w:shd w:val="clear" w:color="auto" w:fill="auto"/>
            <w:vAlign w:val="center"/>
          </w:tcPr>
          <w:p w:rsidR="00001122" w:rsidRDefault="00001122" w:rsidP="003E2351">
            <w:pPr>
              <w:pStyle w:val="Tablewriting"/>
              <w:rPr>
                <w:lang w:val="en-US" w:eastAsia="en-US"/>
              </w:rPr>
            </w:pPr>
            <w:r>
              <w:rPr>
                <w:lang w:val="en-US" w:eastAsia="en-US"/>
              </w:rPr>
              <w:t>Restriction expanded to include males</w:t>
            </w:r>
          </w:p>
        </w:tc>
      </w:tr>
      <w:tr w:rsidR="00001122" w:rsidRPr="00F72494" w:rsidTr="007D29C2">
        <w:trPr>
          <w:trHeight w:val="51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1122" w:rsidRDefault="00001122" w:rsidP="00C8250E">
            <w:pPr>
              <w:pStyle w:val="Tablewriting"/>
              <w:rPr>
                <w:lang w:val="en-US" w:eastAsia="en-US"/>
              </w:rPr>
            </w:pPr>
            <w:r>
              <w:rPr>
                <w:lang w:val="en-US" w:eastAsia="en-US"/>
              </w:rPr>
              <w:t>1/10/2014</w:t>
            </w:r>
          </w:p>
        </w:tc>
        <w:tc>
          <w:tcPr>
            <w:tcW w:w="3912" w:type="dxa"/>
            <w:tcBorders>
              <w:top w:val="single" w:sz="4" w:space="0" w:color="auto"/>
              <w:left w:val="nil"/>
              <w:bottom w:val="single" w:sz="4" w:space="0" w:color="auto"/>
              <w:right w:val="single" w:sz="4" w:space="0" w:color="auto"/>
            </w:tcBorders>
            <w:shd w:val="clear" w:color="auto" w:fill="auto"/>
            <w:vAlign w:val="center"/>
          </w:tcPr>
          <w:p w:rsidR="00001122" w:rsidRPr="00F72494" w:rsidRDefault="00001122" w:rsidP="00E45428">
            <w:pPr>
              <w:pStyle w:val="Tablewriting"/>
              <w:rPr>
                <w:lang w:val="en-US" w:eastAsia="en-US"/>
              </w:rPr>
            </w:pPr>
            <w:r>
              <w:rPr>
                <w:lang w:val="en-US" w:eastAsia="en-US"/>
              </w:rPr>
              <w:t>STRONTIUM</w:t>
            </w:r>
          </w:p>
        </w:tc>
        <w:tc>
          <w:tcPr>
            <w:tcW w:w="3969" w:type="dxa"/>
            <w:tcBorders>
              <w:top w:val="single" w:sz="4" w:space="0" w:color="auto"/>
              <w:left w:val="nil"/>
              <w:bottom w:val="single" w:sz="4" w:space="0" w:color="auto"/>
              <w:right w:val="single" w:sz="4" w:space="0" w:color="auto"/>
            </w:tcBorders>
            <w:shd w:val="clear" w:color="auto" w:fill="auto"/>
            <w:vAlign w:val="center"/>
          </w:tcPr>
          <w:p w:rsidR="00001122" w:rsidRPr="003E2351" w:rsidRDefault="00001122" w:rsidP="003E2351">
            <w:pPr>
              <w:pStyle w:val="Tablewriting"/>
              <w:rPr>
                <w:lang w:val="en-US" w:eastAsia="en-US"/>
              </w:rPr>
            </w:pPr>
            <w:r>
              <w:rPr>
                <w:lang w:val="en-US" w:eastAsia="en-US"/>
              </w:rPr>
              <w:t xml:space="preserve">Restriction narrowed. </w:t>
            </w:r>
            <w:r>
              <w:rPr>
                <w:lang w:val="en-US" w:eastAsia="en-US"/>
              </w:rPr>
              <w:br/>
            </w:r>
            <w:r w:rsidRPr="003E2351">
              <w:rPr>
                <w:lang w:val="en-US" w:eastAsia="en-US"/>
              </w:rPr>
              <w:t>•</w:t>
            </w:r>
            <w:r>
              <w:rPr>
                <w:lang w:val="en-US" w:eastAsia="en-US"/>
              </w:rPr>
              <w:t xml:space="preserve"> </w:t>
            </w:r>
            <w:r w:rsidRPr="003E2351">
              <w:rPr>
                <w:lang w:val="en-US" w:eastAsia="en-US"/>
              </w:rPr>
              <w:t>The approval type was change from Authority required (STREAMLINED) to Authority Required.</w:t>
            </w:r>
          </w:p>
          <w:p w:rsidR="00001122" w:rsidRPr="003E2351" w:rsidRDefault="00001122" w:rsidP="003E2351">
            <w:pPr>
              <w:pStyle w:val="Tablewriting"/>
              <w:rPr>
                <w:lang w:val="en-US" w:eastAsia="en-US"/>
              </w:rPr>
            </w:pPr>
            <w:r w:rsidRPr="003E2351">
              <w:rPr>
                <w:lang w:val="en-US" w:eastAsia="en-US"/>
              </w:rPr>
              <w:t>•</w:t>
            </w:r>
            <w:r>
              <w:rPr>
                <w:lang w:val="en-US" w:eastAsia="en-US"/>
              </w:rPr>
              <w:t xml:space="preserve"> </w:t>
            </w:r>
            <w:r w:rsidRPr="003E2351">
              <w:rPr>
                <w:lang w:val="en-US" w:eastAsia="en-US"/>
              </w:rPr>
              <w:t>The indication was changed from “Established osteoporosis” to “Severe established osteoporosis”</w:t>
            </w:r>
          </w:p>
          <w:p w:rsidR="00001122" w:rsidRPr="003E2351" w:rsidRDefault="00001122" w:rsidP="003E2351">
            <w:pPr>
              <w:pStyle w:val="Tablewriting"/>
              <w:rPr>
                <w:lang w:val="en-US" w:eastAsia="en-US"/>
              </w:rPr>
            </w:pPr>
            <w:r w:rsidRPr="003E2351">
              <w:rPr>
                <w:lang w:val="en-US" w:eastAsia="en-US"/>
              </w:rPr>
              <w:t>•</w:t>
            </w:r>
            <w:r>
              <w:rPr>
                <w:lang w:val="en-US" w:eastAsia="en-US"/>
              </w:rPr>
              <w:t xml:space="preserve"> </w:t>
            </w:r>
            <w:r w:rsidRPr="003E2351">
              <w:rPr>
                <w:lang w:val="en-US" w:eastAsia="en-US"/>
              </w:rPr>
              <w:t>The following clinical criteria were added;</w:t>
            </w:r>
          </w:p>
          <w:p w:rsidR="00001122" w:rsidRPr="003E2351" w:rsidRDefault="00001122" w:rsidP="003E2351">
            <w:pPr>
              <w:pStyle w:val="Tablewriting"/>
              <w:rPr>
                <w:lang w:val="en-US" w:eastAsia="en-US"/>
              </w:rPr>
            </w:pPr>
            <w:r w:rsidRPr="003E2351">
              <w:rPr>
                <w:lang w:val="en-US" w:eastAsia="en-US"/>
              </w:rPr>
              <w:t>- Patient must be at high risk of fracture; and</w:t>
            </w:r>
          </w:p>
          <w:p w:rsidR="00001122" w:rsidRPr="00F72494" w:rsidRDefault="00001122" w:rsidP="003E2351">
            <w:pPr>
              <w:pStyle w:val="Tablewriting"/>
              <w:rPr>
                <w:lang w:val="en-US" w:eastAsia="en-US"/>
              </w:rPr>
            </w:pPr>
            <w:r w:rsidRPr="003E2351">
              <w:rPr>
                <w:lang w:val="en-US" w:eastAsia="en-US"/>
              </w:rPr>
              <w:t xml:space="preserve">- Patient must be unable to use other medications for the treatment of osteoporosis due to </w:t>
            </w:r>
            <w:r>
              <w:rPr>
                <w:lang w:val="en-US" w:eastAsia="en-US"/>
              </w:rPr>
              <w:t>contraindications or intolerance.</w:t>
            </w:r>
          </w:p>
        </w:tc>
      </w:tr>
      <w:tr w:rsidR="00001122" w:rsidRPr="00F72494" w:rsidTr="00FC51D8">
        <w:trPr>
          <w:trHeight w:val="51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1122" w:rsidRDefault="00001122" w:rsidP="00FC51D8">
            <w:pPr>
              <w:pStyle w:val="Tablewriting"/>
              <w:rPr>
                <w:lang w:val="en-US" w:eastAsia="en-US"/>
              </w:rPr>
            </w:pPr>
            <w:r>
              <w:rPr>
                <w:lang w:val="en-US" w:eastAsia="en-US"/>
              </w:rPr>
              <w:t>1/5/2015</w:t>
            </w:r>
          </w:p>
        </w:tc>
        <w:tc>
          <w:tcPr>
            <w:tcW w:w="3912" w:type="dxa"/>
            <w:tcBorders>
              <w:top w:val="single" w:sz="4" w:space="0" w:color="auto"/>
              <w:left w:val="nil"/>
              <w:bottom w:val="single" w:sz="4" w:space="0" w:color="auto"/>
              <w:right w:val="single" w:sz="4" w:space="0" w:color="auto"/>
            </w:tcBorders>
            <w:shd w:val="clear" w:color="auto" w:fill="auto"/>
            <w:vAlign w:val="center"/>
          </w:tcPr>
          <w:p w:rsidR="00001122" w:rsidRDefault="00001122" w:rsidP="00FC51D8">
            <w:pPr>
              <w:pStyle w:val="Tablewriting"/>
              <w:rPr>
                <w:lang w:val="en-US" w:eastAsia="en-US"/>
              </w:rPr>
            </w:pPr>
            <w:r>
              <w:rPr>
                <w:lang w:val="en-US" w:eastAsia="en-US"/>
              </w:rPr>
              <w:t>ALENDRONATE and RISEDRONATE</w:t>
            </w:r>
          </w:p>
        </w:tc>
        <w:tc>
          <w:tcPr>
            <w:tcW w:w="3969" w:type="dxa"/>
            <w:tcBorders>
              <w:top w:val="single" w:sz="4" w:space="0" w:color="auto"/>
              <w:left w:val="nil"/>
              <w:bottom w:val="single" w:sz="4" w:space="0" w:color="auto"/>
              <w:right w:val="single" w:sz="4" w:space="0" w:color="auto"/>
            </w:tcBorders>
            <w:shd w:val="clear" w:color="auto" w:fill="auto"/>
            <w:vAlign w:val="center"/>
          </w:tcPr>
          <w:p w:rsidR="00001122" w:rsidRDefault="00001122" w:rsidP="00FC51D8">
            <w:pPr>
              <w:pStyle w:val="Tablewriting"/>
              <w:rPr>
                <w:lang w:val="en-US" w:eastAsia="en-US"/>
              </w:rPr>
            </w:pPr>
            <w:r>
              <w:rPr>
                <w:lang w:val="en-US" w:eastAsia="en-US"/>
              </w:rPr>
              <w:t>Changed from Authority Required (STREAMLINED) to Restricted Benefit. Combination items including these drugs remained Authority Required (STREAMLINED)</w:t>
            </w:r>
          </w:p>
        </w:tc>
      </w:tr>
      <w:tr w:rsidR="00001122" w:rsidRPr="00F72494" w:rsidTr="007D29C2">
        <w:trPr>
          <w:trHeight w:val="51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1122" w:rsidRPr="00F72494" w:rsidRDefault="00001122" w:rsidP="00C8250E">
            <w:pPr>
              <w:pStyle w:val="Tablewriting"/>
              <w:rPr>
                <w:lang w:val="en-US" w:eastAsia="en-US"/>
              </w:rPr>
            </w:pPr>
            <w:r>
              <w:rPr>
                <w:lang w:val="en-US" w:eastAsia="en-US"/>
              </w:rPr>
              <w:t>1/08/2016</w:t>
            </w:r>
          </w:p>
        </w:tc>
        <w:tc>
          <w:tcPr>
            <w:tcW w:w="3912" w:type="dxa"/>
            <w:tcBorders>
              <w:top w:val="single" w:sz="4" w:space="0" w:color="auto"/>
              <w:left w:val="nil"/>
              <w:bottom w:val="single" w:sz="4" w:space="0" w:color="auto"/>
              <w:right w:val="single" w:sz="4" w:space="0" w:color="auto"/>
            </w:tcBorders>
            <w:shd w:val="clear" w:color="auto" w:fill="auto"/>
            <w:vAlign w:val="center"/>
          </w:tcPr>
          <w:p w:rsidR="00001122" w:rsidRPr="00F72494" w:rsidRDefault="00001122" w:rsidP="00E45428">
            <w:pPr>
              <w:pStyle w:val="Tablewriting"/>
              <w:rPr>
                <w:lang w:val="en-US" w:eastAsia="en-US"/>
              </w:rPr>
            </w:pPr>
            <w:r>
              <w:rPr>
                <w:lang w:val="en-US" w:eastAsia="en-US"/>
              </w:rPr>
              <w:t>STRONTIUM</w:t>
            </w:r>
          </w:p>
        </w:tc>
        <w:tc>
          <w:tcPr>
            <w:tcW w:w="3969" w:type="dxa"/>
            <w:tcBorders>
              <w:top w:val="single" w:sz="4" w:space="0" w:color="auto"/>
              <w:left w:val="nil"/>
              <w:bottom w:val="single" w:sz="4" w:space="0" w:color="auto"/>
              <w:right w:val="single" w:sz="4" w:space="0" w:color="auto"/>
            </w:tcBorders>
            <w:shd w:val="clear" w:color="auto" w:fill="auto"/>
            <w:vAlign w:val="center"/>
          </w:tcPr>
          <w:p w:rsidR="00001122" w:rsidRPr="00F72494" w:rsidRDefault="00001122" w:rsidP="00E45428">
            <w:pPr>
              <w:pStyle w:val="Tablewriting"/>
              <w:rPr>
                <w:lang w:val="en-US" w:eastAsia="en-US"/>
              </w:rPr>
            </w:pPr>
            <w:r>
              <w:rPr>
                <w:lang w:val="en-US" w:eastAsia="en-US"/>
              </w:rPr>
              <w:t>Delisted</w:t>
            </w:r>
            <w:r w:rsidR="00841F45">
              <w:rPr>
                <w:lang w:val="en-US" w:eastAsia="en-US"/>
              </w:rPr>
              <w:t xml:space="preserve"> because the medicine was not cost-effective at the price proposed by the sponsor.</w:t>
            </w:r>
          </w:p>
        </w:tc>
      </w:tr>
    </w:tbl>
    <w:p w:rsidR="00D74F47" w:rsidRDefault="00D74F47" w:rsidP="00D74F47"/>
    <w:p w:rsidR="00BB09E1" w:rsidRDefault="00BB09E1">
      <w:pPr>
        <w:spacing w:line="276" w:lineRule="auto"/>
      </w:pPr>
      <w:r>
        <w:br w:type="page"/>
      </w:r>
    </w:p>
    <w:p w:rsidR="00BB09E1" w:rsidRPr="00D74F47" w:rsidRDefault="00BB09E1" w:rsidP="00BB09E1">
      <w:pPr>
        <w:pStyle w:val="Heading3"/>
        <w:tabs>
          <w:tab w:val="left" w:pos="1825"/>
        </w:tabs>
        <w:rPr>
          <w:i w:val="0"/>
          <w:sz w:val="28"/>
        </w:rPr>
      </w:pPr>
      <w:r>
        <w:rPr>
          <w:i w:val="0"/>
          <w:sz w:val="28"/>
        </w:rPr>
        <w:t>Appendix C</w:t>
      </w:r>
      <w:r>
        <w:rPr>
          <w:i w:val="0"/>
          <w:sz w:val="28"/>
        </w:rPr>
        <w:tab/>
      </w:r>
    </w:p>
    <w:p w:rsidR="00BB09E1" w:rsidRPr="002E7A3C" w:rsidRDefault="00BB09E1" w:rsidP="004B7C54">
      <w:pPr>
        <w:spacing w:after="0"/>
        <w:rPr>
          <w:b/>
          <w:szCs w:val="20"/>
        </w:rPr>
      </w:pPr>
      <w:r w:rsidRPr="002E7A3C">
        <w:rPr>
          <w:b/>
          <w:szCs w:val="20"/>
        </w:rPr>
        <w:t xml:space="preserve">Table C.1: </w:t>
      </w:r>
      <w:r w:rsidR="002E7A3C" w:rsidRPr="002E7A3C">
        <w:rPr>
          <w:b/>
          <w:szCs w:val="20"/>
        </w:rPr>
        <w:t>O</w:t>
      </w:r>
      <w:r w:rsidRPr="002E7A3C">
        <w:rPr>
          <w:b/>
          <w:szCs w:val="20"/>
        </w:rPr>
        <w:t xml:space="preserve">steoporosis drugs </w:t>
      </w:r>
      <w:r w:rsidR="002E7A3C" w:rsidRPr="002E7A3C">
        <w:rPr>
          <w:b/>
          <w:szCs w:val="20"/>
        </w:rPr>
        <w:t xml:space="preserve">(packs) </w:t>
      </w:r>
      <w:r w:rsidRPr="002E7A3C">
        <w:rPr>
          <w:b/>
          <w:szCs w:val="20"/>
        </w:rPr>
        <w:t xml:space="preserve">supplied via </w:t>
      </w:r>
      <w:r w:rsidR="002E7A3C" w:rsidRPr="002E7A3C">
        <w:rPr>
          <w:b/>
        </w:rPr>
        <w:t>Remote Area Aboriginal Health Services</w:t>
      </w:r>
    </w:p>
    <w:tbl>
      <w:tblPr>
        <w:tblW w:w="5236" w:type="pct"/>
        <w:tblLayout w:type="fixed"/>
        <w:tblLook w:val="04A0" w:firstRow="1" w:lastRow="0" w:firstColumn="1" w:lastColumn="0" w:noHBand="0" w:noVBand="1"/>
      </w:tblPr>
      <w:tblGrid>
        <w:gridCol w:w="3664"/>
        <w:gridCol w:w="1011"/>
        <w:gridCol w:w="680"/>
        <w:gridCol w:w="680"/>
        <w:gridCol w:w="680"/>
        <w:gridCol w:w="680"/>
        <w:gridCol w:w="692"/>
        <w:gridCol w:w="680"/>
        <w:gridCol w:w="65"/>
        <w:gridCol w:w="774"/>
      </w:tblGrid>
      <w:tr w:rsidR="004B7C54" w:rsidRPr="007A3F65" w:rsidTr="004B7C54">
        <w:trPr>
          <w:trHeight w:val="20"/>
        </w:trPr>
        <w:tc>
          <w:tcPr>
            <w:tcW w:w="1907" w:type="pct"/>
            <w:tcBorders>
              <w:top w:val="nil"/>
              <w:left w:val="nil"/>
              <w:bottom w:val="nil"/>
              <w:right w:val="nil"/>
            </w:tcBorders>
            <w:shd w:val="clear" w:color="auto" w:fill="BFBFBF" w:themeFill="background1" w:themeFillShade="BF"/>
            <w:vAlign w:val="center"/>
            <w:hideMark/>
          </w:tcPr>
          <w:p w:rsidR="004B7C54" w:rsidRPr="007A3F65" w:rsidRDefault="004B7C54"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BFBFBF" w:themeFill="background1" w:themeFillShade="BF"/>
            <w:vAlign w:val="center"/>
            <w:hideMark/>
          </w:tcPr>
          <w:p w:rsidR="004B7C54" w:rsidRPr="007A3F65" w:rsidRDefault="004B7C54" w:rsidP="004B7C54">
            <w:pPr>
              <w:spacing w:after="0"/>
              <w:rPr>
                <w:rFonts w:ascii="Calibri" w:eastAsia="Times New Roman" w:hAnsi="Calibri" w:cs="Times New Roman"/>
                <w:b/>
                <w:bCs/>
                <w:color w:val="000000"/>
                <w:sz w:val="18"/>
                <w:szCs w:val="18"/>
              </w:rPr>
            </w:pPr>
          </w:p>
        </w:tc>
        <w:tc>
          <w:tcPr>
            <w:tcW w:w="1775" w:type="pct"/>
            <w:gridSpan w:val="5"/>
            <w:tcBorders>
              <w:top w:val="nil"/>
              <w:left w:val="nil"/>
              <w:bottom w:val="nil"/>
              <w:right w:val="nil"/>
            </w:tcBorders>
            <w:shd w:val="clear" w:color="auto" w:fill="BFBFBF" w:themeFill="background1" w:themeFillShade="BF"/>
            <w:noWrap/>
            <w:vAlign w:val="center"/>
            <w:hideMark/>
          </w:tcPr>
          <w:p w:rsidR="004B7C54" w:rsidRPr="007A3F65" w:rsidRDefault="004B7C54"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STATE</w:t>
            </w:r>
          </w:p>
        </w:tc>
        <w:tc>
          <w:tcPr>
            <w:tcW w:w="388" w:type="pct"/>
            <w:gridSpan w:val="2"/>
            <w:tcBorders>
              <w:top w:val="nil"/>
              <w:left w:val="nil"/>
              <w:bottom w:val="nil"/>
              <w:right w:val="nil"/>
            </w:tcBorders>
            <w:shd w:val="clear" w:color="auto" w:fill="BFBFBF" w:themeFill="background1" w:themeFillShade="BF"/>
            <w:vAlign w:val="center"/>
          </w:tcPr>
          <w:p w:rsidR="004B7C54" w:rsidRPr="007A3F65" w:rsidRDefault="004B7C54" w:rsidP="004B7C54">
            <w:pPr>
              <w:spacing w:after="0"/>
              <w:rPr>
                <w:rFonts w:ascii="Calibri" w:eastAsia="Times New Roman" w:hAnsi="Calibri" w:cs="Times New Roman"/>
                <w:b/>
                <w:bCs/>
                <w:color w:val="000000"/>
                <w:sz w:val="18"/>
                <w:szCs w:val="18"/>
              </w:rPr>
            </w:pPr>
          </w:p>
        </w:tc>
        <w:tc>
          <w:tcPr>
            <w:tcW w:w="403" w:type="pct"/>
            <w:tcBorders>
              <w:top w:val="nil"/>
              <w:left w:val="nil"/>
              <w:bottom w:val="nil"/>
              <w:right w:val="nil"/>
            </w:tcBorders>
            <w:shd w:val="clear" w:color="auto" w:fill="BFBFBF" w:themeFill="background1" w:themeFillShade="BF"/>
            <w:noWrap/>
            <w:vAlign w:val="center"/>
            <w:hideMark/>
          </w:tcPr>
          <w:p w:rsidR="004B7C54" w:rsidRPr="007A3F65" w:rsidRDefault="004B7C54" w:rsidP="004B7C54">
            <w:pPr>
              <w:spacing w:after="0"/>
              <w:rPr>
                <w:rFonts w:ascii="Calibri" w:eastAsia="Times New Roman" w:hAnsi="Calibri" w:cs="Times New Roman"/>
                <w:b/>
                <w:bCs/>
                <w:color w:val="000000"/>
                <w:sz w:val="18"/>
                <w:szCs w:val="18"/>
              </w:rPr>
            </w:pPr>
          </w:p>
        </w:tc>
      </w:tr>
      <w:tr w:rsidR="004B7C54" w:rsidRPr="007A3F65" w:rsidTr="004B7C54">
        <w:trPr>
          <w:trHeight w:val="20"/>
        </w:trPr>
        <w:tc>
          <w:tcPr>
            <w:tcW w:w="1907" w:type="pct"/>
            <w:tcBorders>
              <w:top w:val="nil"/>
              <w:left w:val="nil"/>
              <w:bottom w:val="single" w:sz="4" w:space="0" w:color="95B3D7"/>
              <w:right w:val="nil"/>
            </w:tcBorders>
            <w:shd w:val="clear" w:color="auto" w:fill="BFBFBF" w:themeFill="background1" w:themeFillShade="BF"/>
            <w:vAlign w:val="center"/>
            <w:hideMark/>
          </w:tcPr>
          <w:p w:rsidR="007A3F65" w:rsidRPr="007A3F65" w:rsidRDefault="004B7C54" w:rsidP="004B7C54">
            <w:pPr>
              <w:spacing w:after="0"/>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Drug</w:t>
            </w:r>
          </w:p>
        </w:tc>
        <w:tc>
          <w:tcPr>
            <w:tcW w:w="526" w:type="pct"/>
            <w:tcBorders>
              <w:top w:val="nil"/>
              <w:left w:val="nil"/>
              <w:bottom w:val="single" w:sz="4" w:space="0" w:color="95B3D7"/>
              <w:right w:val="nil"/>
            </w:tcBorders>
            <w:shd w:val="clear" w:color="auto" w:fill="BFBFBF" w:themeFill="background1" w:themeFillShade="BF"/>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Year</w:t>
            </w:r>
            <w:r>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of</w:t>
            </w:r>
            <w:r>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processing</w:t>
            </w:r>
          </w:p>
        </w:tc>
        <w:tc>
          <w:tcPr>
            <w:tcW w:w="354" w:type="pct"/>
            <w:tcBorders>
              <w:top w:val="nil"/>
              <w:left w:val="nil"/>
              <w:bottom w:val="single" w:sz="4" w:space="0" w:color="95B3D7"/>
              <w:right w:val="nil"/>
            </w:tcBorders>
            <w:shd w:val="clear" w:color="auto" w:fill="BFBFBF" w:themeFill="background1" w:themeFillShade="BF"/>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NSW</w:t>
            </w:r>
          </w:p>
        </w:tc>
        <w:tc>
          <w:tcPr>
            <w:tcW w:w="354" w:type="pct"/>
            <w:tcBorders>
              <w:top w:val="nil"/>
              <w:left w:val="nil"/>
              <w:bottom w:val="single" w:sz="4" w:space="0" w:color="95B3D7"/>
              <w:right w:val="nil"/>
            </w:tcBorders>
            <w:shd w:val="clear" w:color="auto" w:fill="BFBFBF" w:themeFill="background1" w:themeFillShade="BF"/>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NT</w:t>
            </w:r>
          </w:p>
        </w:tc>
        <w:tc>
          <w:tcPr>
            <w:tcW w:w="354" w:type="pct"/>
            <w:tcBorders>
              <w:top w:val="nil"/>
              <w:left w:val="nil"/>
              <w:bottom w:val="single" w:sz="4" w:space="0" w:color="95B3D7"/>
              <w:right w:val="nil"/>
            </w:tcBorders>
            <w:shd w:val="clear" w:color="auto" w:fill="BFBFBF" w:themeFill="background1" w:themeFillShade="BF"/>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QLD</w:t>
            </w:r>
          </w:p>
        </w:tc>
        <w:tc>
          <w:tcPr>
            <w:tcW w:w="354" w:type="pct"/>
            <w:tcBorders>
              <w:top w:val="nil"/>
              <w:left w:val="nil"/>
              <w:bottom w:val="single" w:sz="4" w:space="0" w:color="95B3D7"/>
              <w:right w:val="nil"/>
            </w:tcBorders>
            <w:shd w:val="clear" w:color="auto" w:fill="BFBFBF" w:themeFill="background1" w:themeFillShade="BF"/>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SA</w:t>
            </w:r>
          </w:p>
        </w:tc>
        <w:tc>
          <w:tcPr>
            <w:tcW w:w="360" w:type="pct"/>
            <w:tcBorders>
              <w:top w:val="nil"/>
              <w:left w:val="nil"/>
              <w:bottom w:val="single" w:sz="4" w:space="0" w:color="95B3D7"/>
              <w:right w:val="nil"/>
            </w:tcBorders>
            <w:shd w:val="clear" w:color="auto" w:fill="BFBFBF" w:themeFill="background1" w:themeFillShade="BF"/>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TAS</w:t>
            </w:r>
          </w:p>
        </w:tc>
        <w:tc>
          <w:tcPr>
            <w:tcW w:w="354" w:type="pct"/>
            <w:tcBorders>
              <w:top w:val="nil"/>
              <w:left w:val="nil"/>
              <w:bottom w:val="single" w:sz="4" w:space="0" w:color="95B3D7"/>
              <w:right w:val="nil"/>
            </w:tcBorders>
            <w:shd w:val="clear" w:color="auto" w:fill="BFBFBF" w:themeFill="background1" w:themeFillShade="BF"/>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WA</w:t>
            </w:r>
          </w:p>
        </w:tc>
        <w:tc>
          <w:tcPr>
            <w:tcW w:w="438" w:type="pct"/>
            <w:gridSpan w:val="2"/>
            <w:tcBorders>
              <w:top w:val="nil"/>
              <w:left w:val="nil"/>
              <w:bottom w:val="single" w:sz="4" w:space="0" w:color="95B3D7"/>
              <w:right w:val="nil"/>
            </w:tcBorders>
            <w:shd w:val="clear" w:color="auto" w:fill="BFBFBF" w:themeFill="background1" w:themeFillShade="BF"/>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Total</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CALCITRIOL</w:t>
            </w:r>
            <w:r w:rsidR="00E24166">
              <w:rPr>
                <w:rFonts w:ascii="Calibri" w:eastAsia="Times New Roman" w:hAnsi="Calibri" w:cs="Times New Roman"/>
                <w:b/>
                <w:bCs/>
                <w:color w:val="000000"/>
                <w:sz w:val="18"/>
                <w:szCs w:val="18"/>
              </w:rPr>
              <w:t>*</w:t>
            </w: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609</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288</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11</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821</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1,760</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293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870</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1,790</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669</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303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8</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1,038</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2,037</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780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325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17</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1,148</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2,275</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762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321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30</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1,234</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2,354</w:t>
            </w:r>
          </w:p>
        </w:tc>
      </w:tr>
      <w:tr w:rsidR="004B7C54" w:rsidRPr="007A3F65" w:rsidTr="004B7C54">
        <w:trPr>
          <w:trHeight w:val="20"/>
        </w:trPr>
        <w:tc>
          <w:tcPr>
            <w:tcW w:w="1907" w:type="pct"/>
            <w:tcBorders>
              <w:top w:val="nil"/>
              <w:left w:val="nil"/>
              <w:bottom w:val="single" w:sz="4" w:space="0" w:color="95B3D7"/>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571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125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30</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885</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1,614</w:t>
            </w:r>
          </w:p>
        </w:tc>
      </w:tr>
      <w:tr w:rsidR="004B7C54" w:rsidRPr="007A3F65" w:rsidTr="004B7C54">
        <w:trPr>
          <w:trHeight w:val="20"/>
        </w:trPr>
        <w:tc>
          <w:tcPr>
            <w:tcW w:w="1907"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CALCITRIOL</w:t>
            </w:r>
            <w:r w:rsidR="004B7C54">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Total</w:t>
            </w:r>
          </w:p>
        </w:tc>
        <w:tc>
          <w:tcPr>
            <w:tcW w:w="526"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35</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4,001</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1,655</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106</w:t>
            </w:r>
          </w:p>
        </w:tc>
        <w:tc>
          <w:tcPr>
            <w:tcW w:w="360"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37</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5,996</w:t>
            </w:r>
          </w:p>
        </w:tc>
        <w:tc>
          <w:tcPr>
            <w:tcW w:w="438" w:type="pct"/>
            <w:gridSpan w:val="2"/>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11,830</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ALENDRONATE</w:t>
            </w: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447</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155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30</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310</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963</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482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102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32</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307</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923</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505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132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32</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369</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1,038</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491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157</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26</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267</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941</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358</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239</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19</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298</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914</w:t>
            </w:r>
          </w:p>
        </w:tc>
      </w:tr>
      <w:tr w:rsidR="004B7C54" w:rsidRPr="007A3F65" w:rsidTr="004B7C54">
        <w:trPr>
          <w:trHeight w:val="20"/>
        </w:trPr>
        <w:tc>
          <w:tcPr>
            <w:tcW w:w="1907" w:type="pct"/>
            <w:tcBorders>
              <w:top w:val="nil"/>
              <w:left w:val="nil"/>
              <w:bottom w:val="single" w:sz="4" w:space="0" w:color="95B3D7"/>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266</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124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18</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237</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645</w:t>
            </w:r>
          </w:p>
        </w:tc>
      </w:tr>
      <w:tr w:rsidR="004B7C54" w:rsidRPr="007A3F65" w:rsidTr="004B7C54">
        <w:trPr>
          <w:trHeight w:val="20"/>
        </w:trPr>
        <w:tc>
          <w:tcPr>
            <w:tcW w:w="1907"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ALENDRONATE</w:t>
            </w:r>
            <w:r w:rsidR="004B7C54">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Total</w:t>
            </w:r>
          </w:p>
        </w:tc>
        <w:tc>
          <w:tcPr>
            <w:tcW w:w="526"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21</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2,549</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909</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157</w:t>
            </w:r>
          </w:p>
        </w:tc>
        <w:tc>
          <w:tcPr>
            <w:tcW w:w="360"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1,788</w:t>
            </w:r>
          </w:p>
        </w:tc>
        <w:tc>
          <w:tcPr>
            <w:tcW w:w="438" w:type="pct"/>
            <w:gridSpan w:val="2"/>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5,424</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RISEDRONATE</w:t>
            </w: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38</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95</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143</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146</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206</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91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110</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209</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92</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146</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59</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169</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247</w:t>
            </w:r>
          </w:p>
        </w:tc>
      </w:tr>
      <w:tr w:rsidR="004B7C54" w:rsidRPr="007A3F65" w:rsidTr="004B7C54">
        <w:trPr>
          <w:trHeight w:val="20"/>
        </w:trPr>
        <w:tc>
          <w:tcPr>
            <w:tcW w:w="1907" w:type="pct"/>
            <w:tcBorders>
              <w:top w:val="nil"/>
              <w:left w:val="nil"/>
              <w:bottom w:val="single" w:sz="4" w:space="0" w:color="95B3D7"/>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92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124</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218</w:t>
            </w:r>
          </w:p>
        </w:tc>
      </w:tr>
      <w:tr w:rsidR="004B7C54" w:rsidRPr="007A3F65" w:rsidTr="004B7C54">
        <w:trPr>
          <w:trHeight w:val="20"/>
        </w:trPr>
        <w:tc>
          <w:tcPr>
            <w:tcW w:w="1907"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RISEDRONATE</w:t>
            </w:r>
            <w:r w:rsidR="004B7C54">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Total</w:t>
            </w:r>
          </w:p>
        </w:tc>
        <w:tc>
          <w:tcPr>
            <w:tcW w:w="526"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387</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28</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18</w:t>
            </w:r>
          </w:p>
        </w:tc>
        <w:tc>
          <w:tcPr>
            <w:tcW w:w="360"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736</w:t>
            </w:r>
          </w:p>
        </w:tc>
        <w:tc>
          <w:tcPr>
            <w:tcW w:w="438" w:type="pct"/>
            <w:gridSpan w:val="2"/>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1,169</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ALENDRONATE+COLECALCIFEROL</w:t>
            </w: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39</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36</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92</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48</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18</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44</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110</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28</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41</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127</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20</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70</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144</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21</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41</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157</w:t>
            </w:r>
          </w:p>
        </w:tc>
      </w:tr>
      <w:tr w:rsidR="004B7C54" w:rsidRPr="007A3F65" w:rsidTr="004B7C54">
        <w:trPr>
          <w:trHeight w:val="20"/>
        </w:trPr>
        <w:tc>
          <w:tcPr>
            <w:tcW w:w="1907" w:type="pct"/>
            <w:tcBorders>
              <w:top w:val="nil"/>
              <w:left w:val="nil"/>
              <w:bottom w:val="single" w:sz="4" w:space="0" w:color="95B3D7"/>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74</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166</w:t>
            </w:r>
          </w:p>
        </w:tc>
      </w:tr>
      <w:tr w:rsidR="004B7C54" w:rsidRPr="007A3F65" w:rsidTr="004B7C54">
        <w:trPr>
          <w:trHeight w:val="20"/>
        </w:trPr>
        <w:tc>
          <w:tcPr>
            <w:tcW w:w="1907"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ALENDRONATE+COLECALCIFEROL</w:t>
            </w:r>
            <w:r w:rsidR="004B7C54">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Total</w:t>
            </w:r>
          </w:p>
        </w:tc>
        <w:tc>
          <w:tcPr>
            <w:tcW w:w="526"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5</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286</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170</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51</w:t>
            </w:r>
          </w:p>
        </w:tc>
        <w:tc>
          <w:tcPr>
            <w:tcW w:w="360"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284</w:t>
            </w:r>
          </w:p>
        </w:tc>
        <w:tc>
          <w:tcPr>
            <w:tcW w:w="438" w:type="pct"/>
            <w:gridSpan w:val="2"/>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796</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ALENDRONATE+COLECALCIFEROL(&amp;)CALCIUMCARBONATE</w:t>
            </w: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29</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22</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66</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29</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81</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19</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18</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115</w:t>
            </w:r>
          </w:p>
        </w:tc>
      </w:tr>
      <w:tr w:rsidR="004B7C54" w:rsidRPr="007A3F65" w:rsidTr="004B7C54">
        <w:trPr>
          <w:trHeight w:val="20"/>
        </w:trPr>
        <w:tc>
          <w:tcPr>
            <w:tcW w:w="1907" w:type="pct"/>
            <w:tcBorders>
              <w:top w:val="nil"/>
              <w:left w:val="nil"/>
              <w:bottom w:val="single" w:sz="4" w:space="0" w:color="95B3D7"/>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16</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53</w:t>
            </w:r>
          </w:p>
        </w:tc>
      </w:tr>
      <w:tr w:rsidR="004B7C54" w:rsidRPr="007A3F65" w:rsidTr="004B7C54">
        <w:trPr>
          <w:trHeight w:val="20"/>
        </w:trPr>
        <w:tc>
          <w:tcPr>
            <w:tcW w:w="1907"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ALENDRONATE+COLECALCIFEROL(&amp;)CALCIUMCARBONATE</w:t>
            </w:r>
            <w:r w:rsidR="004B7C54">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Total</w:t>
            </w:r>
          </w:p>
        </w:tc>
        <w:tc>
          <w:tcPr>
            <w:tcW w:w="526"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168</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28</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46</w:t>
            </w:r>
          </w:p>
        </w:tc>
        <w:tc>
          <w:tcPr>
            <w:tcW w:w="360"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29</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76</w:t>
            </w:r>
          </w:p>
        </w:tc>
        <w:tc>
          <w:tcPr>
            <w:tcW w:w="438" w:type="pct"/>
            <w:gridSpan w:val="2"/>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347</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RALOXIFENE</w:t>
            </w: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16</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31</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59</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34</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77</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18</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45</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45</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24</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52</w:t>
            </w:r>
          </w:p>
        </w:tc>
      </w:tr>
      <w:tr w:rsidR="004B7C54" w:rsidRPr="007A3F65" w:rsidTr="004B7C54">
        <w:trPr>
          <w:trHeight w:val="20"/>
        </w:trPr>
        <w:tc>
          <w:tcPr>
            <w:tcW w:w="1907" w:type="pct"/>
            <w:tcBorders>
              <w:top w:val="nil"/>
              <w:left w:val="nil"/>
              <w:bottom w:val="single" w:sz="4" w:space="0" w:color="95B3D7"/>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18</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10</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34</w:t>
            </w:r>
          </w:p>
        </w:tc>
      </w:tr>
      <w:tr w:rsidR="004B7C54" w:rsidRPr="007A3F65" w:rsidTr="004B7C54">
        <w:trPr>
          <w:trHeight w:val="20"/>
        </w:trPr>
        <w:tc>
          <w:tcPr>
            <w:tcW w:w="1907"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RALOXIFENE</w:t>
            </w:r>
            <w:r w:rsidR="004B7C54">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Total</w:t>
            </w:r>
          </w:p>
        </w:tc>
        <w:tc>
          <w:tcPr>
            <w:tcW w:w="526"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121</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82</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60"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109</w:t>
            </w:r>
          </w:p>
        </w:tc>
        <w:tc>
          <w:tcPr>
            <w:tcW w:w="438" w:type="pct"/>
            <w:gridSpan w:val="2"/>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312</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RISEDRONATE(&amp;)CALCIUMCARBONATE+COLECALCIFEROL</w:t>
            </w: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46</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8</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33</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29</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18</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11</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29</w:t>
            </w:r>
          </w:p>
        </w:tc>
      </w:tr>
      <w:tr w:rsidR="004B7C54" w:rsidRPr="007A3F65" w:rsidTr="004B7C54">
        <w:trPr>
          <w:trHeight w:val="20"/>
        </w:trPr>
        <w:tc>
          <w:tcPr>
            <w:tcW w:w="1907" w:type="pct"/>
            <w:tcBorders>
              <w:top w:val="nil"/>
              <w:left w:val="nil"/>
              <w:bottom w:val="single" w:sz="4" w:space="0" w:color="95B3D7"/>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8</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18</w:t>
            </w:r>
          </w:p>
        </w:tc>
      </w:tr>
      <w:tr w:rsidR="004B7C54" w:rsidRPr="007A3F65" w:rsidTr="004B7C54">
        <w:trPr>
          <w:trHeight w:val="20"/>
        </w:trPr>
        <w:tc>
          <w:tcPr>
            <w:tcW w:w="1907"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RISEDRONATE(&amp;)CALCIUMCARBONATE+COLECALCIFEROL</w:t>
            </w:r>
            <w:r w:rsidR="004B7C54">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Total</w:t>
            </w:r>
          </w:p>
        </w:tc>
        <w:tc>
          <w:tcPr>
            <w:tcW w:w="526"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131</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60"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36</w:t>
            </w:r>
          </w:p>
        </w:tc>
        <w:tc>
          <w:tcPr>
            <w:tcW w:w="438" w:type="pct"/>
            <w:gridSpan w:val="2"/>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169</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STRONTIUM</w:t>
            </w: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11</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11</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15</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16</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25</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48</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7</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25</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35</w:t>
            </w:r>
          </w:p>
        </w:tc>
      </w:tr>
      <w:tr w:rsidR="004B7C54" w:rsidRPr="007A3F65" w:rsidTr="004B7C54">
        <w:trPr>
          <w:trHeight w:val="20"/>
        </w:trPr>
        <w:tc>
          <w:tcPr>
            <w:tcW w:w="1907" w:type="pct"/>
            <w:tcBorders>
              <w:top w:val="nil"/>
              <w:left w:val="nil"/>
              <w:bottom w:val="single" w:sz="4" w:space="0" w:color="95B3D7"/>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w:t>
            </w:r>
          </w:p>
        </w:tc>
      </w:tr>
      <w:tr w:rsidR="004B7C54" w:rsidRPr="007A3F65" w:rsidTr="004B7C54">
        <w:trPr>
          <w:trHeight w:val="20"/>
        </w:trPr>
        <w:tc>
          <w:tcPr>
            <w:tcW w:w="1907"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STRONTIUM</w:t>
            </w:r>
            <w:r w:rsidR="004B7C54">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Total</w:t>
            </w:r>
          </w:p>
        </w:tc>
        <w:tc>
          <w:tcPr>
            <w:tcW w:w="526"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7</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27</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60"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94</w:t>
            </w:r>
          </w:p>
        </w:tc>
        <w:tc>
          <w:tcPr>
            <w:tcW w:w="438" w:type="pct"/>
            <w:gridSpan w:val="2"/>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128</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RISEDRONATE(&amp;)CALCIUMCARBONATE</w:t>
            </w: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14</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9</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12</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35</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40</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36</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37</w:t>
            </w:r>
          </w:p>
        </w:tc>
      </w:tr>
      <w:tr w:rsidR="004B7C54" w:rsidRPr="007A3F65" w:rsidTr="004B7C54">
        <w:trPr>
          <w:trHeight w:val="20"/>
        </w:trPr>
        <w:tc>
          <w:tcPr>
            <w:tcW w:w="1907" w:type="pct"/>
            <w:tcBorders>
              <w:top w:val="nil"/>
              <w:left w:val="nil"/>
              <w:bottom w:val="single" w:sz="4" w:space="0" w:color="95B3D7"/>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12</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12</w:t>
            </w:r>
          </w:p>
        </w:tc>
      </w:tr>
      <w:tr w:rsidR="004B7C54" w:rsidRPr="007A3F65" w:rsidTr="004B7C54">
        <w:trPr>
          <w:trHeight w:val="20"/>
        </w:trPr>
        <w:tc>
          <w:tcPr>
            <w:tcW w:w="1907"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RISEDRONATE(&amp;)CALCIUMCARBONATE</w:t>
            </w:r>
            <w:r w:rsidR="004B7C54">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Total</w:t>
            </w:r>
          </w:p>
        </w:tc>
        <w:tc>
          <w:tcPr>
            <w:tcW w:w="526"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29</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60"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92</w:t>
            </w:r>
          </w:p>
        </w:tc>
        <w:tc>
          <w:tcPr>
            <w:tcW w:w="438" w:type="pct"/>
            <w:gridSpan w:val="2"/>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121</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DENOSUMAB</w:t>
            </w: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10</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9</w:t>
            </w:r>
          </w:p>
        </w:tc>
      </w:tr>
      <w:tr w:rsidR="004B7C54" w:rsidRPr="007A3F65" w:rsidTr="004B7C54">
        <w:trPr>
          <w:trHeight w:val="20"/>
        </w:trPr>
        <w:tc>
          <w:tcPr>
            <w:tcW w:w="1907" w:type="pct"/>
            <w:tcBorders>
              <w:top w:val="nil"/>
              <w:left w:val="nil"/>
              <w:bottom w:val="single" w:sz="4" w:space="0" w:color="95B3D7"/>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15</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26</w:t>
            </w:r>
          </w:p>
        </w:tc>
      </w:tr>
      <w:tr w:rsidR="004B7C54" w:rsidRPr="007A3F65" w:rsidTr="004B7C54">
        <w:trPr>
          <w:trHeight w:val="20"/>
        </w:trPr>
        <w:tc>
          <w:tcPr>
            <w:tcW w:w="1907"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DENOSUMAB</w:t>
            </w:r>
            <w:r w:rsidR="004B7C54">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Total</w:t>
            </w:r>
          </w:p>
        </w:tc>
        <w:tc>
          <w:tcPr>
            <w:tcW w:w="526"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15</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5</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60"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4</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27</w:t>
            </w:r>
          </w:p>
        </w:tc>
        <w:tc>
          <w:tcPr>
            <w:tcW w:w="438" w:type="pct"/>
            <w:gridSpan w:val="2"/>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51</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8C7E01">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ZOLEDRONICACID</w:t>
            </w: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2010</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4</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2013</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6</w:t>
            </w:r>
          </w:p>
        </w:tc>
      </w:tr>
      <w:tr w:rsidR="004B7C54" w:rsidRPr="007A3F65" w:rsidTr="004B7C54">
        <w:trPr>
          <w:trHeight w:val="20"/>
        </w:trPr>
        <w:tc>
          <w:tcPr>
            <w:tcW w:w="1907" w:type="pct"/>
            <w:tcBorders>
              <w:top w:val="nil"/>
              <w:left w:val="nil"/>
              <w:bottom w:val="nil"/>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2014</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r>
      <w:tr w:rsidR="004B7C54" w:rsidRPr="007A3F65" w:rsidTr="004B7C54">
        <w:trPr>
          <w:trHeight w:val="20"/>
        </w:trPr>
        <w:tc>
          <w:tcPr>
            <w:tcW w:w="1907" w:type="pct"/>
            <w:tcBorders>
              <w:top w:val="nil"/>
              <w:left w:val="nil"/>
              <w:bottom w:val="single" w:sz="4" w:space="0" w:color="95B3D7"/>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526" w:type="pct"/>
            <w:tcBorders>
              <w:top w:val="nil"/>
              <w:left w:val="nil"/>
              <w:bottom w:val="nil"/>
              <w:right w:val="nil"/>
            </w:tcBorders>
            <w:shd w:val="clear" w:color="auto" w:fill="auto"/>
            <w:noWrap/>
            <w:vAlign w:val="center"/>
            <w:hideMark/>
          </w:tcPr>
          <w:p w:rsidR="007A3F65" w:rsidRPr="007A3F65" w:rsidRDefault="007A3F65" w:rsidP="004B7C54">
            <w:pPr>
              <w:spacing w:after="0"/>
              <w:rPr>
                <w:rFonts w:ascii="Calibri" w:eastAsia="Times New Roman" w:hAnsi="Calibri" w:cs="Times New Roman"/>
                <w:sz w:val="18"/>
                <w:szCs w:val="18"/>
              </w:rPr>
            </w:pPr>
            <w:r w:rsidRPr="007A3F65">
              <w:rPr>
                <w:rFonts w:ascii="Calibri" w:eastAsia="Times New Roman" w:hAnsi="Calibri" w:cs="Times New Roman"/>
                <w:sz w:val="18"/>
                <w:szCs w:val="18"/>
              </w:rPr>
              <w:t>2015</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2</w:t>
            </w: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60"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p>
        </w:tc>
        <w:tc>
          <w:tcPr>
            <w:tcW w:w="354" w:type="pct"/>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1</w:t>
            </w:r>
          </w:p>
        </w:tc>
        <w:tc>
          <w:tcPr>
            <w:tcW w:w="438" w:type="pct"/>
            <w:gridSpan w:val="2"/>
            <w:tcBorders>
              <w:top w:val="nil"/>
              <w:left w:val="nil"/>
              <w:bottom w:val="nil"/>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sz w:val="18"/>
                <w:szCs w:val="18"/>
              </w:rPr>
            </w:pPr>
            <w:r w:rsidRPr="007A3F65">
              <w:rPr>
                <w:rFonts w:ascii="Calibri" w:eastAsia="Times New Roman" w:hAnsi="Calibri" w:cs="Times New Roman"/>
                <w:sz w:val="18"/>
                <w:szCs w:val="18"/>
              </w:rPr>
              <w:t>3</w:t>
            </w:r>
          </w:p>
        </w:tc>
      </w:tr>
      <w:tr w:rsidR="004B7C54" w:rsidRPr="007A3F65" w:rsidTr="004B7C54">
        <w:trPr>
          <w:trHeight w:val="20"/>
        </w:trPr>
        <w:tc>
          <w:tcPr>
            <w:tcW w:w="1907"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ZOLEDRONICACID</w:t>
            </w:r>
            <w:r w:rsidR="004B7C54">
              <w:rPr>
                <w:rFonts w:ascii="Calibri" w:eastAsia="Times New Roman" w:hAnsi="Calibri" w:cs="Times New Roman"/>
                <w:b/>
                <w:bCs/>
                <w:color w:val="000000"/>
                <w:sz w:val="18"/>
                <w:szCs w:val="18"/>
              </w:rPr>
              <w:t xml:space="preserve"> </w:t>
            </w:r>
            <w:r w:rsidRPr="007A3F65">
              <w:rPr>
                <w:rFonts w:ascii="Calibri" w:eastAsia="Times New Roman" w:hAnsi="Calibri" w:cs="Times New Roman"/>
                <w:b/>
                <w:bCs/>
                <w:color w:val="000000"/>
                <w:sz w:val="18"/>
                <w:szCs w:val="18"/>
              </w:rPr>
              <w:t>Total</w:t>
            </w:r>
          </w:p>
        </w:tc>
        <w:tc>
          <w:tcPr>
            <w:tcW w:w="526" w:type="pct"/>
            <w:tcBorders>
              <w:top w:val="single" w:sz="4" w:space="0" w:color="4F81BD"/>
              <w:left w:val="nil"/>
              <w:bottom w:val="single" w:sz="4" w:space="0" w:color="4F81BD"/>
              <w:right w:val="nil"/>
            </w:tcBorders>
            <w:shd w:val="clear" w:color="auto" w:fill="auto"/>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3</w:t>
            </w: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60"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p>
        </w:tc>
        <w:tc>
          <w:tcPr>
            <w:tcW w:w="354" w:type="pct"/>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12</w:t>
            </w:r>
          </w:p>
        </w:tc>
        <w:tc>
          <w:tcPr>
            <w:tcW w:w="438" w:type="pct"/>
            <w:gridSpan w:val="2"/>
            <w:tcBorders>
              <w:top w:val="single" w:sz="4" w:space="0" w:color="4F81BD"/>
              <w:left w:val="nil"/>
              <w:bottom w:val="single" w:sz="4" w:space="0" w:color="4F81BD"/>
              <w:right w:val="nil"/>
            </w:tcBorders>
            <w:shd w:val="clear" w:color="auto" w:fill="auto"/>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16</w:t>
            </w:r>
          </w:p>
        </w:tc>
      </w:tr>
      <w:tr w:rsidR="004B7C54" w:rsidRPr="007A3F65" w:rsidTr="004B7C54">
        <w:trPr>
          <w:trHeight w:val="20"/>
        </w:trPr>
        <w:tc>
          <w:tcPr>
            <w:tcW w:w="1907" w:type="pct"/>
            <w:tcBorders>
              <w:top w:val="single" w:sz="4" w:space="0" w:color="95B3D7"/>
              <w:left w:val="nil"/>
              <w:bottom w:val="nil"/>
              <w:right w:val="nil"/>
            </w:tcBorders>
            <w:shd w:val="clear" w:color="DCE6F1" w:fill="DCE6F1"/>
            <w:vAlign w:val="center"/>
            <w:hideMark/>
          </w:tcPr>
          <w:p w:rsidR="007A3F65" w:rsidRPr="007A3F65" w:rsidRDefault="007A3F65" w:rsidP="004B7C54">
            <w:pPr>
              <w:spacing w:after="0"/>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Total</w:t>
            </w:r>
          </w:p>
        </w:tc>
        <w:tc>
          <w:tcPr>
            <w:tcW w:w="526" w:type="pct"/>
            <w:tcBorders>
              <w:top w:val="single" w:sz="4" w:space="0" w:color="95B3D7"/>
              <w:left w:val="nil"/>
              <w:bottom w:val="nil"/>
              <w:right w:val="nil"/>
            </w:tcBorders>
            <w:shd w:val="clear" w:color="DCE6F1" w:fill="DCE6F1"/>
            <w:vAlign w:val="center"/>
            <w:hideMark/>
          </w:tcPr>
          <w:p w:rsidR="007A3F65" w:rsidRPr="007A3F65" w:rsidRDefault="007A3F65" w:rsidP="004B7C54">
            <w:pPr>
              <w:spacing w:after="0"/>
              <w:rPr>
                <w:rFonts w:ascii="Calibri" w:eastAsia="Times New Roman" w:hAnsi="Calibri" w:cs="Times New Roman"/>
                <w:b/>
                <w:bCs/>
                <w:color w:val="000000"/>
                <w:sz w:val="18"/>
                <w:szCs w:val="18"/>
              </w:rPr>
            </w:pPr>
          </w:p>
        </w:tc>
        <w:tc>
          <w:tcPr>
            <w:tcW w:w="354" w:type="pct"/>
            <w:tcBorders>
              <w:top w:val="single" w:sz="4" w:space="0" w:color="95B3D7"/>
              <w:left w:val="nil"/>
              <w:bottom w:val="nil"/>
              <w:right w:val="nil"/>
            </w:tcBorders>
            <w:shd w:val="clear" w:color="DCE6F1" w:fill="DCE6F1"/>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61</w:t>
            </w:r>
          </w:p>
        </w:tc>
        <w:tc>
          <w:tcPr>
            <w:tcW w:w="354" w:type="pct"/>
            <w:tcBorders>
              <w:top w:val="single" w:sz="4" w:space="0" w:color="95B3D7"/>
              <w:left w:val="nil"/>
              <w:bottom w:val="nil"/>
              <w:right w:val="nil"/>
            </w:tcBorders>
            <w:shd w:val="clear" w:color="DCE6F1" w:fill="DCE6F1"/>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7,695</w:t>
            </w:r>
          </w:p>
        </w:tc>
        <w:tc>
          <w:tcPr>
            <w:tcW w:w="354" w:type="pct"/>
            <w:tcBorders>
              <w:top w:val="single" w:sz="4" w:space="0" w:color="95B3D7"/>
              <w:left w:val="nil"/>
              <w:bottom w:val="nil"/>
              <w:right w:val="nil"/>
            </w:tcBorders>
            <w:shd w:val="clear" w:color="DCE6F1" w:fill="DCE6F1"/>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2,907</w:t>
            </w:r>
          </w:p>
        </w:tc>
        <w:tc>
          <w:tcPr>
            <w:tcW w:w="354" w:type="pct"/>
            <w:tcBorders>
              <w:top w:val="single" w:sz="4" w:space="0" w:color="95B3D7"/>
              <w:left w:val="nil"/>
              <w:bottom w:val="nil"/>
              <w:right w:val="nil"/>
            </w:tcBorders>
            <w:shd w:val="clear" w:color="DCE6F1" w:fill="DCE6F1"/>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378</w:t>
            </w:r>
          </w:p>
        </w:tc>
        <w:tc>
          <w:tcPr>
            <w:tcW w:w="360" w:type="pct"/>
            <w:tcBorders>
              <w:top w:val="single" w:sz="4" w:space="0" w:color="95B3D7"/>
              <w:left w:val="nil"/>
              <w:bottom w:val="nil"/>
              <w:right w:val="nil"/>
            </w:tcBorders>
            <w:shd w:val="clear" w:color="DCE6F1" w:fill="DCE6F1"/>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72</w:t>
            </w:r>
          </w:p>
        </w:tc>
        <w:tc>
          <w:tcPr>
            <w:tcW w:w="354" w:type="pct"/>
            <w:tcBorders>
              <w:top w:val="single" w:sz="4" w:space="0" w:color="95B3D7"/>
              <w:left w:val="nil"/>
              <w:bottom w:val="nil"/>
              <w:right w:val="nil"/>
            </w:tcBorders>
            <w:shd w:val="clear" w:color="DCE6F1" w:fill="DCE6F1"/>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9,250</w:t>
            </w:r>
          </w:p>
        </w:tc>
        <w:tc>
          <w:tcPr>
            <w:tcW w:w="438" w:type="pct"/>
            <w:gridSpan w:val="2"/>
            <w:tcBorders>
              <w:top w:val="single" w:sz="4" w:space="0" w:color="95B3D7"/>
              <w:left w:val="nil"/>
              <w:bottom w:val="nil"/>
              <w:right w:val="nil"/>
            </w:tcBorders>
            <w:shd w:val="clear" w:color="DCE6F1" w:fill="DCE6F1"/>
            <w:noWrap/>
            <w:vAlign w:val="center"/>
            <w:hideMark/>
          </w:tcPr>
          <w:p w:rsidR="007A3F65" w:rsidRPr="007A3F65" w:rsidRDefault="007A3F65" w:rsidP="003210D2">
            <w:pPr>
              <w:spacing w:after="0"/>
              <w:jc w:val="center"/>
              <w:rPr>
                <w:rFonts w:ascii="Calibri" w:eastAsia="Times New Roman" w:hAnsi="Calibri" w:cs="Times New Roman"/>
                <w:b/>
                <w:bCs/>
                <w:color w:val="000000"/>
                <w:sz w:val="18"/>
                <w:szCs w:val="18"/>
              </w:rPr>
            </w:pPr>
            <w:r w:rsidRPr="007A3F65">
              <w:rPr>
                <w:rFonts w:ascii="Calibri" w:eastAsia="Times New Roman" w:hAnsi="Calibri" w:cs="Times New Roman"/>
                <w:b/>
                <w:bCs/>
                <w:color w:val="000000"/>
                <w:sz w:val="18"/>
                <w:szCs w:val="18"/>
              </w:rPr>
              <w:t>20,363</w:t>
            </w:r>
          </w:p>
        </w:tc>
      </w:tr>
    </w:tbl>
    <w:p w:rsidR="00E24166" w:rsidRPr="00692490" w:rsidRDefault="00E24166" w:rsidP="00E24166">
      <w:pPr>
        <w:rPr>
          <w:sz w:val="20"/>
          <w:szCs w:val="20"/>
        </w:rPr>
      </w:pPr>
      <w:r w:rsidRPr="00692490">
        <w:rPr>
          <w:sz w:val="20"/>
          <w:szCs w:val="20"/>
        </w:rPr>
        <w:t xml:space="preserve">* calcitriol can also be used for hypocalcaemia due to renal disease, hypoparathyroidism, hypophosphataemic rickets and vitamin D-resistant rickets. </w:t>
      </w:r>
    </w:p>
    <w:p w:rsidR="00B044AF" w:rsidRPr="00692490" w:rsidRDefault="00B044AF">
      <w:pPr>
        <w:rPr>
          <w:sz w:val="20"/>
          <w:szCs w:val="20"/>
        </w:rPr>
      </w:pPr>
    </w:p>
    <w:sectPr w:rsidR="00B044AF" w:rsidRPr="00692490" w:rsidSect="0050191E">
      <w:endnotePr>
        <w:numFmt w:val="decimal"/>
      </w:endnotePr>
      <w:type w:val="continuous"/>
      <w:pgSz w:w="11906" w:h="16838"/>
      <w:pgMar w:top="1644" w:right="1361" w:bottom="1644" w:left="158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60B548" w15:done="0"/>
  <w15:commentEx w15:paraId="5DEC436C" w15:done="0"/>
  <w15:commentEx w15:paraId="3C28178F" w15:done="0"/>
  <w15:commentEx w15:paraId="2D9B6764" w15:done="0"/>
  <w15:commentEx w15:paraId="1DFDD357" w15:done="0"/>
  <w15:commentEx w15:paraId="21B9A8ED" w15:done="1"/>
  <w15:commentEx w15:paraId="25E4CC05" w15:paraIdParent="21B9A8ED" w15:done="0"/>
  <w15:commentEx w15:paraId="60B148B3" w15:done="0"/>
  <w15:commentEx w15:paraId="452AF469" w15:done="0"/>
  <w15:commentEx w15:paraId="0C3EDB50" w15:done="0"/>
  <w15:commentEx w15:paraId="373BC014" w15:done="0"/>
  <w15:commentEx w15:paraId="20DBB201" w15:done="0"/>
  <w15:commentEx w15:paraId="77F280FA" w15:done="0"/>
  <w15:commentEx w15:paraId="084E6387" w15:done="0"/>
  <w15:commentEx w15:paraId="62704F32" w15:done="1"/>
  <w15:commentEx w15:paraId="05360CF0" w15:paraIdParent="62704F32" w15:done="1"/>
  <w15:commentEx w15:paraId="099B27C7" w15:done="0"/>
  <w15:commentEx w15:paraId="7C0DC3AC" w15:done="0"/>
  <w15:commentEx w15:paraId="4AB13040" w15:done="0"/>
  <w15:commentEx w15:paraId="0F6C5E4A" w15:done="0"/>
  <w15:commentEx w15:paraId="7A8D9519" w15:done="0"/>
  <w15:commentEx w15:paraId="41F6EA6F" w15:done="0"/>
  <w15:commentEx w15:paraId="703E687C" w15:done="0"/>
  <w15:commentEx w15:paraId="450564A1" w15:done="0"/>
  <w15:commentEx w15:paraId="542104F9" w15:done="0"/>
  <w15:commentEx w15:paraId="4E82E2D4" w15:done="0"/>
  <w15:commentEx w15:paraId="55D09978" w15:done="0"/>
  <w15:commentEx w15:paraId="5CD2B09A" w15:done="0"/>
  <w15:commentEx w15:paraId="508E0656" w15:done="0"/>
  <w15:commentEx w15:paraId="061E43BE" w15:done="0"/>
  <w15:commentEx w15:paraId="50024DEC" w15:done="0"/>
  <w15:commentEx w15:paraId="4B4E890B" w15:done="0"/>
  <w15:commentEx w15:paraId="1F8A1064" w15:done="0"/>
  <w15:commentEx w15:paraId="0B2B6712" w15:done="0"/>
  <w15:commentEx w15:paraId="32E53DCF" w15:done="0"/>
  <w15:commentEx w15:paraId="72D8E2C7" w15:done="0"/>
  <w15:commentEx w15:paraId="782D75C4" w15:done="0"/>
  <w15:commentEx w15:paraId="06177475" w15:done="0"/>
  <w15:commentEx w15:paraId="656FCB0A" w15:done="0"/>
  <w15:commentEx w15:paraId="1C4B9188" w15:done="0"/>
  <w15:commentEx w15:paraId="1BCFA81F" w15:done="0"/>
  <w15:commentEx w15:paraId="52D8CA1C" w15:done="0"/>
  <w15:commentEx w15:paraId="6C5BB288" w15:done="0"/>
  <w15:commentEx w15:paraId="79AC1DAC" w15:done="0"/>
  <w15:commentEx w15:paraId="059AD469" w15:done="0"/>
  <w15:commentEx w15:paraId="6FDFB1C9" w15:done="0"/>
  <w15:commentEx w15:paraId="69462BEC" w15:done="0"/>
  <w15:commentEx w15:paraId="4DA7645D" w15:done="0"/>
  <w15:commentEx w15:paraId="52F86AC5" w15:done="0"/>
  <w15:commentEx w15:paraId="50D07F8A" w15:done="0"/>
  <w15:commentEx w15:paraId="750BEEA0" w15:done="0"/>
  <w15:commentEx w15:paraId="5D0089E5" w15:done="0"/>
  <w15:commentEx w15:paraId="4247DEC2" w15:done="0"/>
  <w15:commentEx w15:paraId="1795EF0A" w15:done="0"/>
  <w15:commentEx w15:paraId="37881C00" w15:done="0"/>
  <w15:commentEx w15:paraId="4276A68C" w15:done="0"/>
  <w15:commentEx w15:paraId="6955E547" w15:done="0"/>
  <w15:commentEx w15:paraId="5C223454" w15:done="0"/>
  <w15:commentEx w15:paraId="4FB7D177" w15:done="0"/>
  <w15:commentEx w15:paraId="09F77EA3" w15:done="0"/>
  <w15:commentEx w15:paraId="1D0AD06E" w15:done="0"/>
  <w15:commentEx w15:paraId="6F204564" w15:done="0"/>
  <w15:commentEx w15:paraId="7351FBEB" w15:done="0"/>
  <w15:commentEx w15:paraId="1B8285E3" w15:done="0"/>
  <w15:commentEx w15:paraId="3A63D30B" w15:done="0"/>
  <w15:commentEx w15:paraId="3C2566E2" w15:done="0"/>
  <w15:commentEx w15:paraId="69AC2645" w15:done="1"/>
  <w15:commentEx w15:paraId="0C4503DB" w15:paraIdParent="69AC2645" w15:done="1"/>
  <w15:commentEx w15:paraId="707546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A8A" w:rsidRDefault="00495A8A" w:rsidP="00821C17">
      <w:pPr>
        <w:spacing w:after="0"/>
      </w:pPr>
      <w:r>
        <w:separator/>
      </w:r>
    </w:p>
  </w:endnote>
  <w:endnote w:type="continuationSeparator" w:id="0">
    <w:p w:rsidR="00495A8A" w:rsidRDefault="00495A8A" w:rsidP="00821C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Times New (W1)">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62" w:rsidRDefault="00A932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0444"/>
      <w:docPartObj>
        <w:docPartGallery w:val="Page Numbers (Bottom of Page)"/>
        <w:docPartUnique/>
      </w:docPartObj>
    </w:sdtPr>
    <w:sdtEndPr/>
    <w:sdtContent>
      <w:sdt>
        <w:sdtPr>
          <w:id w:val="-2070178723"/>
          <w:docPartObj>
            <w:docPartGallery w:val="Page Numbers (Top of Page)"/>
            <w:docPartUnique/>
          </w:docPartObj>
        </w:sdtPr>
        <w:sdtEndPr/>
        <w:sdtContent>
          <w:p w:rsidR="00A93262" w:rsidRPr="000E72C6" w:rsidRDefault="00A93262" w:rsidP="005425A8">
            <w:pPr>
              <w:pStyle w:val="Footer"/>
              <w:jc w:val="center"/>
              <w:rPr>
                <w:i/>
                <w:sz w:val="20"/>
              </w:rPr>
            </w:pPr>
            <w:r>
              <w:rPr>
                <w:i/>
                <w:sz w:val="20"/>
              </w:rPr>
              <w:t>Public Release Document, September 2016 DUSC Meeting</w:t>
            </w:r>
          </w:p>
          <w:p w:rsidR="00A93262" w:rsidRPr="008F51E2" w:rsidRDefault="00A93262" w:rsidP="005425A8">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E77F74">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E77F74">
              <w:rPr>
                <w:bCs/>
                <w:i/>
                <w:noProof/>
                <w:sz w:val="20"/>
              </w:rPr>
              <w:t>50</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62" w:rsidRDefault="00A93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A8A" w:rsidRDefault="00495A8A" w:rsidP="00821C17">
      <w:pPr>
        <w:spacing w:after="0"/>
      </w:pPr>
      <w:r>
        <w:separator/>
      </w:r>
    </w:p>
  </w:footnote>
  <w:footnote w:type="continuationSeparator" w:id="0">
    <w:p w:rsidR="00495A8A" w:rsidRDefault="00495A8A" w:rsidP="00821C17">
      <w:pPr>
        <w:spacing w:after="0"/>
      </w:pPr>
      <w:r>
        <w:continuationSeparator/>
      </w:r>
    </w:p>
  </w:footnote>
  <w:footnote w:id="1">
    <w:p w:rsidR="00A93262" w:rsidRDefault="00A93262">
      <w:pPr>
        <w:pStyle w:val="FootnoteText"/>
      </w:pPr>
      <w:r>
        <w:rPr>
          <w:rStyle w:val="FootnoteReference"/>
        </w:rPr>
        <w:footnoteRef/>
      </w:r>
      <w:r>
        <w:t xml:space="preserve"> </w:t>
      </w:r>
      <w:hyperlink r:id="rId1" w:history="1">
        <w:r w:rsidRPr="00020D04">
          <w:rPr>
            <w:rStyle w:val="Hyperlink"/>
          </w:rPr>
          <w:t>https://www.tga.gov.au/product-information-pi</w:t>
        </w:r>
      </w:hyperlink>
    </w:p>
  </w:footnote>
  <w:footnote w:id="2">
    <w:p w:rsidR="00A93262" w:rsidRPr="00B82E91" w:rsidRDefault="00A93262" w:rsidP="009C1E36">
      <w:pPr>
        <w:spacing w:after="0"/>
        <w:rPr>
          <w:sz w:val="18"/>
          <w:szCs w:val="18"/>
        </w:rPr>
      </w:pPr>
      <w:r w:rsidRPr="00B82E91">
        <w:rPr>
          <w:rStyle w:val="FootnoteReference"/>
          <w:sz w:val="18"/>
          <w:szCs w:val="18"/>
        </w:rPr>
        <w:footnoteRef/>
      </w:r>
      <w:r w:rsidRPr="00B82E91">
        <w:rPr>
          <w:sz w:val="18"/>
          <w:szCs w:val="18"/>
        </w:rPr>
        <w:t xml:space="preserve"> Australian Institute of Health and Welfare 2011. A snapshot of osteoporosis in Australia 2011. Arthritis series no. 15. Cat. no. PHE 137. Canberra: AIHW</w:t>
      </w:r>
    </w:p>
  </w:footnote>
  <w:footnote w:id="3">
    <w:p w:rsidR="00A93262" w:rsidRDefault="00A93262">
      <w:pPr>
        <w:pStyle w:val="FootnoteText"/>
      </w:pPr>
      <w:r>
        <w:rPr>
          <w:rStyle w:val="FootnoteReference"/>
        </w:rPr>
        <w:footnoteRef/>
      </w:r>
      <w:r>
        <w:t xml:space="preserve"> Garvin Institute of Medical Research, </w:t>
      </w:r>
      <w:hyperlink r:id="rId2" w:history="1">
        <w:r w:rsidRPr="00020D04">
          <w:rPr>
            <w:rStyle w:val="Hyperlink"/>
          </w:rPr>
          <w:t>http://www.garvan.org.au/research/diseases-we-research/osteoporosis</w:t>
        </w:r>
      </w:hyperlink>
      <w:r>
        <w:t>, accessed 17/8/2016.</w:t>
      </w:r>
    </w:p>
  </w:footnote>
  <w:footnote w:id="4">
    <w:p w:rsidR="00A93262" w:rsidRPr="00A13DFA" w:rsidRDefault="00A93262" w:rsidP="000E401E">
      <w:pPr>
        <w:pStyle w:val="FootnoteText"/>
        <w:rPr>
          <w:szCs w:val="18"/>
        </w:rPr>
      </w:pPr>
      <w:r w:rsidRPr="00231AA6">
        <w:rPr>
          <w:rStyle w:val="FootnoteReference"/>
          <w:szCs w:val="18"/>
        </w:rPr>
        <w:footnoteRef/>
      </w:r>
      <w:r w:rsidRPr="00231AA6">
        <w:rPr>
          <w:szCs w:val="18"/>
        </w:rPr>
        <w:t xml:space="preserve"> Australian Institute of Health and Welfare </w:t>
      </w:r>
      <w:r w:rsidRPr="00874230">
        <w:rPr>
          <w:szCs w:val="18"/>
        </w:rPr>
        <w:t>(</w:t>
      </w:r>
      <w:r w:rsidRPr="00A13DFA">
        <w:rPr>
          <w:szCs w:val="18"/>
        </w:rPr>
        <w:t>2014), Estimating the prevalence of osteoporosis in Australia</w:t>
      </w:r>
    </w:p>
  </w:footnote>
  <w:footnote w:id="5">
    <w:p w:rsidR="00A93262" w:rsidRPr="00B82E91" w:rsidRDefault="00A93262" w:rsidP="000E401E">
      <w:pPr>
        <w:pStyle w:val="FootnoteText"/>
        <w:rPr>
          <w:szCs w:val="18"/>
        </w:rPr>
      </w:pPr>
      <w:r w:rsidRPr="00B82E91">
        <w:rPr>
          <w:rStyle w:val="FootnoteReference"/>
          <w:szCs w:val="18"/>
        </w:rPr>
        <w:footnoteRef/>
      </w:r>
      <w:r w:rsidRPr="00B82E91">
        <w:rPr>
          <w:szCs w:val="18"/>
        </w:rPr>
        <w:t xml:space="preserve"> Henry MJ, Pasco JA, Nicholson GC &amp; Kotowicz MA. 2011. Prevalence of osteoporosis in Australian men and women: Geelong Osteoporosis Study. Medical Journal of Australia 195(6):321–322.</w:t>
      </w:r>
    </w:p>
  </w:footnote>
  <w:footnote w:id="6">
    <w:p w:rsidR="00A93262" w:rsidRPr="006B0EBB" w:rsidRDefault="00A93262" w:rsidP="000E401E">
      <w:pPr>
        <w:pStyle w:val="FootnoteText"/>
        <w:rPr>
          <w:szCs w:val="18"/>
        </w:rPr>
      </w:pPr>
      <w:r w:rsidRPr="003E2D98">
        <w:rPr>
          <w:rStyle w:val="FootnoteReference"/>
          <w:szCs w:val="18"/>
        </w:rPr>
        <w:footnoteRef/>
      </w:r>
      <w:r w:rsidRPr="003E2D98">
        <w:rPr>
          <w:szCs w:val="18"/>
        </w:rPr>
        <w:t xml:space="preserve"> ABS (Australian Bureau of Statistics) 2012. Australian Health Survey:</w:t>
      </w:r>
      <w:r w:rsidRPr="00002365">
        <w:rPr>
          <w:szCs w:val="18"/>
        </w:rPr>
        <w:t xml:space="preserve"> first results, 2011–12.ABS cat. no. 4364.0.55.001. Canberra: ABS.</w:t>
      </w:r>
    </w:p>
  </w:footnote>
  <w:footnote w:id="7">
    <w:p w:rsidR="00A93262" w:rsidRPr="00073402" w:rsidRDefault="00A93262" w:rsidP="00373103">
      <w:pPr>
        <w:pStyle w:val="FootnoteText"/>
        <w:rPr>
          <w:rFonts w:eastAsia="Times New Roman" w:cs="Times New Roman"/>
          <w:szCs w:val="18"/>
        </w:rPr>
      </w:pPr>
      <w:r w:rsidRPr="00073402">
        <w:rPr>
          <w:rStyle w:val="FootnoteReference"/>
          <w:szCs w:val="18"/>
        </w:rPr>
        <w:footnoteRef/>
      </w:r>
      <w:r w:rsidRPr="00073402">
        <w:rPr>
          <w:szCs w:val="18"/>
        </w:rPr>
        <w:t xml:space="preserve"> </w:t>
      </w:r>
      <w:r w:rsidRPr="00073402">
        <w:rPr>
          <w:rFonts w:eastAsia="Times New Roman" w:cs="Times New Roman"/>
          <w:szCs w:val="18"/>
        </w:rPr>
        <w:t>Assessment of fracture risk and its application to screening for postmenopausal osteoporosis. Report of WHO Study Group. Geneva, WHO, 1994 (WHO Technical Report Series, No 843).</w:t>
      </w:r>
    </w:p>
  </w:footnote>
  <w:footnote w:id="8">
    <w:p w:rsidR="00A93262" w:rsidRDefault="00A93262">
      <w:pPr>
        <w:pStyle w:val="FootnoteText"/>
      </w:pPr>
      <w:r>
        <w:rPr>
          <w:rStyle w:val="FootnoteReference"/>
        </w:rPr>
        <w:footnoteRef/>
      </w:r>
      <w:r>
        <w:t xml:space="preserve"> </w:t>
      </w:r>
      <w:r w:rsidRPr="009F7B25">
        <w:t>https://www.shef.ac.uk/FRAX/</w:t>
      </w:r>
    </w:p>
  </w:footnote>
  <w:footnote w:id="9">
    <w:p w:rsidR="00A93262" w:rsidRDefault="00A93262">
      <w:pPr>
        <w:pStyle w:val="FootnoteText"/>
      </w:pPr>
      <w:r>
        <w:rPr>
          <w:rStyle w:val="FootnoteReference"/>
        </w:rPr>
        <w:footnoteRef/>
      </w:r>
      <w:r>
        <w:t xml:space="preserve"> </w:t>
      </w:r>
      <w:r w:rsidRPr="009F7B25">
        <w:t>http://www.garvan.org.au/bone-fracture-risk</w:t>
      </w:r>
    </w:p>
  </w:footnote>
  <w:footnote w:id="10">
    <w:p w:rsidR="00A93262" w:rsidRDefault="00A93262" w:rsidP="00C439C3">
      <w:pPr>
        <w:pStyle w:val="FootnoteText"/>
      </w:pPr>
      <w:r>
        <w:rPr>
          <w:rStyle w:val="FootnoteReference"/>
        </w:rPr>
        <w:footnoteRef/>
      </w:r>
      <w:r>
        <w:t xml:space="preserve"> Bliuc D et.al., </w:t>
      </w:r>
      <w:r w:rsidRPr="00C439C3">
        <w:t>Accelerated bone loss and increased post-fracture mor</w:t>
      </w:r>
      <w:r>
        <w:t>tality in elderly women and men, Osteoporosis Int. 2015 Apr;26(4):1331-9. doi: 10.1007/s00198-014-3014-9. Epub 2015 Jan 20.</w:t>
      </w:r>
    </w:p>
  </w:footnote>
  <w:footnote w:id="11">
    <w:p w:rsidR="00A93262" w:rsidRDefault="00A93262">
      <w:pPr>
        <w:pStyle w:val="FootnoteText"/>
      </w:pPr>
      <w:r>
        <w:rPr>
          <w:rStyle w:val="FootnoteReference"/>
        </w:rPr>
        <w:footnoteRef/>
      </w:r>
      <w:r>
        <w:t xml:space="preserve"> </w:t>
      </w:r>
      <w:r w:rsidRPr="00A863C2">
        <w:t>Osteoporosis treatment: a missed opportunity. Frances Milat and Peter R Ebeling. Med J Aust 2016; 205 (4): 185-190. doi: 10.5694/mja16.00568</w:t>
      </w:r>
    </w:p>
  </w:footnote>
  <w:footnote w:id="12">
    <w:p w:rsidR="00A93262" w:rsidRPr="00073402" w:rsidRDefault="00A93262" w:rsidP="00F22A38">
      <w:pPr>
        <w:pStyle w:val="FootnoteText"/>
        <w:rPr>
          <w:rFonts w:eastAsia="Times New Roman" w:cs="Times New Roman"/>
          <w:szCs w:val="18"/>
        </w:rPr>
      </w:pPr>
      <w:r w:rsidRPr="00073402">
        <w:rPr>
          <w:rStyle w:val="FootnoteReference"/>
          <w:szCs w:val="18"/>
        </w:rPr>
        <w:footnoteRef/>
      </w:r>
      <w:r w:rsidRPr="00073402">
        <w:rPr>
          <w:szCs w:val="18"/>
        </w:rPr>
        <w:t xml:space="preserve"> </w:t>
      </w:r>
      <w:r w:rsidRPr="00073402">
        <w:rPr>
          <w:rFonts w:eastAsia="Times New Roman" w:cs="Times New Roman"/>
          <w:szCs w:val="18"/>
        </w:rPr>
        <w:t>The Royal Australia College of General Practitioners. Clinical guideline for the prevention and treatment of osteoporosis in post-menopausal women and older men. February 2010. Available at http://www.racgp.org.au/download/documents/Guidelines/Musculoskel</w:t>
      </w:r>
      <w:r>
        <w:rPr>
          <w:rFonts w:eastAsia="Times New Roman" w:cs="Times New Roman"/>
          <w:szCs w:val="18"/>
        </w:rPr>
        <w:t>etal/racgp_osteo_guideline.pdf (</w:t>
      </w:r>
      <w:r w:rsidRPr="00073402">
        <w:rPr>
          <w:rFonts w:eastAsia="Times New Roman" w:cs="Times New Roman"/>
          <w:szCs w:val="18"/>
        </w:rPr>
        <w:t xml:space="preserve">Accessed </w:t>
      </w:r>
      <w:r>
        <w:rPr>
          <w:rFonts w:eastAsia="Times New Roman" w:cs="Times New Roman"/>
          <w:szCs w:val="18"/>
        </w:rPr>
        <w:t>14</w:t>
      </w:r>
      <w:r w:rsidRPr="00073402">
        <w:rPr>
          <w:rFonts w:eastAsia="Times New Roman" w:cs="Times New Roman"/>
          <w:szCs w:val="18"/>
        </w:rPr>
        <w:t xml:space="preserve"> </w:t>
      </w:r>
      <w:r>
        <w:rPr>
          <w:rFonts w:eastAsia="Times New Roman" w:cs="Times New Roman"/>
          <w:szCs w:val="18"/>
        </w:rPr>
        <w:t>July</w:t>
      </w:r>
      <w:r w:rsidRPr="00073402">
        <w:rPr>
          <w:rFonts w:eastAsia="Times New Roman" w:cs="Times New Roman"/>
          <w:szCs w:val="18"/>
        </w:rPr>
        <w:t xml:space="preserve"> 201</w:t>
      </w:r>
      <w:r>
        <w:rPr>
          <w:rFonts w:eastAsia="Times New Roman" w:cs="Times New Roman"/>
          <w:szCs w:val="18"/>
        </w:rPr>
        <w:t>6</w:t>
      </w:r>
      <w:r w:rsidRPr="00073402">
        <w:rPr>
          <w:rFonts w:eastAsia="Times New Roman" w:cs="Times New Roman"/>
          <w:szCs w:val="18"/>
        </w:rPr>
        <w:t>)</w:t>
      </w:r>
    </w:p>
  </w:footnote>
  <w:footnote w:id="13">
    <w:p w:rsidR="00A93262" w:rsidRPr="00587F96" w:rsidRDefault="00A93262">
      <w:pPr>
        <w:pStyle w:val="FootnoteText"/>
        <w:rPr>
          <w:szCs w:val="18"/>
        </w:rPr>
      </w:pPr>
      <w:r w:rsidRPr="00587F96">
        <w:rPr>
          <w:rStyle w:val="FootnoteReference"/>
          <w:szCs w:val="18"/>
        </w:rPr>
        <w:footnoteRef/>
      </w:r>
      <w:r w:rsidRPr="00587F96">
        <w:rPr>
          <w:szCs w:val="18"/>
        </w:rPr>
        <w:t xml:space="preserve"> </w:t>
      </w:r>
      <w:r w:rsidRPr="00587F96">
        <w:rPr>
          <w:rFonts w:eastAsia="Times New Roman" w:cs="Times New Roman"/>
          <w:szCs w:val="18"/>
        </w:rPr>
        <w:t>Bell et al. Australian Family Physician, Volume 41 Number 3, March 2012</w:t>
      </w:r>
    </w:p>
  </w:footnote>
  <w:footnote w:id="14">
    <w:p w:rsidR="00A93262" w:rsidRDefault="00A93262" w:rsidP="002B3676">
      <w:pPr>
        <w:pStyle w:val="FootnoteText"/>
      </w:pPr>
      <w:r>
        <w:rPr>
          <w:rStyle w:val="FootnoteReference"/>
        </w:rPr>
        <w:footnoteRef/>
      </w:r>
      <w:r>
        <w:t xml:space="preserve"> </w:t>
      </w:r>
      <w:r w:rsidRPr="009B5E9C">
        <w:t>Quarterly Population Estimates (ERP), by State/</w:t>
      </w:r>
      <w:r>
        <w:t xml:space="preserve">Territory, Sex and Age, extracted from </w:t>
      </w:r>
      <w:hyperlink r:id="rId3" w:history="1">
        <w:r w:rsidRPr="009B5E9C">
          <w:rPr>
            <w:rStyle w:val="Hyperlink"/>
          </w:rPr>
          <w:t>ABS.Stat</w:t>
        </w:r>
      </w:hyperlink>
    </w:p>
  </w:footnote>
  <w:footnote w:id="15">
    <w:p w:rsidR="00A93262" w:rsidRDefault="00A93262" w:rsidP="00DE232E">
      <w:pPr>
        <w:pStyle w:val="FootnoteText"/>
      </w:pPr>
      <w:r>
        <w:rPr>
          <w:rStyle w:val="FootnoteReference"/>
        </w:rPr>
        <w:footnoteRef/>
      </w:r>
      <w:r>
        <w:t xml:space="preserve"> </w:t>
      </w:r>
      <w:hyperlink r:id="rId4" w:history="1">
        <w:r w:rsidRPr="005F579F">
          <w:rPr>
            <w:rStyle w:val="Hyperlink"/>
          </w:rPr>
          <w:t>Principles on the use of direct age-standardisation in administrative data collections</w:t>
        </w:r>
      </w:hyperlink>
      <w:r>
        <w:t>, September 2011, AIHW</w:t>
      </w:r>
    </w:p>
  </w:footnote>
  <w:footnote w:id="16">
    <w:p w:rsidR="00A93262" w:rsidRDefault="00A93262" w:rsidP="00C471AA">
      <w:pPr>
        <w:pStyle w:val="FootnoteText"/>
      </w:pPr>
      <w:r>
        <w:rPr>
          <w:rStyle w:val="FootnoteReference"/>
        </w:rPr>
        <w:footnoteRef/>
      </w:r>
      <w:r>
        <w:t xml:space="preserve"> </w:t>
      </w:r>
      <w:hyperlink r:id="rId5" w:history="1">
        <w:r w:rsidRPr="005F579F">
          <w:rPr>
            <w:rStyle w:val="Hyperlink"/>
          </w:rPr>
          <w:t>Principles on the use of direct age-standardisation in administrative data collections</w:t>
        </w:r>
      </w:hyperlink>
      <w:r>
        <w:t>, September 2011, AIHW</w:t>
      </w:r>
    </w:p>
  </w:footnote>
  <w:footnote w:id="17">
    <w:p w:rsidR="00A93262" w:rsidRPr="00B82E91" w:rsidRDefault="00A93262" w:rsidP="00F23A3A">
      <w:pPr>
        <w:pStyle w:val="FootnoteText"/>
        <w:rPr>
          <w:szCs w:val="18"/>
        </w:rPr>
      </w:pPr>
      <w:r w:rsidRPr="00B82E91">
        <w:rPr>
          <w:rStyle w:val="FootnoteReference"/>
          <w:szCs w:val="18"/>
        </w:rPr>
        <w:footnoteRef/>
      </w:r>
      <w:r w:rsidRPr="00B82E91">
        <w:rPr>
          <w:szCs w:val="18"/>
        </w:rPr>
        <w:t xml:space="preserve"> Henry MJ, Pasco JA, Nicholson GC &amp; Kotowicz MA. 2011. Prevalence of osteoporosis in Australian men and women: Geelong Osteoporosis Study. Medical Journal of Australia 195(6):321–322.</w:t>
      </w:r>
    </w:p>
  </w:footnote>
  <w:footnote w:id="18">
    <w:p w:rsidR="00A93262" w:rsidRDefault="00A93262" w:rsidP="00B445F1">
      <w:pPr>
        <w:pStyle w:val="FootnoteText"/>
      </w:pPr>
      <w:r>
        <w:rPr>
          <w:rStyle w:val="FootnoteReference"/>
        </w:rPr>
        <w:footnoteRef/>
      </w:r>
      <w:r>
        <w:t xml:space="preserve"> </w:t>
      </w:r>
      <w:hyperlink r:id="rId6" w:history="1">
        <w:r w:rsidRPr="005F579F">
          <w:rPr>
            <w:rStyle w:val="Hyperlink"/>
          </w:rPr>
          <w:t>Principles on the use of direct age-standardisation in administrative data collections</w:t>
        </w:r>
      </w:hyperlink>
      <w:r>
        <w:t>, September 2011, AIHW</w:t>
      </w:r>
    </w:p>
  </w:footnote>
  <w:footnote w:id="19">
    <w:p w:rsidR="00A93262" w:rsidRDefault="00A93262">
      <w:pPr>
        <w:pStyle w:val="FootnoteText"/>
      </w:pPr>
      <w:r>
        <w:rPr>
          <w:rStyle w:val="FootnoteReference"/>
        </w:rPr>
        <w:footnoteRef/>
      </w:r>
      <w:r>
        <w:t xml:space="preserve"> PBAC Public Summary Document, Denosumab, July 2010, </w:t>
      </w:r>
      <w:r w:rsidRPr="00290779">
        <w:t>http://www.pbs.gov.au/info/industry/listing/elements/pbac-meetings/psd/2010-07/pbac-psd-Denosumab-july10</w:t>
      </w:r>
    </w:p>
  </w:footnote>
  <w:footnote w:id="20">
    <w:p w:rsidR="00A93262" w:rsidRDefault="00A93262">
      <w:pPr>
        <w:pStyle w:val="FootnoteText"/>
      </w:pPr>
      <w:r>
        <w:rPr>
          <w:rStyle w:val="FootnoteReference"/>
        </w:rPr>
        <w:footnoteRef/>
      </w:r>
      <w:r>
        <w:t xml:space="preserve"> Bone et al. The effect of 3 or 6 years of denosumab exposure in women with postmenopausal osteoporosis: results from the FREEDOM extension. J Clin. Endocrinol Metab </w:t>
      </w:r>
      <w:r w:rsidRPr="00681E3B">
        <w:t>2013 Nov; 98(11): 4483–4492</w:t>
      </w:r>
    </w:p>
  </w:footnote>
  <w:footnote w:id="21">
    <w:p w:rsidR="00A93262" w:rsidRDefault="00A93262" w:rsidP="00681E3B">
      <w:pPr>
        <w:pStyle w:val="FootnoteText"/>
      </w:pPr>
      <w:r>
        <w:rPr>
          <w:rStyle w:val="FootnoteReference"/>
        </w:rPr>
        <w:footnoteRef/>
      </w:r>
      <w:r>
        <w:t xml:space="preserve"> Papalopolous et al. The effect of 8 or 5 years of denosumab treatment in postmenopausal women with osteoporosis: results from the FREEDOM Extension study. Osteoporosis Int </w:t>
      </w:r>
      <w:r w:rsidRPr="00681E3B">
        <w:t>2015 Dec;26(12):2773-83</w:t>
      </w:r>
    </w:p>
  </w:footnote>
  <w:footnote w:id="22">
    <w:p w:rsidR="00A93262" w:rsidRDefault="00A93262" w:rsidP="00CA3316">
      <w:pPr>
        <w:pStyle w:val="FootnoteText"/>
      </w:pPr>
      <w:r>
        <w:rPr>
          <w:rStyle w:val="FootnoteReference"/>
        </w:rPr>
        <w:footnoteRef/>
      </w:r>
      <w:r>
        <w:t xml:space="preserve"> TGA </w:t>
      </w:r>
      <w:r w:rsidRPr="009C1E36">
        <w:t xml:space="preserve">Product Information (PI) </w:t>
      </w:r>
      <w:r>
        <w:t xml:space="preserve"> </w:t>
      </w:r>
      <w:hyperlink r:id="rId7" w:history="1">
        <w:r w:rsidRPr="00020D04">
          <w:rPr>
            <w:rStyle w:val="Hyperlink"/>
          </w:rPr>
          <w:t>https://www.tga.gov.au/product-information-pi</w:t>
        </w:r>
      </w:hyperlink>
    </w:p>
  </w:footnote>
  <w:footnote w:id="23">
    <w:p w:rsidR="00A93262" w:rsidRDefault="00A93262" w:rsidP="00CA3316">
      <w:pPr>
        <w:pStyle w:val="FootnoteText"/>
      </w:pPr>
      <w:r>
        <w:rPr>
          <w:rStyle w:val="FootnoteReference"/>
        </w:rPr>
        <w:footnoteRef/>
      </w:r>
      <w:r>
        <w:t xml:space="preserve"> </w:t>
      </w:r>
      <w:r w:rsidRPr="00485147">
        <w:t>https://www.tga.gov.au/publication-issue/medicines-safety-update-volume-7-number-4-august-2016</w:t>
      </w:r>
    </w:p>
  </w:footnote>
  <w:footnote w:id="24">
    <w:p w:rsidR="00A93262" w:rsidRDefault="00A93262" w:rsidP="00CA3316">
      <w:pPr>
        <w:pStyle w:val="FootnoteText"/>
      </w:pPr>
      <w:r>
        <w:rPr>
          <w:rStyle w:val="FootnoteReference"/>
        </w:rPr>
        <w:footnoteRef/>
      </w:r>
      <w:r>
        <w:t xml:space="preserve"> </w:t>
      </w:r>
      <w:r w:rsidRPr="00485147">
        <w:t>https://www.tga.gov.au/publication-issue/medicines-safety-update-volume-7-number-2-april-2016</w:t>
      </w:r>
    </w:p>
  </w:footnote>
  <w:footnote w:id="25">
    <w:p w:rsidR="00A93262" w:rsidRDefault="00A93262" w:rsidP="00C0787F">
      <w:pPr>
        <w:pStyle w:val="FootnoteText"/>
      </w:pPr>
      <w:r>
        <w:rPr>
          <w:rStyle w:val="FootnoteReference"/>
        </w:rPr>
        <w:footnoteRef/>
      </w:r>
      <w:r>
        <w:t xml:space="preserve"> Eisman J, Clapham S, Kehoe L. Osteoporosis prevalence and levels of treatment in primary care: The Australian Bone Care Study. Journal of Bone and Mineral Research 2004;19(12):1969–75.</w:t>
      </w:r>
    </w:p>
  </w:footnote>
  <w:footnote w:id="26">
    <w:p w:rsidR="00A93262" w:rsidRPr="00073402" w:rsidRDefault="00A93262" w:rsidP="00C0787F">
      <w:pPr>
        <w:pStyle w:val="FootnoteText"/>
        <w:rPr>
          <w:rFonts w:eastAsia="Times New Roman" w:cs="Times New Roman"/>
          <w:szCs w:val="18"/>
        </w:rPr>
      </w:pPr>
      <w:r w:rsidRPr="00073402">
        <w:rPr>
          <w:rStyle w:val="FootnoteReference"/>
          <w:szCs w:val="18"/>
        </w:rPr>
        <w:footnoteRef/>
      </w:r>
      <w:r w:rsidRPr="00073402">
        <w:rPr>
          <w:szCs w:val="18"/>
        </w:rPr>
        <w:t xml:space="preserve"> </w:t>
      </w:r>
      <w:r w:rsidRPr="00073402">
        <w:rPr>
          <w:rFonts w:eastAsia="Times New Roman" w:cs="Times New Roman"/>
          <w:szCs w:val="18"/>
        </w:rPr>
        <w:t>The Royal Australia College of General Practitioners. Clinical guideline for the prevention and treatment of osteoporosis in post-menopausal women and older men. February 2010. Available at http://www.racgp.org.au/download/documents/Guidelines/Musculoskel</w:t>
      </w:r>
      <w:r>
        <w:rPr>
          <w:rFonts w:eastAsia="Times New Roman" w:cs="Times New Roman"/>
          <w:szCs w:val="18"/>
        </w:rPr>
        <w:t>etal/racgp_osteo_guideline.pdf</w:t>
      </w:r>
    </w:p>
  </w:footnote>
  <w:footnote w:id="27">
    <w:p w:rsidR="00A93262" w:rsidRDefault="00A93262" w:rsidP="00C0787F">
      <w:pPr>
        <w:pStyle w:val="FootnoteText"/>
      </w:pPr>
      <w:r>
        <w:rPr>
          <w:rStyle w:val="FootnoteReference"/>
        </w:rPr>
        <w:footnoteRef/>
      </w:r>
      <w:r>
        <w:t xml:space="preserve"> </w:t>
      </w:r>
      <w:hyperlink r:id="rId8" w:history="1">
        <w:r w:rsidRPr="0001292E">
          <w:rPr>
            <w:rStyle w:val="Hyperlink"/>
          </w:rPr>
          <w:t>http://www.pbs.gov.au/info/industry/listing/elements/pbac-meetings/psd/2011-07/pbac-psd-alendronate-july11</w:t>
        </w:r>
      </w:hyperlink>
    </w:p>
  </w:footnote>
  <w:footnote w:id="28">
    <w:p w:rsidR="00A93262" w:rsidRDefault="00A93262" w:rsidP="00C0787F">
      <w:pPr>
        <w:pStyle w:val="FootnoteText"/>
      </w:pPr>
      <w:r>
        <w:rPr>
          <w:rStyle w:val="FootnoteReference"/>
        </w:rPr>
        <w:footnoteRef/>
      </w:r>
      <w:r>
        <w:t xml:space="preserve"> </w:t>
      </w:r>
      <w:r w:rsidRPr="00FC0312">
        <w:t>Peeters, Geeske, Tett, Susan E., Duncan, Emma L., Mishra, Gita D., &amp; Dobson, Annette J. (2014) Osteoporosis medication dispensing for older Australian women from 2002 to 2010: Influences of publications, guidelines, marketing activities and policy. Pharmacoepidemiology and Drug Safety, 23(12), pp. 1303-1311.</w:t>
      </w:r>
      <w:r>
        <w:t xml:space="preserve"> </w:t>
      </w:r>
      <w:r w:rsidRPr="00FC0312">
        <w:t>http://onlinelibrary.wiley.com/doi/10.1002/pds.3703/epdf</w:t>
      </w:r>
    </w:p>
  </w:footnote>
  <w:footnote w:id="29">
    <w:p w:rsidR="00A93262" w:rsidRDefault="00A93262" w:rsidP="00A34F74">
      <w:pPr>
        <w:pStyle w:val="FootnoteText"/>
      </w:pPr>
      <w:r>
        <w:rPr>
          <w:rStyle w:val="FootnoteReference"/>
        </w:rPr>
        <w:footnoteRef/>
      </w:r>
      <w:r>
        <w:t xml:space="preserve"> </w:t>
      </w:r>
      <w:r w:rsidRPr="00CE58F3">
        <w:t>Black DM, Schwartz AV, Ensrud KE, et al. Effects of continuing or stopping</w:t>
      </w:r>
      <w:r>
        <w:t xml:space="preserve"> </w:t>
      </w:r>
      <w:r w:rsidRPr="00CE58F3">
        <w:t>alendronate after 5 years of treatment: the Fracture Intervention Trial Long-term Extension (FLEX): a randomized trial. JAMA 2006; 296(24): 2927–2938.doi:10.1001/jama.296.24.2927.</w:t>
      </w:r>
    </w:p>
  </w:footnote>
  <w:footnote w:id="30">
    <w:p w:rsidR="00A93262" w:rsidRDefault="00A93262" w:rsidP="00C0787F">
      <w:pPr>
        <w:pStyle w:val="FootnoteText"/>
      </w:pPr>
      <w:r>
        <w:rPr>
          <w:rStyle w:val="FootnoteReference"/>
        </w:rPr>
        <w:footnoteRef/>
      </w:r>
      <w:r>
        <w:t xml:space="preserve"> Adler RA et al. Managing osteoporosis in patients on long term bisphosphonate treatment: report of a task force of the American Society for Bone and Mineral research. J Bone Miner res 2016; 31:16-35</w:t>
      </w:r>
    </w:p>
  </w:footnote>
  <w:footnote w:id="31">
    <w:p w:rsidR="00A93262" w:rsidRDefault="00A93262">
      <w:pPr>
        <w:pStyle w:val="FootnoteText"/>
      </w:pPr>
      <w:r>
        <w:rPr>
          <w:rStyle w:val="FootnoteReference"/>
        </w:rPr>
        <w:footnoteRef/>
      </w:r>
      <w:r>
        <w:t xml:space="preserve"> </w:t>
      </w:r>
      <w:r w:rsidRPr="002302FF">
        <w:t xml:space="preserve">Australian Medicines Handbook. Adelaide: Australian </w:t>
      </w:r>
      <w:r>
        <w:t>Medicines Handbook Pty Ltd; 2016</w:t>
      </w:r>
    </w:p>
  </w:footnote>
  <w:footnote w:id="32">
    <w:p w:rsidR="00A93262" w:rsidRDefault="00A93262" w:rsidP="00C0787F">
      <w:pPr>
        <w:pStyle w:val="FootnoteText"/>
      </w:pPr>
      <w:r>
        <w:rPr>
          <w:rStyle w:val="FootnoteReference"/>
        </w:rPr>
        <w:footnoteRef/>
      </w:r>
      <w:r>
        <w:t xml:space="preserve"> Dugue et al </w:t>
      </w:r>
      <w:r w:rsidRPr="00FD5725">
        <w:t>Treatment for osteoporosis in Australian residential aged care facilities: consensus recommendations for fracture prevention.</w:t>
      </w:r>
      <w:r>
        <w:t xml:space="preserve"> MJA </w:t>
      </w:r>
      <w:r w:rsidRPr="00FD5725">
        <w:t>2010 Aug 2;193(3):173-9</w:t>
      </w:r>
    </w:p>
  </w:footnote>
  <w:footnote w:id="33">
    <w:p w:rsidR="00A93262" w:rsidRDefault="00A93262" w:rsidP="00C0787F">
      <w:pPr>
        <w:pStyle w:val="FootnoteText"/>
      </w:pPr>
      <w:r>
        <w:rPr>
          <w:rStyle w:val="FootnoteReference"/>
        </w:rPr>
        <w:footnoteRef/>
      </w:r>
      <w:r>
        <w:t xml:space="preserve"> Fenton JJ et al. Osteoporosis overtreatment in a regional health care system. JAMA Intern Med 2016; 176: 391-393.</w:t>
      </w:r>
    </w:p>
  </w:footnote>
  <w:footnote w:id="34">
    <w:p w:rsidR="00A93262" w:rsidRDefault="00A93262" w:rsidP="00F13EFD">
      <w:pPr>
        <w:pStyle w:val="FootnoteText"/>
      </w:pPr>
      <w:r>
        <w:rPr>
          <w:rStyle w:val="FootnoteReference"/>
        </w:rPr>
        <w:footnoteRef/>
      </w:r>
      <w:r>
        <w:t xml:space="preserve"> </w:t>
      </w:r>
      <w:r w:rsidRPr="00A863C2">
        <w:t>Osteoporosis treatment: a missed opportunity. Frances Milat and Peter R Ebeling. Med J Aust 2016; 205 (4): 185-190. doi: 10.5694/mja16.00568</w:t>
      </w:r>
    </w:p>
  </w:footnote>
  <w:footnote w:id="35">
    <w:p w:rsidR="00A93262" w:rsidRDefault="00A93262" w:rsidP="00C0787F">
      <w:pPr>
        <w:pStyle w:val="FootnoteText"/>
      </w:pPr>
      <w:r>
        <w:rPr>
          <w:rStyle w:val="FootnoteReference"/>
        </w:rPr>
        <w:footnoteRef/>
      </w:r>
      <w:r>
        <w:t xml:space="preserve"> Freemantle M et al. </w:t>
      </w:r>
      <w:r w:rsidRPr="000E2120">
        <w:t>Final results of the DAPS (Denosumab Adherence Preference Satisfaction) study: a 24-month, randomized, crossover comparison with alendronate in postmenopausal women.</w:t>
      </w:r>
      <w:r>
        <w:t xml:space="preserve"> Osteoporosis Int </w:t>
      </w:r>
      <w:r w:rsidRPr="000E2120">
        <w:t>2012 Jan;23(1):317-26</w:t>
      </w:r>
    </w:p>
  </w:footnote>
  <w:footnote w:id="36">
    <w:p w:rsidR="00A93262" w:rsidRDefault="00A93262">
      <w:pPr>
        <w:pStyle w:val="FootnoteText"/>
      </w:pPr>
      <w:r>
        <w:rPr>
          <w:rStyle w:val="FootnoteReference"/>
        </w:rPr>
        <w:footnoteRef/>
      </w:r>
      <w:r>
        <w:t xml:space="preserve"> </w:t>
      </w:r>
      <w:r w:rsidRPr="00F13EFD">
        <w:t>http://www.nps.org.au/publications/health-professional/nps-news/2015/osteoporosis</w:t>
      </w:r>
    </w:p>
  </w:footnote>
  <w:footnote w:id="37">
    <w:p w:rsidR="00A93262" w:rsidRDefault="00A93262">
      <w:pPr>
        <w:pStyle w:val="FootnoteText"/>
      </w:pPr>
      <w:r>
        <w:rPr>
          <w:rStyle w:val="FootnoteReference"/>
        </w:rPr>
        <w:footnoteRef/>
      </w:r>
      <w:r>
        <w:t xml:space="preserve"> </w:t>
      </w:r>
      <w:r w:rsidRPr="00F13EFD">
        <w:t>http://www.knowyourbones.org.au/</w:t>
      </w:r>
    </w:p>
  </w:footnote>
  <w:footnote w:id="38">
    <w:p w:rsidR="00A93262" w:rsidRDefault="00A93262" w:rsidP="00323C45">
      <w:pPr>
        <w:pStyle w:val="FootnoteText"/>
      </w:pPr>
      <w:r>
        <w:rPr>
          <w:rStyle w:val="FootnoteReference"/>
        </w:rPr>
        <w:footnoteRef/>
      </w:r>
      <w:r>
        <w:t xml:space="preserve"> </w:t>
      </w:r>
      <w:r>
        <w:rPr>
          <w:i/>
        </w:rPr>
        <w:t>Burden et al. (</w:t>
      </w:r>
      <w:r w:rsidRPr="00066BEA">
        <w:rPr>
          <w:i/>
        </w:rPr>
        <w:t>2015) Osteoporosis Int 26:1525-1533</w:t>
      </w:r>
      <w:r>
        <w:rPr>
          <w:i/>
        </w:rPr>
        <w:t>.</w:t>
      </w:r>
    </w:p>
  </w:footnote>
  <w:footnote w:id="39">
    <w:p w:rsidR="00A93262" w:rsidRDefault="00A93262">
      <w:pPr>
        <w:pStyle w:val="FootnoteText"/>
      </w:pPr>
      <w:r>
        <w:rPr>
          <w:rStyle w:val="FootnoteReference"/>
        </w:rPr>
        <w:footnoteRef/>
      </w:r>
      <w:r>
        <w:t xml:space="preserve"> TGA </w:t>
      </w:r>
      <w:r w:rsidRPr="009C1E36">
        <w:t xml:space="preserve">Product Information (PI) </w:t>
      </w:r>
      <w:r>
        <w:t xml:space="preserve"> </w:t>
      </w:r>
      <w:hyperlink r:id="rId9" w:history="1">
        <w:r w:rsidRPr="00020D04">
          <w:rPr>
            <w:rStyle w:val="Hyperlink"/>
          </w:rPr>
          <w:t>https://www.tga.gov.au/product-information-pi</w:t>
        </w:r>
      </w:hyperlink>
    </w:p>
  </w:footnote>
  <w:footnote w:id="40">
    <w:p w:rsidR="00A93262" w:rsidRDefault="00A93262" w:rsidP="0047670D">
      <w:pPr>
        <w:pStyle w:val="FootnoteText"/>
      </w:pPr>
      <w:r>
        <w:rPr>
          <w:rStyle w:val="FootnoteReference"/>
        </w:rPr>
        <w:footnoteRef/>
      </w:r>
      <w:r>
        <w:t xml:space="preserve"> </w:t>
      </w:r>
      <w:r w:rsidRPr="008E34DD">
        <w:rPr>
          <w:sz w:val="16"/>
          <w:szCs w:val="16"/>
        </w:rPr>
        <w:t>Australian Medicines Handbook 2013</w:t>
      </w:r>
    </w:p>
  </w:footnote>
  <w:footnote w:id="41">
    <w:p w:rsidR="00A93262" w:rsidRDefault="00A93262" w:rsidP="0047670D">
      <w:pPr>
        <w:pStyle w:val="FootnoteText"/>
      </w:pPr>
      <w:r>
        <w:rPr>
          <w:rStyle w:val="FootnoteReference"/>
        </w:rPr>
        <w:footnoteRef/>
      </w:r>
      <w:r>
        <w:t xml:space="preserve"> </w:t>
      </w:r>
      <w:r w:rsidRPr="008E34DD">
        <w:rPr>
          <w:sz w:val="16"/>
          <w:szCs w:val="16"/>
        </w:rPr>
        <w:t>Wiznenberg et al. Vitamin D and the musculoskeletal health of older adults.</w:t>
      </w:r>
      <w:r w:rsidRPr="008E34DD">
        <w:rPr>
          <w:i/>
          <w:sz w:val="16"/>
          <w:szCs w:val="16"/>
        </w:rPr>
        <w:t xml:space="preserve"> Australian   Family Physician</w:t>
      </w:r>
      <w:r w:rsidRPr="008E34DD">
        <w:rPr>
          <w:sz w:val="16"/>
          <w:szCs w:val="16"/>
        </w:rPr>
        <w:t xml:space="preserve"> Vol. 41, no. 3, March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62" w:rsidRDefault="00A932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62" w:rsidRPr="002D1A8C" w:rsidRDefault="00A93262" w:rsidP="002D1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62" w:rsidRDefault="00A93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360"/>
    <w:multiLevelType w:val="hybridMultilevel"/>
    <w:tmpl w:val="1A5A5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2506CA7"/>
    <w:multiLevelType w:val="hybridMultilevel"/>
    <w:tmpl w:val="409AA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2565158"/>
    <w:multiLevelType w:val="hybridMultilevel"/>
    <w:tmpl w:val="CF8E0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1E5BC8"/>
    <w:multiLevelType w:val="hybridMultilevel"/>
    <w:tmpl w:val="9BBE7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66B559B"/>
    <w:multiLevelType w:val="hybridMultilevel"/>
    <w:tmpl w:val="AFB66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C84B8B"/>
    <w:multiLevelType w:val="hybridMultilevel"/>
    <w:tmpl w:val="8A6CC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BC65D75"/>
    <w:multiLevelType w:val="multilevel"/>
    <w:tmpl w:val="53D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AE1209"/>
    <w:multiLevelType w:val="hybridMultilevel"/>
    <w:tmpl w:val="536E1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E5A55F9"/>
    <w:multiLevelType w:val="hybridMultilevel"/>
    <w:tmpl w:val="55424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F85039B"/>
    <w:multiLevelType w:val="hybridMultilevel"/>
    <w:tmpl w:val="17F09F0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0D036D4"/>
    <w:multiLevelType w:val="hybridMultilevel"/>
    <w:tmpl w:val="4A6CA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3CB0982"/>
    <w:multiLevelType w:val="hybridMultilevel"/>
    <w:tmpl w:val="E1400C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5DA036A"/>
    <w:multiLevelType w:val="hybridMultilevel"/>
    <w:tmpl w:val="548E4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88A200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9A874E0"/>
    <w:multiLevelType w:val="hybridMultilevel"/>
    <w:tmpl w:val="31BC8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FC80566"/>
    <w:multiLevelType w:val="hybridMultilevel"/>
    <w:tmpl w:val="8CD8E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2C520D8"/>
    <w:multiLevelType w:val="hybridMultilevel"/>
    <w:tmpl w:val="5C0EF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57657B9"/>
    <w:multiLevelType w:val="hybridMultilevel"/>
    <w:tmpl w:val="2318CA0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5E15578"/>
    <w:multiLevelType w:val="hybridMultilevel"/>
    <w:tmpl w:val="59F2E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6A24445"/>
    <w:multiLevelType w:val="hybridMultilevel"/>
    <w:tmpl w:val="71C0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7F1113A"/>
    <w:multiLevelType w:val="hybridMultilevel"/>
    <w:tmpl w:val="467C8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8811B69"/>
    <w:multiLevelType w:val="hybridMultilevel"/>
    <w:tmpl w:val="9FEEE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8A572F9"/>
    <w:multiLevelType w:val="hybridMultilevel"/>
    <w:tmpl w:val="30CC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EC74CB0"/>
    <w:multiLevelType w:val="hybridMultilevel"/>
    <w:tmpl w:val="0B9CD486"/>
    <w:lvl w:ilvl="0" w:tplc="16DC375C">
      <w:numFmt w:val="bullet"/>
      <w:lvlText w:val="-"/>
      <w:lvlJc w:val="left"/>
      <w:pPr>
        <w:ind w:left="720" w:hanging="360"/>
      </w:pPr>
      <w:rPr>
        <w:rFonts w:ascii="Lucida Bright" w:eastAsia="Times New Roman" w:hAnsi="Lucida Br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0457324"/>
    <w:multiLevelType w:val="hybridMultilevel"/>
    <w:tmpl w:val="DD8C0552"/>
    <w:lvl w:ilvl="0" w:tplc="4CD02EFE">
      <w:numFmt w:val="bullet"/>
      <w:lvlText w:val="-"/>
      <w:lvlJc w:val="left"/>
      <w:pPr>
        <w:ind w:left="360" w:hanging="360"/>
      </w:pPr>
      <w:rPr>
        <w:rFonts w:ascii="Lucida Bright" w:eastAsiaTheme="minorEastAsia" w:hAnsi="Lucida Br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329D7844"/>
    <w:multiLevelType w:val="hybridMultilevel"/>
    <w:tmpl w:val="14484E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352E5A9A"/>
    <w:multiLevelType w:val="hybridMultilevel"/>
    <w:tmpl w:val="41027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398D08CF"/>
    <w:multiLevelType w:val="hybridMultilevel"/>
    <w:tmpl w:val="280A9114"/>
    <w:lvl w:ilvl="0" w:tplc="C03654FE">
      <w:start w:val="7"/>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CED0B14"/>
    <w:multiLevelType w:val="hybridMultilevel"/>
    <w:tmpl w:val="BAAE2392"/>
    <w:lvl w:ilvl="0" w:tplc="655026FA">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3764FA5"/>
    <w:multiLevelType w:val="hybridMultilevel"/>
    <w:tmpl w:val="0A548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47A83808"/>
    <w:multiLevelType w:val="hybridMultilevel"/>
    <w:tmpl w:val="B4E41F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47FE3161"/>
    <w:multiLevelType w:val="hybridMultilevel"/>
    <w:tmpl w:val="B2362D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4AC23882"/>
    <w:multiLevelType w:val="hybridMultilevel"/>
    <w:tmpl w:val="25A8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BD72A39"/>
    <w:multiLevelType w:val="multilevel"/>
    <w:tmpl w:val="31D8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BE2647B"/>
    <w:multiLevelType w:val="hybridMultilevel"/>
    <w:tmpl w:val="3048B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D3827F9"/>
    <w:multiLevelType w:val="hybridMultilevel"/>
    <w:tmpl w:val="79B0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1823037"/>
    <w:multiLevelType w:val="hybridMultilevel"/>
    <w:tmpl w:val="BFB65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52DF092A"/>
    <w:multiLevelType w:val="hybridMultilevel"/>
    <w:tmpl w:val="8482E6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3EC5513"/>
    <w:multiLevelType w:val="hybridMultilevel"/>
    <w:tmpl w:val="FB186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63C08E5"/>
    <w:multiLevelType w:val="hybridMultilevel"/>
    <w:tmpl w:val="C50AB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58126D5D"/>
    <w:multiLevelType w:val="hybridMultilevel"/>
    <w:tmpl w:val="D2605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5AA94C72"/>
    <w:multiLevelType w:val="hybridMultilevel"/>
    <w:tmpl w:val="ECA62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5B6B67DB"/>
    <w:multiLevelType w:val="hybridMultilevel"/>
    <w:tmpl w:val="14EE5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CAE3EE8"/>
    <w:multiLevelType w:val="hybridMultilevel"/>
    <w:tmpl w:val="2B7210C4"/>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5E425044"/>
    <w:multiLevelType w:val="hybridMultilevel"/>
    <w:tmpl w:val="24B81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nsid w:val="671F6223"/>
    <w:multiLevelType w:val="hybridMultilevel"/>
    <w:tmpl w:val="6054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DCF5C4B"/>
    <w:multiLevelType w:val="hybridMultilevel"/>
    <w:tmpl w:val="C2DC038A"/>
    <w:lvl w:ilvl="0" w:tplc="4CD02EFE">
      <w:numFmt w:val="bullet"/>
      <w:lvlText w:val="-"/>
      <w:lvlJc w:val="left"/>
      <w:pPr>
        <w:ind w:left="360" w:hanging="360"/>
      </w:pPr>
      <w:rPr>
        <w:rFonts w:ascii="Lucida Bright" w:eastAsiaTheme="minorEastAsia" w:hAnsi="Lucida Bright"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72880EB7"/>
    <w:multiLevelType w:val="hybridMultilevel"/>
    <w:tmpl w:val="446C3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75882DD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AC4056A"/>
    <w:multiLevelType w:val="hybridMultilevel"/>
    <w:tmpl w:val="7BB8D078"/>
    <w:lvl w:ilvl="0" w:tplc="DF22C5E6">
      <w:numFmt w:val="bullet"/>
      <w:lvlText w:val="•"/>
      <w:lvlJc w:val="left"/>
      <w:pPr>
        <w:ind w:left="720" w:hanging="720"/>
      </w:pPr>
      <w:rPr>
        <w:rFonts w:ascii="Calibri" w:eastAsiaTheme="minorEastAsia"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nsid w:val="7C0D4696"/>
    <w:multiLevelType w:val="hybridMultilevel"/>
    <w:tmpl w:val="B6BE40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nsid w:val="7F3E4904"/>
    <w:multiLevelType w:val="hybridMultilevel"/>
    <w:tmpl w:val="BEAC65AA"/>
    <w:lvl w:ilvl="0" w:tplc="7632FC2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47"/>
  </w:num>
  <w:num w:numId="3">
    <w:abstractNumId w:val="21"/>
  </w:num>
  <w:num w:numId="4">
    <w:abstractNumId w:val="5"/>
  </w:num>
  <w:num w:numId="5">
    <w:abstractNumId w:val="4"/>
  </w:num>
  <w:num w:numId="6">
    <w:abstractNumId w:val="39"/>
  </w:num>
  <w:num w:numId="7">
    <w:abstractNumId w:val="46"/>
  </w:num>
  <w:num w:numId="8">
    <w:abstractNumId w:val="10"/>
  </w:num>
  <w:num w:numId="9">
    <w:abstractNumId w:val="34"/>
  </w:num>
  <w:num w:numId="10">
    <w:abstractNumId w:val="22"/>
  </w:num>
  <w:num w:numId="11">
    <w:abstractNumId w:val="44"/>
  </w:num>
  <w:num w:numId="12">
    <w:abstractNumId w:val="23"/>
  </w:num>
  <w:num w:numId="13">
    <w:abstractNumId w:val="37"/>
  </w:num>
  <w:num w:numId="14">
    <w:abstractNumId w:val="53"/>
  </w:num>
  <w:num w:numId="15">
    <w:abstractNumId w:val="36"/>
  </w:num>
  <w:num w:numId="16">
    <w:abstractNumId w:val="42"/>
  </w:num>
  <w:num w:numId="17">
    <w:abstractNumId w:val="9"/>
  </w:num>
  <w:num w:numId="18">
    <w:abstractNumId w:val="17"/>
  </w:num>
  <w:num w:numId="19">
    <w:abstractNumId w:val="33"/>
  </w:num>
  <w:num w:numId="20">
    <w:abstractNumId w:val="7"/>
  </w:num>
  <w:num w:numId="21">
    <w:abstractNumId w:val="48"/>
  </w:num>
  <w:num w:numId="22">
    <w:abstractNumId w:val="19"/>
  </w:num>
  <w:num w:numId="23">
    <w:abstractNumId w:val="3"/>
  </w:num>
  <w:num w:numId="24">
    <w:abstractNumId w:val="38"/>
  </w:num>
  <w:num w:numId="25">
    <w:abstractNumId w:val="20"/>
  </w:num>
  <w:num w:numId="26">
    <w:abstractNumId w:val="8"/>
  </w:num>
  <w:num w:numId="27">
    <w:abstractNumId w:val="12"/>
  </w:num>
  <w:num w:numId="28">
    <w:abstractNumId w:val="14"/>
  </w:num>
  <w:num w:numId="29">
    <w:abstractNumId w:val="31"/>
  </w:num>
  <w:num w:numId="30">
    <w:abstractNumId w:val="32"/>
  </w:num>
  <w:num w:numId="31">
    <w:abstractNumId w:val="28"/>
  </w:num>
  <w:num w:numId="32">
    <w:abstractNumId w:val="1"/>
  </w:num>
  <w:num w:numId="33">
    <w:abstractNumId w:val="6"/>
  </w:num>
  <w:num w:numId="34">
    <w:abstractNumId w:val="27"/>
  </w:num>
  <w:num w:numId="35">
    <w:abstractNumId w:val="13"/>
  </w:num>
  <w:num w:numId="36">
    <w:abstractNumId w:val="51"/>
  </w:num>
  <w:num w:numId="37">
    <w:abstractNumId w:val="49"/>
  </w:num>
  <w:num w:numId="38">
    <w:abstractNumId w:val="18"/>
  </w:num>
  <w:num w:numId="39">
    <w:abstractNumId w:val="52"/>
  </w:num>
  <w:num w:numId="40">
    <w:abstractNumId w:val="41"/>
  </w:num>
  <w:num w:numId="41">
    <w:abstractNumId w:val="35"/>
  </w:num>
  <w:num w:numId="42">
    <w:abstractNumId w:val="25"/>
  </w:num>
  <w:num w:numId="43">
    <w:abstractNumId w:val="16"/>
  </w:num>
  <w:num w:numId="44">
    <w:abstractNumId w:val="43"/>
  </w:num>
  <w:num w:numId="45">
    <w:abstractNumId w:val="29"/>
  </w:num>
  <w:num w:numId="46">
    <w:abstractNumId w:val="30"/>
  </w:num>
  <w:num w:numId="47">
    <w:abstractNumId w:val="0"/>
  </w:num>
  <w:num w:numId="48">
    <w:abstractNumId w:val="54"/>
  </w:num>
  <w:num w:numId="49">
    <w:abstractNumId w:val="11"/>
  </w:num>
  <w:num w:numId="50">
    <w:abstractNumId w:val="24"/>
  </w:num>
  <w:num w:numId="51">
    <w:abstractNumId w:val="15"/>
  </w:num>
  <w:num w:numId="52">
    <w:abstractNumId w:val="40"/>
  </w:num>
  <w:num w:numId="53">
    <w:abstractNumId w:val="26"/>
  </w:num>
  <w:num w:numId="54">
    <w:abstractNumId w:val="2"/>
  </w:num>
  <w:num w:numId="5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17"/>
    <w:rsid w:val="00001122"/>
    <w:rsid w:val="00001194"/>
    <w:rsid w:val="00001F68"/>
    <w:rsid w:val="00002365"/>
    <w:rsid w:val="000044FD"/>
    <w:rsid w:val="000059E6"/>
    <w:rsid w:val="00005DE5"/>
    <w:rsid w:val="00006DDF"/>
    <w:rsid w:val="00012896"/>
    <w:rsid w:val="000132F9"/>
    <w:rsid w:val="00013305"/>
    <w:rsid w:val="00021055"/>
    <w:rsid w:val="000236A3"/>
    <w:rsid w:val="000240F2"/>
    <w:rsid w:val="00025DC2"/>
    <w:rsid w:val="000268C4"/>
    <w:rsid w:val="00030992"/>
    <w:rsid w:val="00033947"/>
    <w:rsid w:val="00033ED1"/>
    <w:rsid w:val="00034823"/>
    <w:rsid w:val="000369ED"/>
    <w:rsid w:val="000442CE"/>
    <w:rsid w:val="00044A34"/>
    <w:rsid w:val="000469D9"/>
    <w:rsid w:val="00046C49"/>
    <w:rsid w:val="00052F09"/>
    <w:rsid w:val="000530CB"/>
    <w:rsid w:val="00053324"/>
    <w:rsid w:val="000636FE"/>
    <w:rsid w:val="000666EB"/>
    <w:rsid w:val="0007303D"/>
    <w:rsid w:val="00073402"/>
    <w:rsid w:val="00073E0B"/>
    <w:rsid w:val="000753C1"/>
    <w:rsid w:val="000866A2"/>
    <w:rsid w:val="00086B1C"/>
    <w:rsid w:val="000915F5"/>
    <w:rsid w:val="00093666"/>
    <w:rsid w:val="00093D30"/>
    <w:rsid w:val="00093EAB"/>
    <w:rsid w:val="00094040"/>
    <w:rsid w:val="000941D8"/>
    <w:rsid w:val="0009539E"/>
    <w:rsid w:val="0009696B"/>
    <w:rsid w:val="000A148C"/>
    <w:rsid w:val="000A28EC"/>
    <w:rsid w:val="000A3798"/>
    <w:rsid w:val="000A58E3"/>
    <w:rsid w:val="000A7638"/>
    <w:rsid w:val="000B0141"/>
    <w:rsid w:val="000B0F1D"/>
    <w:rsid w:val="000B1D59"/>
    <w:rsid w:val="000B1DB7"/>
    <w:rsid w:val="000B296A"/>
    <w:rsid w:val="000B3EF0"/>
    <w:rsid w:val="000B50B7"/>
    <w:rsid w:val="000B524D"/>
    <w:rsid w:val="000B5D26"/>
    <w:rsid w:val="000B6FE0"/>
    <w:rsid w:val="000C05F9"/>
    <w:rsid w:val="000C42AE"/>
    <w:rsid w:val="000C5161"/>
    <w:rsid w:val="000D4147"/>
    <w:rsid w:val="000D460F"/>
    <w:rsid w:val="000E3026"/>
    <w:rsid w:val="000E401E"/>
    <w:rsid w:val="000E4CB3"/>
    <w:rsid w:val="000E5629"/>
    <w:rsid w:val="000E586E"/>
    <w:rsid w:val="000E619C"/>
    <w:rsid w:val="000E7C76"/>
    <w:rsid w:val="000F055C"/>
    <w:rsid w:val="000F33DE"/>
    <w:rsid w:val="000F433A"/>
    <w:rsid w:val="000F46E2"/>
    <w:rsid w:val="000F7FEC"/>
    <w:rsid w:val="0010072C"/>
    <w:rsid w:val="0010414D"/>
    <w:rsid w:val="00104605"/>
    <w:rsid w:val="0011175C"/>
    <w:rsid w:val="001122BD"/>
    <w:rsid w:val="001156DF"/>
    <w:rsid w:val="00117420"/>
    <w:rsid w:val="00117B97"/>
    <w:rsid w:val="00122B37"/>
    <w:rsid w:val="001231DA"/>
    <w:rsid w:val="001232F7"/>
    <w:rsid w:val="001249C1"/>
    <w:rsid w:val="00125BF6"/>
    <w:rsid w:val="00127BCF"/>
    <w:rsid w:val="00134BF3"/>
    <w:rsid w:val="00135483"/>
    <w:rsid w:val="00136355"/>
    <w:rsid w:val="00137409"/>
    <w:rsid w:val="001376F2"/>
    <w:rsid w:val="0014077C"/>
    <w:rsid w:val="001419E4"/>
    <w:rsid w:val="00141CEB"/>
    <w:rsid w:val="0014253B"/>
    <w:rsid w:val="00147035"/>
    <w:rsid w:val="001501C8"/>
    <w:rsid w:val="0015051C"/>
    <w:rsid w:val="0015113A"/>
    <w:rsid w:val="0015220F"/>
    <w:rsid w:val="001523D2"/>
    <w:rsid w:val="00154192"/>
    <w:rsid w:val="00154F36"/>
    <w:rsid w:val="00154F8B"/>
    <w:rsid w:val="0015798B"/>
    <w:rsid w:val="0016506F"/>
    <w:rsid w:val="001654DE"/>
    <w:rsid w:val="00167211"/>
    <w:rsid w:val="001749CD"/>
    <w:rsid w:val="00175AB5"/>
    <w:rsid w:val="00177C34"/>
    <w:rsid w:val="00181B5F"/>
    <w:rsid w:val="001864C4"/>
    <w:rsid w:val="0018772B"/>
    <w:rsid w:val="00190BFF"/>
    <w:rsid w:val="00191D38"/>
    <w:rsid w:val="00192C0B"/>
    <w:rsid w:val="00193719"/>
    <w:rsid w:val="00194844"/>
    <w:rsid w:val="00195354"/>
    <w:rsid w:val="00197134"/>
    <w:rsid w:val="001A1141"/>
    <w:rsid w:val="001A535F"/>
    <w:rsid w:val="001B06E5"/>
    <w:rsid w:val="001B08B5"/>
    <w:rsid w:val="001B24BD"/>
    <w:rsid w:val="001B7600"/>
    <w:rsid w:val="001C0E09"/>
    <w:rsid w:val="001C428A"/>
    <w:rsid w:val="001C6725"/>
    <w:rsid w:val="001D00D5"/>
    <w:rsid w:val="001D0C6F"/>
    <w:rsid w:val="001D24BE"/>
    <w:rsid w:val="001D2F46"/>
    <w:rsid w:val="001D3239"/>
    <w:rsid w:val="001D49D6"/>
    <w:rsid w:val="001D4A77"/>
    <w:rsid w:val="001D6BF7"/>
    <w:rsid w:val="001D7236"/>
    <w:rsid w:val="001D7319"/>
    <w:rsid w:val="001D75D4"/>
    <w:rsid w:val="001E1100"/>
    <w:rsid w:val="001E1400"/>
    <w:rsid w:val="001E2346"/>
    <w:rsid w:val="001E2A4E"/>
    <w:rsid w:val="001E3E09"/>
    <w:rsid w:val="001E4637"/>
    <w:rsid w:val="001E5648"/>
    <w:rsid w:val="001E6CE1"/>
    <w:rsid w:val="001F0D94"/>
    <w:rsid w:val="001F3229"/>
    <w:rsid w:val="001F4774"/>
    <w:rsid w:val="001F6584"/>
    <w:rsid w:val="001F7BBC"/>
    <w:rsid w:val="001F7C8D"/>
    <w:rsid w:val="00200720"/>
    <w:rsid w:val="00203EA1"/>
    <w:rsid w:val="002047EE"/>
    <w:rsid w:val="002059CA"/>
    <w:rsid w:val="00205C44"/>
    <w:rsid w:val="00213581"/>
    <w:rsid w:val="00213E25"/>
    <w:rsid w:val="00215165"/>
    <w:rsid w:val="00216C75"/>
    <w:rsid w:val="00225FB8"/>
    <w:rsid w:val="00227749"/>
    <w:rsid w:val="002302FF"/>
    <w:rsid w:val="002306EA"/>
    <w:rsid w:val="00230D31"/>
    <w:rsid w:val="00231530"/>
    <w:rsid w:val="00231AA6"/>
    <w:rsid w:val="00231B4B"/>
    <w:rsid w:val="00232CC4"/>
    <w:rsid w:val="0023459E"/>
    <w:rsid w:val="002355CB"/>
    <w:rsid w:val="00236AB2"/>
    <w:rsid w:val="00240174"/>
    <w:rsid w:val="002407F2"/>
    <w:rsid w:val="00240FD7"/>
    <w:rsid w:val="00243290"/>
    <w:rsid w:val="00244034"/>
    <w:rsid w:val="002461AA"/>
    <w:rsid w:val="00250631"/>
    <w:rsid w:val="00251D3B"/>
    <w:rsid w:val="00251E77"/>
    <w:rsid w:val="00254172"/>
    <w:rsid w:val="00254D8A"/>
    <w:rsid w:val="002553E4"/>
    <w:rsid w:val="00256462"/>
    <w:rsid w:val="00256FE4"/>
    <w:rsid w:val="002573AC"/>
    <w:rsid w:val="002621CA"/>
    <w:rsid w:val="00262D64"/>
    <w:rsid w:val="00264BF1"/>
    <w:rsid w:val="0026578F"/>
    <w:rsid w:val="00266485"/>
    <w:rsid w:val="00273BDA"/>
    <w:rsid w:val="00274CCF"/>
    <w:rsid w:val="0027532F"/>
    <w:rsid w:val="00277914"/>
    <w:rsid w:val="00281E38"/>
    <w:rsid w:val="00286878"/>
    <w:rsid w:val="00286E26"/>
    <w:rsid w:val="00287E14"/>
    <w:rsid w:val="002900B4"/>
    <w:rsid w:val="00290779"/>
    <w:rsid w:val="00291760"/>
    <w:rsid w:val="00292E01"/>
    <w:rsid w:val="002941F6"/>
    <w:rsid w:val="00294383"/>
    <w:rsid w:val="002949FC"/>
    <w:rsid w:val="00294AD4"/>
    <w:rsid w:val="002A139A"/>
    <w:rsid w:val="002A4AA7"/>
    <w:rsid w:val="002A57D4"/>
    <w:rsid w:val="002A5B6C"/>
    <w:rsid w:val="002B04DC"/>
    <w:rsid w:val="002B0D6E"/>
    <w:rsid w:val="002B25F9"/>
    <w:rsid w:val="002B3676"/>
    <w:rsid w:val="002B5E07"/>
    <w:rsid w:val="002B61C2"/>
    <w:rsid w:val="002B6B25"/>
    <w:rsid w:val="002B7FE1"/>
    <w:rsid w:val="002C2C3D"/>
    <w:rsid w:val="002C3D0F"/>
    <w:rsid w:val="002C5456"/>
    <w:rsid w:val="002C70DC"/>
    <w:rsid w:val="002C7866"/>
    <w:rsid w:val="002D1A8C"/>
    <w:rsid w:val="002D3D10"/>
    <w:rsid w:val="002D4014"/>
    <w:rsid w:val="002E0A88"/>
    <w:rsid w:val="002E2039"/>
    <w:rsid w:val="002E688D"/>
    <w:rsid w:val="002E75DC"/>
    <w:rsid w:val="002E7A3C"/>
    <w:rsid w:val="002F2365"/>
    <w:rsid w:val="002F3511"/>
    <w:rsid w:val="002F3DB4"/>
    <w:rsid w:val="002F572B"/>
    <w:rsid w:val="002F6A96"/>
    <w:rsid w:val="003003F2"/>
    <w:rsid w:val="003008D0"/>
    <w:rsid w:val="00300A3C"/>
    <w:rsid w:val="00305433"/>
    <w:rsid w:val="0030556F"/>
    <w:rsid w:val="003067D5"/>
    <w:rsid w:val="00307AF2"/>
    <w:rsid w:val="00313882"/>
    <w:rsid w:val="0031419C"/>
    <w:rsid w:val="00314F6A"/>
    <w:rsid w:val="00315246"/>
    <w:rsid w:val="0031606F"/>
    <w:rsid w:val="003166F2"/>
    <w:rsid w:val="00317938"/>
    <w:rsid w:val="003210D2"/>
    <w:rsid w:val="00321A19"/>
    <w:rsid w:val="00323C45"/>
    <w:rsid w:val="0032602F"/>
    <w:rsid w:val="00327A9D"/>
    <w:rsid w:val="003303BB"/>
    <w:rsid w:val="003303F7"/>
    <w:rsid w:val="00331228"/>
    <w:rsid w:val="00334F2D"/>
    <w:rsid w:val="00334F91"/>
    <w:rsid w:val="00335C03"/>
    <w:rsid w:val="00335FA5"/>
    <w:rsid w:val="003362E7"/>
    <w:rsid w:val="00340893"/>
    <w:rsid w:val="00340B8F"/>
    <w:rsid w:val="003434F0"/>
    <w:rsid w:val="00344849"/>
    <w:rsid w:val="00345CBD"/>
    <w:rsid w:val="003469D4"/>
    <w:rsid w:val="00350208"/>
    <w:rsid w:val="003507AA"/>
    <w:rsid w:val="00350DA0"/>
    <w:rsid w:val="00350FD1"/>
    <w:rsid w:val="003517EA"/>
    <w:rsid w:val="00354EC7"/>
    <w:rsid w:val="00355CF3"/>
    <w:rsid w:val="00356D45"/>
    <w:rsid w:val="00356D4E"/>
    <w:rsid w:val="003572BF"/>
    <w:rsid w:val="0036350E"/>
    <w:rsid w:val="00370898"/>
    <w:rsid w:val="00373103"/>
    <w:rsid w:val="00374F9B"/>
    <w:rsid w:val="00382A6A"/>
    <w:rsid w:val="00383C8F"/>
    <w:rsid w:val="003872FC"/>
    <w:rsid w:val="00387F33"/>
    <w:rsid w:val="00392B28"/>
    <w:rsid w:val="003953B1"/>
    <w:rsid w:val="003957BC"/>
    <w:rsid w:val="00396157"/>
    <w:rsid w:val="00397DD4"/>
    <w:rsid w:val="003A026E"/>
    <w:rsid w:val="003A0A13"/>
    <w:rsid w:val="003A20C6"/>
    <w:rsid w:val="003A3933"/>
    <w:rsid w:val="003A49D9"/>
    <w:rsid w:val="003A7FA3"/>
    <w:rsid w:val="003B198A"/>
    <w:rsid w:val="003B40A7"/>
    <w:rsid w:val="003B4A0E"/>
    <w:rsid w:val="003B4FD3"/>
    <w:rsid w:val="003B61CA"/>
    <w:rsid w:val="003B6256"/>
    <w:rsid w:val="003B6EC5"/>
    <w:rsid w:val="003B7BFC"/>
    <w:rsid w:val="003C01C8"/>
    <w:rsid w:val="003C294C"/>
    <w:rsid w:val="003C5A04"/>
    <w:rsid w:val="003C7187"/>
    <w:rsid w:val="003C738B"/>
    <w:rsid w:val="003C767D"/>
    <w:rsid w:val="003C7749"/>
    <w:rsid w:val="003D0CE3"/>
    <w:rsid w:val="003D18E6"/>
    <w:rsid w:val="003D3138"/>
    <w:rsid w:val="003D417F"/>
    <w:rsid w:val="003D536F"/>
    <w:rsid w:val="003E2351"/>
    <w:rsid w:val="003E2D98"/>
    <w:rsid w:val="003E539C"/>
    <w:rsid w:val="003E63B5"/>
    <w:rsid w:val="003E6EF7"/>
    <w:rsid w:val="003E6F55"/>
    <w:rsid w:val="003F2A16"/>
    <w:rsid w:val="003F3918"/>
    <w:rsid w:val="003F6EA1"/>
    <w:rsid w:val="003F75C5"/>
    <w:rsid w:val="00401ECD"/>
    <w:rsid w:val="004020AD"/>
    <w:rsid w:val="00403C94"/>
    <w:rsid w:val="004063E9"/>
    <w:rsid w:val="0040702A"/>
    <w:rsid w:val="0041019C"/>
    <w:rsid w:val="00410D00"/>
    <w:rsid w:val="0041258B"/>
    <w:rsid w:val="004125DC"/>
    <w:rsid w:val="00413152"/>
    <w:rsid w:val="0041402C"/>
    <w:rsid w:val="00414938"/>
    <w:rsid w:val="00414B67"/>
    <w:rsid w:val="00417F01"/>
    <w:rsid w:val="0042432F"/>
    <w:rsid w:val="004260A4"/>
    <w:rsid w:val="00431704"/>
    <w:rsid w:val="00431C78"/>
    <w:rsid w:val="00434910"/>
    <w:rsid w:val="00435430"/>
    <w:rsid w:val="004366BF"/>
    <w:rsid w:val="004373DD"/>
    <w:rsid w:val="00441630"/>
    <w:rsid w:val="0044250E"/>
    <w:rsid w:val="00444722"/>
    <w:rsid w:val="004461D6"/>
    <w:rsid w:val="0044652F"/>
    <w:rsid w:val="0044765E"/>
    <w:rsid w:val="00453EC5"/>
    <w:rsid w:val="00454628"/>
    <w:rsid w:val="00454BAA"/>
    <w:rsid w:val="00456C3B"/>
    <w:rsid w:val="00457484"/>
    <w:rsid w:val="004601ED"/>
    <w:rsid w:val="00461994"/>
    <w:rsid w:val="004624BE"/>
    <w:rsid w:val="00463681"/>
    <w:rsid w:val="00463762"/>
    <w:rsid w:val="00466C70"/>
    <w:rsid w:val="00466DA8"/>
    <w:rsid w:val="004704A2"/>
    <w:rsid w:val="00473E2B"/>
    <w:rsid w:val="0047670D"/>
    <w:rsid w:val="0048042C"/>
    <w:rsid w:val="00481405"/>
    <w:rsid w:val="004818C7"/>
    <w:rsid w:val="00482B92"/>
    <w:rsid w:val="00483BD9"/>
    <w:rsid w:val="00483C8E"/>
    <w:rsid w:val="00485C75"/>
    <w:rsid w:val="00485F35"/>
    <w:rsid w:val="004865E7"/>
    <w:rsid w:val="004866BC"/>
    <w:rsid w:val="00486728"/>
    <w:rsid w:val="00487026"/>
    <w:rsid w:val="00490B2B"/>
    <w:rsid w:val="00490CA7"/>
    <w:rsid w:val="004941D7"/>
    <w:rsid w:val="00495079"/>
    <w:rsid w:val="00495A8A"/>
    <w:rsid w:val="00495ED4"/>
    <w:rsid w:val="004963C2"/>
    <w:rsid w:val="004A0510"/>
    <w:rsid w:val="004A195E"/>
    <w:rsid w:val="004A498E"/>
    <w:rsid w:val="004A53C6"/>
    <w:rsid w:val="004A58AE"/>
    <w:rsid w:val="004B0EAC"/>
    <w:rsid w:val="004B104F"/>
    <w:rsid w:val="004B1721"/>
    <w:rsid w:val="004B26FA"/>
    <w:rsid w:val="004B6EF7"/>
    <w:rsid w:val="004B7223"/>
    <w:rsid w:val="004B782F"/>
    <w:rsid w:val="004B7C54"/>
    <w:rsid w:val="004C03AC"/>
    <w:rsid w:val="004C0980"/>
    <w:rsid w:val="004C5545"/>
    <w:rsid w:val="004C5FF6"/>
    <w:rsid w:val="004C7512"/>
    <w:rsid w:val="004D0412"/>
    <w:rsid w:val="004D1E4C"/>
    <w:rsid w:val="004D2154"/>
    <w:rsid w:val="004D282D"/>
    <w:rsid w:val="004D5272"/>
    <w:rsid w:val="004D5750"/>
    <w:rsid w:val="004D5952"/>
    <w:rsid w:val="004D6265"/>
    <w:rsid w:val="004D6C8B"/>
    <w:rsid w:val="004E0872"/>
    <w:rsid w:val="004E30B8"/>
    <w:rsid w:val="004E45B5"/>
    <w:rsid w:val="004E69D8"/>
    <w:rsid w:val="004E6A12"/>
    <w:rsid w:val="004F28C4"/>
    <w:rsid w:val="004F308D"/>
    <w:rsid w:val="004F4502"/>
    <w:rsid w:val="004F4C42"/>
    <w:rsid w:val="004F5CD2"/>
    <w:rsid w:val="004F77BB"/>
    <w:rsid w:val="004F7C7D"/>
    <w:rsid w:val="005012E6"/>
    <w:rsid w:val="0050191E"/>
    <w:rsid w:val="00505304"/>
    <w:rsid w:val="00511089"/>
    <w:rsid w:val="005117EA"/>
    <w:rsid w:val="00515A84"/>
    <w:rsid w:val="00517FCA"/>
    <w:rsid w:val="00523764"/>
    <w:rsid w:val="00525E88"/>
    <w:rsid w:val="005275EA"/>
    <w:rsid w:val="005303E3"/>
    <w:rsid w:val="00530457"/>
    <w:rsid w:val="00530EE1"/>
    <w:rsid w:val="00532D87"/>
    <w:rsid w:val="0053306D"/>
    <w:rsid w:val="0053379C"/>
    <w:rsid w:val="005338C8"/>
    <w:rsid w:val="00533A54"/>
    <w:rsid w:val="00534D43"/>
    <w:rsid w:val="005425A8"/>
    <w:rsid w:val="00550DB4"/>
    <w:rsid w:val="0055354C"/>
    <w:rsid w:val="005545A1"/>
    <w:rsid w:val="00556A53"/>
    <w:rsid w:val="005574FF"/>
    <w:rsid w:val="00560152"/>
    <w:rsid w:val="0056098C"/>
    <w:rsid w:val="00560A56"/>
    <w:rsid w:val="00560CE5"/>
    <w:rsid w:val="00561E26"/>
    <w:rsid w:val="00562527"/>
    <w:rsid w:val="00563EEB"/>
    <w:rsid w:val="0057247B"/>
    <w:rsid w:val="00574FCA"/>
    <w:rsid w:val="00577E17"/>
    <w:rsid w:val="0058020C"/>
    <w:rsid w:val="00580EAB"/>
    <w:rsid w:val="00581225"/>
    <w:rsid w:val="0058150A"/>
    <w:rsid w:val="005817EC"/>
    <w:rsid w:val="00582DC9"/>
    <w:rsid w:val="00583F26"/>
    <w:rsid w:val="005860BB"/>
    <w:rsid w:val="00587F96"/>
    <w:rsid w:val="005913F3"/>
    <w:rsid w:val="00595804"/>
    <w:rsid w:val="005A1FCC"/>
    <w:rsid w:val="005A2880"/>
    <w:rsid w:val="005A328D"/>
    <w:rsid w:val="005A3C05"/>
    <w:rsid w:val="005B1875"/>
    <w:rsid w:val="005B1D7A"/>
    <w:rsid w:val="005B2920"/>
    <w:rsid w:val="005B4595"/>
    <w:rsid w:val="005B5508"/>
    <w:rsid w:val="005B65D7"/>
    <w:rsid w:val="005B66F5"/>
    <w:rsid w:val="005B6C1F"/>
    <w:rsid w:val="005B71FB"/>
    <w:rsid w:val="005D0030"/>
    <w:rsid w:val="005D0DC9"/>
    <w:rsid w:val="005D4F15"/>
    <w:rsid w:val="005D4FF0"/>
    <w:rsid w:val="005D5425"/>
    <w:rsid w:val="005D5E11"/>
    <w:rsid w:val="005D615A"/>
    <w:rsid w:val="005D6745"/>
    <w:rsid w:val="005D6879"/>
    <w:rsid w:val="005D787D"/>
    <w:rsid w:val="005E0C8F"/>
    <w:rsid w:val="005E1C1E"/>
    <w:rsid w:val="005E351F"/>
    <w:rsid w:val="005E456A"/>
    <w:rsid w:val="005E474D"/>
    <w:rsid w:val="005E47A0"/>
    <w:rsid w:val="005E4D5F"/>
    <w:rsid w:val="005E4D6C"/>
    <w:rsid w:val="005F1857"/>
    <w:rsid w:val="005F28F8"/>
    <w:rsid w:val="005F2CDC"/>
    <w:rsid w:val="005F448A"/>
    <w:rsid w:val="005F579F"/>
    <w:rsid w:val="005F5F83"/>
    <w:rsid w:val="005F7045"/>
    <w:rsid w:val="005F7CDB"/>
    <w:rsid w:val="00601229"/>
    <w:rsid w:val="00602B1A"/>
    <w:rsid w:val="0060638A"/>
    <w:rsid w:val="00611BF5"/>
    <w:rsid w:val="006120EF"/>
    <w:rsid w:val="006123E8"/>
    <w:rsid w:val="00613153"/>
    <w:rsid w:val="006146FC"/>
    <w:rsid w:val="00614BCF"/>
    <w:rsid w:val="006233AD"/>
    <w:rsid w:val="00625A21"/>
    <w:rsid w:val="00626993"/>
    <w:rsid w:val="00632FD4"/>
    <w:rsid w:val="006353B4"/>
    <w:rsid w:val="00635CCC"/>
    <w:rsid w:val="006365E2"/>
    <w:rsid w:val="006427AF"/>
    <w:rsid w:val="00642A22"/>
    <w:rsid w:val="006463F9"/>
    <w:rsid w:val="006539BE"/>
    <w:rsid w:val="00660348"/>
    <w:rsid w:val="00660798"/>
    <w:rsid w:val="0066471C"/>
    <w:rsid w:val="00666922"/>
    <w:rsid w:val="00666C2B"/>
    <w:rsid w:val="00677771"/>
    <w:rsid w:val="00681E3B"/>
    <w:rsid w:val="00682290"/>
    <w:rsid w:val="0068255A"/>
    <w:rsid w:val="00684204"/>
    <w:rsid w:val="0068588A"/>
    <w:rsid w:val="006863F4"/>
    <w:rsid w:val="0068653C"/>
    <w:rsid w:val="006912FB"/>
    <w:rsid w:val="00692490"/>
    <w:rsid w:val="00693785"/>
    <w:rsid w:val="00693A21"/>
    <w:rsid w:val="00697401"/>
    <w:rsid w:val="006A5B56"/>
    <w:rsid w:val="006B04F2"/>
    <w:rsid w:val="006B0EBB"/>
    <w:rsid w:val="006B2C99"/>
    <w:rsid w:val="006B4E1A"/>
    <w:rsid w:val="006B5098"/>
    <w:rsid w:val="006B52F2"/>
    <w:rsid w:val="006C16F3"/>
    <w:rsid w:val="006C358F"/>
    <w:rsid w:val="006C5990"/>
    <w:rsid w:val="006D036B"/>
    <w:rsid w:val="006D099C"/>
    <w:rsid w:val="006D0CC7"/>
    <w:rsid w:val="006D2A93"/>
    <w:rsid w:val="006D3597"/>
    <w:rsid w:val="006D39F2"/>
    <w:rsid w:val="006D53F6"/>
    <w:rsid w:val="006D7549"/>
    <w:rsid w:val="006E0351"/>
    <w:rsid w:val="006E2901"/>
    <w:rsid w:val="006F0C27"/>
    <w:rsid w:val="006F18B4"/>
    <w:rsid w:val="00700FA3"/>
    <w:rsid w:val="00701611"/>
    <w:rsid w:val="00701DA3"/>
    <w:rsid w:val="00707353"/>
    <w:rsid w:val="0071191E"/>
    <w:rsid w:val="007119AF"/>
    <w:rsid w:val="00712441"/>
    <w:rsid w:val="00715667"/>
    <w:rsid w:val="00715908"/>
    <w:rsid w:val="007160FD"/>
    <w:rsid w:val="00717420"/>
    <w:rsid w:val="00721E22"/>
    <w:rsid w:val="00721FF5"/>
    <w:rsid w:val="007247A4"/>
    <w:rsid w:val="00724BF6"/>
    <w:rsid w:val="00724C62"/>
    <w:rsid w:val="00725737"/>
    <w:rsid w:val="007260F5"/>
    <w:rsid w:val="00730458"/>
    <w:rsid w:val="00730653"/>
    <w:rsid w:val="0073226E"/>
    <w:rsid w:val="00732FB5"/>
    <w:rsid w:val="00733EB4"/>
    <w:rsid w:val="007345D0"/>
    <w:rsid w:val="007360E9"/>
    <w:rsid w:val="00736377"/>
    <w:rsid w:val="00741345"/>
    <w:rsid w:val="007447A0"/>
    <w:rsid w:val="00744888"/>
    <w:rsid w:val="007526B5"/>
    <w:rsid w:val="0075398E"/>
    <w:rsid w:val="00756F2E"/>
    <w:rsid w:val="00760CF6"/>
    <w:rsid w:val="00761FBC"/>
    <w:rsid w:val="007627EF"/>
    <w:rsid w:val="00770C20"/>
    <w:rsid w:val="00771432"/>
    <w:rsid w:val="0077589D"/>
    <w:rsid w:val="00775B13"/>
    <w:rsid w:val="00776C92"/>
    <w:rsid w:val="0077756A"/>
    <w:rsid w:val="00777BC2"/>
    <w:rsid w:val="007816DC"/>
    <w:rsid w:val="00783D50"/>
    <w:rsid w:val="00784ECD"/>
    <w:rsid w:val="00787D4A"/>
    <w:rsid w:val="00796C2E"/>
    <w:rsid w:val="00796C36"/>
    <w:rsid w:val="00796EDD"/>
    <w:rsid w:val="007A36B4"/>
    <w:rsid w:val="007A3F65"/>
    <w:rsid w:val="007A56F0"/>
    <w:rsid w:val="007A6FB1"/>
    <w:rsid w:val="007A72F0"/>
    <w:rsid w:val="007B0003"/>
    <w:rsid w:val="007B0106"/>
    <w:rsid w:val="007B0996"/>
    <w:rsid w:val="007B1BCE"/>
    <w:rsid w:val="007B658A"/>
    <w:rsid w:val="007B76B1"/>
    <w:rsid w:val="007C0FD8"/>
    <w:rsid w:val="007C121E"/>
    <w:rsid w:val="007C7D3B"/>
    <w:rsid w:val="007D0BA6"/>
    <w:rsid w:val="007D10CB"/>
    <w:rsid w:val="007D29C2"/>
    <w:rsid w:val="007D628F"/>
    <w:rsid w:val="007D70A2"/>
    <w:rsid w:val="007E037C"/>
    <w:rsid w:val="007E25F8"/>
    <w:rsid w:val="007E2E32"/>
    <w:rsid w:val="007E3004"/>
    <w:rsid w:val="007E30C7"/>
    <w:rsid w:val="007E3EFA"/>
    <w:rsid w:val="007E4500"/>
    <w:rsid w:val="007E6C91"/>
    <w:rsid w:val="007F119A"/>
    <w:rsid w:val="007F3638"/>
    <w:rsid w:val="007F4E20"/>
    <w:rsid w:val="007F7AA2"/>
    <w:rsid w:val="00800FEE"/>
    <w:rsid w:val="00801110"/>
    <w:rsid w:val="0080143B"/>
    <w:rsid w:val="008028EE"/>
    <w:rsid w:val="00802E46"/>
    <w:rsid w:val="00811193"/>
    <w:rsid w:val="008112F8"/>
    <w:rsid w:val="00811B75"/>
    <w:rsid w:val="008134FC"/>
    <w:rsid w:val="008153B4"/>
    <w:rsid w:val="008161B6"/>
    <w:rsid w:val="00817C76"/>
    <w:rsid w:val="008202D1"/>
    <w:rsid w:val="008219AE"/>
    <w:rsid w:val="00821C17"/>
    <w:rsid w:val="00823E6F"/>
    <w:rsid w:val="00823EBF"/>
    <w:rsid w:val="008250BC"/>
    <w:rsid w:val="008276DB"/>
    <w:rsid w:val="008319A4"/>
    <w:rsid w:val="00832527"/>
    <w:rsid w:val="00836670"/>
    <w:rsid w:val="00841F45"/>
    <w:rsid w:val="00843E68"/>
    <w:rsid w:val="0084554B"/>
    <w:rsid w:val="00847CF9"/>
    <w:rsid w:val="008501BD"/>
    <w:rsid w:val="008522C7"/>
    <w:rsid w:val="0085493D"/>
    <w:rsid w:val="0086015A"/>
    <w:rsid w:val="00862FF3"/>
    <w:rsid w:val="00863728"/>
    <w:rsid w:val="00865967"/>
    <w:rsid w:val="008679CD"/>
    <w:rsid w:val="00874230"/>
    <w:rsid w:val="00875E8A"/>
    <w:rsid w:val="008762AD"/>
    <w:rsid w:val="00880094"/>
    <w:rsid w:val="00882BBC"/>
    <w:rsid w:val="00890FBB"/>
    <w:rsid w:val="0089239E"/>
    <w:rsid w:val="008958B7"/>
    <w:rsid w:val="008972E2"/>
    <w:rsid w:val="00897660"/>
    <w:rsid w:val="00897815"/>
    <w:rsid w:val="00897B50"/>
    <w:rsid w:val="008A0FB9"/>
    <w:rsid w:val="008A1585"/>
    <w:rsid w:val="008A19BC"/>
    <w:rsid w:val="008A3A8E"/>
    <w:rsid w:val="008B0D36"/>
    <w:rsid w:val="008B4A97"/>
    <w:rsid w:val="008B5301"/>
    <w:rsid w:val="008B631B"/>
    <w:rsid w:val="008C10F1"/>
    <w:rsid w:val="008C262D"/>
    <w:rsid w:val="008C31A1"/>
    <w:rsid w:val="008C336A"/>
    <w:rsid w:val="008C7E01"/>
    <w:rsid w:val="008D0D6A"/>
    <w:rsid w:val="008D44BD"/>
    <w:rsid w:val="008D75A8"/>
    <w:rsid w:val="008D7A27"/>
    <w:rsid w:val="008E0EB8"/>
    <w:rsid w:val="008E18A8"/>
    <w:rsid w:val="008E207D"/>
    <w:rsid w:val="008E4291"/>
    <w:rsid w:val="008E466D"/>
    <w:rsid w:val="008E7C1B"/>
    <w:rsid w:val="008E7C7C"/>
    <w:rsid w:val="008F1258"/>
    <w:rsid w:val="008F205C"/>
    <w:rsid w:val="008F2EC4"/>
    <w:rsid w:val="008F7C0B"/>
    <w:rsid w:val="00903896"/>
    <w:rsid w:val="00904847"/>
    <w:rsid w:val="00904D32"/>
    <w:rsid w:val="00905342"/>
    <w:rsid w:val="009056E8"/>
    <w:rsid w:val="00910465"/>
    <w:rsid w:val="009114DB"/>
    <w:rsid w:val="00913B69"/>
    <w:rsid w:val="00913F98"/>
    <w:rsid w:val="009149B4"/>
    <w:rsid w:val="009153E5"/>
    <w:rsid w:val="00916C08"/>
    <w:rsid w:val="00917C9C"/>
    <w:rsid w:val="00920812"/>
    <w:rsid w:val="00922B20"/>
    <w:rsid w:val="0092516B"/>
    <w:rsid w:val="00926358"/>
    <w:rsid w:val="0093053D"/>
    <w:rsid w:val="009317D2"/>
    <w:rsid w:val="00932A56"/>
    <w:rsid w:val="00935128"/>
    <w:rsid w:val="00935D2A"/>
    <w:rsid w:val="00940D95"/>
    <w:rsid w:val="00942EB7"/>
    <w:rsid w:val="00944E82"/>
    <w:rsid w:val="00946E98"/>
    <w:rsid w:val="009529FB"/>
    <w:rsid w:val="00953340"/>
    <w:rsid w:val="009650C1"/>
    <w:rsid w:val="00965EE7"/>
    <w:rsid w:val="00971BF3"/>
    <w:rsid w:val="00972217"/>
    <w:rsid w:val="0097262C"/>
    <w:rsid w:val="0097298C"/>
    <w:rsid w:val="00972C44"/>
    <w:rsid w:val="009730C4"/>
    <w:rsid w:val="0097490F"/>
    <w:rsid w:val="009752A0"/>
    <w:rsid w:val="00976388"/>
    <w:rsid w:val="009828EF"/>
    <w:rsid w:val="00983118"/>
    <w:rsid w:val="00990ED1"/>
    <w:rsid w:val="0099164A"/>
    <w:rsid w:val="009923F1"/>
    <w:rsid w:val="00993D99"/>
    <w:rsid w:val="00997756"/>
    <w:rsid w:val="00997C88"/>
    <w:rsid w:val="009A2CBA"/>
    <w:rsid w:val="009A545C"/>
    <w:rsid w:val="009A56EC"/>
    <w:rsid w:val="009A5BD4"/>
    <w:rsid w:val="009A780D"/>
    <w:rsid w:val="009B024B"/>
    <w:rsid w:val="009B1BF4"/>
    <w:rsid w:val="009B385C"/>
    <w:rsid w:val="009B56C2"/>
    <w:rsid w:val="009B5E9C"/>
    <w:rsid w:val="009B6517"/>
    <w:rsid w:val="009B7B32"/>
    <w:rsid w:val="009C06E5"/>
    <w:rsid w:val="009C1728"/>
    <w:rsid w:val="009C1E36"/>
    <w:rsid w:val="009C5744"/>
    <w:rsid w:val="009C7C84"/>
    <w:rsid w:val="009C7E90"/>
    <w:rsid w:val="009D01D2"/>
    <w:rsid w:val="009D080E"/>
    <w:rsid w:val="009D1F54"/>
    <w:rsid w:val="009D25C2"/>
    <w:rsid w:val="009D4539"/>
    <w:rsid w:val="009D6D75"/>
    <w:rsid w:val="009E0AEC"/>
    <w:rsid w:val="009E1E3E"/>
    <w:rsid w:val="009E2355"/>
    <w:rsid w:val="009E29D1"/>
    <w:rsid w:val="009E4A26"/>
    <w:rsid w:val="009E6E3D"/>
    <w:rsid w:val="009F0F06"/>
    <w:rsid w:val="009F11F2"/>
    <w:rsid w:val="009F17AC"/>
    <w:rsid w:val="009F28AE"/>
    <w:rsid w:val="009F525B"/>
    <w:rsid w:val="009F542A"/>
    <w:rsid w:val="009F5D6E"/>
    <w:rsid w:val="009F673F"/>
    <w:rsid w:val="009F7B25"/>
    <w:rsid w:val="00A0340E"/>
    <w:rsid w:val="00A06230"/>
    <w:rsid w:val="00A07CAC"/>
    <w:rsid w:val="00A121C9"/>
    <w:rsid w:val="00A13DFA"/>
    <w:rsid w:val="00A1532F"/>
    <w:rsid w:val="00A20A9E"/>
    <w:rsid w:val="00A22E69"/>
    <w:rsid w:val="00A231A0"/>
    <w:rsid w:val="00A24D20"/>
    <w:rsid w:val="00A2607E"/>
    <w:rsid w:val="00A30556"/>
    <w:rsid w:val="00A30C31"/>
    <w:rsid w:val="00A32775"/>
    <w:rsid w:val="00A3386F"/>
    <w:rsid w:val="00A34F74"/>
    <w:rsid w:val="00A35CAB"/>
    <w:rsid w:val="00A36E31"/>
    <w:rsid w:val="00A36FBE"/>
    <w:rsid w:val="00A37295"/>
    <w:rsid w:val="00A372B4"/>
    <w:rsid w:val="00A41B36"/>
    <w:rsid w:val="00A461C5"/>
    <w:rsid w:val="00A51DE7"/>
    <w:rsid w:val="00A606CA"/>
    <w:rsid w:val="00A61AE3"/>
    <w:rsid w:val="00A61E26"/>
    <w:rsid w:val="00A62D9F"/>
    <w:rsid w:val="00A704F6"/>
    <w:rsid w:val="00A70789"/>
    <w:rsid w:val="00A76E20"/>
    <w:rsid w:val="00A77EBC"/>
    <w:rsid w:val="00A80B06"/>
    <w:rsid w:val="00A81696"/>
    <w:rsid w:val="00A82846"/>
    <w:rsid w:val="00A834FE"/>
    <w:rsid w:val="00A83FB3"/>
    <w:rsid w:val="00A863C2"/>
    <w:rsid w:val="00A87EED"/>
    <w:rsid w:val="00A92C2A"/>
    <w:rsid w:val="00A92CAD"/>
    <w:rsid w:val="00A93262"/>
    <w:rsid w:val="00A969F3"/>
    <w:rsid w:val="00AA06D8"/>
    <w:rsid w:val="00AA1291"/>
    <w:rsid w:val="00AA167C"/>
    <w:rsid w:val="00AA1789"/>
    <w:rsid w:val="00AA2536"/>
    <w:rsid w:val="00AA2BF6"/>
    <w:rsid w:val="00AA5DAB"/>
    <w:rsid w:val="00AA727E"/>
    <w:rsid w:val="00AA7486"/>
    <w:rsid w:val="00AB01AE"/>
    <w:rsid w:val="00AB1209"/>
    <w:rsid w:val="00AB1355"/>
    <w:rsid w:val="00AB1B8C"/>
    <w:rsid w:val="00AB3527"/>
    <w:rsid w:val="00AB6494"/>
    <w:rsid w:val="00AB7BAD"/>
    <w:rsid w:val="00AC0771"/>
    <w:rsid w:val="00AC23E1"/>
    <w:rsid w:val="00AC5CA9"/>
    <w:rsid w:val="00AC762A"/>
    <w:rsid w:val="00AD42C3"/>
    <w:rsid w:val="00AD45E1"/>
    <w:rsid w:val="00AD4DDE"/>
    <w:rsid w:val="00AD5350"/>
    <w:rsid w:val="00AD6046"/>
    <w:rsid w:val="00AD6A57"/>
    <w:rsid w:val="00AE01DD"/>
    <w:rsid w:val="00AE25F2"/>
    <w:rsid w:val="00AE3B1C"/>
    <w:rsid w:val="00AE4BB5"/>
    <w:rsid w:val="00AE6716"/>
    <w:rsid w:val="00AE73BD"/>
    <w:rsid w:val="00AE74FA"/>
    <w:rsid w:val="00AE7CD1"/>
    <w:rsid w:val="00AF1343"/>
    <w:rsid w:val="00AF2779"/>
    <w:rsid w:val="00AF2F02"/>
    <w:rsid w:val="00AF36EC"/>
    <w:rsid w:val="00AF371A"/>
    <w:rsid w:val="00AF4DE9"/>
    <w:rsid w:val="00AF6B2F"/>
    <w:rsid w:val="00B01FE7"/>
    <w:rsid w:val="00B02068"/>
    <w:rsid w:val="00B044AF"/>
    <w:rsid w:val="00B047D0"/>
    <w:rsid w:val="00B07930"/>
    <w:rsid w:val="00B1013A"/>
    <w:rsid w:val="00B10215"/>
    <w:rsid w:val="00B10D34"/>
    <w:rsid w:val="00B14862"/>
    <w:rsid w:val="00B1510A"/>
    <w:rsid w:val="00B15394"/>
    <w:rsid w:val="00B15797"/>
    <w:rsid w:val="00B1611E"/>
    <w:rsid w:val="00B16C50"/>
    <w:rsid w:val="00B17EA5"/>
    <w:rsid w:val="00B26963"/>
    <w:rsid w:val="00B305E3"/>
    <w:rsid w:val="00B31264"/>
    <w:rsid w:val="00B3315E"/>
    <w:rsid w:val="00B33624"/>
    <w:rsid w:val="00B3429B"/>
    <w:rsid w:val="00B37215"/>
    <w:rsid w:val="00B37937"/>
    <w:rsid w:val="00B42048"/>
    <w:rsid w:val="00B4376F"/>
    <w:rsid w:val="00B445F1"/>
    <w:rsid w:val="00B5015A"/>
    <w:rsid w:val="00B52674"/>
    <w:rsid w:val="00B54ED1"/>
    <w:rsid w:val="00B55A31"/>
    <w:rsid w:val="00B57873"/>
    <w:rsid w:val="00B60240"/>
    <w:rsid w:val="00B61477"/>
    <w:rsid w:val="00B64865"/>
    <w:rsid w:val="00B65598"/>
    <w:rsid w:val="00B70084"/>
    <w:rsid w:val="00B75EA3"/>
    <w:rsid w:val="00B77F2B"/>
    <w:rsid w:val="00B82E91"/>
    <w:rsid w:val="00B87F3D"/>
    <w:rsid w:val="00B956FD"/>
    <w:rsid w:val="00B95F17"/>
    <w:rsid w:val="00BA21CD"/>
    <w:rsid w:val="00BA3498"/>
    <w:rsid w:val="00BA3705"/>
    <w:rsid w:val="00BA4BB8"/>
    <w:rsid w:val="00BA618B"/>
    <w:rsid w:val="00BA6524"/>
    <w:rsid w:val="00BA6892"/>
    <w:rsid w:val="00BA6E62"/>
    <w:rsid w:val="00BA777E"/>
    <w:rsid w:val="00BA7E62"/>
    <w:rsid w:val="00BB0211"/>
    <w:rsid w:val="00BB09E1"/>
    <w:rsid w:val="00BB2AA5"/>
    <w:rsid w:val="00BB2F16"/>
    <w:rsid w:val="00BC12A8"/>
    <w:rsid w:val="00BC3176"/>
    <w:rsid w:val="00BC3C20"/>
    <w:rsid w:val="00BC4AD4"/>
    <w:rsid w:val="00BC4EBA"/>
    <w:rsid w:val="00BC643F"/>
    <w:rsid w:val="00BC7011"/>
    <w:rsid w:val="00BC75ED"/>
    <w:rsid w:val="00BC7F76"/>
    <w:rsid w:val="00BD25DE"/>
    <w:rsid w:val="00BD40CB"/>
    <w:rsid w:val="00BD5666"/>
    <w:rsid w:val="00BD58D9"/>
    <w:rsid w:val="00BD5AB4"/>
    <w:rsid w:val="00BD7604"/>
    <w:rsid w:val="00BE2C06"/>
    <w:rsid w:val="00BE3AF1"/>
    <w:rsid w:val="00BE3D8B"/>
    <w:rsid w:val="00BE5ED5"/>
    <w:rsid w:val="00BE6F7D"/>
    <w:rsid w:val="00BF674F"/>
    <w:rsid w:val="00C024E4"/>
    <w:rsid w:val="00C04E60"/>
    <w:rsid w:val="00C059C9"/>
    <w:rsid w:val="00C06F1F"/>
    <w:rsid w:val="00C06F3C"/>
    <w:rsid w:val="00C0787F"/>
    <w:rsid w:val="00C110EC"/>
    <w:rsid w:val="00C14B23"/>
    <w:rsid w:val="00C15B6A"/>
    <w:rsid w:val="00C1734A"/>
    <w:rsid w:val="00C2581B"/>
    <w:rsid w:val="00C25B25"/>
    <w:rsid w:val="00C26170"/>
    <w:rsid w:val="00C2756C"/>
    <w:rsid w:val="00C3189F"/>
    <w:rsid w:val="00C31A74"/>
    <w:rsid w:val="00C3569F"/>
    <w:rsid w:val="00C36088"/>
    <w:rsid w:val="00C372C8"/>
    <w:rsid w:val="00C37775"/>
    <w:rsid w:val="00C417EF"/>
    <w:rsid w:val="00C41C7C"/>
    <w:rsid w:val="00C438C4"/>
    <w:rsid w:val="00C439C3"/>
    <w:rsid w:val="00C46DA2"/>
    <w:rsid w:val="00C471AA"/>
    <w:rsid w:val="00C472CC"/>
    <w:rsid w:val="00C5042B"/>
    <w:rsid w:val="00C5072E"/>
    <w:rsid w:val="00C50B93"/>
    <w:rsid w:val="00C5164D"/>
    <w:rsid w:val="00C52588"/>
    <w:rsid w:val="00C540B0"/>
    <w:rsid w:val="00C579CC"/>
    <w:rsid w:val="00C61936"/>
    <w:rsid w:val="00C63556"/>
    <w:rsid w:val="00C63964"/>
    <w:rsid w:val="00C654BB"/>
    <w:rsid w:val="00C655C8"/>
    <w:rsid w:val="00C65CC4"/>
    <w:rsid w:val="00C7171F"/>
    <w:rsid w:val="00C72273"/>
    <w:rsid w:val="00C8250E"/>
    <w:rsid w:val="00C84DD5"/>
    <w:rsid w:val="00C912CA"/>
    <w:rsid w:val="00C97ADB"/>
    <w:rsid w:val="00C97FEA"/>
    <w:rsid w:val="00CA0E5A"/>
    <w:rsid w:val="00CA3316"/>
    <w:rsid w:val="00CA3B11"/>
    <w:rsid w:val="00CA4D01"/>
    <w:rsid w:val="00CB191A"/>
    <w:rsid w:val="00CC197D"/>
    <w:rsid w:val="00CD14B7"/>
    <w:rsid w:val="00CD224B"/>
    <w:rsid w:val="00CD2445"/>
    <w:rsid w:val="00CD3313"/>
    <w:rsid w:val="00CD34BF"/>
    <w:rsid w:val="00CD4B94"/>
    <w:rsid w:val="00CE261B"/>
    <w:rsid w:val="00CE2FAA"/>
    <w:rsid w:val="00CE3665"/>
    <w:rsid w:val="00CE392E"/>
    <w:rsid w:val="00CE583D"/>
    <w:rsid w:val="00CE58B0"/>
    <w:rsid w:val="00CE58F3"/>
    <w:rsid w:val="00CE7693"/>
    <w:rsid w:val="00CE7FBD"/>
    <w:rsid w:val="00CF0F68"/>
    <w:rsid w:val="00CF1567"/>
    <w:rsid w:val="00CF3114"/>
    <w:rsid w:val="00CF4971"/>
    <w:rsid w:val="00CF595C"/>
    <w:rsid w:val="00D0080F"/>
    <w:rsid w:val="00D01900"/>
    <w:rsid w:val="00D01F38"/>
    <w:rsid w:val="00D03440"/>
    <w:rsid w:val="00D04690"/>
    <w:rsid w:val="00D049D5"/>
    <w:rsid w:val="00D04B7C"/>
    <w:rsid w:val="00D056D4"/>
    <w:rsid w:val="00D07159"/>
    <w:rsid w:val="00D0749B"/>
    <w:rsid w:val="00D13F52"/>
    <w:rsid w:val="00D16037"/>
    <w:rsid w:val="00D21363"/>
    <w:rsid w:val="00D21BA5"/>
    <w:rsid w:val="00D23592"/>
    <w:rsid w:val="00D246C9"/>
    <w:rsid w:val="00D25CFF"/>
    <w:rsid w:val="00D2747A"/>
    <w:rsid w:val="00D30636"/>
    <w:rsid w:val="00D30983"/>
    <w:rsid w:val="00D328F1"/>
    <w:rsid w:val="00D3367A"/>
    <w:rsid w:val="00D3417E"/>
    <w:rsid w:val="00D36842"/>
    <w:rsid w:val="00D372A4"/>
    <w:rsid w:val="00D41CDC"/>
    <w:rsid w:val="00D420FC"/>
    <w:rsid w:val="00D42F58"/>
    <w:rsid w:val="00D43CB5"/>
    <w:rsid w:val="00D46BEE"/>
    <w:rsid w:val="00D4760B"/>
    <w:rsid w:val="00D53105"/>
    <w:rsid w:val="00D5311E"/>
    <w:rsid w:val="00D53FEE"/>
    <w:rsid w:val="00D56A25"/>
    <w:rsid w:val="00D577DE"/>
    <w:rsid w:val="00D57E8D"/>
    <w:rsid w:val="00D60242"/>
    <w:rsid w:val="00D61971"/>
    <w:rsid w:val="00D61DBE"/>
    <w:rsid w:val="00D63707"/>
    <w:rsid w:val="00D64287"/>
    <w:rsid w:val="00D6680F"/>
    <w:rsid w:val="00D708F6"/>
    <w:rsid w:val="00D736A8"/>
    <w:rsid w:val="00D73ABB"/>
    <w:rsid w:val="00D746A6"/>
    <w:rsid w:val="00D74D34"/>
    <w:rsid w:val="00D74F47"/>
    <w:rsid w:val="00D76674"/>
    <w:rsid w:val="00D77AC8"/>
    <w:rsid w:val="00D77F6F"/>
    <w:rsid w:val="00D81036"/>
    <w:rsid w:val="00D85BCE"/>
    <w:rsid w:val="00D87CA6"/>
    <w:rsid w:val="00D929A2"/>
    <w:rsid w:val="00D957CA"/>
    <w:rsid w:val="00D969F9"/>
    <w:rsid w:val="00D96AE3"/>
    <w:rsid w:val="00D973B9"/>
    <w:rsid w:val="00DA019A"/>
    <w:rsid w:val="00DA4A1A"/>
    <w:rsid w:val="00DA67CF"/>
    <w:rsid w:val="00DB0067"/>
    <w:rsid w:val="00DB3CBA"/>
    <w:rsid w:val="00DB4EEE"/>
    <w:rsid w:val="00DC31FF"/>
    <w:rsid w:val="00DC48B6"/>
    <w:rsid w:val="00DC51B4"/>
    <w:rsid w:val="00DC6133"/>
    <w:rsid w:val="00DC7ACF"/>
    <w:rsid w:val="00DC7D93"/>
    <w:rsid w:val="00DD69C1"/>
    <w:rsid w:val="00DE232E"/>
    <w:rsid w:val="00DE3DCD"/>
    <w:rsid w:val="00DE4259"/>
    <w:rsid w:val="00DE4731"/>
    <w:rsid w:val="00DE4D3F"/>
    <w:rsid w:val="00DE5A42"/>
    <w:rsid w:val="00DF7300"/>
    <w:rsid w:val="00DF7AD7"/>
    <w:rsid w:val="00DF7E6B"/>
    <w:rsid w:val="00E004F1"/>
    <w:rsid w:val="00E00A5E"/>
    <w:rsid w:val="00E01430"/>
    <w:rsid w:val="00E03644"/>
    <w:rsid w:val="00E036EE"/>
    <w:rsid w:val="00E04041"/>
    <w:rsid w:val="00E04DBB"/>
    <w:rsid w:val="00E06A39"/>
    <w:rsid w:val="00E07691"/>
    <w:rsid w:val="00E07917"/>
    <w:rsid w:val="00E1183C"/>
    <w:rsid w:val="00E127D9"/>
    <w:rsid w:val="00E14EBC"/>
    <w:rsid w:val="00E16464"/>
    <w:rsid w:val="00E17AEB"/>
    <w:rsid w:val="00E17E93"/>
    <w:rsid w:val="00E2116E"/>
    <w:rsid w:val="00E21D6F"/>
    <w:rsid w:val="00E22166"/>
    <w:rsid w:val="00E24166"/>
    <w:rsid w:val="00E24767"/>
    <w:rsid w:val="00E25760"/>
    <w:rsid w:val="00E25B27"/>
    <w:rsid w:val="00E336C4"/>
    <w:rsid w:val="00E3379C"/>
    <w:rsid w:val="00E37864"/>
    <w:rsid w:val="00E40BA3"/>
    <w:rsid w:val="00E42241"/>
    <w:rsid w:val="00E42C55"/>
    <w:rsid w:val="00E43908"/>
    <w:rsid w:val="00E44232"/>
    <w:rsid w:val="00E45428"/>
    <w:rsid w:val="00E45F90"/>
    <w:rsid w:val="00E536C7"/>
    <w:rsid w:val="00E56EB1"/>
    <w:rsid w:val="00E576BE"/>
    <w:rsid w:val="00E57C14"/>
    <w:rsid w:val="00E6485D"/>
    <w:rsid w:val="00E65ABC"/>
    <w:rsid w:val="00E664EB"/>
    <w:rsid w:val="00E67856"/>
    <w:rsid w:val="00E67EB4"/>
    <w:rsid w:val="00E71DE9"/>
    <w:rsid w:val="00E7249F"/>
    <w:rsid w:val="00E7293C"/>
    <w:rsid w:val="00E731A6"/>
    <w:rsid w:val="00E73D5F"/>
    <w:rsid w:val="00E75E5C"/>
    <w:rsid w:val="00E77F74"/>
    <w:rsid w:val="00E812B9"/>
    <w:rsid w:val="00E831B4"/>
    <w:rsid w:val="00E86FE0"/>
    <w:rsid w:val="00E923BA"/>
    <w:rsid w:val="00E93C5C"/>
    <w:rsid w:val="00E94DA2"/>
    <w:rsid w:val="00EA1304"/>
    <w:rsid w:val="00EA14C0"/>
    <w:rsid w:val="00EA4B8B"/>
    <w:rsid w:val="00EA4F0D"/>
    <w:rsid w:val="00EB30AF"/>
    <w:rsid w:val="00EB599F"/>
    <w:rsid w:val="00EB5F96"/>
    <w:rsid w:val="00EC0AB4"/>
    <w:rsid w:val="00EC0F85"/>
    <w:rsid w:val="00EC0FE9"/>
    <w:rsid w:val="00EC4382"/>
    <w:rsid w:val="00EC4E72"/>
    <w:rsid w:val="00EC5555"/>
    <w:rsid w:val="00EC5977"/>
    <w:rsid w:val="00ED00D7"/>
    <w:rsid w:val="00ED09CF"/>
    <w:rsid w:val="00ED0B4B"/>
    <w:rsid w:val="00ED1B20"/>
    <w:rsid w:val="00ED3E17"/>
    <w:rsid w:val="00EE20E0"/>
    <w:rsid w:val="00EE42DE"/>
    <w:rsid w:val="00EE498F"/>
    <w:rsid w:val="00EE71A4"/>
    <w:rsid w:val="00EE7E05"/>
    <w:rsid w:val="00EF1DC4"/>
    <w:rsid w:val="00EF37B4"/>
    <w:rsid w:val="00F01E74"/>
    <w:rsid w:val="00F04763"/>
    <w:rsid w:val="00F04DE5"/>
    <w:rsid w:val="00F05A4F"/>
    <w:rsid w:val="00F070B4"/>
    <w:rsid w:val="00F07371"/>
    <w:rsid w:val="00F10172"/>
    <w:rsid w:val="00F12700"/>
    <w:rsid w:val="00F12AD6"/>
    <w:rsid w:val="00F131A3"/>
    <w:rsid w:val="00F13EFD"/>
    <w:rsid w:val="00F15F4F"/>
    <w:rsid w:val="00F17633"/>
    <w:rsid w:val="00F209CE"/>
    <w:rsid w:val="00F20E20"/>
    <w:rsid w:val="00F2177D"/>
    <w:rsid w:val="00F22A38"/>
    <w:rsid w:val="00F23A3A"/>
    <w:rsid w:val="00F24598"/>
    <w:rsid w:val="00F24778"/>
    <w:rsid w:val="00F3032E"/>
    <w:rsid w:val="00F30855"/>
    <w:rsid w:val="00F31A7A"/>
    <w:rsid w:val="00F3422A"/>
    <w:rsid w:val="00F34551"/>
    <w:rsid w:val="00F3764E"/>
    <w:rsid w:val="00F43926"/>
    <w:rsid w:val="00F464A1"/>
    <w:rsid w:val="00F506BF"/>
    <w:rsid w:val="00F50EFE"/>
    <w:rsid w:val="00F53150"/>
    <w:rsid w:val="00F53578"/>
    <w:rsid w:val="00F5384A"/>
    <w:rsid w:val="00F54FD5"/>
    <w:rsid w:val="00F55148"/>
    <w:rsid w:val="00F578E3"/>
    <w:rsid w:val="00F60F27"/>
    <w:rsid w:val="00F635AC"/>
    <w:rsid w:val="00F63AFD"/>
    <w:rsid w:val="00F64A2A"/>
    <w:rsid w:val="00F64ABD"/>
    <w:rsid w:val="00F65505"/>
    <w:rsid w:val="00F67136"/>
    <w:rsid w:val="00F675AB"/>
    <w:rsid w:val="00F67E10"/>
    <w:rsid w:val="00F71A7E"/>
    <w:rsid w:val="00F71A9F"/>
    <w:rsid w:val="00F7249D"/>
    <w:rsid w:val="00F73F54"/>
    <w:rsid w:val="00F74605"/>
    <w:rsid w:val="00F74624"/>
    <w:rsid w:val="00F80C91"/>
    <w:rsid w:val="00F81F38"/>
    <w:rsid w:val="00F8205E"/>
    <w:rsid w:val="00F85130"/>
    <w:rsid w:val="00F871CF"/>
    <w:rsid w:val="00F966F2"/>
    <w:rsid w:val="00F9734E"/>
    <w:rsid w:val="00FA16FE"/>
    <w:rsid w:val="00FA2126"/>
    <w:rsid w:val="00FA352B"/>
    <w:rsid w:val="00FA3F4A"/>
    <w:rsid w:val="00FA644D"/>
    <w:rsid w:val="00FB10FF"/>
    <w:rsid w:val="00FB13F1"/>
    <w:rsid w:val="00FB4984"/>
    <w:rsid w:val="00FB4F29"/>
    <w:rsid w:val="00FB53B3"/>
    <w:rsid w:val="00FB7563"/>
    <w:rsid w:val="00FC0312"/>
    <w:rsid w:val="00FC08F4"/>
    <w:rsid w:val="00FC1E46"/>
    <w:rsid w:val="00FC2673"/>
    <w:rsid w:val="00FC51D8"/>
    <w:rsid w:val="00FC62BB"/>
    <w:rsid w:val="00FC768A"/>
    <w:rsid w:val="00FD1E59"/>
    <w:rsid w:val="00FD26BE"/>
    <w:rsid w:val="00FD2EA6"/>
    <w:rsid w:val="00FD3BCD"/>
    <w:rsid w:val="00FE1D1E"/>
    <w:rsid w:val="00FE2988"/>
    <w:rsid w:val="00FE2ED1"/>
    <w:rsid w:val="00FF1B8F"/>
    <w:rsid w:val="00FF27F9"/>
    <w:rsid w:val="00FF2A84"/>
    <w:rsid w:val="00FF41BC"/>
    <w:rsid w:val="00FF4C73"/>
    <w:rsid w:val="00FF4FB6"/>
    <w:rsid w:val="00FF5E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FD5"/>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semiHidden/>
    <w:unhideWhenUsed/>
    <w:rsid w:val="00821C17"/>
    <w:rPr>
      <w:sz w:val="20"/>
      <w:szCs w:val="20"/>
    </w:rPr>
  </w:style>
  <w:style w:type="character" w:customStyle="1" w:styleId="CommentTextChar">
    <w:name w:val="Comment Text Char"/>
    <w:basedOn w:val="DefaultParagraphFont"/>
    <w:link w:val="CommentText"/>
    <w:uiPriority w:val="99"/>
    <w:semiHidden/>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basedOn w:val="TableNormal"/>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nhideWhenUsed/>
    <w:rsid w:val="00821C17"/>
    <w:pPr>
      <w:spacing w:after="0"/>
    </w:pPr>
    <w:rPr>
      <w:sz w:val="18"/>
      <w:szCs w:val="20"/>
    </w:rPr>
  </w:style>
  <w:style w:type="character" w:customStyle="1" w:styleId="FootnoteTextChar">
    <w:name w:val="Footnote Text Char"/>
    <w:basedOn w:val="DefaultParagraphFont"/>
    <w:link w:val="FootnoteText"/>
    <w:rsid w:val="00821C17"/>
    <w:rPr>
      <w:rFonts w:asciiTheme="minorHAnsi" w:eastAsiaTheme="minorEastAsia" w:hAnsiTheme="minorHAnsi"/>
      <w:sz w:val="18"/>
      <w:szCs w:val="20"/>
      <w:lang w:eastAsia="en-AU"/>
    </w:rPr>
  </w:style>
  <w:style w:type="character" w:styleId="FootnoteReference">
    <w:name w:val="footnote reference"/>
    <w:basedOn w:val="DefaultParagraphFont"/>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uiPriority w:val="99"/>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25B25"/>
    <w:pPr>
      <w:spacing w:after="0" w:line="240" w:lineRule="auto"/>
    </w:pPr>
    <w:rPr>
      <w:rFonts w:asciiTheme="minorHAnsi" w:eastAsiaTheme="minorEastAsia" w:hAnsiTheme="minorHAnsi"/>
      <w:szCs w:val="24"/>
      <w:lang w:eastAsia="en-AU"/>
    </w:rPr>
  </w:style>
  <w:style w:type="paragraph" w:customStyle="1" w:styleId="DepartmentalHeading2">
    <w:name w:val="Departmental Heading 2"/>
    <w:basedOn w:val="Heading2"/>
    <w:rsid w:val="00086B1C"/>
    <w:pPr>
      <w:keepNext/>
      <w:spacing w:after="60"/>
    </w:pPr>
    <w:rPr>
      <w:rFonts w:ascii="Arial" w:eastAsia="Times New Roman" w:hAnsi="Arial" w:cs="Times New Roman"/>
      <w:szCs w:val="20"/>
    </w:rPr>
  </w:style>
  <w:style w:type="paragraph" w:customStyle="1" w:styleId="PBACBullets">
    <w:name w:val="PBAC Bullets"/>
    <w:basedOn w:val="Normal"/>
    <w:qFormat/>
    <w:rsid w:val="00323C45"/>
    <w:pPr>
      <w:numPr>
        <w:numId w:val="53"/>
      </w:numPr>
      <w:spacing w:before="240" w:after="60"/>
      <w:ind w:left="357" w:hanging="357"/>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FD5"/>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semiHidden/>
    <w:unhideWhenUsed/>
    <w:rsid w:val="00821C17"/>
    <w:rPr>
      <w:sz w:val="20"/>
      <w:szCs w:val="20"/>
    </w:rPr>
  </w:style>
  <w:style w:type="character" w:customStyle="1" w:styleId="CommentTextChar">
    <w:name w:val="Comment Text Char"/>
    <w:basedOn w:val="DefaultParagraphFont"/>
    <w:link w:val="CommentText"/>
    <w:uiPriority w:val="99"/>
    <w:semiHidden/>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basedOn w:val="TableNormal"/>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nhideWhenUsed/>
    <w:rsid w:val="00821C17"/>
    <w:pPr>
      <w:spacing w:after="0"/>
    </w:pPr>
    <w:rPr>
      <w:sz w:val="18"/>
      <w:szCs w:val="20"/>
    </w:rPr>
  </w:style>
  <w:style w:type="character" w:customStyle="1" w:styleId="FootnoteTextChar">
    <w:name w:val="Footnote Text Char"/>
    <w:basedOn w:val="DefaultParagraphFont"/>
    <w:link w:val="FootnoteText"/>
    <w:rsid w:val="00821C17"/>
    <w:rPr>
      <w:rFonts w:asciiTheme="minorHAnsi" w:eastAsiaTheme="minorEastAsia" w:hAnsiTheme="minorHAnsi"/>
      <w:sz w:val="18"/>
      <w:szCs w:val="20"/>
      <w:lang w:eastAsia="en-AU"/>
    </w:rPr>
  </w:style>
  <w:style w:type="character" w:styleId="FootnoteReference">
    <w:name w:val="footnote reference"/>
    <w:basedOn w:val="DefaultParagraphFont"/>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uiPriority w:val="99"/>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25B25"/>
    <w:pPr>
      <w:spacing w:after="0" w:line="240" w:lineRule="auto"/>
    </w:pPr>
    <w:rPr>
      <w:rFonts w:asciiTheme="minorHAnsi" w:eastAsiaTheme="minorEastAsia" w:hAnsiTheme="minorHAnsi"/>
      <w:szCs w:val="24"/>
      <w:lang w:eastAsia="en-AU"/>
    </w:rPr>
  </w:style>
  <w:style w:type="paragraph" w:customStyle="1" w:styleId="DepartmentalHeading2">
    <w:name w:val="Departmental Heading 2"/>
    <w:basedOn w:val="Heading2"/>
    <w:rsid w:val="00086B1C"/>
    <w:pPr>
      <w:keepNext/>
      <w:spacing w:after="60"/>
    </w:pPr>
    <w:rPr>
      <w:rFonts w:ascii="Arial" w:eastAsia="Times New Roman" w:hAnsi="Arial" w:cs="Times New Roman"/>
      <w:szCs w:val="20"/>
    </w:rPr>
  </w:style>
  <w:style w:type="paragraph" w:customStyle="1" w:styleId="PBACBullets">
    <w:name w:val="PBAC Bullets"/>
    <w:basedOn w:val="Normal"/>
    <w:qFormat/>
    <w:rsid w:val="00323C45"/>
    <w:pPr>
      <w:numPr>
        <w:numId w:val="53"/>
      </w:numPr>
      <w:spacing w:before="240" w:after="60"/>
      <w:ind w:left="357" w:hanging="357"/>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877">
      <w:bodyDiv w:val="1"/>
      <w:marLeft w:val="0"/>
      <w:marRight w:val="0"/>
      <w:marTop w:val="0"/>
      <w:marBottom w:val="0"/>
      <w:divBdr>
        <w:top w:val="none" w:sz="0" w:space="0" w:color="auto"/>
        <w:left w:val="none" w:sz="0" w:space="0" w:color="auto"/>
        <w:bottom w:val="none" w:sz="0" w:space="0" w:color="auto"/>
        <w:right w:val="none" w:sz="0" w:space="0" w:color="auto"/>
      </w:divBdr>
    </w:div>
    <w:div w:id="113208616">
      <w:bodyDiv w:val="1"/>
      <w:marLeft w:val="0"/>
      <w:marRight w:val="0"/>
      <w:marTop w:val="0"/>
      <w:marBottom w:val="0"/>
      <w:divBdr>
        <w:top w:val="none" w:sz="0" w:space="0" w:color="auto"/>
        <w:left w:val="none" w:sz="0" w:space="0" w:color="auto"/>
        <w:bottom w:val="none" w:sz="0" w:space="0" w:color="auto"/>
        <w:right w:val="none" w:sz="0" w:space="0" w:color="auto"/>
      </w:divBdr>
    </w:div>
    <w:div w:id="218519426">
      <w:bodyDiv w:val="1"/>
      <w:marLeft w:val="0"/>
      <w:marRight w:val="0"/>
      <w:marTop w:val="0"/>
      <w:marBottom w:val="0"/>
      <w:divBdr>
        <w:top w:val="none" w:sz="0" w:space="0" w:color="auto"/>
        <w:left w:val="none" w:sz="0" w:space="0" w:color="auto"/>
        <w:bottom w:val="none" w:sz="0" w:space="0" w:color="auto"/>
        <w:right w:val="none" w:sz="0" w:space="0" w:color="auto"/>
      </w:divBdr>
    </w:div>
    <w:div w:id="249126489">
      <w:bodyDiv w:val="1"/>
      <w:marLeft w:val="0"/>
      <w:marRight w:val="0"/>
      <w:marTop w:val="0"/>
      <w:marBottom w:val="0"/>
      <w:divBdr>
        <w:top w:val="none" w:sz="0" w:space="0" w:color="auto"/>
        <w:left w:val="none" w:sz="0" w:space="0" w:color="auto"/>
        <w:bottom w:val="none" w:sz="0" w:space="0" w:color="auto"/>
        <w:right w:val="none" w:sz="0" w:space="0" w:color="auto"/>
      </w:divBdr>
    </w:div>
    <w:div w:id="272638142">
      <w:bodyDiv w:val="1"/>
      <w:marLeft w:val="0"/>
      <w:marRight w:val="0"/>
      <w:marTop w:val="0"/>
      <w:marBottom w:val="0"/>
      <w:divBdr>
        <w:top w:val="none" w:sz="0" w:space="0" w:color="auto"/>
        <w:left w:val="none" w:sz="0" w:space="0" w:color="auto"/>
        <w:bottom w:val="none" w:sz="0" w:space="0" w:color="auto"/>
        <w:right w:val="none" w:sz="0" w:space="0" w:color="auto"/>
      </w:divBdr>
    </w:div>
    <w:div w:id="286856068">
      <w:bodyDiv w:val="1"/>
      <w:marLeft w:val="0"/>
      <w:marRight w:val="0"/>
      <w:marTop w:val="0"/>
      <w:marBottom w:val="0"/>
      <w:divBdr>
        <w:top w:val="none" w:sz="0" w:space="0" w:color="auto"/>
        <w:left w:val="none" w:sz="0" w:space="0" w:color="auto"/>
        <w:bottom w:val="none" w:sz="0" w:space="0" w:color="auto"/>
        <w:right w:val="none" w:sz="0" w:space="0" w:color="auto"/>
      </w:divBdr>
    </w:div>
    <w:div w:id="302740713">
      <w:bodyDiv w:val="1"/>
      <w:marLeft w:val="0"/>
      <w:marRight w:val="0"/>
      <w:marTop w:val="0"/>
      <w:marBottom w:val="0"/>
      <w:divBdr>
        <w:top w:val="none" w:sz="0" w:space="0" w:color="auto"/>
        <w:left w:val="none" w:sz="0" w:space="0" w:color="auto"/>
        <w:bottom w:val="none" w:sz="0" w:space="0" w:color="auto"/>
        <w:right w:val="none" w:sz="0" w:space="0" w:color="auto"/>
      </w:divBdr>
    </w:div>
    <w:div w:id="373039146">
      <w:bodyDiv w:val="1"/>
      <w:marLeft w:val="0"/>
      <w:marRight w:val="0"/>
      <w:marTop w:val="0"/>
      <w:marBottom w:val="0"/>
      <w:divBdr>
        <w:top w:val="none" w:sz="0" w:space="0" w:color="auto"/>
        <w:left w:val="none" w:sz="0" w:space="0" w:color="auto"/>
        <w:bottom w:val="none" w:sz="0" w:space="0" w:color="auto"/>
        <w:right w:val="none" w:sz="0" w:space="0" w:color="auto"/>
      </w:divBdr>
    </w:div>
    <w:div w:id="476722670">
      <w:bodyDiv w:val="1"/>
      <w:marLeft w:val="0"/>
      <w:marRight w:val="0"/>
      <w:marTop w:val="0"/>
      <w:marBottom w:val="0"/>
      <w:divBdr>
        <w:top w:val="none" w:sz="0" w:space="0" w:color="auto"/>
        <w:left w:val="none" w:sz="0" w:space="0" w:color="auto"/>
        <w:bottom w:val="none" w:sz="0" w:space="0" w:color="auto"/>
        <w:right w:val="none" w:sz="0" w:space="0" w:color="auto"/>
      </w:divBdr>
    </w:div>
    <w:div w:id="491874914">
      <w:bodyDiv w:val="1"/>
      <w:marLeft w:val="0"/>
      <w:marRight w:val="0"/>
      <w:marTop w:val="0"/>
      <w:marBottom w:val="0"/>
      <w:divBdr>
        <w:top w:val="none" w:sz="0" w:space="0" w:color="auto"/>
        <w:left w:val="none" w:sz="0" w:space="0" w:color="auto"/>
        <w:bottom w:val="none" w:sz="0" w:space="0" w:color="auto"/>
        <w:right w:val="none" w:sz="0" w:space="0" w:color="auto"/>
      </w:divBdr>
      <w:divsChild>
        <w:div w:id="1126044359">
          <w:marLeft w:val="0"/>
          <w:marRight w:val="0"/>
          <w:marTop w:val="0"/>
          <w:marBottom w:val="0"/>
          <w:divBdr>
            <w:top w:val="none" w:sz="0" w:space="0" w:color="auto"/>
            <w:left w:val="none" w:sz="0" w:space="0" w:color="auto"/>
            <w:bottom w:val="none" w:sz="0" w:space="0" w:color="auto"/>
            <w:right w:val="none" w:sz="0" w:space="0" w:color="auto"/>
          </w:divBdr>
          <w:divsChild>
            <w:div w:id="1004548151">
              <w:marLeft w:val="0"/>
              <w:marRight w:val="0"/>
              <w:marTop w:val="0"/>
              <w:marBottom w:val="0"/>
              <w:divBdr>
                <w:top w:val="none" w:sz="0" w:space="0" w:color="auto"/>
                <w:left w:val="none" w:sz="0" w:space="0" w:color="auto"/>
                <w:bottom w:val="none" w:sz="0" w:space="0" w:color="auto"/>
                <w:right w:val="none" w:sz="0" w:space="0" w:color="auto"/>
              </w:divBdr>
              <w:divsChild>
                <w:div w:id="760445809">
                  <w:marLeft w:val="0"/>
                  <w:marRight w:val="0"/>
                  <w:marTop w:val="0"/>
                  <w:marBottom w:val="0"/>
                  <w:divBdr>
                    <w:top w:val="none" w:sz="0" w:space="0" w:color="auto"/>
                    <w:left w:val="none" w:sz="0" w:space="0" w:color="auto"/>
                    <w:bottom w:val="none" w:sz="0" w:space="0" w:color="auto"/>
                    <w:right w:val="none" w:sz="0" w:space="0" w:color="auto"/>
                  </w:divBdr>
                  <w:divsChild>
                    <w:div w:id="766777810">
                      <w:marLeft w:val="0"/>
                      <w:marRight w:val="0"/>
                      <w:marTop w:val="0"/>
                      <w:marBottom w:val="0"/>
                      <w:divBdr>
                        <w:top w:val="none" w:sz="0" w:space="0" w:color="auto"/>
                        <w:left w:val="none" w:sz="0" w:space="0" w:color="auto"/>
                        <w:bottom w:val="none" w:sz="0" w:space="0" w:color="auto"/>
                        <w:right w:val="none" w:sz="0" w:space="0" w:color="auto"/>
                      </w:divBdr>
                      <w:divsChild>
                        <w:div w:id="1651904457">
                          <w:marLeft w:val="384"/>
                          <w:marRight w:val="384"/>
                          <w:marTop w:val="0"/>
                          <w:marBottom w:val="0"/>
                          <w:divBdr>
                            <w:top w:val="none" w:sz="0" w:space="0" w:color="auto"/>
                            <w:left w:val="none" w:sz="0" w:space="0" w:color="auto"/>
                            <w:bottom w:val="none" w:sz="0" w:space="0" w:color="auto"/>
                            <w:right w:val="none" w:sz="0" w:space="0" w:color="auto"/>
                          </w:divBdr>
                          <w:divsChild>
                            <w:div w:id="1892155994">
                              <w:marLeft w:val="0"/>
                              <w:marRight w:val="0"/>
                              <w:marTop w:val="332"/>
                              <w:marBottom w:val="332"/>
                              <w:divBdr>
                                <w:top w:val="none" w:sz="0" w:space="0" w:color="auto"/>
                                <w:left w:val="none" w:sz="0" w:space="0" w:color="auto"/>
                                <w:bottom w:val="none" w:sz="0" w:space="0" w:color="auto"/>
                                <w:right w:val="none" w:sz="0" w:space="0" w:color="auto"/>
                              </w:divBdr>
                              <w:divsChild>
                                <w:div w:id="837307767">
                                  <w:marLeft w:val="0"/>
                                  <w:marRight w:val="0"/>
                                  <w:marTop w:val="0"/>
                                  <w:marBottom w:val="0"/>
                                  <w:divBdr>
                                    <w:top w:val="none" w:sz="0" w:space="0" w:color="auto"/>
                                    <w:left w:val="none" w:sz="0" w:space="0" w:color="auto"/>
                                    <w:bottom w:val="none" w:sz="0" w:space="0" w:color="auto"/>
                                    <w:right w:val="none" w:sz="0" w:space="0" w:color="auto"/>
                                  </w:divBdr>
                                </w:div>
                              </w:divsChild>
                            </w:div>
                            <w:div w:id="1072237228">
                              <w:marLeft w:val="0"/>
                              <w:marRight w:val="0"/>
                              <w:marTop w:val="0"/>
                              <w:marBottom w:val="0"/>
                              <w:divBdr>
                                <w:top w:val="none" w:sz="0" w:space="0" w:color="auto"/>
                                <w:left w:val="none" w:sz="0" w:space="0" w:color="auto"/>
                                <w:bottom w:val="none" w:sz="0" w:space="0" w:color="auto"/>
                                <w:right w:val="none" w:sz="0" w:space="0" w:color="auto"/>
                              </w:divBdr>
                              <w:divsChild>
                                <w:div w:id="1606889106">
                                  <w:marLeft w:val="0"/>
                                  <w:marRight w:val="0"/>
                                  <w:marTop w:val="0"/>
                                  <w:marBottom w:val="0"/>
                                  <w:divBdr>
                                    <w:top w:val="none" w:sz="0" w:space="0" w:color="auto"/>
                                    <w:left w:val="none" w:sz="0" w:space="0" w:color="auto"/>
                                    <w:bottom w:val="none" w:sz="0" w:space="0" w:color="auto"/>
                                    <w:right w:val="none" w:sz="0" w:space="0" w:color="auto"/>
                                  </w:divBdr>
                                  <w:divsChild>
                                    <w:div w:id="565724985">
                                      <w:marLeft w:val="0"/>
                                      <w:marRight w:val="0"/>
                                      <w:marTop w:val="166"/>
                                      <w:marBottom w:val="166"/>
                                      <w:divBdr>
                                        <w:top w:val="none" w:sz="0" w:space="0" w:color="auto"/>
                                        <w:left w:val="none" w:sz="0" w:space="0" w:color="auto"/>
                                        <w:bottom w:val="none" w:sz="0" w:space="0" w:color="auto"/>
                                        <w:right w:val="none" w:sz="0" w:space="0" w:color="auto"/>
                                      </w:divBdr>
                                      <w:divsChild>
                                        <w:div w:id="404375881">
                                          <w:marLeft w:val="0"/>
                                          <w:marRight w:val="0"/>
                                          <w:marTop w:val="0"/>
                                          <w:marBottom w:val="0"/>
                                          <w:divBdr>
                                            <w:top w:val="none" w:sz="0" w:space="0" w:color="auto"/>
                                            <w:left w:val="none" w:sz="0" w:space="0" w:color="auto"/>
                                            <w:bottom w:val="none" w:sz="0" w:space="0" w:color="auto"/>
                                            <w:right w:val="none" w:sz="0" w:space="0" w:color="auto"/>
                                          </w:divBdr>
                                          <w:divsChild>
                                            <w:div w:id="1215970064">
                                              <w:marLeft w:val="0"/>
                                              <w:marRight w:val="0"/>
                                              <w:marTop w:val="0"/>
                                              <w:marBottom w:val="0"/>
                                              <w:divBdr>
                                                <w:top w:val="none" w:sz="0" w:space="0" w:color="auto"/>
                                                <w:left w:val="none" w:sz="0" w:space="0" w:color="auto"/>
                                                <w:bottom w:val="none" w:sz="0" w:space="0" w:color="auto"/>
                                                <w:right w:val="none" w:sz="0" w:space="0" w:color="auto"/>
                                              </w:divBdr>
                                            </w:div>
                                            <w:div w:id="654189741">
                                              <w:marLeft w:val="240"/>
                                              <w:marRight w:val="0"/>
                                              <w:marTop w:val="0"/>
                                              <w:marBottom w:val="0"/>
                                              <w:divBdr>
                                                <w:top w:val="none" w:sz="0" w:space="0" w:color="auto"/>
                                                <w:left w:val="none" w:sz="0" w:space="0" w:color="auto"/>
                                                <w:bottom w:val="none" w:sz="0" w:space="0" w:color="auto"/>
                                                <w:right w:val="none" w:sz="0" w:space="0" w:color="auto"/>
                                              </w:divBdr>
                                              <w:divsChild>
                                                <w:div w:id="17184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1589">
                                      <w:marLeft w:val="0"/>
                                      <w:marRight w:val="0"/>
                                      <w:marTop w:val="332"/>
                                      <w:marBottom w:val="332"/>
                                      <w:divBdr>
                                        <w:top w:val="none" w:sz="0" w:space="0" w:color="auto"/>
                                        <w:left w:val="none" w:sz="0" w:space="0" w:color="auto"/>
                                        <w:bottom w:val="none" w:sz="0" w:space="0" w:color="auto"/>
                                        <w:right w:val="none" w:sz="0" w:space="0" w:color="auto"/>
                                      </w:divBdr>
                                      <w:divsChild>
                                        <w:div w:id="2103060282">
                                          <w:marLeft w:val="0"/>
                                          <w:marRight w:val="0"/>
                                          <w:marTop w:val="0"/>
                                          <w:marBottom w:val="0"/>
                                          <w:divBdr>
                                            <w:top w:val="none" w:sz="0" w:space="0" w:color="auto"/>
                                            <w:left w:val="none" w:sz="0" w:space="0" w:color="auto"/>
                                            <w:bottom w:val="none" w:sz="0" w:space="0" w:color="auto"/>
                                            <w:right w:val="none" w:sz="0" w:space="0" w:color="auto"/>
                                          </w:divBdr>
                                        </w:div>
                                        <w:div w:id="1229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841776">
      <w:bodyDiv w:val="1"/>
      <w:marLeft w:val="0"/>
      <w:marRight w:val="0"/>
      <w:marTop w:val="0"/>
      <w:marBottom w:val="0"/>
      <w:divBdr>
        <w:top w:val="none" w:sz="0" w:space="0" w:color="auto"/>
        <w:left w:val="none" w:sz="0" w:space="0" w:color="auto"/>
        <w:bottom w:val="none" w:sz="0" w:space="0" w:color="auto"/>
        <w:right w:val="none" w:sz="0" w:space="0" w:color="auto"/>
      </w:divBdr>
    </w:div>
    <w:div w:id="546648255">
      <w:bodyDiv w:val="1"/>
      <w:marLeft w:val="0"/>
      <w:marRight w:val="0"/>
      <w:marTop w:val="0"/>
      <w:marBottom w:val="0"/>
      <w:divBdr>
        <w:top w:val="none" w:sz="0" w:space="0" w:color="auto"/>
        <w:left w:val="none" w:sz="0" w:space="0" w:color="auto"/>
        <w:bottom w:val="none" w:sz="0" w:space="0" w:color="auto"/>
        <w:right w:val="none" w:sz="0" w:space="0" w:color="auto"/>
      </w:divBdr>
    </w:div>
    <w:div w:id="561258614">
      <w:bodyDiv w:val="1"/>
      <w:marLeft w:val="0"/>
      <w:marRight w:val="0"/>
      <w:marTop w:val="0"/>
      <w:marBottom w:val="0"/>
      <w:divBdr>
        <w:top w:val="none" w:sz="0" w:space="0" w:color="auto"/>
        <w:left w:val="none" w:sz="0" w:space="0" w:color="auto"/>
        <w:bottom w:val="none" w:sz="0" w:space="0" w:color="auto"/>
        <w:right w:val="none" w:sz="0" w:space="0" w:color="auto"/>
      </w:divBdr>
    </w:div>
    <w:div w:id="566034725">
      <w:bodyDiv w:val="1"/>
      <w:marLeft w:val="0"/>
      <w:marRight w:val="0"/>
      <w:marTop w:val="0"/>
      <w:marBottom w:val="0"/>
      <w:divBdr>
        <w:top w:val="none" w:sz="0" w:space="0" w:color="auto"/>
        <w:left w:val="none" w:sz="0" w:space="0" w:color="auto"/>
        <w:bottom w:val="none" w:sz="0" w:space="0" w:color="auto"/>
        <w:right w:val="none" w:sz="0" w:space="0" w:color="auto"/>
      </w:divBdr>
      <w:divsChild>
        <w:div w:id="718628807">
          <w:marLeft w:val="0"/>
          <w:marRight w:val="0"/>
          <w:marTop w:val="0"/>
          <w:marBottom w:val="0"/>
          <w:divBdr>
            <w:top w:val="none" w:sz="0" w:space="0" w:color="auto"/>
            <w:left w:val="none" w:sz="0" w:space="0" w:color="auto"/>
            <w:bottom w:val="none" w:sz="0" w:space="0" w:color="auto"/>
            <w:right w:val="none" w:sz="0" w:space="0" w:color="auto"/>
          </w:divBdr>
          <w:divsChild>
            <w:div w:id="1260257635">
              <w:marLeft w:val="120"/>
              <w:marRight w:val="120"/>
              <w:marTop w:val="120"/>
              <w:marBottom w:val="120"/>
              <w:divBdr>
                <w:top w:val="none" w:sz="0" w:space="0" w:color="auto"/>
                <w:left w:val="none" w:sz="0" w:space="0" w:color="auto"/>
                <w:bottom w:val="none" w:sz="0" w:space="0" w:color="auto"/>
                <w:right w:val="none" w:sz="0" w:space="0" w:color="auto"/>
              </w:divBdr>
              <w:divsChild>
                <w:div w:id="1987005664">
                  <w:marLeft w:val="0"/>
                  <w:marRight w:val="0"/>
                  <w:marTop w:val="0"/>
                  <w:marBottom w:val="0"/>
                  <w:divBdr>
                    <w:top w:val="none" w:sz="0" w:space="0" w:color="auto"/>
                    <w:left w:val="none" w:sz="0" w:space="0" w:color="auto"/>
                    <w:bottom w:val="none" w:sz="0" w:space="0" w:color="auto"/>
                    <w:right w:val="none" w:sz="0" w:space="0" w:color="auto"/>
                  </w:divBdr>
                  <w:divsChild>
                    <w:div w:id="1413819972">
                      <w:marLeft w:val="0"/>
                      <w:marRight w:val="0"/>
                      <w:marTop w:val="0"/>
                      <w:marBottom w:val="0"/>
                      <w:divBdr>
                        <w:top w:val="none" w:sz="0" w:space="0" w:color="auto"/>
                        <w:left w:val="none" w:sz="0" w:space="0" w:color="auto"/>
                        <w:bottom w:val="none" w:sz="0" w:space="0" w:color="auto"/>
                        <w:right w:val="none" w:sz="0" w:space="0" w:color="auto"/>
                      </w:divBdr>
                      <w:divsChild>
                        <w:div w:id="1636444553">
                          <w:marLeft w:val="0"/>
                          <w:marRight w:val="0"/>
                          <w:marTop w:val="0"/>
                          <w:marBottom w:val="0"/>
                          <w:divBdr>
                            <w:top w:val="none" w:sz="0" w:space="0" w:color="auto"/>
                            <w:left w:val="none" w:sz="0" w:space="0" w:color="auto"/>
                            <w:bottom w:val="none" w:sz="0" w:space="0" w:color="auto"/>
                            <w:right w:val="none" w:sz="0" w:space="0" w:color="auto"/>
                          </w:divBdr>
                        </w:div>
                        <w:div w:id="10657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5218">
          <w:marLeft w:val="0"/>
          <w:marRight w:val="0"/>
          <w:marTop w:val="0"/>
          <w:marBottom w:val="0"/>
          <w:divBdr>
            <w:top w:val="none" w:sz="0" w:space="0" w:color="auto"/>
            <w:left w:val="single" w:sz="48" w:space="0" w:color="auto"/>
            <w:bottom w:val="none" w:sz="0" w:space="0" w:color="auto"/>
            <w:right w:val="single" w:sz="48" w:space="0" w:color="auto"/>
          </w:divBdr>
          <w:divsChild>
            <w:div w:id="1675650284">
              <w:marLeft w:val="0"/>
              <w:marRight w:val="0"/>
              <w:marTop w:val="100"/>
              <w:marBottom w:val="100"/>
              <w:divBdr>
                <w:top w:val="none" w:sz="0" w:space="0" w:color="auto"/>
                <w:left w:val="none" w:sz="0" w:space="0" w:color="auto"/>
                <w:bottom w:val="none" w:sz="0" w:space="0" w:color="auto"/>
                <w:right w:val="none" w:sz="0" w:space="0" w:color="auto"/>
              </w:divBdr>
              <w:divsChild>
                <w:div w:id="1798914308">
                  <w:marLeft w:val="0"/>
                  <w:marRight w:val="0"/>
                  <w:marTop w:val="0"/>
                  <w:marBottom w:val="0"/>
                  <w:divBdr>
                    <w:top w:val="none" w:sz="0" w:space="0" w:color="auto"/>
                    <w:left w:val="none" w:sz="0" w:space="0" w:color="auto"/>
                    <w:bottom w:val="none" w:sz="0" w:space="0" w:color="auto"/>
                    <w:right w:val="none" w:sz="0" w:space="0" w:color="auto"/>
                  </w:divBdr>
                </w:div>
              </w:divsChild>
            </w:div>
            <w:div w:id="902567828">
              <w:marLeft w:val="0"/>
              <w:marRight w:val="0"/>
              <w:marTop w:val="0"/>
              <w:marBottom w:val="0"/>
              <w:divBdr>
                <w:top w:val="none" w:sz="0" w:space="0" w:color="auto"/>
                <w:left w:val="none" w:sz="0" w:space="0" w:color="auto"/>
                <w:bottom w:val="none" w:sz="0" w:space="0" w:color="auto"/>
                <w:right w:val="none" w:sz="0" w:space="0" w:color="auto"/>
              </w:divBdr>
              <w:divsChild>
                <w:div w:id="1648634160">
                  <w:marLeft w:val="0"/>
                  <w:marRight w:val="0"/>
                  <w:marTop w:val="0"/>
                  <w:marBottom w:val="0"/>
                  <w:divBdr>
                    <w:top w:val="none" w:sz="0" w:space="0" w:color="auto"/>
                    <w:left w:val="none" w:sz="0" w:space="0" w:color="auto"/>
                    <w:bottom w:val="none" w:sz="0" w:space="0" w:color="auto"/>
                    <w:right w:val="none" w:sz="0" w:space="0" w:color="auto"/>
                  </w:divBdr>
                </w:div>
                <w:div w:id="399596678">
                  <w:marLeft w:val="0"/>
                  <w:marRight w:val="0"/>
                  <w:marTop w:val="0"/>
                  <w:marBottom w:val="0"/>
                  <w:divBdr>
                    <w:top w:val="none" w:sz="0" w:space="0" w:color="auto"/>
                    <w:left w:val="none" w:sz="0" w:space="0" w:color="auto"/>
                    <w:bottom w:val="none" w:sz="0" w:space="0" w:color="auto"/>
                    <w:right w:val="none" w:sz="0" w:space="0" w:color="auto"/>
                  </w:divBdr>
                </w:div>
              </w:divsChild>
            </w:div>
            <w:div w:id="396707165">
              <w:marLeft w:val="0"/>
              <w:marRight w:val="0"/>
              <w:marTop w:val="0"/>
              <w:marBottom w:val="0"/>
              <w:divBdr>
                <w:top w:val="none" w:sz="0" w:space="0" w:color="auto"/>
                <w:left w:val="none" w:sz="0" w:space="0" w:color="auto"/>
                <w:bottom w:val="none" w:sz="0" w:space="0" w:color="auto"/>
                <w:right w:val="none" w:sz="0" w:space="0" w:color="auto"/>
              </w:divBdr>
            </w:div>
            <w:div w:id="1195383065">
              <w:marLeft w:val="0"/>
              <w:marRight w:val="0"/>
              <w:marTop w:val="0"/>
              <w:marBottom w:val="0"/>
              <w:divBdr>
                <w:top w:val="none" w:sz="0" w:space="0" w:color="auto"/>
                <w:left w:val="none" w:sz="0" w:space="0" w:color="auto"/>
                <w:bottom w:val="none" w:sz="0" w:space="0" w:color="auto"/>
                <w:right w:val="none" w:sz="0" w:space="0" w:color="auto"/>
              </w:divBdr>
              <w:divsChild>
                <w:div w:id="601108731">
                  <w:marLeft w:val="0"/>
                  <w:marRight w:val="0"/>
                  <w:marTop w:val="0"/>
                  <w:marBottom w:val="0"/>
                  <w:divBdr>
                    <w:top w:val="none" w:sz="0" w:space="0" w:color="auto"/>
                    <w:left w:val="none" w:sz="0" w:space="0" w:color="auto"/>
                    <w:bottom w:val="none" w:sz="0" w:space="0" w:color="auto"/>
                    <w:right w:val="none" w:sz="0" w:space="0" w:color="auto"/>
                  </w:divBdr>
                  <w:divsChild>
                    <w:div w:id="98497057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6859188">
                          <w:marLeft w:val="0"/>
                          <w:marRight w:val="0"/>
                          <w:marTop w:val="0"/>
                          <w:marBottom w:val="0"/>
                          <w:divBdr>
                            <w:top w:val="none" w:sz="0" w:space="0" w:color="auto"/>
                            <w:left w:val="none" w:sz="0" w:space="0" w:color="auto"/>
                            <w:bottom w:val="none" w:sz="0" w:space="0" w:color="auto"/>
                            <w:right w:val="none" w:sz="0" w:space="0" w:color="auto"/>
                          </w:divBdr>
                          <w:divsChild>
                            <w:div w:id="533151567">
                              <w:marLeft w:val="0"/>
                              <w:marRight w:val="0"/>
                              <w:marTop w:val="0"/>
                              <w:marBottom w:val="0"/>
                              <w:divBdr>
                                <w:top w:val="none" w:sz="0" w:space="0" w:color="auto"/>
                                <w:left w:val="none" w:sz="0" w:space="0" w:color="auto"/>
                                <w:bottom w:val="none" w:sz="0" w:space="0" w:color="auto"/>
                                <w:right w:val="none" w:sz="0" w:space="0" w:color="auto"/>
                              </w:divBdr>
                            </w:div>
                            <w:div w:id="16858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0382">
                  <w:marLeft w:val="0"/>
                  <w:marRight w:val="0"/>
                  <w:marTop w:val="0"/>
                  <w:marBottom w:val="0"/>
                  <w:divBdr>
                    <w:top w:val="none" w:sz="0" w:space="0" w:color="auto"/>
                    <w:left w:val="none" w:sz="0" w:space="0" w:color="auto"/>
                    <w:bottom w:val="none" w:sz="0" w:space="0" w:color="auto"/>
                    <w:right w:val="none" w:sz="0" w:space="0" w:color="auto"/>
                  </w:divBdr>
                </w:div>
              </w:divsChild>
            </w:div>
            <w:div w:id="1459254031">
              <w:marLeft w:val="0"/>
              <w:marRight w:val="0"/>
              <w:marTop w:val="0"/>
              <w:marBottom w:val="0"/>
              <w:divBdr>
                <w:top w:val="none" w:sz="0" w:space="0" w:color="auto"/>
                <w:left w:val="none" w:sz="0" w:space="0" w:color="auto"/>
                <w:bottom w:val="none" w:sz="0" w:space="0" w:color="auto"/>
                <w:right w:val="none" w:sz="0" w:space="0" w:color="auto"/>
              </w:divBdr>
              <w:divsChild>
                <w:div w:id="167451220">
                  <w:marLeft w:val="0"/>
                  <w:marRight w:val="0"/>
                  <w:marTop w:val="0"/>
                  <w:marBottom w:val="0"/>
                  <w:divBdr>
                    <w:top w:val="none" w:sz="0" w:space="0" w:color="auto"/>
                    <w:left w:val="none" w:sz="0" w:space="0" w:color="auto"/>
                    <w:bottom w:val="none" w:sz="0" w:space="0" w:color="auto"/>
                    <w:right w:val="none" w:sz="0" w:space="0" w:color="auto"/>
                  </w:divBdr>
                  <w:divsChild>
                    <w:div w:id="100940391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825001879">
                          <w:marLeft w:val="0"/>
                          <w:marRight w:val="0"/>
                          <w:marTop w:val="0"/>
                          <w:marBottom w:val="0"/>
                          <w:divBdr>
                            <w:top w:val="none" w:sz="0" w:space="0" w:color="auto"/>
                            <w:left w:val="none" w:sz="0" w:space="0" w:color="auto"/>
                            <w:bottom w:val="none" w:sz="0" w:space="0" w:color="auto"/>
                            <w:right w:val="none" w:sz="0" w:space="0" w:color="auto"/>
                          </w:divBdr>
                          <w:divsChild>
                            <w:div w:id="1585341792">
                              <w:marLeft w:val="0"/>
                              <w:marRight w:val="0"/>
                              <w:marTop w:val="0"/>
                              <w:marBottom w:val="0"/>
                              <w:divBdr>
                                <w:top w:val="none" w:sz="0" w:space="0" w:color="auto"/>
                                <w:left w:val="none" w:sz="0" w:space="0" w:color="auto"/>
                                <w:bottom w:val="none" w:sz="0" w:space="0" w:color="auto"/>
                                <w:right w:val="none" w:sz="0" w:space="0" w:color="auto"/>
                              </w:divBdr>
                            </w:div>
                            <w:div w:id="10985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2760">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206722455">
                          <w:marLeft w:val="0"/>
                          <w:marRight w:val="0"/>
                          <w:marTop w:val="0"/>
                          <w:marBottom w:val="0"/>
                          <w:divBdr>
                            <w:top w:val="none" w:sz="0" w:space="0" w:color="auto"/>
                            <w:left w:val="none" w:sz="0" w:space="0" w:color="auto"/>
                            <w:bottom w:val="none" w:sz="0" w:space="0" w:color="auto"/>
                            <w:right w:val="none" w:sz="0" w:space="0" w:color="auto"/>
                          </w:divBdr>
                          <w:divsChild>
                            <w:div w:id="2013950129">
                              <w:marLeft w:val="0"/>
                              <w:marRight w:val="0"/>
                              <w:marTop w:val="0"/>
                              <w:marBottom w:val="0"/>
                              <w:divBdr>
                                <w:top w:val="none" w:sz="0" w:space="0" w:color="auto"/>
                                <w:left w:val="none" w:sz="0" w:space="0" w:color="auto"/>
                                <w:bottom w:val="none" w:sz="0" w:space="0" w:color="auto"/>
                                <w:right w:val="none" w:sz="0" w:space="0" w:color="auto"/>
                              </w:divBdr>
                            </w:div>
                            <w:div w:id="13896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3220">
                  <w:marLeft w:val="0"/>
                  <w:marRight w:val="0"/>
                  <w:marTop w:val="0"/>
                  <w:marBottom w:val="0"/>
                  <w:divBdr>
                    <w:top w:val="none" w:sz="0" w:space="0" w:color="auto"/>
                    <w:left w:val="none" w:sz="0" w:space="0" w:color="auto"/>
                    <w:bottom w:val="none" w:sz="0" w:space="0" w:color="auto"/>
                    <w:right w:val="none" w:sz="0" w:space="0" w:color="auto"/>
                  </w:divBdr>
                </w:div>
                <w:div w:id="126318412">
                  <w:marLeft w:val="0"/>
                  <w:marRight w:val="0"/>
                  <w:marTop w:val="0"/>
                  <w:marBottom w:val="0"/>
                  <w:divBdr>
                    <w:top w:val="none" w:sz="0" w:space="0" w:color="auto"/>
                    <w:left w:val="none" w:sz="0" w:space="0" w:color="auto"/>
                    <w:bottom w:val="none" w:sz="0" w:space="0" w:color="auto"/>
                    <w:right w:val="none" w:sz="0" w:space="0" w:color="auto"/>
                  </w:divBdr>
                  <w:divsChild>
                    <w:div w:id="1132750949">
                      <w:marLeft w:val="0"/>
                      <w:marRight w:val="0"/>
                      <w:marTop w:val="0"/>
                      <w:marBottom w:val="0"/>
                      <w:divBdr>
                        <w:top w:val="none" w:sz="0" w:space="0" w:color="auto"/>
                        <w:left w:val="none" w:sz="0" w:space="0" w:color="auto"/>
                        <w:bottom w:val="none" w:sz="0" w:space="0" w:color="auto"/>
                        <w:right w:val="none" w:sz="0" w:space="0" w:color="auto"/>
                      </w:divBdr>
                    </w:div>
                    <w:div w:id="714819422">
                      <w:marLeft w:val="0"/>
                      <w:marRight w:val="0"/>
                      <w:marTop w:val="0"/>
                      <w:marBottom w:val="0"/>
                      <w:divBdr>
                        <w:top w:val="none" w:sz="0" w:space="0" w:color="auto"/>
                        <w:left w:val="none" w:sz="0" w:space="0" w:color="auto"/>
                        <w:bottom w:val="none" w:sz="0" w:space="0" w:color="auto"/>
                        <w:right w:val="none" w:sz="0" w:space="0" w:color="auto"/>
                      </w:divBdr>
                      <w:divsChild>
                        <w:div w:id="54337016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317466144">
                              <w:marLeft w:val="0"/>
                              <w:marRight w:val="0"/>
                              <w:marTop w:val="0"/>
                              <w:marBottom w:val="0"/>
                              <w:divBdr>
                                <w:top w:val="none" w:sz="0" w:space="0" w:color="auto"/>
                                <w:left w:val="none" w:sz="0" w:space="0" w:color="auto"/>
                                <w:bottom w:val="none" w:sz="0" w:space="0" w:color="auto"/>
                                <w:right w:val="none" w:sz="0" w:space="0" w:color="auto"/>
                              </w:divBdr>
                              <w:divsChild>
                                <w:div w:id="94984742">
                                  <w:marLeft w:val="0"/>
                                  <w:marRight w:val="0"/>
                                  <w:marTop w:val="0"/>
                                  <w:marBottom w:val="0"/>
                                  <w:divBdr>
                                    <w:top w:val="none" w:sz="0" w:space="0" w:color="auto"/>
                                    <w:left w:val="none" w:sz="0" w:space="0" w:color="auto"/>
                                    <w:bottom w:val="none" w:sz="0" w:space="0" w:color="auto"/>
                                    <w:right w:val="none" w:sz="0" w:space="0" w:color="auto"/>
                                  </w:divBdr>
                                </w:div>
                                <w:div w:id="1624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4973">
                      <w:marLeft w:val="0"/>
                      <w:marRight w:val="0"/>
                      <w:marTop w:val="0"/>
                      <w:marBottom w:val="0"/>
                      <w:divBdr>
                        <w:top w:val="none" w:sz="0" w:space="0" w:color="auto"/>
                        <w:left w:val="none" w:sz="0" w:space="0" w:color="auto"/>
                        <w:bottom w:val="none" w:sz="0" w:space="0" w:color="auto"/>
                        <w:right w:val="none" w:sz="0" w:space="0" w:color="auto"/>
                      </w:divBdr>
                    </w:div>
                  </w:divsChild>
                </w:div>
                <w:div w:id="1037005564">
                  <w:marLeft w:val="0"/>
                  <w:marRight w:val="0"/>
                  <w:marTop w:val="0"/>
                  <w:marBottom w:val="0"/>
                  <w:divBdr>
                    <w:top w:val="none" w:sz="0" w:space="0" w:color="auto"/>
                    <w:left w:val="none" w:sz="0" w:space="0" w:color="auto"/>
                    <w:bottom w:val="none" w:sz="0" w:space="0" w:color="auto"/>
                    <w:right w:val="none" w:sz="0" w:space="0" w:color="auto"/>
                  </w:divBdr>
                  <w:divsChild>
                    <w:div w:id="1907568427">
                      <w:marLeft w:val="0"/>
                      <w:marRight w:val="0"/>
                      <w:marTop w:val="0"/>
                      <w:marBottom w:val="0"/>
                      <w:divBdr>
                        <w:top w:val="none" w:sz="0" w:space="0" w:color="auto"/>
                        <w:left w:val="none" w:sz="0" w:space="0" w:color="auto"/>
                        <w:bottom w:val="none" w:sz="0" w:space="0" w:color="auto"/>
                        <w:right w:val="none" w:sz="0" w:space="0" w:color="auto"/>
                      </w:divBdr>
                      <w:divsChild>
                        <w:div w:id="943073175">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032415781">
                              <w:marLeft w:val="0"/>
                              <w:marRight w:val="0"/>
                              <w:marTop w:val="0"/>
                              <w:marBottom w:val="0"/>
                              <w:divBdr>
                                <w:top w:val="none" w:sz="0" w:space="0" w:color="auto"/>
                                <w:left w:val="none" w:sz="0" w:space="0" w:color="auto"/>
                                <w:bottom w:val="none" w:sz="0" w:space="0" w:color="auto"/>
                                <w:right w:val="none" w:sz="0" w:space="0" w:color="auto"/>
                              </w:divBdr>
                              <w:divsChild>
                                <w:div w:id="1003901876">
                                  <w:marLeft w:val="0"/>
                                  <w:marRight w:val="0"/>
                                  <w:marTop w:val="0"/>
                                  <w:marBottom w:val="0"/>
                                  <w:divBdr>
                                    <w:top w:val="none" w:sz="0" w:space="0" w:color="auto"/>
                                    <w:left w:val="none" w:sz="0" w:space="0" w:color="auto"/>
                                    <w:bottom w:val="none" w:sz="0" w:space="0" w:color="auto"/>
                                    <w:right w:val="none" w:sz="0" w:space="0" w:color="auto"/>
                                  </w:divBdr>
                                </w:div>
                                <w:div w:id="8962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4375">
                      <w:marLeft w:val="0"/>
                      <w:marRight w:val="0"/>
                      <w:marTop w:val="0"/>
                      <w:marBottom w:val="0"/>
                      <w:divBdr>
                        <w:top w:val="none" w:sz="0" w:space="0" w:color="auto"/>
                        <w:left w:val="none" w:sz="0" w:space="0" w:color="auto"/>
                        <w:bottom w:val="none" w:sz="0" w:space="0" w:color="auto"/>
                        <w:right w:val="none" w:sz="0" w:space="0" w:color="auto"/>
                      </w:divBdr>
                    </w:div>
                  </w:divsChild>
                </w:div>
                <w:div w:id="1728020419">
                  <w:marLeft w:val="0"/>
                  <w:marRight w:val="0"/>
                  <w:marTop w:val="0"/>
                  <w:marBottom w:val="0"/>
                  <w:divBdr>
                    <w:top w:val="none" w:sz="0" w:space="0" w:color="auto"/>
                    <w:left w:val="none" w:sz="0" w:space="0" w:color="auto"/>
                    <w:bottom w:val="none" w:sz="0" w:space="0" w:color="auto"/>
                    <w:right w:val="none" w:sz="0" w:space="0" w:color="auto"/>
                  </w:divBdr>
                </w:div>
                <w:div w:id="313417031">
                  <w:marLeft w:val="0"/>
                  <w:marRight w:val="0"/>
                  <w:marTop w:val="0"/>
                  <w:marBottom w:val="0"/>
                  <w:divBdr>
                    <w:top w:val="none" w:sz="0" w:space="0" w:color="auto"/>
                    <w:left w:val="none" w:sz="0" w:space="0" w:color="auto"/>
                    <w:bottom w:val="none" w:sz="0" w:space="0" w:color="auto"/>
                    <w:right w:val="none" w:sz="0" w:space="0" w:color="auto"/>
                  </w:divBdr>
                </w:div>
                <w:div w:id="512453383">
                  <w:marLeft w:val="0"/>
                  <w:marRight w:val="0"/>
                  <w:marTop w:val="0"/>
                  <w:marBottom w:val="0"/>
                  <w:divBdr>
                    <w:top w:val="none" w:sz="0" w:space="0" w:color="auto"/>
                    <w:left w:val="none" w:sz="0" w:space="0" w:color="auto"/>
                    <w:bottom w:val="none" w:sz="0" w:space="0" w:color="auto"/>
                    <w:right w:val="none" w:sz="0" w:space="0" w:color="auto"/>
                  </w:divBdr>
                </w:div>
                <w:div w:id="250626380">
                  <w:marLeft w:val="0"/>
                  <w:marRight w:val="0"/>
                  <w:marTop w:val="0"/>
                  <w:marBottom w:val="0"/>
                  <w:divBdr>
                    <w:top w:val="none" w:sz="0" w:space="0" w:color="auto"/>
                    <w:left w:val="none" w:sz="0" w:space="0" w:color="auto"/>
                    <w:bottom w:val="none" w:sz="0" w:space="0" w:color="auto"/>
                    <w:right w:val="none" w:sz="0" w:space="0" w:color="auto"/>
                  </w:divBdr>
                  <w:divsChild>
                    <w:div w:id="832381858">
                      <w:marLeft w:val="0"/>
                      <w:marRight w:val="0"/>
                      <w:marTop w:val="0"/>
                      <w:marBottom w:val="0"/>
                      <w:divBdr>
                        <w:top w:val="none" w:sz="0" w:space="0" w:color="auto"/>
                        <w:left w:val="none" w:sz="0" w:space="0" w:color="auto"/>
                        <w:bottom w:val="none" w:sz="0" w:space="0" w:color="auto"/>
                        <w:right w:val="none" w:sz="0" w:space="0" w:color="auto"/>
                      </w:divBdr>
                      <w:divsChild>
                        <w:div w:id="25652605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0390381">
                              <w:marLeft w:val="0"/>
                              <w:marRight w:val="0"/>
                              <w:marTop w:val="0"/>
                              <w:marBottom w:val="0"/>
                              <w:divBdr>
                                <w:top w:val="none" w:sz="0" w:space="0" w:color="auto"/>
                                <w:left w:val="none" w:sz="0" w:space="0" w:color="auto"/>
                                <w:bottom w:val="none" w:sz="0" w:space="0" w:color="auto"/>
                                <w:right w:val="none" w:sz="0" w:space="0" w:color="auto"/>
                              </w:divBdr>
                              <w:divsChild>
                                <w:div w:id="118766606">
                                  <w:marLeft w:val="0"/>
                                  <w:marRight w:val="0"/>
                                  <w:marTop w:val="0"/>
                                  <w:marBottom w:val="0"/>
                                  <w:divBdr>
                                    <w:top w:val="none" w:sz="0" w:space="0" w:color="auto"/>
                                    <w:left w:val="none" w:sz="0" w:space="0" w:color="auto"/>
                                    <w:bottom w:val="none" w:sz="0" w:space="0" w:color="auto"/>
                                    <w:right w:val="none" w:sz="0" w:space="0" w:color="auto"/>
                                  </w:divBdr>
                                </w:div>
                                <w:div w:id="2863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6508">
                      <w:marLeft w:val="0"/>
                      <w:marRight w:val="0"/>
                      <w:marTop w:val="0"/>
                      <w:marBottom w:val="0"/>
                      <w:divBdr>
                        <w:top w:val="none" w:sz="0" w:space="0" w:color="auto"/>
                        <w:left w:val="none" w:sz="0" w:space="0" w:color="auto"/>
                        <w:bottom w:val="none" w:sz="0" w:space="0" w:color="auto"/>
                        <w:right w:val="none" w:sz="0" w:space="0" w:color="auto"/>
                      </w:divBdr>
                      <w:divsChild>
                        <w:div w:id="1630280142">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94973860">
                              <w:marLeft w:val="0"/>
                              <w:marRight w:val="0"/>
                              <w:marTop w:val="0"/>
                              <w:marBottom w:val="0"/>
                              <w:divBdr>
                                <w:top w:val="none" w:sz="0" w:space="0" w:color="auto"/>
                                <w:left w:val="none" w:sz="0" w:space="0" w:color="auto"/>
                                <w:bottom w:val="none" w:sz="0" w:space="0" w:color="auto"/>
                                <w:right w:val="none" w:sz="0" w:space="0" w:color="auto"/>
                              </w:divBdr>
                              <w:divsChild>
                                <w:div w:id="13655532">
                                  <w:marLeft w:val="0"/>
                                  <w:marRight w:val="0"/>
                                  <w:marTop w:val="0"/>
                                  <w:marBottom w:val="0"/>
                                  <w:divBdr>
                                    <w:top w:val="none" w:sz="0" w:space="0" w:color="auto"/>
                                    <w:left w:val="none" w:sz="0" w:space="0" w:color="auto"/>
                                    <w:bottom w:val="none" w:sz="0" w:space="0" w:color="auto"/>
                                    <w:right w:val="none" w:sz="0" w:space="0" w:color="auto"/>
                                  </w:divBdr>
                                </w:div>
                                <w:div w:id="13625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562539">
                  <w:marLeft w:val="0"/>
                  <w:marRight w:val="0"/>
                  <w:marTop w:val="0"/>
                  <w:marBottom w:val="0"/>
                  <w:divBdr>
                    <w:top w:val="none" w:sz="0" w:space="0" w:color="auto"/>
                    <w:left w:val="none" w:sz="0" w:space="0" w:color="auto"/>
                    <w:bottom w:val="none" w:sz="0" w:space="0" w:color="auto"/>
                    <w:right w:val="none" w:sz="0" w:space="0" w:color="auto"/>
                  </w:divBdr>
                </w:div>
                <w:div w:id="439224241">
                  <w:marLeft w:val="0"/>
                  <w:marRight w:val="0"/>
                  <w:marTop w:val="0"/>
                  <w:marBottom w:val="0"/>
                  <w:divBdr>
                    <w:top w:val="none" w:sz="0" w:space="0" w:color="auto"/>
                    <w:left w:val="none" w:sz="0" w:space="0" w:color="auto"/>
                    <w:bottom w:val="none" w:sz="0" w:space="0" w:color="auto"/>
                    <w:right w:val="none" w:sz="0" w:space="0" w:color="auto"/>
                  </w:divBdr>
                  <w:divsChild>
                    <w:div w:id="1299458270">
                      <w:marLeft w:val="0"/>
                      <w:marRight w:val="0"/>
                      <w:marTop w:val="0"/>
                      <w:marBottom w:val="0"/>
                      <w:divBdr>
                        <w:top w:val="none" w:sz="0" w:space="0" w:color="auto"/>
                        <w:left w:val="none" w:sz="0" w:space="0" w:color="auto"/>
                        <w:bottom w:val="none" w:sz="0" w:space="0" w:color="auto"/>
                        <w:right w:val="none" w:sz="0" w:space="0" w:color="auto"/>
                      </w:divBdr>
                      <w:divsChild>
                        <w:div w:id="93593980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42827609">
                              <w:marLeft w:val="0"/>
                              <w:marRight w:val="0"/>
                              <w:marTop w:val="0"/>
                              <w:marBottom w:val="0"/>
                              <w:divBdr>
                                <w:top w:val="none" w:sz="0" w:space="0" w:color="auto"/>
                                <w:left w:val="none" w:sz="0" w:space="0" w:color="auto"/>
                                <w:bottom w:val="none" w:sz="0" w:space="0" w:color="auto"/>
                                <w:right w:val="none" w:sz="0" w:space="0" w:color="auto"/>
                              </w:divBdr>
                              <w:divsChild>
                                <w:div w:id="1803225891">
                                  <w:marLeft w:val="0"/>
                                  <w:marRight w:val="0"/>
                                  <w:marTop w:val="0"/>
                                  <w:marBottom w:val="0"/>
                                  <w:divBdr>
                                    <w:top w:val="none" w:sz="0" w:space="0" w:color="auto"/>
                                    <w:left w:val="none" w:sz="0" w:space="0" w:color="auto"/>
                                    <w:bottom w:val="none" w:sz="0" w:space="0" w:color="auto"/>
                                    <w:right w:val="none" w:sz="0" w:space="0" w:color="auto"/>
                                  </w:divBdr>
                                </w:div>
                                <w:div w:id="11194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1466">
                      <w:marLeft w:val="0"/>
                      <w:marRight w:val="0"/>
                      <w:marTop w:val="0"/>
                      <w:marBottom w:val="0"/>
                      <w:divBdr>
                        <w:top w:val="none" w:sz="0" w:space="0" w:color="auto"/>
                        <w:left w:val="none" w:sz="0" w:space="0" w:color="auto"/>
                        <w:bottom w:val="none" w:sz="0" w:space="0" w:color="auto"/>
                        <w:right w:val="none" w:sz="0" w:space="0" w:color="auto"/>
                      </w:divBdr>
                    </w:div>
                  </w:divsChild>
                </w:div>
                <w:div w:id="1292057600">
                  <w:marLeft w:val="0"/>
                  <w:marRight w:val="0"/>
                  <w:marTop w:val="0"/>
                  <w:marBottom w:val="0"/>
                  <w:divBdr>
                    <w:top w:val="none" w:sz="0" w:space="0" w:color="auto"/>
                    <w:left w:val="none" w:sz="0" w:space="0" w:color="auto"/>
                    <w:bottom w:val="none" w:sz="0" w:space="0" w:color="auto"/>
                    <w:right w:val="none" w:sz="0" w:space="0" w:color="auto"/>
                  </w:divBdr>
                  <w:divsChild>
                    <w:div w:id="299044186">
                      <w:marLeft w:val="0"/>
                      <w:marRight w:val="0"/>
                      <w:marTop w:val="0"/>
                      <w:marBottom w:val="0"/>
                      <w:divBdr>
                        <w:top w:val="none" w:sz="0" w:space="0" w:color="auto"/>
                        <w:left w:val="none" w:sz="0" w:space="0" w:color="auto"/>
                        <w:bottom w:val="none" w:sz="0" w:space="0" w:color="auto"/>
                        <w:right w:val="none" w:sz="0" w:space="0" w:color="auto"/>
                      </w:divBdr>
                      <w:divsChild>
                        <w:div w:id="878394996">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629096060">
                              <w:marLeft w:val="0"/>
                              <w:marRight w:val="0"/>
                              <w:marTop w:val="0"/>
                              <w:marBottom w:val="0"/>
                              <w:divBdr>
                                <w:top w:val="none" w:sz="0" w:space="0" w:color="auto"/>
                                <w:left w:val="none" w:sz="0" w:space="0" w:color="auto"/>
                                <w:bottom w:val="none" w:sz="0" w:space="0" w:color="auto"/>
                                <w:right w:val="none" w:sz="0" w:space="0" w:color="auto"/>
                              </w:divBdr>
                              <w:divsChild>
                                <w:div w:id="458501206">
                                  <w:marLeft w:val="0"/>
                                  <w:marRight w:val="0"/>
                                  <w:marTop w:val="0"/>
                                  <w:marBottom w:val="0"/>
                                  <w:divBdr>
                                    <w:top w:val="none" w:sz="0" w:space="0" w:color="auto"/>
                                    <w:left w:val="none" w:sz="0" w:space="0" w:color="auto"/>
                                    <w:bottom w:val="none" w:sz="0" w:space="0" w:color="auto"/>
                                    <w:right w:val="none" w:sz="0" w:space="0" w:color="auto"/>
                                  </w:divBdr>
                                </w:div>
                                <w:div w:id="18304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1883">
                      <w:marLeft w:val="0"/>
                      <w:marRight w:val="0"/>
                      <w:marTop w:val="0"/>
                      <w:marBottom w:val="0"/>
                      <w:divBdr>
                        <w:top w:val="none" w:sz="0" w:space="0" w:color="auto"/>
                        <w:left w:val="none" w:sz="0" w:space="0" w:color="auto"/>
                        <w:bottom w:val="none" w:sz="0" w:space="0" w:color="auto"/>
                        <w:right w:val="none" w:sz="0" w:space="0" w:color="auto"/>
                      </w:divBdr>
                    </w:div>
                    <w:div w:id="7184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646">
              <w:marLeft w:val="0"/>
              <w:marRight w:val="0"/>
              <w:marTop w:val="0"/>
              <w:marBottom w:val="0"/>
              <w:divBdr>
                <w:top w:val="none" w:sz="0" w:space="0" w:color="auto"/>
                <w:left w:val="none" w:sz="0" w:space="0" w:color="auto"/>
                <w:bottom w:val="none" w:sz="0" w:space="0" w:color="auto"/>
                <w:right w:val="none" w:sz="0" w:space="0" w:color="auto"/>
              </w:divBdr>
            </w:div>
            <w:div w:id="2113042748">
              <w:marLeft w:val="0"/>
              <w:marRight w:val="0"/>
              <w:marTop w:val="0"/>
              <w:marBottom w:val="0"/>
              <w:divBdr>
                <w:top w:val="none" w:sz="0" w:space="0" w:color="auto"/>
                <w:left w:val="none" w:sz="0" w:space="0" w:color="auto"/>
                <w:bottom w:val="none" w:sz="0" w:space="0" w:color="auto"/>
                <w:right w:val="none" w:sz="0" w:space="0" w:color="auto"/>
              </w:divBdr>
              <w:divsChild>
                <w:div w:id="54478069">
                  <w:marLeft w:val="0"/>
                  <w:marRight w:val="0"/>
                  <w:marTop w:val="0"/>
                  <w:marBottom w:val="0"/>
                  <w:divBdr>
                    <w:top w:val="none" w:sz="0" w:space="0" w:color="auto"/>
                    <w:left w:val="none" w:sz="0" w:space="0" w:color="auto"/>
                    <w:bottom w:val="none" w:sz="0" w:space="0" w:color="auto"/>
                    <w:right w:val="none" w:sz="0" w:space="0" w:color="auto"/>
                  </w:divBdr>
                </w:div>
              </w:divsChild>
            </w:div>
            <w:div w:id="410811505">
              <w:marLeft w:val="0"/>
              <w:marRight w:val="0"/>
              <w:marTop w:val="0"/>
              <w:marBottom w:val="0"/>
              <w:divBdr>
                <w:top w:val="none" w:sz="0" w:space="0" w:color="auto"/>
                <w:left w:val="none" w:sz="0" w:space="0" w:color="auto"/>
                <w:bottom w:val="none" w:sz="0" w:space="0" w:color="auto"/>
                <w:right w:val="none" w:sz="0" w:space="0" w:color="auto"/>
              </w:divBdr>
            </w:div>
            <w:div w:id="451365605">
              <w:marLeft w:val="0"/>
              <w:marRight w:val="0"/>
              <w:marTop w:val="0"/>
              <w:marBottom w:val="0"/>
              <w:divBdr>
                <w:top w:val="none" w:sz="0" w:space="0" w:color="auto"/>
                <w:left w:val="none" w:sz="0" w:space="0" w:color="auto"/>
                <w:bottom w:val="none" w:sz="0" w:space="0" w:color="auto"/>
                <w:right w:val="none" w:sz="0" w:space="0" w:color="auto"/>
              </w:divBdr>
              <w:divsChild>
                <w:div w:id="343824421">
                  <w:marLeft w:val="0"/>
                  <w:marRight w:val="0"/>
                  <w:marTop w:val="0"/>
                  <w:marBottom w:val="0"/>
                  <w:divBdr>
                    <w:top w:val="none" w:sz="0" w:space="0" w:color="auto"/>
                    <w:left w:val="none" w:sz="0" w:space="0" w:color="auto"/>
                    <w:bottom w:val="none" w:sz="0" w:space="0" w:color="auto"/>
                    <w:right w:val="none" w:sz="0" w:space="0" w:color="auto"/>
                  </w:divBdr>
                  <w:divsChild>
                    <w:div w:id="897939858">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7431770">
                          <w:marLeft w:val="0"/>
                          <w:marRight w:val="0"/>
                          <w:marTop w:val="0"/>
                          <w:marBottom w:val="0"/>
                          <w:divBdr>
                            <w:top w:val="none" w:sz="0" w:space="0" w:color="auto"/>
                            <w:left w:val="none" w:sz="0" w:space="0" w:color="auto"/>
                            <w:bottom w:val="none" w:sz="0" w:space="0" w:color="auto"/>
                            <w:right w:val="none" w:sz="0" w:space="0" w:color="auto"/>
                          </w:divBdr>
                          <w:divsChild>
                            <w:div w:id="571937079">
                              <w:marLeft w:val="0"/>
                              <w:marRight w:val="0"/>
                              <w:marTop w:val="0"/>
                              <w:marBottom w:val="0"/>
                              <w:divBdr>
                                <w:top w:val="none" w:sz="0" w:space="0" w:color="auto"/>
                                <w:left w:val="none" w:sz="0" w:space="0" w:color="auto"/>
                                <w:bottom w:val="none" w:sz="0" w:space="0" w:color="auto"/>
                                <w:right w:val="none" w:sz="0" w:space="0" w:color="auto"/>
                              </w:divBdr>
                            </w:div>
                            <w:div w:id="17835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039">
                      <w:marLeft w:val="0"/>
                      <w:marRight w:val="0"/>
                      <w:marTop w:val="0"/>
                      <w:marBottom w:val="0"/>
                      <w:divBdr>
                        <w:top w:val="none" w:sz="0" w:space="0" w:color="auto"/>
                        <w:left w:val="none" w:sz="0" w:space="0" w:color="auto"/>
                        <w:bottom w:val="none" w:sz="0" w:space="0" w:color="auto"/>
                        <w:right w:val="none" w:sz="0" w:space="0" w:color="auto"/>
                      </w:divBdr>
                      <w:divsChild>
                        <w:div w:id="48967246">
                          <w:marLeft w:val="0"/>
                          <w:marRight w:val="0"/>
                          <w:marTop w:val="0"/>
                          <w:marBottom w:val="0"/>
                          <w:divBdr>
                            <w:top w:val="none" w:sz="0" w:space="0" w:color="auto"/>
                            <w:left w:val="none" w:sz="0" w:space="0" w:color="auto"/>
                            <w:bottom w:val="none" w:sz="0" w:space="0" w:color="auto"/>
                            <w:right w:val="none" w:sz="0" w:space="0" w:color="auto"/>
                          </w:divBdr>
                        </w:div>
                        <w:div w:id="1680162474">
                          <w:marLeft w:val="0"/>
                          <w:marRight w:val="0"/>
                          <w:marTop w:val="0"/>
                          <w:marBottom w:val="0"/>
                          <w:divBdr>
                            <w:top w:val="none" w:sz="0" w:space="0" w:color="auto"/>
                            <w:left w:val="none" w:sz="0" w:space="0" w:color="auto"/>
                            <w:bottom w:val="none" w:sz="0" w:space="0" w:color="auto"/>
                            <w:right w:val="none" w:sz="0" w:space="0" w:color="auto"/>
                          </w:divBdr>
                        </w:div>
                        <w:div w:id="584147238">
                          <w:marLeft w:val="0"/>
                          <w:marRight w:val="0"/>
                          <w:marTop w:val="0"/>
                          <w:marBottom w:val="0"/>
                          <w:divBdr>
                            <w:top w:val="none" w:sz="0" w:space="0" w:color="auto"/>
                            <w:left w:val="none" w:sz="0" w:space="0" w:color="auto"/>
                            <w:bottom w:val="none" w:sz="0" w:space="0" w:color="auto"/>
                            <w:right w:val="none" w:sz="0" w:space="0" w:color="auto"/>
                          </w:divBdr>
                        </w:div>
                        <w:div w:id="339115885">
                          <w:marLeft w:val="0"/>
                          <w:marRight w:val="0"/>
                          <w:marTop w:val="0"/>
                          <w:marBottom w:val="0"/>
                          <w:divBdr>
                            <w:top w:val="none" w:sz="0" w:space="0" w:color="auto"/>
                            <w:left w:val="none" w:sz="0" w:space="0" w:color="auto"/>
                            <w:bottom w:val="none" w:sz="0" w:space="0" w:color="auto"/>
                            <w:right w:val="none" w:sz="0" w:space="0" w:color="auto"/>
                          </w:divBdr>
                        </w:div>
                        <w:div w:id="638656391">
                          <w:marLeft w:val="0"/>
                          <w:marRight w:val="0"/>
                          <w:marTop w:val="0"/>
                          <w:marBottom w:val="0"/>
                          <w:divBdr>
                            <w:top w:val="none" w:sz="0" w:space="0" w:color="auto"/>
                            <w:left w:val="none" w:sz="0" w:space="0" w:color="auto"/>
                            <w:bottom w:val="none" w:sz="0" w:space="0" w:color="auto"/>
                            <w:right w:val="none" w:sz="0" w:space="0" w:color="auto"/>
                          </w:divBdr>
                        </w:div>
                        <w:div w:id="20965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0906">
              <w:marLeft w:val="0"/>
              <w:marRight w:val="0"/>
              <w:marTop w:val="0"/>
              <w:marBottom w:val="0"/>
              <w:divBdr>
                <w:top w:val="none" w:sz="0" w:space="0" w:color="auto"/>
                <w:left w:val="none" w:sz="0" w:space="0" w:color="auto"/>
                <w:bottom w:val="none" w:sz="0" w:space="0" w:color="auto"/>
                <w:right w:val="none" w:sz="0" w:space="0" w:color="auto"/>
              </w:divBdr>
              <w:divsChild>
                <w:div w:id="1467822146">
                  <w:marLeft w:val="0"/>
                  <w:marRight w:val="0"/>
                  <w:marTop w:val="0"/>
                  <w:marBottom w:val="0"/>
                  <w:divBdr>
                    <w:top w:val="none" w:sz="0" w:space="0" w:color="auto"/>
                    <w:left w:val="none" w:sz="0" w:space="0" w:color="auto"/>
                    <w:bottom w:val="none" w:sz="0" w:space="0" w:color="auto"/>
                    <w:right w:val="none" w:sz="0" w:space="0" w:color="auto"/>
                  </w:divBdr>
                </w:div>
              </w:divsChild>
            </w:div>
            <w:div w:id="522548878">
              <w:marLeft w:val="0"/>
              <w:marRight w:val="0"/>
              <w:marTop w:val="0"/>
              <w:marBottom w:val="0"/>
              <w:divBdr>
                <w:top w:val="none" w:sz="0" w:space="0" w:color="auto"/>
                <w:left w:val="none" w:sz="0" w:space="0" w:color="auto"/>
                <w:bottom w:val="none" w:sz="0" w:space="0" w:color="auto"/>
                <w:right w:val="none" w:sz="0" w:space="0" w:color="auto"/>
              </w:divBdr>
            </w:div>
            <w:div w:id="74979127">
              <w:marLeft w:val="0"/>
              <w:marRight w:val="0"/>
              <w:marTop w:val="0"/>
              <w:marBottom w:val="0"/>
              <w:divBdr>
                <w:top w:val="none" w:sz="0" w:space="0" w:color="auto"/>
                <w:left w:val="none" w:sz="0" w:space="0" w:color="auto"/>
                <w:bottom w:val="none" w:sz="0" w:space="0" w:color="auto"/>
                <w:right w:val="none" w:sz="0" w:space="0" w:color="auto"/>
              </w:divBdr>
              <w:divsChild>
                <w:div w:id="2035302214">
                  <w:marLeft w:val="0"/>
                  <w:marRight w:val="0"/>
                  <w:marTop w:val="0"/>
                  <w:marBottom w:val="0"/>
                  <w:divBdr>
                    <w:top w:val="none" w:sz="0" w:space="0" w:color="auto"/>
                    <w:left w:val="none" w:sz="0" w:space="0" w:color="auto"/>
                    <w:bottom w:val="none" w:sz="0" w:space="0" w:color="auto"/>
                    <w:right w:val="none" w:sz="0" w:space="0" w:color="auto"/>
                  </w:divBdr>
                  <w:divsChild>
                    <w:div w:id="48461451">
                      <w:marLeft w:val="0"/>
                      <w:marRight w:val="0"/>
                      <w:marTop w:val="256"/>
                      <w:marBottom w:val="256"/>
                      <w:divBdr>
                        <w:top w:val="none" w:sz="0" w:space="0" w:color="auto"/>
                        <w:left w:val="none" w:sz="0" w:space="0" w:color="auto"/>
                        <w:bottom w:val="none" w:sz="0" w:space="0" w:color="auto"/>
                        <w:right w:val="none" w:sz="0" w:space="0" w:color="auto"/>
                      </w:divBdr>
                      <w:divsChild>
                        <w:div w:id="1799303405">
                          <w:marLeft w:val="0"/>
                          <w:marRight w:val="0"/>
                          <w:marTop w:val="0"/>
                          <w:marBottom w:val="0"/>
                          <w:divBdr>
                            <w:top w:val="none" w:sz="0" w:space="0" w:color="auto"/>
                            <w:left w:val="none" w:sz="0" w:space="0" w:color="auto"/>
                            <w:bottom w:val="none" w:sz="0" w:space="0" w:color="auto"/>
                            <w:right w:val="none" w:sz="0" w:space="0" w:color="auto"/>
                          </w:divBdr>
                          <w:divsChild>
                            <w:div w:id="866135495">
                              <w:marLeft w:val="0"/>
                              <w:marRight w:val="0"/>
                              <w:marTop w:val="0"/>
                              <w:marBottom w:val="0"/>
                              <w:divBdr>
                                <w:top w:val="none" w:sz="0" w:space="0" w:color="auto"/>
                                <w:left w:val="none" w:sz="0" w:space="0" w:color="auto"/>
                                <w:bottom w:val="none" w:sz="0" w:space="0" w:color="auto"/>
                                <w:right w:val="none" w:sz="0" w:space="0" w:color="auto"/>
                              </w:divBdr>
                              <w:divsChild>
                                <w:div w:id="1397505884">
                                  <w:marLeft w:val="0"/>
                                  <w:marRight w:val="0"/>
                                  <w:marTop w:val="0"/>
                                  <w:marBottom w:val="0"/>
                                  <w:divBdr>
                                    <w:top w:val="none" w:sz="0" w:space="0" w:color="auto"/>
                                    <w:left w:val="none" w:sz="0" w:space="0" w:color="auto"/>
                                    <w:bottom w:val="none" w:sz="0" w:space="0" w:color="auto"/>
                                    <w:right w:val="none" w:sz="0" w:space="0" w:color="auto"/>
                                  </w:divBdr>
                                </w:div>
                                <w:div w:id="1280992866">
                                  <w:marLeft w:val="0"/>
                                  <w:marRight w:val="0"/>
                                  <w:marTop w:val="0"/>
                                  <w:marBottom w:val="0"/>
                                  <w:divBdr>
                                    <w:top w:val="none" w:sz="0" w:space="0" w:color="auto"/>
                                    <w:left w:val="none" w:sz="0" w:space="0" w:color="auto"/>
                                    <w:bottom w:val="none" w:sz="0" w:space="0" w:color="auto"/>
                                    <w:right w:val="none" w:sz="0" w:space="0" w:color="auto"/>
                                  </w:divBdr>
                                </w:div>
                                <w:div w:id="314456753">
                                  <w:marLeft w:val="240"/>
                                  <w:marRight w:val="0"/>
                                  <w:marTop w:val="0"/>
                                  <w:marBottom w:val="0"/>
                                  <w:divBdr>
                                    <w:top w:val="none" w:sz="0" w:space="0" w:color="auto"/>
                                    <w:left w:val="none" w:sz="0" w:space="0" w:color="auto"/>
                                    <w:bottom w:val="none" w:sz="0" w:space="0" w:color="auto"/>
                                    <w:right w:val="none" w:sz="0" w:space="0" w:color="auto"/>
                                  </w:divBdr>
                                  <w:divsChild>
                                    <w:div w:id="17713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5946">
                              <w:marLeft w:val="0"/>
                              <w:marRight w:val="0"/>
                              <w:marTop w:val="0"/>
                              <w:marBottom w:val="0"/>
                              <w:divBdr>
                                <w:top w:val="none" w:sz="0" w:space="0" w:color="auto"/>
                                <w:left w:val="none" w:sz="0" w:space="0" w:color="auto"/>
                                <w:bottom w:val="none" w:sz="0" w:space="0" w:color="auto"/>
                                <w:right w:val="none" w:sz="0" w:space="0" w:color="auto"/>
                              </w:divBdr>
                              <w:divsChild>
                                <w:div w:id="1261377378">
                                  <w:marLeft w:val="0"/>
                                  <w:marRight w:val="0"/>
                                  <w:marTop w:val="0"/>
                                  <w:marBottom w:val="0"/>
                                  <w:divBdr>
                                    <w:top w:val="none" w:sz="0" w:space="0" w:color="auto"/>
                                    <w:left w:val="none" w:sz="0" w:space="0" w:color="auto"/>
                                    <w:bottom w:val="none" w:sz="0" w:space="0" w:color="auto"/>
                                    <w:right w:val="none" w:sz="0" w:space="0" w:color="auto"/>
                                  </w:divBdr>
                                </w:div>
                                <w:div w:id="4505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7086">
                      <w:marLeft w:val="0"/>
                      <w:marRight w:val="0"/>
                      <w:marTop w:val="0"/>
                      <w:marBottom w:val="0"/>
                      <w:divBdr>
                        <w:top w:val="none" w:sz="0" w:space="0" w:color="auto"/>
                        <w:left w:val="none" w:sz="0" w:space="0" w:color="auto"/>
                        <w:bottom w:val="none" w:sz="0" w:space="0" w:color="auto"/>
                        <w:right w:val="none" w:sz="0" w:space="0" w:color="auto"/>
                      </w:divBdr>
                      <w:divsChild>
                        <w:div w:id="1272784403">
                          <w:marLeft w:val="0"/>
                          <w:marRight w:val="0"/>
                          <w:marTop w:val="256"/>
                          <w:marBottom w:val="256"/>
                          <w:divBdr>
                            <w:top w:val="none" w:sz="0" w:space="0" w:color="auto"/>
                            <w:left w:val="none" w:sz="0" w:space="0" w:color="auto"/>
                            <w:bottom w:val="none" w:sz="0" w:space="0" w:color="auto"/>
                            <w:right w:val="none" w:sz="0" w:space="0" w:color="auto"/>
                          </w:divBdr>
                        </w:div>
                      </w:divsChild>
                    </w:div>
                    <w:div w:id="919948037">
                      <w:marLeft w:val="0"/>
                      <w:marRight w:val="0"/>
                      <w:marTop w:val="256"/>
                      <w:marBottom w:val="256"/>
                      <w:divBdr>
                        <w:top w:val="none" w:sz="0" w:space="0" w:color="auto"/>
                        <w:left w:val="none" w:sz="0" w:space="0" w:color="auto"/>
                        <w:bottom w:val="none" w:sz="0" w:space="0" w:color="auto"/>
                        <w:right w:val="none" w:sz="0" w:space="0" w:color="auto"/>
                      </w:divBdr>
                      <w:divsChild>
                        <w:div w:id="1100878821">
                          <w:marLeft w:val="0"/>
                          <w:marRight w:val="0"/>
                          <w:marTop w:val="256"/>
                          <w:marBottom w:val="256"/>
                          <w:divBdr>
                            <w:top w:val="none" w:sz="0" w:space="0" w:color="auto"/>
                            <w:left w:val="none" w:sz="0" w:space="0" w:color="auto"/>
                            <w:bottom w:val="none" w:sz="0" w:space="0" w:color="auto"/>
                            <w:right w:val="none" w:sz="0" w:space="0" w:color="auto"/>
                          </w:divBdr>
                          <w:divsChild>
                            <w:div w:id="476265488">
                              <w:marLeft w:val="0"/>
                              <w:marRight w:val="0"/>
                              <w:marTop w:val="0"/>
                              <w:marBottom w:val="0"/>
                              <w:divBdr>
                                <w:top w:val="none" w:sz="0" w:space="0" w:color="auto"/>
                                <w:left w:val="none" w:sz="0" w:space="0" w:color="auto"/>
                                <w:bottom w:val="none" w:sz="0" w:space="0" w:color="auto"/>
                                <w:right w:val="none" w:sz="0" w:space="0" w:color="auto"/>
                              </w:divBdr>
                            </w:div>
                            <w:div w:id="961955750">
                              <w:marLeft w:val="0"/>
                              <w:marRight w:val="0"/>
                              <w:marTop w:val="0"/>
                              <w:marBottom w:val="0"/>
                              <w:divBdr>
                                <w:top w:val="none" w:sz="0" w:space="0" w:color="auto"/>
                                <w:left w:val="none" w:sz="0" w:space="0" w:color="auto"/>
                                <w:bottom w:val="none" w:sz="0" w:space="0" w:color="auto"/>
                                <w:right w:val="none" w:sz="0" w:space="0" w:color="auto"/>
                              </w:divBdr>
                            </w:div>
                            <w:div w:id="1066220628">
                              <w:marLeft w:val="0"/>
                              <w:marRight w:val="0"/>
                              <w:marTop w:val="0"/>
                              <w:marBottom w:val="0"/>
                              <w:divBdr>
                                <w:top w:val="none" w:sz="0" w:space="0" w:color="auto"/>
                                <w:left w:val="none" w:sz="0" w:space="0" w:color="auto"/>
                                <w:bottom w:val="none" w:sz="0" w:space="0" w:color="auto"/>
                                <w:right w:val="none" w:sz="0" w:space="0" w:color="auto"/>
                              </w:divBdr>
                            </w:div>
                            <w:div w:id="1858538645">
                              <w:marLeft w:val="0"/>
                              <w:marRight w:val="0"/>
                              <w:marTop w:val="0"/>
                              <w:marBottom w:val="0"/>
                              <w:divBdr>
                                <w:top w:val="none" w:sz="0" w:space="0" w:color="auto"/>
                                <w:left w:val="none" w:sz="0" w:space="0" w:color="auto"/>
                                <w:bottom w:val="none" w:sz="0" w:space="0" w:color="auto"/>
                                <w:right w:val="none" w:sz="0" w:space="0" w:color="auto"/>
                              </w:divBdr>
                            </w:div>
                          </w:divsChild>
                        </w:div>
                        <w:div w:id="2040008826">
                          <w:marLeft w:val="0"/>
                          <w:marRight w:val="0"/>
                          <w:marTop w:val="256"/>
                          <w:marBottom w:val="256"/>
                          <w:divBdr>
                            <w:top w:val="none" w:sz="0" w:space="0" w:color="auto"/>
                            <w:left w:val="none" w:sz="0" w:space="0" w:color="auto"/>
                            <w:bottom w:val="none" w:sz="0" w:space="0" w:color="auto"/>
                            <w:right w:val="none" w:sz="0" w:space="0" w:color="auto"/>
                          </w:divBdr>
                          <w:divsChild>
                            <w:div w:id="1241915235">
                              <w:marLeft w:val="0"/>
                              <w:marRight w:val="0"/>
                              <w:marTop w:val="0"/>
                              <w:marBottom w:val="0"/>
                              <w:divBdr>
                                <w:top w:val="none" w:sz="0" w:space="0" w:color="auto"/>
                                <w:left w:val="none" w:sz="0" w:space="0" w:color="auto"/>
                                <w:bottom w:val="none" w:sz="0" w:space="0" w:color="auto"/>
                                <w:right w:val="none" w:sz="0" w:space="0" w:color="auto"/>
                              </w:divBdr>
                            </w:div>
                            <w:div w:id="8761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085">
                      <w:marLeft w:val="0"/>
                      <w:marRight w:val="0"/>
                      <w:marTop w:val="256"/>
                      <w:marBottom w:val="256"/>
                      <w:divBdr>
                        <w:top w:val="none" w:sz="0" w:space="0" w:color="auto"/>
                        <w:left w:val="none" w:sz="0" w:space="0" w:color="auto"/>
                        <w:bottom w:val="none" w:sz="0" w:space="0" w:color="auto"/>
                        <w:right w:val="none" w:sz="0" w:space="0" w:color="auto"/>
                      </w:divBdr>
                      <w:divsChild>
                        <w:div w:id="873351422">
                          <w:marLeft w:val="0"/>
                          <w:marRight w:val="0"/>
                          <w:marTop w:val="0"/>
                          <w:marBottom w:val="0"/>
                          <w:divBdr>
                            <w:top w:val="none" w:sz="0" w:space="0" w:color="auto"/>
                            <w:left w:val="none" w:sz="0" w:space="0" w:color="auto"/>
                            <w:bottom w:val="none" w:sz="0" w:space="0" w:color="auto"/>
                            <w:right w:val="none" w:sz="0" w:space="0" w:color="auto"/>
                          </w:divBdr>
                          <w:divsChild>
                            <w:div w:id="366296314">
                              <w:marLeft w:val="0"/>
                              <w:marRight w:val="0"/>
                              <w:marTop w:val="0"/>
                              <w:marBottom w:val="0"/>
                              <w:divBdr>
                                <w:top w:val="none" w:sz="0" w:space="0" w:color="auto"/>
                                <w:left w:val="none" w:sz="0" w:space="0" w:color="auto"/>
                                <w:bottom w:val="none" w:sz="0" w:space="0" w:color="auto"/>
                                <w:right w:val="none" w:sz="0" w:space="0" w:color="auto"/>
                              </w:divBdr>
                            </w:div>
                            <w:div w:id="13152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98059">
              <w:marLeft w:val="0"/>
              <w:marRight w:val="0"/>
              <w:marTop w:val="0"/>
              <w:marBottom w:val="0"/>
              <w:divBdr>
                <w:top w:val="none" w:sz="0" w:space="0" w:color="auto"/>
                <w:left w:val="none" w:sz="0" w:space="0" w:color="auto"/>
                <w:bottom w:val="none" w:sz="0" w:space="0" w:color="auto"/>
                <w:right w:val="none" w:sz="0" w:space="0" w:color="auto"/>
              </w:divBdr>
              <w:divsChild>
                <w:div w:id="338847487">
                  <w:marLeft w:val="0"/>
                  <w:marRight w:val="0"/>
                  <w:marTop w:val="256"/>
                  <w:marBottom w:val="256"/>
                  <w:divBdr>
                    <w:top w:val="none" w:sz="0" w:space="0" w:color="auto"/>
                    <w:left w:val="none" w:sz="0" w:space="0" w:color="auto"/>
                    <w:bottom w:val="none" w:sz="0" w:space="0" w:color="auto"/>
                    <w:right w:val="none" w:sz="0" w:space="0" w:color="auto"/>
                  </w:divBdr>
                  <w:divsChild>
                    <w:div w:id="410933806">
                      <w:marLeft w:val="0"/>
                      <w:marRight w:val="0"/>
                      <w:marTop w:val="256"/>
                      <w:marBottom w:val="256"/>
                      <w:divBdr>
                        <w:top w:val="none" w:sz="0" w:space="0" w:color="auto"/>
                        <w:left w:val="none" w:sz="0" w:space="0" w:color="auto"/>
                        <w:bottom w:val="none" w:sz="0" w:space="0" w:color="auto"/>
                        <w:right w:val="none" w:sz="0" w:space="0" w:color="auto"/>
                      </w:divBdr>
                    </w:div>
                    <w:div w:id="1284769016">
                      <w:marLeft w:val="0"/>
                      <w:marRight w:val="0"/>
                      <w:marTop w:val="256"/>
                      <w:marBottom w:val="256"/>
                      <w:divBdr>
                        <w:top w:val="none" w:sz="0" w:space="0" w:color="auto"/>
                        <w:left w:val="none" w:sz="0" w:space="0" w:color="auto"/>
                        <w:bottom w:val="none" w:sz="0" w:space="0" w:color="auto"/>
                        <w:right w:val="none" w:sz="0" w:space="0" w:color="auto"/>
                      </w:divBdr>
                    </w:div>
                    <w:div w:id="610207879">
                      <w:marLeft w:val="0"/>
                      <w:marRight w:val="0"/>
                      <w:marTop w:val="256"/>
                      <w:marBottom w:val="256"/>
                      <w:divBdr>
                        <w:top w:val="none" w:sz="0" w:space="0" w:color="auto"/>
                        <w:left w:val="none" w:sz="0" w:space="0" w:color="auto"/>
                        <w:bottom w:val="none" w:sz="0" w:space="0" w:color="auto"/>
                        <w:right w:val="none" w:sz="0" w:space="0" w:color="auto"/>
                      </w:divBdr>
                    </w:div>
                    <w:div w:id="496575152">
                      <w:marLeft w:val="0"/>
                      <w:marRight w:val="0"/>
                      <w:marTop w:val="256"/>
                      <w:marBottom w:val="256"/>
                      <w:divBdr>
                        <w:top w:val="none" w:sz="0" w:space="0" w:color="auto"/>
                        <w:left w:val="none" w:sz="0" w:space="0" w:color="auto"/>
                        <w:bottom w:val="none" w:sz="0" w:space="0" w:color="auto"/>
                        <w:right w:val="none" w:sz="0" w:space="0" w:color="auto"/>
                      </w:divBdr>
                    </w:div>
                    <w:div w:id="1522740607">
                      <w:marLeft w:val="0"/>
                      <w:marRight w:val="0"/>
                      <w:marTop w:val="256"/>
                      <w:marBottom w:val="256"/>
                      <w:divBdr>
                        <w:top w:val="none" w:sz="0" w:space="0" w:color="auto"/>
                        <w:left w:val="none" w:sz="0" w:space="0" w:color="auto"/>
                        <w:bottom w:val="none" w:sz="0" w:space="0" w:color="auto"/>
                        <w:right w:val="none" w:sz="0" w:space="0" w:color="auto"/>
                      </w:divBdr>
                    </w:div>
                    <w:div w:id="135489757">
                      <w:marLeft w:val="0"/>
                      <w:marRight w:val="0"/>
                      <w:marTop w:val="256"/>
                      <w:marBottom w:val="256"/>
                      <w:divBdr>
                        <w:top w:val="none" w:sz="0" w:space="0" w:color="auto"/>
                        <w:left w:val="none" w:sz="0" w:space="0" w:color="auto"/>
                        <w:bottom w:val="none" w:sz="0" w:space="0" w:color="auto"/>
                        <w:right w:val="none" w:sz="0" w:space="0" w:color="auto"/>
                      </w:divBdr>
                    </w:div>
                    <w:div w:id="72750666">
                      <w:marLeft w:val="0"/>
                      <w:marRight w:val="0"/>
                      <w:marTop w:val="256"/>
                      <w:marBottom w:val="256"/>
                      <w:divBdr>
                        <w:top w:val="none" w:sz="0" w:space="0" w:color="auto"/>
                        <w:left w:val="none" w:sz="0" w:space="0" w:color="auto"/>
                        <w:bottom w:val="none" w:sz="0" w:space="0" w:color="auto"/>
                        <w:right w:val="none" w:sz="0" w:space="0" w:color="auto"/>
                      </w:divBdr>
                    </w:div>
                    <w:div w:id="436684474">
                      <w:marLeft w:val="0"/>
                      <w:marRight w:val="0"/>
                      <w:marTop w:val="256"/>
                      <w:marBottom w:val="256"/>
                      <w:divBdr>
                        <w:top w:val="none" w:sz="0" w:space="0" w:color="auto"/>
                        <w:left w:val="none" w:sz="0" w:space="0" w:color="auto"/>
                        <w:bottom w:val="none" w:sz="0" w:space="0" w:color="auto"/>
                        <w:right w:val="none" w:sz="0" w:space="0" w:color="auto"/>
                      </w:divBdr>
                    </w:div>
                    <w:div w:id="1571190639">
                      <w:marLeft w:val="0"/>
                      <w:marRight w:val="0"/>
                      <w:marTop w:val="256"/>
                      <w:marBottom w:val="256"/>
                      <w:divBdr>
                        <w:top w:val="none" w:sz="0" w:space="0" w:color="auto"/>
                        <w:left w:val="none" w:sz="0" w:space="0" w:color="auto"/>
                        <w:bottom w:val="none" w:sz="0" w:space="0" w:color="auto"/>
                        <w:right w:val="none" w:sz="0" w:space="0" w:color="auto"/>
                      </w:divBdr>
                    </w:div>
                    <w:div w:id="2106802365">
                      <w:marLeft w:val="0"/>
                      <w:marRight w:val="0"/>
                      <w:marTop w:val="256"/>
                      <w:marBottom w:val="256"/>
                      <w:divBdr>
                        <w:top w:val="none" w:sz="0" w:space="0" w:color="auto"/>
                        <w:left w:val="none" w:sz="0" w:space="0" w:color="auto"/>
                        <w:bottom w:val="none" w:sz="0" w:space="0" w:color="auto"/>
                        <w:right w:val="none" w:sz="0" w:space="0" w:color="auto"/>
                      </w:divBdr>
                    </w:div>
                    <w:div w:id="873733127">
                      <w:marLeft w:val="0"/>
                      <w:marRight w:val="0"/>
                      <w:marTop w:val="256"/>
                      <w:marBottom w:val="256"/>
                      <w:divBdr>
                        <w:top w:val="none" w:sz="0" w:space="0" w:color="auto"/>
                        <w:left w:val="none" w:sz="0" w:space="0" w:color="auto"/>
                        <w:bottom w:val="none" w:sz="0" w:space="0" w:color="auto"/>
                        <w:right w:val="none" w:sz="0" w:space="0" w:color="auto"/>
                      </w:divBdr>
                    </w:div>
                    <w:div w:id="1501388138">
                      <w:marLeft w:val="0"/>
                      <w:marRight w:val="0"/>
                      <w:marTop w:val="256"/>
                      <w:marBottom w:val="256"/>
                      <w:divBdr>
                        <w:top w:val="none" w:sz="0" w:space="0" w:color="auto"/>
                        <w:left w:val="none" w:sz="0" w:space="0" w:color="auto"/>
                        <w:bottom w:val="none" w:sz="0" w:space="0" w:color="auto"/>
                        <w:right w:val="none" w:sz="0" w:space="0" w:color="auto"/>
                      </w:divBdr>
                    </w:div>
                    <w:div w:id="1079795091">
                      <w:marLeft w:val="0"/>
                      <w:marRight w:val="0"/>
                      <w:marTop w:val="256"/>
                      <w:marBottom w:val="256"/>
                      <w:divBdr>
                        <w:top w:val="none" w:sz="0" w:space="0" w:color="auto"/>
                        <w:left w:val="none" w:sz="0" w:space="0" w:color="auto"/>
                        <w:bottom w:val="none" w:sz="0" w:space="0" w:color="auto"/>
                        <w:right w:val="none" w:sz="0" w:space="0" w:color="auto"/>
                      </w:divBdr>
                    </w:div>
                    <w:div w:id="1769501778">
                      <w:marLeft w:val="0"/>
                      <w:marRight w:val="0"/>
                      <w:marTop w:val="256"/>
                      <w:marBottom w:val="256"/>
                      <w:divBdr>
                        <w:top w:val="none" w:sz="0" w:space="0" w:color="auto"/>
                        <w:left w:val="none" w:sz="0" w:space="0" w:color="auto"/>
                        <w:bottom w:val="none" w:sz="0" w:space="0" w:color="auto"/>
                        <w:right w:val="none" w:sz="0" w:space="0" w:color="auto"/>
                      </w:divBdr>
                    </w:div>
                    <w:div w:id="385493059">
                      <w:marLeft w:val="0"/>
                      <w:marRight w:val="0"/>
                      <w:marTop w:val="256"/>
                      <w:marBottom w:val="256"/>
                      <w:divBdr>
                        <w:top w:val="none" w:sz="0" w:space="0" w:color="auto"/>
                        <w:left w:val="none" w:sz="0" w:space="0" w:color="auto"/>
                        <w:bottom w:val="none" w:sz="0" w:space="0" w:color="auto"/>
                        <w:right w:val="none" w:sz="0" w:space="0" w:color="auto"/>
                      </w:divBdr>
                    </w:div>
                    <w:div w:id="368184214">
                      <w:marLeft w:val="0"/>
                      <w:marRight w:val="0"/>
                      <w:marTop w:val="256"/>
                      <w:marBottom w:val="256"/>
                      <w:divBdr>
                        <w:top w:val="none" w:sz="0" w:space="0" w:color="auto"/>
                        <w:left w:val="none" w:sz="0" w:space="0" w:color="auto"/>
                        <w:bottom w:val="none" w:sz="0" w:space="0" w:color="auto"/>
                        <w:right w:val="none" w:sz="0" w:space="0" w:color="auto"/>
                      </w:divBdr>
                    </w:div>
                    <w:div w:id="273172270">
                      <w:marLeft w:val="0"/>
                      <w:marRight w:val="0"/>
                      <w:marTop w:val="256"/>
                      <w:marBottom w:val="256"/>
                      <w:divBdr>
                        <w:top w:val="none" w:sz="0" w:space="0" w:color="auto"/>
                        <w:left w:val="none" w:sz="0" w:space="0" w:color="auto"/>
                        <w:bottom w:val="none" w:sz="0" w:space="0" w:color="auto"/>
                        <w:right w:val="none" w:sz="0" w:space="0" w:color="auto"/>
                      </w:divBdr>
                    </w:div>
                    <w:div w:id="1247888058">
                      <w:marLeft w:val="0"/>
                      <w:marRight w:val="0"/>
                      <w:marTop w:val="256"/>
                      <w:marBottom w:val="256"/>
                      <w:divBdr>
                        <w:top w:val="none" w:sz="0" w:space="0" w:color="auto"/>
                        <w:left w:val="none" w:sz="0" w:space="0" w:color="auto"/>
                        <w:bottom w:val="none" w:sz="0" w:space="0" w:color="auto"/>
                        <w:right w:val="none" w:sz="0" w:space="0" w:color="auto"/>
                      </w:divBdr>
                    </w:div>
                    <w:div w:id="1902668351">
                      <w:marLeft w:val="0"/>
                      <w:marRight w:val="0"/>
                      <w:marTop w:val="256"/>
                      <w:marBottom w:val="256"/>
                      <w:divBdr>
                        <w:top w:val="none" w:sz="0" w:space="0" w:color="auto"/>
                        <w:left w:val="none" w:sz="0" w:space="0" w:color="auto"/>
                        <w:bottom w:val="none" w:sz="0" w:space="0" w:color="auto"/>
                        <w:right w:val="none" w:sz="0" w:space="0" w:color="auto"/>
                      </w:divBdr>
                    </w:div>
                    <w:div w:id="706025220">
                      <w:marLeft w:val="0"/>
                      <w:marRight w:val="0"/>
                      <w:marTop w:val="256"/>
                      <w:marBottom w:val="256"/>
                      <w:divBdr>
                        <w:top w:val="none" w:sz="0" w:space="0" w:color="auto"/>
                        <w:left w:val="none" w:sz="0" w:space="0" w:color="auto"/>
                        <w:bottom w:val="none" w:sz="0" w:space="0" w:color="auto"/>
                        <w:right w:val="none" w:sz="0" w:space="0" w:color="auto"/>
                      </w:divBdr>
                    </w:div>
                    <w:div w:id="357703804">
                      <w:marLeft w:val="0"/>
                      <w:marRight w:val="0"/>
                      <w:marTop w:val="256"/>
                      <w:marBottom w:val="256"/>
                      <w:divBdr>
                        <w:top w:val="none" w:sz="0" w:space="0" w:color="auto"/>
                        <w:left w:val="none" w:sz="0" w:space="0" w:color="auto"/>
                        <w:bottom w:val="none" w:sz="0" w:space="0" w:color="auto"/>
                        <w:right w:val="none" w:sz="0" w:space="0" w:color="auto"/>
                      </w:divBdr>
                    </w:div>
                    <w:div w:id="962231445">
                      <w:marLeft w:val="0"/>
                      <w:marRight w:val="0"/>
                      <w:marTop w:val="256"/>
                      <w:marBottom w:val="256"/>
                      <w:divBdr>
                        <w:top w:val="none" w:sz="0" w:space="0" w:color="auto"/>
                        <w:left w:val="none" w:sz="0" w:space="0" w:color="auto"/>
                        <w:bottom w:val="none" w:sz="0" w:space="0" w:color="auto"/>
                        <w:right w:val="none" w:sz="0" w:space="0" w:color="auto"/>
                      </w:divBdr>
                    </w:div>
                    <w:div w:id="357657078">
                      <w:marLeft w:val="0"/>
                      <w:marRight w:val="0"/>
                      <w:marTop w:val="256"/>
                      <w:marBottom w:val="256"/>
                      <w:divBdr>
                        <w:top w:val="none" w:sz="0" w:space="0" w:color="auto"/>
                        <w:left w:val="none" w:sz="0" w:space="0" w:color="auto"/>
                        <w:bottom w:val="none" w:sz="0" w:space="0" w:color="auto"/>
                        <w:right w:val="none" w:sz="0" w:space="0" w:color="auto"/>
                      </w:divBdr>
                    </w:div>
                    <w:div w:id="497891431">
                      <w:marLeft w:val="0"/>
                      <w:marRight w:val="0"/>
                      <w:marTop w:val="256"/>
                      <w:marBottom w:val="256"/>
                      <w:divBdr>
                        <w:top w:val="none" w:sz="0" w:space="0" w:color="auto"/>
                        <w:left w:val="none" w:sz="0" w:space="0" w:color="auto"/>
                        <w:bottom w:val="none" w:sz="0" w:space="0" w:color="auto"/>
                        <w:right w:val="none" w:sz="0" w:space="0" w:color="auto"/>
                      </w:divBdr>
                    </w:div>
                    <w:div w:id="1359085873">
                      <w:marLeft w:val="0"/>
                      <w:marRight w:val="0"/>
                      <w:marTop w:val="256"/>
                      <w:marBottom w:val="256"/>
                      <w:divBdr>
                        <w:top w:val="none" w:sz="0" w:space="0" w:color="auto"/>
                        <w:left w:val="none" w:sz="0" w:space="0" w:color="auto"/>
                        <w:bottom w:val="none" w:sz="0" w:space="0" w:color="auto"/>
                        <w:right w:val="none" w:sz="0" w:space="0" w:color="auto"/>
                      </w:divBdr>
                    </w:div>
                    <w:div w:id="817575240">
                      <w:marLeft w:val="0"/>
                      <w:marRight w:val="0"/>
                      <w:marTop w:val="256"/>
                      <w:marBottom w:val="256"/>
                      <w:divBdr>
                        <w:top w:val="none" w:sz="0" w:space="0" w:color="auto"/>
                        <w:left w:val="none" w:sz="0" w:space="0" w:color="auto"/>
                        <w:bottom w:val="none" w:sz="0" w:space="0" w:color="auto"/>
                        <w:right w:val="none" w:sz="0" w:space="0" w:color="auto"/>
                      </w:divBdr>
                    </w:div>
                    <w:div w:id="711463010">
                      <w:marLeft w:val="0"/>
                      <w:marRight w:val="0"/>
                      <w:marTop w:val="256"/>
                      <w:marBottom w:val="256"/>
                      <w:divBdr>
                        <w:top w:val="none" w:sz="0" w:space="0" w:color="auto"/>
                        <w:left w:val="none" w:sz="0" w:space="0" w:color="auto"/>
                        <w:bottom w:val="none" w:sz="0" w:space="0" w:color="auto"/>
                        <w:right w:val="none" w:sz="0" w:space="0" w:color="auto"/>
                      </w:divBdr>
                    </w:div>
                    <w:div w:id="463812162">
                      <w:marLeft w:val="0"/>
                      <w:marRight w:val="0"/>
                      <w:marTop w:val="256"/>
                      <w:marBottom w:val="256"/>
                      <w:divBdr>
                        <w:top w:val="none" w:sz="0" w:space="0" w:color="auto"/>
                        <w:left w:val="none" w:sz="0" w:space="0" w:color="auto"/>
                        <w:bottom w:val="none" w:sz="0" w:space="0" w:color="auto"/>
                        <w:right w:val="none" w:sz="0" w:space="0" w:color="auto"/>
                      </w:divBdr>
                    </w:div>
                    <w:div w:id="374889247">
                      <w:marLeft w:val="0"/>
                      <w:marRight w:val="0"/>
                      <w:marTop w:val="256"/>
                      <w:marBottom w:val="256"/>
                      <w:divBdr>
                        <w:top w:val="none" w:sz="0" w:space="0" w:color="auto"/>
                        <w:left w:val="none" w:sz="0" w:space="0" w:color="auto"/>
                        <w:bottom w:val="none" w:sz="0" w:space="0" w:color="auto"/>
                        <w:right w:val="none" w:sz="0" w:space="0" w:color="auto"/>
                      </w:divBdr>
                    </w:div>
                    <w:div w:id="1757940203">
                      <w:marLeft w:val="0"/>
                      <w:marRight w:val="0"/>
                      <w:marTop w:val="256"/>
                      <w:marBottom w:val="256"/>
                      <w:divBdr>
                        <w:top w:val="none" w:sz="0" w:space="0" w:color="auto"/>
                        <w:left w:val="none" w:sz="0" w:space="0" w:color="auto"/>
                        <w:bottom w:val="none" w:sz="0" w:space="0" w:color="auto"/>
                        <w:right w:val="none" w:sz="0" w:space="0" w:color="auto"/>
                      </w:divBdr>
                    </w:div>
                    <w:div w:id="180166502">
                      <w:marLeft w:val="0"/>
                      <w:marRight w:val="0"/>
                      <w:marTop w:val="256"/>
                      <w:marBottom w:val="256"/>
                      <w:divBdr>
                        <w:top w:val="none" w:sz="0" w:space="0" w:color="auto"/>
                        <w:left w:val="none" w:sz="0" w:space="0" w:color="auto"/>
                        <w:bottom w:val="none" w:sz="0" w:space="0" w:color="auto"/>
                        <w:right w:val="none" w:sz="0" w:space="0" w:color="auto"/>
                      </w:divBdr>
                    </w:div>
                    <w:div w:id="391537134">
                      <w:marLeft w:val="0"/>
                      <w:marRight w:val="0"/>
                      <w:marTop w:val="256"/>
                      <w:marBottom w:val="256"/>
                      <w:divBdr>
                        <w:top w:val="none" w:sz="0" w:space="0" w:color="auto"/>
                        <w:left w:val="none" w:sz="0" w:space="0" w:color="auto"/>
                        <w:bottom w:val="none" w:sz="0" w:space="0" w:color="auto"/>
                        <w:right w:val="none" w:sz="0" w:space="0" w:color="auto"/>
                      </w:divBdr>
                    </w:div>
                    <w:div w:id="165943426">
                      <w:marLeft w:val="0"/>
                      <w:marRight w:val="0"/>
                      <w:marTop w:val="256"/>
                      <w:marBottom w:val="256"/>
                      <w:divBdr>
                        <w:top w:val="none" w:sz="0" w:space="0" w:color="auto"/>
                        <w:left w:val="none" w:sz="0" w:space="0" w:color="auto"/>
                        <w:bottom w:val="none" w:sz="0" w:space="0" w:color="auto"/>
                        <w:right w:val="none" w:sz="0" w:space="0" w:color="auto"/>
                      </w:divBdr>
                    </w:div>
                    <w:div w:id="971902686">
                      <w:marLeft w:val="0"/>
                      <w:marRight w:val="0"/>
                      <w:marTop w:val="256"/>
                      <w:marBottom w:val="256"/>
                      <w:divBdr>
                        <w:top w:val="none" w:sz="0" w:space="0" w:color="auto"/>
                        <w:left w:val="none" w:sz="0" w:space="0" w:color="auto"/>
                        <w:bottom w:val="none" w:sz="0" w:space="0" w:color="auto"/>
                        <w:right w:val="none" w:sz="0" w:space="0" w:color="auto"/>
                      </w:divBdr>
                    </w:div>
                    <w:div w:id="1994985391">
                      <w:marLeft w:val="0"/>
                      <w:marRight w:val="0"/>
                      <w:marTop w:val="256"/>
                      <w:marBottom w:val="256"/>
                      <w:divBdr>
                        <w:top w:val="none" w:sz="0" w:space="0" w:color="auto"/>
                        <w:left w:val="none" w:sz="0" w:space="0" w:color="auto"/>
                        <w:bottom w:val="none" w:sz="0" w:space="0" w:color="auto"/>
                        <w:right w:val="none" w:sz="0" w:space="0" w:color="auto"/>
                      </w:divBdr>
                    </w:div>
                    <w:div w:id="1169634792">
                      <w:marLeft w:val="0"/>
                      <w:marRight w:val="0"/>
                      <w:marTop w:val="256"/>
                      <w:marBottom w:val="256"/>
                      <w:divBdr>
                        <w:top w:val="none" w:sz="0" w:space="0" w:color="auto"/>
                        <w:left w:val="none" w:sz="0" w:space="0" w:color="auto"/>
                        <w:bottom w:val="none" w:sz="0" w:space="0" w:color="auto"/>
                        <w:right w:val="none" w:sz="0" w:space="0" w:color="auto"/>
                      </w:divBdr>
                    </w:div>
                    <w:div w:id="737366918">
                      <w:marLeft w:val="0"/>
                      <w:marRight w:val="0"/>
                      <w:marTop w:val="256"/>
                      <w:marBottom w:val="256"/>
                      <w:divBdr>
                        <w:top w:val="none" w:sz="0" w:space="0" w:color="auto"/>
                        <w:left w:val="none" w:sz="0" w:space="0" w:color="auto"/>
                        <w:bottom w:val="none" w:sz="0" w:space="0" w:color="auto"/>
                        <w:right w:val="none" w:sz="0" w:space="0" w:color="auto"/>
                      </w:divBdr>
                    </w:div>
                    <w:div w:id="1538351566">
                      <w:marLeft w:val="0"/>
                      <w:marRight w:val="0"/>
                      <w:marTop w:val="256"/>
                      <w:marBottom w:val="256"/>
                      <w:divBdr>
                        <w:top w:val="none" w:sz="0" w:space="0" w:color="auto"/>
                        <w:left w:val="none" w:sz="0" w:space="0" w:color="auto"/>
                        <w:bottom w:val="none" w:sz="0" w:space="0" w:color="auto"/>
                        <w:right w:val="none" w:sz="0" w:space="0" w:color="auto"/>
                      </w:divBdr>
                    </w:div>
                    <w:div w:id="839660084">
                      <w:marLeft w:val="0"/>
                      <w:marRight w:val="0"/>
                      <w:marTop w:val="256"/>
                      <w:marBottom w:val="256"/>
                      <w:divBdr>
                        <w:top w:val="none" w:sz="0" w:space="0" w:color="auto"/>
                        <w:left w:val="none" w:sz="0" w:space="0" w:color="auto"/>
                        <w:bottom w:val="none" w:sz="0" w:space="0" w:color="auto"/>
                        <w:right w:val="none" w:sz="0" w:space="0" w:color="auto"/>
                      </w:divBdr>
                    </w:div>
                    <w:div w:id="200291633">
                      <w:marLeft w:val="0"/>
                      <w:marRight w:val="0"/>
                      <w:marTop w:val="256"/>
                      <w:marBottom w:val="256"/>
                      <w:divBdr>
                        <w:top w:val="none" w:sz="0" w:space="0" w:color="auto"/>
                        <w:left w:val="none" w:sz="0" w:space="0" w:color="auto"/>
                        <w:bottom w:val="none" w:sz="0" w:space="0" w:color="auto"/>
                        <w:right w:val="none" w:sz="0" w:space="0" w:color="auto"/>
                      </w:divBdr>
                    </w:div>
                    <w:div w:id="960305168">
                      <w:marLeft w:val="0"/>
                      <w:marRight w:val="0"/>
                      <w:marTop w:val="256"/>
                      <w:marBottom w:val="256"/>
                      <w:divBdr>
                        <w:top w:val="none" w:sz="0" w:space="0" w:color="auto"/>
                        <w:left w:val="none" w:sz="0" w:space="0" w:color="auto"/>
                        <w:bottom w:val="none" w:sz="0" w:space="0" w:color="auto"/>
                        <w:right w:val="none" w:sz="0" w:space="0" w:color="auto"/>
                      </w:divBdr>
                    </w:div>
                    <w:div w:id="698119036">
                      <w:marLeft w:val="0"/>
                      <w:marRight w:val="0"/>
                      <w:marTop w:val="256"/>
                      <w:marBottom w:val="256"/>
                      <w:divBdr>
                        <w:top w:val="none" w:sz="0" w:space="0" w:color="auto"/>
                        <w:left w:val="none" w:sz="0" w:space="0" w:color="auto"/>
                        <w:bottom w:val="none" w:sz="0" w:space="0" w:color="auto"/>
                        <w:right w:val="none" w:sz="0" w:space="0" w:color="auto"/>
                      </w:divBdr>
                    </w:div>
                    <w:div w:id="31151374">
                      <w:marLeft w:val="0"/>
                      <w:marRight w:val="0"/>
                      <w:marTop w:val="256"/>
                      <w:marBottom w:val="256"/>
                      <w:divBdr>
                        <w:top w:val="none" w:sz="0" w:space="0" w:color="auto"/>
                        <w:left w:val="none" w:sz="0" w:space="0" w:color="auto"/>
                        <w:bottom w:val="none" w:sz="0" w:space="0" w:color="auto"/>
                        <w:right w:val="none" w:sz="0" w:space="0" w:color="auto"/>
                      </w:divBdr>
                    </w:div>
                    <w:div w:id="327052852">
                      <w:marLeft w:val="0"/>
                      <w:marRight w:val="0"/>
                      <w:marTop w:val="256"/>
                      <w:marBottom w:val="256"/>
                      <w:divBdr>
                        <w:top w:val="none" w:sz="0" w:space="0" w:color="auto"/>
                        <w:left w:val="none" w:sz="0" w:space="0" w:color="auto"/>
                        <w:bottom w:val="none" w:sz="0" w:space="0" w:color="auto"/>
                        <w:right w:val="none" w:sz="0" w:space="0" w:color="auto"/>
                      </w:divBdr>
                    </w:div>
                    <w:div w:id="1706444067">
                      <w:marLeft w:val="0"/>
                      <w:marRight w:val="0"/>
                      <w:marTop w:val="256"/>
                      <w:marBottom w:val="256"/>
                      <w:divBdr>
                        <w:top w:val="none" w:sz="0" w:space="0" w:color="auto"/>
                        <w:left w:val="none" w:sz="0" w:space="0" w:color="auto"/>
                        <w:bottom w:val="none" w:sz="0" w:space="0" w:color="auto"/>
                        <w:right w:val="none" w:sz="0" w:space="0" w:color="auto"/>
                      </w:divBdr>
                    </w:div>
                    <w:div w:id="1698382625">
                      <w:marLeft w:val="0"/>
                      <w:marRight w:val="0"/>
                      <w:marTop w:val="256"/>
                      <w:marBottom w:val="256"/>
                      <w:divBdr>
                        <w:top w:val="none" w:sz="0" w:space="0" w:color="auto"/>
                        <w:left w:val="none" w:sz="0" w:space="0" w:color="auto"/>
                        <w:bottom w:val="none" w:sz="0" w:space="0" w:color="auto"/>
                        <w:right w:val="none" w:sz="0" w:space="0" w:color="auto"/>
                      </w:divBdr>
                    </w:div>
                    <w:div w:id="1871066344">
                      <w:marLeft w:val="0"/>
                      <w:marRight w:val="0"/>
                      <w:marTop w:val="256"/>
                      <w:marBottom w:val="256"/>
                      <w:divBdr>
                        <w:top w:val="none" w:sz="0" w:space="0" w:color="auto"/>
                        <w:left w:val="none" w:sz="0" w:space="0" w:color="auto"/>
                        <w:bottom w:val="none" w:sz="0" w:space="0" w:color="auto"/>
                        <w:right w:val="none" w:sz="0" w:space="0" w:color="auto"/>
                      </w:divBdr>
                    </w:div>
                    <w:div w:id="1164473855">
                      <w:marLeft w:val="0"/>
                      <w:marRight w:val="0"/>
                      <w:marTop w:val="256"/>
                      <w:marBottom w:val="256"/>
                      <w:divBdr>
                        <w:top w:val="none" w:sz="0" w:space="0" w:color="auto"/>
                        <w:left w:val="none" w:sz="0" w:space="0" w:color="auto"/>
                        <w:bottom w:val="none" w:sz="0" w:space="0" w:color="auto"/>
                        <w:right w:val="none" w:sz="0" w:space="0" w:color="auto"/>
                      </w:divBdr>
                    </w:div>
                    <w:div w:id="1717002044">
                      <w:marLeft w:val="0"/>
                      <w:marRight w:val="0"/>
                      <w:marTop w:val="256"/>
                      <w:marBottom w:val="256"/>
                      <w:divBdr>
                        <w:top w:val="none" w:sz="0" w:space="0" w:color="auto"/>
                        <w:left w:val="none" w:sz="0" w:space="0" w:color="auto"/>
                        <w:bottom w:val="none" w:sz="0" w:space="0" w:color="auto"/>
                        <w:right w:val="none" w:sz="0" w:space="0" w:color="auto"/>
                      </w:divBdr>
                    </w:div>
                    <w:div w:id="869487346">
                      <w:marLeft w:val="0"/>
                      <w:marRight w:val="0"/>
                      <w:marTop w:val="256"/>
                      <w:marBottom w:val="256"/>
                      <w:divBdr>
                        <w:top w:val="none" w:sz="0" w:space="0" w:color="auto"/>
                        <w:left w:val="none" w:sz="0" w:space="0" w:color="auto"/>
                        <w:bottom w:val="none" w:sz="0" w:space="0" w:color="auto"/>
                        <w:right w:val="none" w:sz="0" w:space="0" w:color="auto"/>
                      </w:divBdr>
                    </w:div>
                    <w:div w:id="853224076">
                      <w:marLeft w:val="0"/>
                      <w:marRight w:val="0"/>
                      <w:marTop w:val="256"/>
                      <w:marBottom w:val="256"/>
                      <w:divBdr>
                        <w:top w:val="none" w:sz="0" w:space="0" w:color="auto"/>
                        <w:left w:val="none" w:sz="0" w:space="0" w:color="auto"/>
                        <w:bottom w:val="none" w:sz="0" w:space="0" w:color="auto"/>
                        <w:right w:val="none" w:sz="0" w:space="0" w:color="auto"/>
                      </w:divBdr>
                    </w:div>
                    <w:div w:id="1391685673">
                      <w:marLeft w:val="0"/>
                      <w:marRight w:val="0"/>
                      <w:marTop w:val="256"/>
                      <w:marBottom w:val="256"/>
                      <w:divBdr>
                        <w:top w:val="none" w:sz="0" w:space="0" w:color="auto"/>
                        <w:left w:val="none" w:sz="0" w:space="0" w:color="auto"/>
                        <w:bottom w:val="none" w:sz="0" w:space="0" w:color="auto"/>
                        <w:right w:val="none" w:sz="0" w:space="0" w:color="auto"/>
                      </w:divBdr>
                    </w:div>
                    <w:div w:id="2054885726">
                      <w:marLeft w:val="0"/>
                      <w:marRight w:val="0"/>
                      <w:marTop w:val="256"/>
                      <w:marBottom w:val="256"/>
                      <w:divBdr>
                        <w:top w:val="none" w:sz="0" w:space="0" w:color="auto"/>
                        <w:left w:val="none" w:sz="0" w:space="0" w:color="auto"/>
                        <w:bottom w:val="none" w:sz="0" w:space="0" w:color="auto"/>
                        <w:right w:val="none" w:sz="0" w:space="0" w:color="auto"/>
                      </w:divBdr>
                    </w:div>
                    <w:div w:id="1622497174">
                      <w:marLeft w:val="0"/>
                      <w:marRight w:val="0"/>
                      <w:marTop w:val="256"/>
                      <w:marBottom w:val="256"/>
                      <w:divBdr>
                        <w:top w:val="none" w:sz="0" w:space="0" w:color="auto"/>
                        <w:left w:val="none" w:sz="0" w:space="0" w:color="auto"/>
                        <w:bottom w:val="none" w:sz="0" w:space="0" w:color="auto"/>
                        <w:right w:val="none" w:sz="0" w:space="0" w:color="auto"/>
                      </w:divBdr>
                    </w:div>
                    <w:div w:id="1000543257">
                      <w:marLeft w:val="0"/>
                      <w:marRight w:val="0"/>
                      <w:marTop w:val="256"/>
                      <w:marBottom w:val="256"/>
                      <w:divBdr>
                        <w:top w:val="none" w:sz="0" w:space="0" w:color="auto"/>
                        <w:left w:val="none" w:sz="0" w:space="0" w:color="auto"/>
                        <w:bottom w:val="none" w:sz="0" w:space="0" w:color="auto"/>
                        <w:right w:val="none" w:sz="0" w:space="0" w:color="auto"/>
                      </w:divBdr>
                    </w:div>
                    <w:div w:id="337580643">
                      <w:marLeft w:val="0"/>
                      <w:marRight w:val="0"/>
                      <w:marTop w:val="256"/>
                      <w:marBottom w:val="256"/>
                      <w:divBdr>
                        <w:top w:val="none" w:sz="0" w:space="0" w:color="auto"/>
                        <w:left w:val="none" w:sz="0" w:space="0" w:color="auto"/>
                        <w:bottom w:val="none" w:sz="0" w:space="0" w:color="auto"/>
                        <w:right w:val="none" w:sz="0" w:space="0" w:color="auto"/>
                      </w:divBdr>
                    </w:div>
                    <w:div w:id="1874414856">
                      <w:marLeft w:val="0"/>
                      <w:marRight w:val="0"/>
                      <w:marTop w:val="256"/>
                      <w:marBottom w:val="256"/>
                      <w:divBdr>
                        <w:top w:val="none" w:sz="0" w:space="0" w:color="auto"/>
                        <w:left w:val="none" w:sz="0" w:space="0" w:color="auto"/>
                        <w:bottom w:val="none" w:sz="0" w:space="0" w:color="auto"/>
                        <w:right w:val="none" w:sz="0" w:space="0" w:color="auto"/>
                      </w:divBdr>
                    </w:div>
                    <w:div w:id="1522426318">
                      <w:marLeft w:val="0"/>
                      <w:marRight w:val="0"/>
                      <w:marTop w:val="256"/>
                      <w:marBottom w:val="256"/>
                      <w:divBdr>
                        <w:top w:val="none" w:sz="0" w:space="0" w:color="auto"/>
                        <w:left w:val="none" w:sz="0" w:space="0" w:color="auto"/>
                        <w:bottom w:val="none" w:sz="0" w:space="0" w:color="auto"/>
                        <w:right w:val="none" w:sz="0" w:space="0" w:color="auto"/>
                      </w:divBdr>
                    </w:div>
                    <w:div w:id="1370640184">
                      <w:marLeft w:val="0"/>
                      <w:marRight w:val="0"/>
                      <w:marTop w:val="256"/>
                      <w:marBottom w:val="256"/>
                      <w:divBdr>
                        <w:top w:val="none" w:sz="0" w:space="0" w:color="auto"/>
                        <w:left w:val="none" w:sz="0" w:space="0" w:color="auto"/>
                        <w:bottom w:val="none" w:sz="0" w:space="0" w:color="auto"/>
                        <w:right w:val="none" w:sz="0" w:space="0" w:color="auto"/>
                      </w:divBdr>
                    </w:div>
                    <w:div w:id="951328588">
                      <w:marLeft w:val="0"/>
                      <w:marRight w:val="0"/>
                      <w:marTop w:val="256"/>
                      <w:marBottom w:val="256"/>
                      <w:divBdr>
                        <w:top w:val="none" w:sz="0" w:space="0" w:color="auto"/>
                        <w:left w:val="none" w:sz="0" w:space="0" w:color="auto"/>
                        <w:bottom w:val="none" w:sz="0" w:space="0" w:color="auto"/>
                        <w:right w:val="none" w:sz="0" w:space="0" w:color="auto"/>
                      </w:divBdr>
                    </w:div>
                    <w:div w:id="1000156899">
                      <w:marLeft w:val="0"/>
                      <w:marRight w:val="0"/>
                      <w:marTop w:val="256"/>
                      <w:marBottom w:val="256"/>
                      <w:divBdr>
                        <w:top w:val="none" w:sz="0" w:space="0" w:color="auto"/>
                        <w:left w:val="none" w:sz="0" w:space="0" w:color="auto"/>
                        <w:bottom w:val="none" w:sz="0" w:space="0" w:color="auto"/>
                        <w:right w:val="none" w:sz="0" w:space="0" w:color="auto"/>
                      </w:divBdr>
                    </w:div>
                    <w:div w:id="1346404331">
                      <w:marLeft w:val="0"/>
                      <w:marRight w:val="0"/>
                      <w:marTop w:val="256"/>
                      <w:marBottom w:val="256"/>
                      <w:divBdr>
                        <w:top w:val="none" w:sz="0" w:space="0" w:color="auto"/>
                        <w:left w:val="none" w:sz="0" w:space="0" w:color="auto"/>
                        <w:bottom w:val="none" w:sz="0" w:space="0" w:color="auto"/>
                        <w:right w:val="none" w:sz="0" w:space="0" w:color="auto"/>
                      </w:divBdr>
                    </w:div>
                    <w:div w:id="454645473">
                      <w:marLeft w:val="0"/>
                      <w:marRight w:val="0"/>
                      <w:marTop w:val="256"/>
                      <w:marBottom w:val="256"/>
                      <w:divBdr>
                        <w:top w:val="none" w:sz="0" w:space="0" w:color="auto"/>
                        <w:left w:val="none" w:sz="0" w:space="0" w:color="auto"/>
                        <w:bottom w:val="none" w:sz="0" w:space="0" w:color="auto"/>
                        <w:right w:val="none" w:sz="0" w:space="0" w:color="auto"/>
                      </w:divBdr>
                    </w:div>
                    <w:div w:id="654996707">
                      <w:marLeft w:val="0"/>
                      <w:marRight w:val="0"/>
                      <w:marTop w:val="256"/>
                      <w:marBottom w:val="256"/>
                      <w:divBdr>
                        <w:top w:val="none" w:sz="0" w:space="0" w:color="auto"/>
                        <w:left w:val="none" w:sz="0" w:space="0" w:color="auto"/>
                        <w:bottom w:val="none" w:sz="0" w:space="0" w:color="auto"/>
                        <w:right w:val="none" w:sz="0" w:space="0" w:color="auto"/>
                      </w:divBdr>
                    </w:div>
                    <w:div w:id="1515458567">
                      <w:marLeft w:val="0"/>
                      <w:marRight w:val="0"/>
                      <w:marTop w:val="256"/>
                      <w:marBottom w:val="256"/>
                      <w:divBdr>
                        <w:top w:val="none" w:sz="0" w:space="0" w:color="auto"/>
                        <w:left w:val="none" w:sz="0" w:space="0" w:color="auto"/>
                        <w:bottom w:val="none" w:sz="0" w:space="0" w:color="auto"/>
                        <w:right w:val="none" w:sz="0" w:space="0" w:color="auto"/>
                      </w:divBdr>
                    </w:div>
                    <w:div w:id="1958027405">
                      <w:marLeft w:val="0"/>
                      <w:marRight w:val="0"/>
                      <w:marTop w:val="256"/>
                      <w:marBottom w:val="256"/>
                      <w:divBdr>
                        <w:top w:val="none" w:sz="0" w:space="0" w:color="auto"/>
                        <w:left w:val="none" w:sz="0" w:space="0" w:color="auto"/>
                        <w:bottom w:val="none" w:sz="0" w:space="0" w:color="auto"/>
                        <w:right w:val="none" w:sz="0" w:space="0" w:color="auto"/>
                      </w:divBdr>
                    </w:div>
                    <w:div w:id="1574047446">
                      <w:marLeft w:val="0"/>
                      <w:marRight w:val="0"/>
                      <w:marTop w:val="256"/>
                      <w:marBottom w:val="256"/>
                      <w:divBdr>
                        <w:top w:val="none" w:sz="0" w:space="0" w:color="auto"/>
                        <w:left w:val="none" w:sz="0" w:space="0" w:color="auto"/>
                        <w:bottom w:val="none" w:sz="0" w:space="0" w:color="auto"/>
                        <w:right w:val="none" w:sz="0" w:space="0" w:color="auto"/>
                      </w:divBdr>
                    </w:div>
                    <w:div w:id="700282403">
                      <w:marLeft w:val="0"/>
                      <w:marRight w:val="0"/>
                      <w:marTop w:val="256"/>
                      <w:marBottom w:val="256"/>
                      <w:divBdr>
                        <w:top w:val="none" w:sz="0" w:space="0" w:color="auto"/>
                        <w:left w:val="none" w:sz="0" w:space="0" w:color="auto"/>
                        <w:bottom w:val="none" w:sz="0" w:space="0" w:color="auto"/>
                        <w:right w:val="none" w:sz="0" w:space="0" w:color="auto"/>
                      </w:divBdr>
                    </w:div>
                    <w:div w:id="1452283307">
                      <w:marLeft w:val="0"/>
                      <w:marRight w:val="0"/>
                      <w:marTop w:val="256"/>
                      <w:marBottom w:val="256"/>
                      <w:divBdr>
                        <w:top w:val="none" w:sz="0" w:space="0" w:color="auto"/>
                        <w:left w:val="none" w:sz="0" w:space="0" w:color="auto"/>
                        <w:bottom w:val="none" w:sz="0" w:space="0" w:color="auto"/>
                        <w:right w:val="none" w:sz="0" w:space="0" w:color="auto"/>
                      </w:divBdr>
                    </w:div>
                    <w:div w:id="1580287736">
                      <w:marLeft w:val="0"/>
                      <w:marRight w:val="0"/>
                      <w:marTop w:val="256"/>
                      <w:marBottom w:val="256"/>
                      <w:divBdr>
                        <w:top w:val="none" w:sz="0" w:space="0" w:color="auto"/>
                        <w:left w:val="none" w:sz="0" w:space="0" w:color="auto"/>
                        <w:bottom w:val="none" w:sz="0" w:space="0" w:color="auto"/>
                        <w:right w:val="none" w:sz="0" w:space="0" w:color="auto"/>
                      </w:divBdr>
                    </w:div>
                    <w:div w:id="1066149658">
                      <w:marLeft w:val="0"/>
                      <w:marRight w:val="0"/>
                      <w:marTop w:val="256"/>
                      <w:marBottom w:val="256"/>
                      <w:divBdr>
                        <w:top w:val="none" w:sz="0" w:space="0" w:color="auto"/>
                        <w:left w:val="none" w:sz="0" w:space="0" w:color="auto"/>
                        <w:bottom w:val="none" w:sz="0" w:space="0" w:color="auto"/>
                        <w:right w:val="none" w:sz="0" w:space="0" w:color="auto"/>
                      </w:divBdr>
                    </w:div>
                    <w:div w:id="327251331">
                      <w:marLeft w:val="0"/>
                      <w:marRight w:val="0"/>
                      <w:marTop w:val="256"/>
                      <w:marBottom w:val="256"/>
                      <w:divBdr>
                        <w:top w:val="none" w:sz="0" w:space="0" w:color="auto"/>
                        <w:left w:val="none" w:sz="0" w:space="0" w:color="auto"/>
                        <w:bottom w:val="none" w:sz="0" w:space="0" w:color="auto"/>
                        <w:right w:val="none" w:sz="0" w:space="0" w:color="auto"/>
                      </w:divBdr>
                    </w:div>
                    <w:div w:id="985547695">
                      <w:marLeft w:val="0"/>
                      <w:marRight w:val="0"/>
                      <w:marTop w:val="256"/>
                      <w:marBottom w:val="256"/>
                      <w:divBdr>
                        <w:top w:val="none" w:sz="0" w:space="0" w:color="auto"/>
                        <w:left w:val="none" w:sz="0" w:space="0" w:color="auto"/>
                        <w:bottom w:val="none" w:sz="0" w:space="0" w:color="auto"/>
                        <w:right w:val="none" w:sz="0" w:space="0" w:color="auto"/>
                      </w:divBdr>
                    </w:div>
                    <w:div w:id="953436739">
                      <w:marLeft w:val="0"/>
                      <w:marRight w:val="0"/>
                      <w:marTop w:val="256"/>
                      <w:marBottom w:val="256"/>
                      <w:divBdr>
                        <w:top w:val="none" w:sz="0" w:space="0" w:color="auto"/>
                        <w:left w:val="none" w:sz="0" w:space="0" w:color="auto"/>
                        <w:bottom w:val="none" w:sz="0" w:space="0" w:color="auto"/>
                        <w:right w:val="none" w:sz="0" w:space="0" w:color="auto"/>
                      </w:divBdr>
                    </w:div>
                    <w:div w:id="159463436">
                      <w:marLeft w:val="0"/>
                      <w:marRight w:val="0"/>
                      <w:marTop w:val="256"/>
                      <w:marBottom w:val="256"/>
                      <w:divBdr>
                        <w:top w:val="none" w:sz="0" w:space="0" w:color="auto"/>
                        <w:left w:val="none" w:sz="0" w:space="0" w:color="auto"/>
                        <w:bottom w:val="none" w:sz="0" w:space="0" w:color="auto"/>
                        <w:right w:val="none" w:sz="0" w:space="0" w:color="auto"/>
                      </w:divBdr>
                    </w:div>
                    <w:div w:id="795759507">
                      <w:marLeft w:val="0"/>
                      <w:marRight w:val="0"/>
                      <w:marTop w:val="256"/>
                      <w:marBottom w:val="256"/>
                      <w:divBdr>
                        <w:top w:val="none" w:sz="0" w:space="0" w:color="auto"/>
                        <w:left w:val="none" w:sz="0" w:space="0" w:color="auto"/>
                        <w:bottom w:val="none" w:sz="0" w:space="0" w:color="auto"/>
                        <w:right w:val="none" w:sz="0" w:space="0" w:color="auto"/>
                      </w:divBdr>
                    </w:div>
                    <w:div w:id="1499226629">
                      <w:marLeft w:val="0"/>
                      <w:marRight w:val="0"/>
                      <w:marTop w:val="256"/>
                      <w:marBottom w:val="256"/>
                      <w:divBdr>
                        <w:top w:val="none" w:sz="0" w:space="0" w:color="auto"/>
                        <w:left w:val="none" w:sz="0" w:space="0" w:color="auto"/>
                        <w:bottom w:val="none" w:sz="0" w:space="0" w:color="auto"/>
                        <w:right w:val="none" w:sz="0" w:space="0" w:color="auto"/>
                      </w:divBdr>
                    </w:div>
                    <w:div w:id="1903175632">
                      <w:marLeft w:val="0"/>
                      <w:marRight w:val="0"/>
                      <w:marTop w:val="256"/>
                      <w:marBottom w:val="256"/>
                      <w:divBdr>
                        <w:top w:val="none" w:sz="0" w:space="0" w:color="auto"/>
                        <w:left w:val="none" w:sz="0" w:space="0" w:color="auto"/>
                        <w:bottom w:val="none" w:sz="0" w:space="0" w:color="auto"/>
                        <w:right w:val="none" w:sz="0" w:space="0" w:color="auto"/>
                      </w:divBdr>
                    </w:div>
                    <w:div w:id="1702633089">
                      <w:marLeft w:val="0"/>
                      <w:marRight w:val="0"/>
                      <w:marTop w:val="256"/>
                      <w:marBottom w:val="256"/>
                      <w:divBdr>
                        <w:top w:val="none" w:sz="0" w:space="0" w:color="auto"/>
                        <w:left w:val="none" w:sz="0" w:space="0" w:color="auto"/>
                        <w:bottom w:val="none" w:sz="0" w:space="0" w:color="auto"/>
                        <w:right w:val="none" w:sz="0" w:space="0" w:color="auto"/>
                      </w:divBdr>
                    </w:div>
                    <w:div w:id="1322730103">
                      <w:marLeft w:val="0"/>
                      <w:marRight w:val="0"/>
                      <w:marTop w:val="256"/>
                      <w:marBottom w:val="256"/>
                      <w:divBdr>
                        <w:top w:val="none" w:sz="0" w:space="0" w:color="auto"/>
                        <w:left w:val="none" w:sz="0" w:space="0" w:color="auto"/>
                        <w:bottom w:val="none" w:sz="0" w:space="0" w:color="auto"/>
                        <w:right w:val="none" w:sz="0" w:space="0" w:color="auto"/>
                      </w:divBdr>
                    </w:div>
                    <w:div w:id="1623268994">
                      <w:marLeft w:val="0"/>
                      <w:marRight w:val="0"/>
                      <w:marTop w:val="256"/>
                      <w:marBottom w:val="256"/>
                      <w:divBdr>
                        <w:top w:val="none" w:sz="0" w:space="0" w:color="auto"/>
                        <w:left w:val="none" w:sz="0" w:space="0" w:color="auto"/>
                        <w:bottom w:val="none" w:sz="0" w:space="0" w:color="auto"/>
                        <w:right w:val="none" w:sz="0" w:space="0" w:color="auto"/>
                      </w:divBdr>
                    </w:div>
                    <w:div w:id="2133550983">
                      <w:marLeft w:val="0"/>
                      <w:marRight w:val="0"/>
                      <w:marTop w:val="256"/>
                      <w:marBottom w:val="256"/>
                      <w:divBdr>
                        <w:top w:val="none" w:sz="0" w:space="0" w:color="auto"/>
                        <w:left w:val="none" w:sz="0" w:space="0" w:color="auto"/>
                        <w:bottom w:val="none" w:sz="0" w:space="0" w:color="auto"/>
                        <w:right w:val="none" w:sz="0" w:space="0" w:color="auto"/>
                      </w:divBdr>
                    </w:div>
                    <w:div w:id="1004095270">
                      <w:marLeft w:val="0"/>
                      <w:marRight w:val="0"/>
                      <w:marTop w:val="256"/>
                      <w:marBottom w:val="256"/>
                      <w:divBdr>
                        <w:top w:val="none" w:sz="0" w:space="0" w:color="auto"/>
                        <w:left w:val="none" w:sz="0" w:space="0" w:color="auto"/>
                        <w:bottom w:val="none" w:sz="0" w:space="0" w:color="auto"/>
                        <w:right w:val="none" w:sz="0" w:space="0" w:color="auto"/>
                      </w:divBdr>
                    </w:div>
                    <w:div w:id="299237633">
                      <w:marLeft w:val="0"/>
                      <w:marRight w:val="0"/>
                      <w:marTop w:val="256"/>
                      <w:marBottom w:val="256"/>
                      <w:divBdr>
                        <w:top w:val="none" w:sz="0" w:space="0" w:color="auto"/>
                        <w:left w:val="none" w:sz="0" w:space="0" w:color="auto"/>
                        <w:bottom w:val="none" w:sz="0" w:space="0" w:color="auto"/>
                        <w:right w:val="none" w:sz="0" w:space="0" w:color="auto"/>
                      </w:divBdr>
                    </w:div>
                    <w:div w:id="2083334153">
                      <w:marLeft w:val="0"/>
                      <w:marRight w:val="0"/>
                      <w:marTop w:val="256"/>
                      <w:marBottom w:val="256"/>
                      <w:divBdr>
                        <w:top w:val="none" w:sz="0" w:space="0" w:color="auto"/>
                        <w:left w:val="none" w:sz="0" w:space="0" w:color="auto"/>
                        <w:bottom w:val="none" w:sz="0" w:space="0" w:color="auto"/>
                        <w:right w:val="none" w:sz="0" w:space="0" w:color="auto"/>
                      </w:divBdr>
                    </w:div>
                    <w:div w:id="75828504">
                      <w:marLeft w:val="0"/>
                      <w:marRight w:val="0"/>
                      <w:marTop w:val="256"/>
                      <w:marBottom w:val="256"/>
                      <w:divBdr>
                        <w:top w:val="none" w:sz="0" w:space="0" w:color="auto"/>
                        <w:left w:val="none" w:sz="0" w:space="0" w:color="auto"/>
                        <w:bottom w:val="none" w:sz="0" w:space="0" w:color="auto"/>
                        <w:right w:val="none" w:sz="0" w:space="0" w:color="auto"/>
                      </w:divBdr>
                    </w:div>
                    <w:div w:id="1690375263">
                      <w:marLeft w:val="0"/>
                      <w:marRight w:val="0"/>
                      <w:marTop w:val="256"/>
                      <w:marBottom w:val="256"/>
                      <w:divBdr>
                        <w:top w:val="none" w:sz="0" w:space="0" w:color="auto"/>
                        <w:left w:val="none" w:sz="0" w:space="0" w:color="auto"/>
                        <w:bottom w:val="none" w:sz="0" w:space="0" w:color="auto"/>
                        <w:right w:val="none" w:sz="0" w:space="0" w:color="auto"/>
                      </w:divBdr>
                    </w:div>
                    <w:div w:id="14550">
                      <w:marLeft w:val="0"/>
                      <w:marRight w:val="0"/>
                      <w:marTop w:val="256"/>
                      <w:marBottom w:val="256"/>
                      <w:divBdr>
                        <w:top w:val="none" w:sz="0" w:space="0" w:color="auto"/>
                        <w:left w:val="none" w:sz="0" w:space="0" w:color="auto"/>
                        <w:bottom w:val="none" w:sz="0" w:space="0" w:color="auto"/>
                        <w:right w:val="none" w:sz="0" w:space="0" w:color="auto"/>
                      </w:divBdr>
                    </w:div>
                    <w:div w:id="174194862">
                      <w:marLeft w:val="0"/>
                      <w:marRight w:val="0"/>
                      <w:marTop w:val="256"/>
                      <w:marBottom w:val="256"/>
                      <w:divBdr>
                        <w:top w:val="none" w:sz="0" w:space="0" w:color="auto"/>
                        <w:left w:val="none" w:sz="0" w:space="0" w:color="auto"/>
                        <w:bottom w:val="none" w:sz="0" w:space="0" w:color="auto"/>
                        <w:right w:val="none" w:sz="0" w:space="0" w:color="auto"/>
                      </w:divBdr>
                    </w:div>
                    <w:div w:id="690113000">
                      <w:marLeft w:val="0"/>
                      <w:marRight w:val="0"/>
                      <w:marTop w:val="256"/>
                      <w:marBottom w:val="256"/>
                      <w:divBdr>
                        <w:top w:val="none" w:sz="0" w:space="0" w:color="auto"/>
                        <w:left w:val="none" w:sz="0" w:space="0" w:color="auto"/>
                        <w:bottom w:val="none" w:sz="0" w:space="0" w:color="auto"/>
                        <w:right w:val="none" w:sz="0" w:space="0" w:color="auto"/>
                      </w:divBdr>
                    </w:div>
                    <w:div w:id="1919712163">
                      <w:marLeft w:val="0"/>
                      <w:marRight w:val="0"/>
                      <w:marTop w:val="256"/>
                      <w:marBottom w:val="256"/>
                      <w:divBdr>
                        <w:top w:val="none" w:sz="0" w:space="0" w:color="auto"/>
                        <w:left w:val="none" w:sz="0" w:space="0" w:color="auto"/>
                        <w:bottom w:val="none" w:sz="0" w:space="0" w:color="auto"/>
                        <w:right w:val="none" w:sz="0" w:space="0" w:color="auto"/>
                      </w:divBdr>
                    </w:div>
                    <w:div w:id="1281260916">
                      <w:marLeft w:val="0"/>
                      <w:marRight w:val="0"/>
                      <w:marTop w:val="256"/>
                      <w:marBottom w:val="256"/>
                      <w:divBdr>
                        <w:top w:val="none" w:sz="0" w:space="0" w:color="auto"/>
                        <w:left w:val="none" w:sz="0" w:space="0" w:color="auto"/>
                        <w:bottom w:val="none" w:sz="0" w:space="0" w:color="auto"/>
                        <w:right w:val="none" w:sz="0" w:space="0" w:color="auto"/>
                      </w:divBdr>
                    </w:div>
                    <w:div w:id="1949652769">
                      <w:marLeft w:val="0"/>
                      <w:marRight w:val="0"/>
                      <w:marTop w:val="256"/>
                      <w:marBottom w:val="256"/>
                      <w:divBdr>
                        <w:top w:val="none" w:sz="0" w:space="0" w:color="auto"/>
                        <w:left w:val="none" w:sz="0" w:space="0" w:color="auto"/>
                        <w:bottom w:val="none" w:sz="0" w:space="0" w:color="auto"/>
                        <w:right w:val="none" w:sz="0" w:space="0" w:color="auto"/>
                      </w:divBdr>
                    </w:div>
                    <w:div w:id="588008269">
                      <w:marLeft w:val="0"/>
                      <w:marRight w:val="0"/>
                      <w:marTop w:val="256"/>
                      <w:marBottom w:val="256"/>
                      <w:divBdr>
                        <w:top w:val="none" w:sz="0" w:space="0" w:color="auto"/>
                        <w:left w:val="none" w:sz="0" w:space="0" w:color="auto"/>
                        <w:bottom w:val="none" w:sz="0" w:space="0" w:color="auto"/>
                        <w:right w:val="none" w:sz="0" w:space="0" w:color="auto"/>
                      </w:divBdr>
                    </w:div>
                    <w:div w:id="1623465277">
                      <w:marLeft w:val="0"/>
                      <w:marRight w:val="0"/>
                      <w:marTop w:val="256"/>
                      <w:marBottom w:val="256"/>
                      <w:divBdr>
                        <w:top w:val="none" w:sz="0" w:space="0" w:color="auto"/>
                        <w:left w:val="none" w:sz="0" w:space="0" w:color="auto"/>
                        <w:bottom w:val="none" w:sz="0" w:space="0" w:color="auto"/>
                        <w:right w:val="none" w:sz="0" w:space="0" w:color="auto"/>
                      </w:divBdr>
                    </w:div>
                    <w:div w:id="779841727">
                      <w:marLeft w:val="0"/>
                      <w:marRight w:val="0"/>
                      <w:marTop w:val="256"/>
                      <w:marBottom w:val="256"/>
                      <w:divBdr>
                        <w:top w:val="none" w:sz="0" w:space="0" w:color="auto"/>
                        <w:left w:val="none" w:sz="0" w:space="0" w:color="auto"/>
                        <w:bottom w:val="none" w:sz="0" w:space="0" w:color="auto"/>
                        <w:right w:val="none" w:sz="0" w:space="0" w:color="auto"/>
                      </w:divBdr>
                    </w:div>
                    <w:div w:id="2132507035">
                      <w:marLeft w:val="0"/>
                      <w:marRight w:val="0"/>
                      <w:marTop w:val="256"/>
                      <w:marBottom w:val="256"/>
                      <w:divBdr>
                        <w:top w:val="none" w:sz="0" w:space="0" w:color="auto"/>
                        <w:left w:val="none" w:sz="0" w:space="0" w:color="auto"/>
                        <w:bottom w:val="none" w:sz="0" w:space="0" w:color="auto"/>
                        <w:right w:val="none" w:sz="0" w:space="0" w:color="auto"/>
                      </w:divBdr>
                    </w:div>
                    <w:div w:id="1230652852">
                      <w:marLeft w:val="0"/>
                      <w:marRight w:val="0"/>
                      <w:marTop w:val="256"/>
                      <w:marBottom w:val="256"/>
                      <w:divBdr>
                        <w:top w:val="none" w:sz="0" w:space="0" w:color="auto"/>
                        <w:left w:val="none" w:sz="0" w:space="0" w:color="auto"/>
                        <w:bottom w:val="none" w:sz="0" w:space="0" w:color="auto"/>
                        <w:right w:val="none" w:sz="0" w:space="0" w:color="auto"/>
                      </w:divBdr>
                    </w:div>
                    <w:div w:id="516970192">
                      <w:marLeft w:val="0"/>
                      <w:marRight w:val="0"/>
                      <w:marTop w:val="256"/>
                      <w:marBottom w:val="256"/>
                      <w:divBdr>
                        <w:top w:val="none" w:sz="0" w:space="0" w:color="auto"/>
                        <w:left w:val="none" w:sz="0" w:space="0" w:color="auto"/>
                        <w:bottom w:val="none" w:sz="0" w:space="0" w:color="auto"/>
                        <w:right w:val="none" w:sz="0" w:space="0" w:color="auto"/>
                      </w:divBdr>
                    </w:div>
                    <w:div w:id="465661665">
                      <w:marLeft w:val="0"/>
                      <w:marRight w:val="0"/>
                      <w:marTop w:val="256"/>
                      <w:marBottom w:val="256"/>
                      <w:divBdr>
                        <w:top w:val="none" w:sz="0" w:space="0" w:color="auto"/>
                        <w:left w:val="none" w:sz="0" w:space="0" w:color="auto"/>
                        <w:bottom w:val="none" w:sz="0" w:space="0" w:color="auto"/>
                        <w:right w:val="none" w:sz="0" w:space="0" w:color="auto"/>
                      </w:divBdr>
                    </w:div>
                    <w:div w:id="1433284236">
                      <w:marLeft w:val="0"/>
                      <w:marRight w:val="0"/>
                      <w:marTop w:val="256"/>
                      <w:marBottom w:val="256"/>
                      <w:divBdr>
                        <w:top w:val="none" w:sz="0" w:space="0" w:color="auto"/>
                        <w:left w:val="none" w:sz="0" w:space="0" w:color="auto"/>
                        <w:bottom w:val="none" w:sz="0" w:space="0" w:color="auto"/>
                        <w:right w:val="none" w:sz="0" w:space="0" w:color="auto"/>
                      </w:divBdr>
                    </w:div>
                    <w:div w:id="1410884323">
                      <w:marLeft w:val="0"/>
                      <w:marRight w:val="0"/>
                      <w:marTop w:val="256"/>
                      <w:marBottom w:val="256"/>
                      <w:divBdr>
                        <w:top w:val="none" w:sz="0" w:space="0" w:color="auto"/>
                        <w:left w:val="none" w:sz="0" w:space="0" w:color="auto"/>
                        <w:bottom w:val="none" w:sz="0" w:space="0" w:color="auto"/>
                        <w:right w:val="none" w:sz="0" w:space="0" w:color="auto"/>
                      </w:divBdr>
                    </w:div>
                    <w:div w:id="860583568">
                      <w:marLeft w:val="0"/>
                      <w:marRight w:val="0"/>
                      <w:marTop w:val="256"/>
                      <w:marBottom w:val="256"/>
                      <w:divBdr>
                        <w:top w:val="none" w:sz="0" w:space="0" w:color="auto"/>
                        <w:left w:val="none" w:sz="0" w:space="0" w:color="auto"/>
                        <w:bottom w:val="none" w:sz="0" w:space="0" w:color="auto"/>
                        <w:right w:val="none" w:sz="0" w:space="0" w:color="auto"/>
                      </w:divBdr>
                    </w:div>
                    <w:div w:id="193081065">
                      <w:marLeft w:val="0"/>
                      <w:marRight w:val="0"/>
                      <w:marTop w:val="256"/>
                      <w:marBottom w:val="256"/>
                      <w:divBdr>
                        <w:top w:val="none" w:sz="0" w:space="0" w:color="auto"/>
                        <w:left w:val="none" w:sz="0" w:space="0" w:color="auto"/>
                        <w:bottom w:val="none" w:sz="0" w:space="0" w:color="auto"/>
                        <w:right w:val="none" w:sz="0" w:space="0" w:color="auto"/>
                      </w:divBdr>
                    </w:div>
                    <w:div w:id="958023836">
                      <w:marLeft w:val="0"/>
                      <w:marRight w:val="0"/>
                      <w:marTop w:val="256"/>
                      <w:marBottom w:val="256"/>
                      <w:divBdr>
                        <w:top w:val="none" w:sz="0" w:space="0" w:color="auto"/>
                        <w:left w:val="none" w:sz="0" w:space="0" w:color="auto"/>
                        <w:bottom w:val="none" w:sz="0" w:space="0" w:color="auto"/>
                        <w:right w:val="none" w:sz="0" w:space="0" w:color="auto"/>
                      </w:divBdr>
                    </w:div>
                    <w:div w:id="720860070">
                      <w:marLeft w:val="0"/>
                      <w:marRight w:val="0"/>
                      <w:marTop w:val="256"/>
                      <w:marBottom w:val="256"/>
                      <w:divBdr>
                        <w:top w:val="none" w:sz="0" w:space="0" w:color="auto"/>
                        <w:left w:val="none" w:sz="0" w:space="0" w:color="auto"/>
                        <w:bottom w:val="none" w:sz="0" w:space="0" w:color="auto"/>
                        <w:right w:val="none" w:sz="0" w:space="0" w:color="auto"/>
                      </w:divBdr>
                    </w:div>
                    <w:div w:id="1688294190">
                      <w:marLeft w:val="0"/>
                      <w:marRight w:val="0"/>
                      <w:marTop w:val="256"/>
                      <w:marBottom w:val="256"/>
                      <w:divBdr>
                        <w:top w:val="none" w:sz="0" w:space="0" w:color="auto"/>
                        <w:left w:val="none" w:sz="0" w:space="0" w:color="auto"/>
                        <w:bottom w:val="none" w:sz="0" w:space="0" w:color="auto"/>
                        <w:right w:val="none" w:sz="0" w:space="0" w:color="auto"/>
                      </w:divBdr>
                    </w:div>
                    <w:div w:id="1011763606">
                      <w:marLeft w:val="0"/>
                      <w:marRight w:val="0"/>
                      <w:marTop w:val="256"/>
                      <w:marBottom w:val="256"/>
                      <w:divBdr>
                        <w:top w:val="none" w:sz="0" w:space="0" w:color="auto"/>
                        <w:left w:val="none" w:sz="0" w:space="0" w:color="auto"/>
                        <w:bottom w:val="none" w:sz="0" w:space="0" w:color="auto"/>
                        <w:right w:val="none" w:sz="0" w:space="0" w:color="auto"/>
                      </w:divBdr>
                    </w:div>
                    <w:div w:id="519466418">
                      <w:marLeft w:val="0"/>
                      <w:marRight w:val="0"/>
                      <w:marTop w:val="256"/>
                      <w:marBottom w:val="256"/>
                      <w:divBdr>
                        <w:top w:val="none" w:sz="0" w:space="0" w:color="auto"/>
                        <w:left w:val="none" w:sz="0" w:space="0" w:color="auto"/>
                        <w:bottom w:val="none" w:sz="0" w:space="0" w:color="auto"/>
                        <w:right w:val="none" w:sz="0" w:space="0" w:color="auto"/>
                      </w:divBdr>
                    </w:div>
                    <w:div w:id="1751153573">
                      <w:marLeft w:val="0"/>
                      <w:marRight w:val="0"/>
                      <w:marTop w:val="256"/>
                      <w:marBottom w:val="256"/>
                      <w:divBdr>
                        <w:top w:val="none" w:sz="0" w:space="0" w:color="auto"/>
                        <w:left w:val="none" w:sz="0" w:space="0" w:color="auto"/>
                        <w:bottom w:val="none" w:sz="0" w:space="0" w:color="auto"/>
                        <w:right w:val="none" w:sz="0" w:space="0" w:color="auto"/>
                      </w:divBdr>
                    </w:div>
                    <w:div w:id="481508149">
                      <w:marLeft w:val="0"/>
                      <w:marRight w:val="0"/>
                      <w:marTop w:val="256"/>
                      <w:marBottom w:val="256"/>
                      <w:divBdr>
                        <w:top w:val="none" w:sz="0" w:space="0" w:color="auto"/>
                        <w:left w:val="none" w:sz="0" w:space="0" w:color="auto"/>
                        <w:bottom w:val="none" w:sz="0" w:space="0" w:color="auto"/>
                        <w:right w:val="none" w:sz="0" w:space="0" w:color="auto"/>
                      </w:divBdr>
                    </w:div>
                    <w:div w:id="2118209808">
                      <w:marLeft w:val="0"/>
                      <w:marRight w:val="0"/>
                      <w:marTop w:val="256"/>
                      <w:marBottom w:val="256"/>
                      <w:divBdr>
                        <w:top w:val="none" w:sz="0" w:space="0" w:color="auto"/>
                        <w:left w:val="none" w:sz="0" w:space="0" w:color="auto"/>
                        <w:bottom w:val="none" w:sz="0" w:space="0" w:color="auto"/>
                        <w:right w:val="none" w:sz="0" w:space="0" w:color="auto"/>
                      </w:divBdr>
                    </w:div>
                    <w:div w:id="1742747567">
                      <w:marLeft w:val="0"/>
                      <w:marRight w:val="0"/>
                      <w:marTop w:val="256"/>
                      <w:marBottom w:val="256"/>
                      <w:divBdr>
                        <w:top w:val="none" w:sz="0" w:space="0" w:color="auto"/>
                        <w:left w:val="none" w:sz="0" w:space="0" w:color="auto"/>
                        <w:bottom w:val="none" w:sz="0" w:space="0" w:color="auto"/>
                        <w:right w:val="none" w:sz="0" w:space="0" w:color="auto"/>
                      </w:divBdr>
                    </w:div>
                    <w:div w:id="1569001341">
                      <w:marLeft w:val="0"/>
                      <w:marRight w:val="0"/>
                      <w:marTop w:val="256"/>
                      <w:marBottom w:val="256"/>
                      <w:divBdr>
                        <w:top w:val="none" w:sz="0" w:space="0" w:color="auto"/>
                        <w:left w:val="none" w:sz="0" w:space="0" w:color="auto"/>
                        <w:bottom w:val="none" w:sz="0" w:space="0" w:color="auto"/>
                        <w:right w:val="none" w:sz="0" w:space="0" w:color="auto"/>
                      </w:divBdr>
                    </w:div>
                    <w:div w:id="909189721">
                      <w:marLeft w:val="0"/>
                      <w:marRight w:val="0"/>
                      <w:marTop w:val="256"/>
                      <w:marBottom w:val="256"/>
                      <w:divBdr>
                        <w:top w:val="none" w:sz="0" w:space="0" w:color="auto"/>
                        <w:left w:val="none" w:sz="0" w:space="0" w:color="auto"/>
                        <w:bottom w:val="none" w:sz="0" w:space="0" w:color="auto"/>
                        <w:right w:val="none" w:sz="0" w:space="0" w:color="auto"/>
                      </w:divBdr>
                    </w:div>
                    <w:div w:id="1207109219">
                      <w:marLeft w:val="0"/>
                      <w:marRight w:val="0"/>
                      <w:marTop w:val="256"/>
                      <w:marBottom w:val="256"/>
                      <w:divBdr>
                        <w:top w:val="none" w:sz="0" w:space="0" w:color="auto"/>
                        <w:left w:val="none" w:sz="0" w:space="0" w:color="auto"/>
                        <w:bottom w:val="none" w:sz="0" w:space="0" w:color="auto"/>
                        <w:right w:val="none" w:sz="0" w:space="0" w:color="auto"/>
                      </w:divBdr>
                    </w:div>
                    <w:div w:id="411320483">
                      <w:marLeft w:val="0"/>
                      <w:marRight w:val="0"/>
                      <w:marTop w:val="256"/>
                      <w:marBottom w:val="256"/>
                      <w:divBdr>
                        <w:top w:val="none" w:sz="0" w:space="0" w:color="auto"/>
                        <w:left w:val="none" w:sz="0" w:space="0" w:color="auto"/>
                        <w:bottom w:val="none" w:sz="0" w:space="0" w:color="auto"/>
                        <w:right w:val="none" w:sz="0" w:space="0" w:color="auto"/>
                      </w:divBdr>
                    </w:div>
                    <w:div w:id="1357805175">
                      <w:marLeft w:val="0"/>
                      <w:marRight w:val="0"/>
                      <w:marTop w:val="256"/>
                      <w:marBottom w:val="256"/>
                      <w:divBdr>
                        <w:top w:val="none" w:sz="0" w:space="0" w:color="auto"/>
                        <w:left w:val="none" w:sz="0" w:space="0" w:color="auto"/>
                        <w:bottom w:val="none" w:sz="0" w:space="0" w:color="auto"/>
                        <w:right w:val="none" w:sz="0" w:space="0" w:color="auto"/>
                      </w:divBdr>
                    </w:div>
                    <w:div w:id="1874879282">
                      <w:marLeft w:val="0"/>
                      <w:marRight w:val="0"/>
                      <w:marTop w:val="256"/>
                      <w:marBottom w:val="256"/>
                      <w:divBdr>
                        <w:top w:val="none" w:sz="0" w:space="0" w:color="auto"/>
                        <w:left w:val="none" w:sz="0" w:space="0" w:color="auto"/>
                        <w:bottom w:val="none" w:sz="0" w:space="0" w:color="auto"/>
                        <w:right w:val="none" w:sz="0" w:space="0" w:color="auto"/>
                      </w:divBdr>
                    </w:div>
                    <w:div w:id="209612066">
                      <w:marLeft w:val="0"/>
                      <w:marRight w:val="0"/>
                      <w:marTop w:val="256"/>
                      <w:marBottom w:val="256"/>
                      <w:divBdr>
                        <w:top w:val="none" w:sz="0" w:space="0" w:color="auto"/>
                        <w:left w:val="none" w:sz="0" w:space="0" w:color="auto"/>
                        <w:bottom w:val="none" w:sz="0" w:space="0" w:color="auto"/>
                        <w:right w:val="none" w:sz="0" w:space="0" w:color="auto"/>
                      </w:divBdr>
                    </w:div>
                    <w:div w:id="1489439486">
                      <w:marLeft w:val="0"/>
                      <w:marRight w:val="0"/>
                      <w:marTop w:val="256"/>
                      <w:marBottom w:val="256"/>
                      <w:divBdr>
                        <w:top w:val="none" w:sz="0" w:space="0" w:color="auto"/>
                        <w:left w:val="none" w:sz="0" w:space="0" w:color="auto"/>
                        <w:bottom w:val="none" w:sz="0" w:space="0" w:color="auto"/>
                        <w:right w:val="none" w:sz="0" w:space="0" w:color="auto"/>
                      </w:divBdr>
                    </w:div>
                    <w:div w:id="953681637">
                      <w:marLeft w:val="0"/>
                      <w:marRight w:val="0"/>
                      <w:marTop w:val="256"/>
                      <w:marBottom w:val="256"/>
                      <w:divBdr>
                        <w:top w:val="none" w:sz="0" w:space="0" w:color="auto"/>
                        <w:left w:val="none" w:sz="0" w:space="0" w:color="auto"/>
                        <w:bottom w:val="none" w:sz="0" w:space="0" w:color="auto"/>
                        <w:right w:val="none" w:sz="0" w:space="0" w:color="auto"/>
                      </w:divBdr>
                    </w:div>
                    <w:div w:id="2092120827">
                      <w:marLeft w:val="0"/>
                      <w:marRight w:val="0"/>
                      <w:marTop w:val="256"/>
                      <w:marBottom w:val="256"/>
                      <w:divBdr>
                        <w:top w:val="none" w:sz="0" w:space="0" w:color="auto"/>
                        <w:left w:val="none" w:sz="0" w:space="0" w:color="auto"/>
                        <w:bottom w:val="none" w:sz="0" w:space="0" w:color="auto"/>
                        <w:right w:val="none" w:sz="0" w:space="0" w:color="auto"/>
                      </w:divBdr>
                    </w:div>
                    <w:div w:id="1097676733">
                      <w:marLeft w:val="0"/>
                      <w:marRight w:val="0"/>
                      <w:marTop w:val="256"/>
                      <w:marBottom w:val="256"/>
                      <w:divBdr>
                        <w:top w:val="none" w:sz="0" w:space="0" w:color="auto"/>
                        <w:left w:val="none" w:sz="0" w:space="0" w:color="auto"/>
                        <w:bottom w:val="none" w:sz="0" w:space="0" w:color="auto"/>
                        <w:right w:val="none" w:sz="0" w:space="0" w:color="auto"/>
                      </w:divBdr>
                    </w:div>
                    <w:div w:id="1652901513">
                      <w:marLeft w:val="0"/>
                      <w:marRight w:val="0"/>
                      <w:marTop w:val="256"/>
                      <w:marBottom w:val="256"/>
                      <w:divBdr>
                        <w:top w:val="none" w:sz="0" w:space="0" w:color="auto"/>
                        <w:left w:val="none" w:sz="0" w:space="0" w:color="auto"/>
                        <w:bottom w:val="none" w:sz="0" w:space="0" w:color="auto"/>
                        <w:right w:val="none" w:sz="0" w:space="0" w:color="auto"/>
                      </w:divBdr>
                    </w:div>
                    <w:div w:id="593130958">
                      <w:marLeft w:val="0"/>
                      <w:marRight w:val="0"/>
                      <w:marTop w:val="256"/>
                      <w:marBottom w:val="256"/>
                      <w:divBdr>
                        <w:top w:val="none" w:sz="0" w:space="0" w:color="auto"/>
                        <w:left w:val="none" w:sz="0" w:space="0" w:color="auto"/>
                        <w:bottom w:val="none" w:sz="0" w:space="0" w:color="auto"/>
                        <w:right w:val="none" w:sz="0" w:space="0" w:color="auto"/>
                      </w:divBdr>
                    </w:div>
                    <w:div w:id="64686009">
                      <w:marLeft w:val="0"/>
                      <w:marRight w:val="0"/>
                      <w:marTop w:val="256"/>
                      <w:marBottom w:val="256"/>
                      <w:divBdr>
                        <w:top w:val="none" w:sz="0" w:space="0" w:color="auto"/>
                        <w:left w:val="none" w:sz="0" w:space="0" w:color="auto"/>
                        <w:bottom w:val="none" w:sz="0" w:space="0" w:color="auto"/>
                        <w:right w:val="none" w:sz="0" w:space="0" w:color="auto"/>
                      </w:divBdr>
                    </w:div>
                    <w:div w:id="1464810649">
                      <w:marLeft w:val="0"/>
                      <w:marRight w:val="0"/>
                      <w:marTop w:val="256"/>
                      <w:marBottom w:val="256"/>
                      <w:divBdr>
                        <w:top w:val="none" w:sz="0" w:space="0" w:color="auto"/>
                        <w:left w:val="none" w:sz="0" w:space="0" w:color="auto"/>
                        <w:bottom w:val="none" w:sz="0" w:space="0" w:color="auto"/>
                        <w:right w:val="none" w:sz="0" w:space="0" w:color="auto"/>
                      </w:divBdr>
                    </w:div>
                    <w:div w:id="1571498531">
                      <w:marLeft w:val="0"/>
                      <w:marRight w:val="0"/>
                      <w:marTop w:val="256"/>
                      <w:marBottom w:val="256"/>
                      <w:divBdr>
                        <w:top w:val="none" w:sz="0" w:space="0" w:color="auto"/>
                        <w:left w:val="none" w:sz="0" w:space="0" w:color="auto"/>
                        <w:bottom w:val="none" w:sz="0" w:space="0" w:color="auto"/>
                        <w:right w:val="none" w:sz="0" w:space="0" w:color="auto"/>
                      </w:divBdr>
                    </w:div>
                  </w:divsChild>
                </w:div>
              </w:divsChild>
            </w:div>
          </w:divsChild>
        </w:div>
      </w:divsChild>
    </w:div>
    <w:div w:id="637494939">
      <w:bodyDiv w:val="1"/>
      <w:marLeft w:val="0"/>
      <w:marRight w:val="0"/>
      <w:marTop w:val="0"/>
      <w:marBottom w:val="0"/>
      <w:divBdr>
        <w:top w:val="none" w:sz="0" w:space="0" w:color="auto"/>
        <w:left w:val="none" w:sz="0" w:space="0" w:color="auto"/>
        <w:bottom w:val="none" w:sz="0" w:space="0" w:color="auto"/>
        <w:right w:val="none" w:sz="0" w:space="0" w:color="auto"/>
      </w:divBdr>
    </w:div>
    <w:div w:id="660542953">
      <w:bodyDiv w:val="1"/>
      <w:marLeft w:val="0"/>
      <w:marRight w:val="0"/>
      <w:marTop w:val="0"/>
      <w:marBottom w:val="0"/>
      <w:divBdr>
        <w:top w:val="none" w:sz="0" w:space="0" w:color="auto"/>
        <w:left w:val="none" w:sz="0" w:space="0" w:color="auto"/>
        <w:bottom w:val="none" w:sz="0" w:space="0" w:color="auto"/>
        <w:right w:val="none" w:sz="0" w:space="0" w:color="auto"/>
      </w:divBdr>
      <w:divsChild>
        <w:div w:id="1853181576">
          <w:marLeft w:val="0"/>
          <w:marRight w:val="0"/>
          <w:marTop w:val="0"/>
          <w:marBottom w:val="0"/>
          <w:divBdr>
            <w:top w:val="none" w:sz="0" w:space="0" w:color="auto"/>
            <w:left w:val="none" w:sz="0" w:space="0" w:color="auto"/>
            <w:bottom w:val="none" w:sz="0" w:space="0" w:color="auto"/>
            <w:right w:val="none" w:sz="0" w:space="0" w:color="auto"/>
          </w:divBdr>
        </w:div>
        <w:div w:id="1385448073">
          <w:marLeft w:val="0"/>
          <w:marRight w:val="0"/>
          <w:marTop w:val="0"/>
          <w:marBottom w:val="0"/>
          <w:divBdr>
            <w:top w:val="none" w:sz="0" w:space="0" w:color="auto"/>
            <w:left w:val="none" w:sz="0" w:space="0" w:color="auto"/>
            <w:bottom w:val="none" w:sz="0" w:space="0" w:color="auto"/>
            <w:right w:val="none" w:sz="0" w:space="0" w:color="auto"/>
          </w:divBdr>
        </w:div>
      </w:divsChild>
    </w:div>
    <w:div w:id="791023162">
      <w:bodyDiv w:val="1"/>
      <w:marLeft w:val="0"/>
      <w:marRight w:val="0"/>
      <w:marTop w:val="0"/>
      <w:marBottom w:val="0"/>
      <w:divBdr>
        <w:top w:val="none" w:sz="0" w:space="0" w:color="auto"/>
        <w:left w:val="none" w:sz="0" w:space="0" w:color="auto"/>
        <w:bottom w:val="none" w:sz="0" w:space="0" w:color="auto"/>
        <w:right w:val="none" w:sz="0" w:space="0" w:color="auto"/>
      </w:divBdr>
    </w:div>
    <w:div w:id="895631755">
      <w:bodyDiv w:val="1"/>
      <w:marLeft w:val="0"/>
      <w:marRight w:val="0"/>
      <w:marTop w:val="0"/>
      <w:marBottom w:val="0"/>
      <w:divBdr>
        <w:top w:val="none" w:sz="0" w:space="0" w:color="auto"/>
        <w:left w:val="none" w:sz="0" w:space="0" w:color="auto"/>
        <w:bottom w:val="none" w:sz="0" w:space="0" w:color="auto"/>
        <w:right w:val="none" w:sz="0" w:space="0" w:color="auto"/>
      </w:divBdr>
    </w:div>
    <w:div w:id="921455380">
      <w:bodyDiv w:val="1"/>
      <w:marLeft w:val="0"/>
      <w:marRight w:val="0"/>
      <w:marTop w:val="0"/>
      <w:marBottom w:val="0"/>
      <w:divBdr>
        <w:top w:val="none" w:sz="0" w:space="0" w:color="auto"/>
        <w:left w:val="none" w:sz="0" w:space="0" w:color="auto"/>
        <w:bottom w:val="none" w:sz="0" w:space="0" w:color="auto"/>
        <w:right w:val="none" w:sz="0" w:space="0" w:color="auto"/>
      </w:divBdr>
    </w:div>
    <w:div w:id="929967902">
      <w:bodyDiv w:val="1"/>
      <w:marLeft w:val="0"/>
      <w:marRight w:val="0"/>
      <w:marTop w:val="0"/>
      <w:marBottom w:val="0"/>
      <w:divBdr>
        <w:top w:val="none" w:sz="0" w:space="0" w:color="auto"/>
        <w:left w:val="none" w:sz="0" w:space="0" w:color="auto"/>
        <w:bottom w:val="none" w:sz="0" w:space="0" w:color="auto"/>
        <w:right w:val="none" w:sz="0" w:space="0" w:color="auto"/>
      </w:divBdr>
    </w:div>
    <w:div w:id="952633014">
      <w:bodyDiv w:val="1"/>
      <w:marLeft w:val="0"/>
      <w:marRight w:val="0"/>
      <w:marTop w:val="0"/>
      <w:marBottom w:val="0"/>
      <w:divBdr>
        <w:top w:val="none" w:sz="0" w:space="0" w:color="auto"/>
        <w:left w:val="none" w:sz="0" w:space="0" w:color="auto"/>
        <w:bottom w:val="none" w:sz="0" w:space="0" w:color="auto"/>
        <w:right w:val="none" w:sz="0" w:space="0" w:color="auto"/>
      </w:divBdr>
    </w:div>
    <w:div w:id="1015108637">
      <w:bodyDiv w:val="1"/>
      <w:marLeft w:val="0"/>
      <w:marRight w:val="0"/>
      <w:marTop w:val="0"/>
      <w:marBottom w:val="0"/>
      <w:divBdr>
        <w:top w:val="none" w:sz="0" w:space="0" w:color="auto"/>
        <w:left w:val="none" w:sz="0" w:space="0" w:color="auto"/>
        <w:bottom w:val="none" w:sz="0" w:space="0" w:color="auto"/>
        <w:right w:val="none" w:sz="0" w:space="0" w:color="auto"/>
      </w:divBdr>
    </w:div>
    <w:div w:id="1059940924">
      <w:bodyDiv w:val="1"/>
      <w:marLeft w:val="0"/>
      <w:marRight w:val="0"/>
      <w:marTop w:val="0"/>
      <w:marBottom w:val="0"/>
      <w:divBdr>
        <w:top w:val="none" w:sz="0" w:space="0" w:color="auto"/>
        <w:left w:val="none" w:sz="0" w:space="0" w:color="auto"/>
        <w:bottom w:val="none" w:sz="0" w:space="0" w:color="auto"/>
        <w:right w:val="none" w:sz="0" w:space="0" w:color="auto"/>
      </w:divBdr>
      <w:divsChild>
        <w:div w:id="1789809069">
          <w:marLeft w:val="0"/>
          <w:marRight w:val="0"/>
          <w:marTop w:val="0"/>
          <w:marBottom w:val="0"/>
          <w:divBdr>
            <w:top w:val="none" w:sz="0" w:space="0" w:color="auto"/>
            <w:left w:val="none" w:sz="0" w:space="0" w:color="auto"/>
            <w:bottom w:val="none" w:sz="0" w:space="0" w:color="auto"/>
            <w:right w:val="none" w:sz="0" w:space="0" w:color="auto"/>
          </w:divBdr>
        </w:div>
        <w:div w:id="1762943148">
          <w:marLeft w:val="0"/>
          <w:marRight w:val="0"/>
          <w:marTop w:val="0"/>
          <w:marBottom w:val="0"/>
          <w:divBdr>
            <w:top w:val="none" w:sz="0" w:space="0" w:color="auto"/>
            <w:left w:val="none" w:sz="0" w:space="0" w:color="auto"/>
            <w:bottom w:val="none" w:sz="0" w:space="0" w:color="auto"/>
            <w:right w:val="none" w:sz="0" w:space="0" w:color="auto"/>
          </w:divBdr>
        </w:div>
      </w:divsChild>
    </w:div>
    <w:div w:id="1093428552">
      <w:bodyDiv w:val="1"/>
      <w:marLeft w:val="0"/>
      <w:marRight w:val="0"/>
      <w:marTop w:val="0"/>
      <w:marBottom w:val="0"/>
      <w:divBdr>
        <w:top w:val="none" w:sz="0" w:space="0" w:color="auto"/>
        <w:left w:val="none" w:sz="0" w:space="0" w:color="auto"/>
        <w:bottom w:val="none" w:sz="0" w:space="0" w:color="auto"/>
        <w:right w:val="none" w:sz="0" w:space="0" w:color="auto"/>
      </w:divBdr>
    </w:div>
    <w:div w:id="1197698932">
      <w:bodyDiv w:val="1"/>
      <w:marLeft w:val="0"/>
      <w:marRight w:val="0"/>
      <w:marTop w:val="0"/>
      <w:marBottom w:val="0"/>
      <w:divBdr>
        <w:top w:val="none" w:sz="0" w:space="0" w:color="auto"/>
        <w:left w:val="none" w:sz="0" w:space="0" w:color="auto"/>
        <w:bottom w:val="none" w:sz="0" w:space="0" w:color="auto"/>
        <w:right w:val="none" w:sz="0" w:space="0" w:color="auto"/>
      </w:divBdr>
    </w:div>
    <w:div w:id="1276601554">
      <w:bodyDiv w:val="1"/>
      <w:marLeft w:val="0"/>
      <w:marRight w:val="0"/>
      <w:marTop w:val="0"/>
      <w:marBottom w:val="0"/>
      <w:divBdr>
        <w:top w:val="none" w:sz="0" w:space="0" w:color="auto"/>
        <w:left w:val="none" w:sz="0" w:space="0" w:color="auto"/>
        <w:bottom w:val="none" w:sz="0" w:space="0" w:color="auto"/>
        <w:right w:val="none" w:sz="0" w:space="0" w:color="auto"/>
      </w:divBdr>
    </w:div>
    <w:div w:id="1288050323">
      <w:bodyDiv w:val="1"/>
      <w:marLeft w:val="0"/>
      <w:marRight w:val="0"/>
      <w:marTop w:val="0"/>
      <w:marBottom w:val="0"/>
      <w:divBdr>
        <w:top w:val="none" w:sz="0" w:space="0" w:color="auto"/>
        <w:left w:val="none" w:sz="0" w:space="0" w:color="auto"/>
        <w:bottom w:val="none" w:sz="0" w:space="0" w:color="auto"/>
        <w:right w:val="none" w:sz="0" w:space="0" w:color="auto"/>
      </w:divBdr>
    </w:div>
    <w:div w:id="1313409341">
      <w:bodyDiv w:val="1"/>
      <w:marLeft w:val="0"/>
      <w:marRight w:val="0"/>
      <w:marTop w:val="0"/>
      <w:marBottom w:val="0"/>
      <w:divBdr>
        <w:top w:val="none" w:sz="0" w:space="0" w:color="auto"/>
        <w:left w:val="none" w:sz="0" w:space="0" w:color="auto"/>
        <w:bottom w:val="none" w:sz="0" w:space="0" w:color="auto"/>
        <w:right w:val="none" w:sz="0" w:space="0" w:color="auto"/>
      </w:divBdr>
    </w:div>
    <w:div w:id="1359429001">
      <w:bodyDiv w:val="1"/>
      <w:marLeft w:val="0"/>
      <w:marRight w:val="0"/>
      <w:marTop w:val="0"/>
      <w:marBottom w:val="0"/>
      <w:divBdr>
        <w:top w:val="none" w:sz="0" w:space="0" w:color="auto"/>
        <w:left w:val="none" w:sz="0" w:space="0" w:color="auto"/>
        <w:bottom w:val="none" w:sz="0" w:space="0" w:color="auto"/>
        <w:right w:val="none" w:sz="0" w:space="0" w:color="auto"/>
      </w:divBdr>
      <w:divsChild>
        <w:div w:id="975918115">
          <w:marLeft w:val="0"/>
          <w:marRight w:val="0"/>
          <w:marTop w:val="0"/>
          <w:marBottom w:val="0"/>
          <w:divBdr>
            <w:top w:val="none" w:sz="0" w:space="0" w:color="auto"/>
            <w:left w:val="none" w:sz="0" w:space="0" w:color="auto"/>
            <w:bottom w:val="none" w:sz="0" w:space="0" w:color="auto"/>
            <w:right w:val="none" w:sz="0" w:space="0" w:color="auto"/>
          </w:divBdr>
          <w:divsChild>
            <w:div w:id="1719431598">
              <w:marLeft w:val="120"/>
              <w:marRight w:val="120"/>
              <w:marTop w:val="120"/>
              <w:marBottom w:val="120"/>
              <w:divBdr>
                <w:top w:val="none" w:sz="0" w:space="0" w:color="auto"/>
                <w:left w:val="none" w:sz="0" w:space="0" w:color="auto"/>
                <w:bottom w:val="none" w:sz="0" w:space="0" w:color="auto"/>
                <w:right w:val="none" w:sz="0" w:space="0" w:color="auto"/>
              </w:divBdr>
              <w:divsChild>
                <w:div w:id="798108808">
                  <w:marLeft w:val="0"/>
                  <w:marRight w:val="0"/>
                  <w:marTop w:val="0"/>
                  <w:marBottom w:val="0"/>
                  <w:divBdr>
                    <w:top w:val="none" w:sz="0" w:space="0" w:color="auto"/>
                    <w:left w:val="none" w:sz="0" w:space="0" w:color="auto"/>
                    <w:bottom w:val="none" w:sz="0" w:space="0" w:color="auto"/>
                    <w:right w:val="none" w:sz="0" w:space="0" w:color="auto"/>
                  </w:divBdr>
                  <w:divsChild>
                    <w:div w:id="1346857762">
                      <w:marLeft w:val="0"/>
                      <w:marRight w:val="0"/>
                      <w:marTop w:val="0"/>
                      <w:marBottom w:val="0"/>
                      <w:divBdr>
                        <w:top w:val="none" w:sz="0" w:space="0" w:color="auto"/>
                        <w:left w:val="none" w:sz="0" w:space="0" w:color="auto"/>
                        <w:bottom w:val="none" w:sz="0" w:space="0" w:color="auto"/>
                        <w:right w:val="none" w:sz="0" w:space="0" w:color="auto"/>
                      </w:divBdr>
                      <w:divsChild>
                        <w:div w:id="1498957106">
                          <w:marLeft w:val="0"/>
                          <w:marRight w:val="0"/>
                          <w:marTop w:val="0"/>
                          <w:marBottom w:val="0"/>
                          <w:divBdr>
                            <w:top w:val="none" w:sz="0" w:space="0" w:color="auto"/>
                            <w:left w:val="none" w:sz="0" w:space="0" w:color="auto"/>
                            <w:bottom w:val="none" w:sz="0" w:space="0" w:color="auto"/>
                            <w:right w:val="none" w:sz="0" w:space="0" w:color="auto"/>
                          </w:divBdr>
                        </w:div>
                        <w:div w:id="11823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14393">
          <w:marLeft w:val="0"/>
          <w:marRight w:val="0"/>
          <w:marTop w:val="0"/>
          <w:marBottom w:val="0"/>
          <w:divBdr>
            <w:top w:val="none" w:sz="0" w:space="0" w:color="auto"/>
            <w:left w:val="single" w:sz="48" w:space="0" w:color="auto"/>
            <w:bottom w:val="none" w:sz="0" w:space="0" w:color="auto"/>
            <w:right w:val="single" w:sz="48" w:space="0" w:color="auto"/>
          </w:divBdr>
          <w:divsChild>
            <w:div w:id="1724984787">
              <w:marLeft w:val="0"/>
              <w:marRight w:val="0"/>
              <w:marTop w:val="100"/>
              <w:marBottom w:val="100"/>
              <w:divBdr>
                <w:top w:val="none" w:sz="0" w:space="0" w:color="auto"/>
                <w:left w:val="none" w:sz="0" w:space="0" w:color="auto"/>
                <w:bottom w:val="none" w:sz="0" w:space="0" w:color="auto"/>
                <w:right w:val="none" w:sz="0" w:space="0" w:color="auto"/>
              </w:divBdr>
              <w:divsChild>
                <w:div w:id="1966346634">
                  <w:marLeft w:val="0"/>
                  <w:marRight w:val="0"/>
                  <w:marTop w:val="0"/>
                  <w:marBottom w:val="0"/>
                  <w:divBdr>
                    <w:top w:val="none" w:sz="0" w:space="0" w:color="auto"/>
                    <w:left w:val="none" w:sz="0" w:space="0" w:color="auto"/>
                    <w:bottom w:val="none" w:sz="0" w:space="0" w:color="auto"/>
                    <w:right w:val="none" w:sz="0" w:space="0" w:color="auto"/>
                  </w:divBdr>
                </w:div>
              </w:divsChild>
            </w:div>
            <w:div w:id="1683628044">
              <w:marLeft w:val="0"/>
              <w:marRight w:val="0"/>
              <w:marTop w:val="0"/>
              <w:marBottom w:val="0"/>
              <w:divBdr>
                <w:top w:val="none" w:sz="0" w:space="0" w:color="auto"/>
                <w:left w:val="none" w:sz="0" w:space="0" w:color="auto"/>
                <w:bottom w:val="none" w:sz="0" w:space="0" w:color="auto"/>
                <w:right w:val="none" w:sz="0" w:space="0" w:color="auto"/>
              </w:divBdr>
              <w:divsChild>
                <w:div w:id="243493733">
                  <w:marLeft w:val="0"/>
                  <w:marRight w:val="0"/>
                  <w:marTop w:val="0"/>
                  <w:marBottom w:val="0"/>
                  <w:divBdr>
                    <w:top w:val="none" w:sz="0" w:space="0" w:color="auto"/>
                    <w:left w:val="none" w:sz="0" w:space="0" w:color="auto"/>
                    <w:bottom w:val="none" w:sz="0" w:space="0" w:color="auto"/>
                    <w:right w:val="none" w:sz="0" w:space="0" w:color="auto"/>
                  </w:divBdr>
                </w:div>
                <w:div w:id="959797083">
                  <w:marLeft w:val="0"/>
                  <w:marRight w:val="0"/>
                  <w:marTop w:val="0"/>
                  <w:marBottom w:val="0"/>
                  <w:divBdr>
                    <w:top w:val="none" w:sz="0" w:space="0" w:color="auto"/>
                    <w:left w:val="none" w:sz="0" w:space="0" w:color="auto"/>
                    <w:bottom w:val="none" w:sz="0" w:space="0" w:color="auto"/>
                    <w:right w:val="none" w:sz="0" w:space="0" w:color="auto"/>
                  </w:divBdr>
                </w:div>
              </w:divsChild>
            </w:div>
            <w:div w:id="1051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1762">
      <w:bodyDiv w:val="1"/>
      <w:marLeft w:val="0"/>
      <w:marRight w:val="0"/>
      <w:marTop w:val="0"/>
      <w:marBottom w:val="0"/>
      <w:divBdr>
        <w:top w:val="none" w:sz="0" w:space="0" w:color="auto"/>
        <w:left w:val="none" w:sz="0" w:space="0" w:color="auto"/>
        <w:bottom w:val="none" w:sz="0" w:space="0" w:color="auto"/>
        <w:right w:val="none" w:sz="0" w:space="0" w:color="auto"/>
      </w:divBdr>
    </w:div>
    <w:div w:id="1501316335">
      <w:bodyDiv w:val="1"/>
      <w:marLeft w:val="0"/>
      <w:marRight w:val="0"/>
      <w:marTop w:val="0"/>
      <w:marBottom w:val="0"/>
      <w:divBdr>
        <w:top w:val="none" w:sz="0" w:space="0" w:color="auto"/>
        <w:left w:val="none" w:sz="0" w:space="0" w:color="auto"/>
        <w:bottom w:val="none" w:sz="0" w:space="0" w:color="auto"/>
        <w:right w:val="none" w:sz="0" w:space="0" w:color="auto"/>
      </w:divBdr>
    </w:div>
    <w:div w:id="1570798553">
      <w:bodyDiv w:val="1"/>
      <w:marLeft w:val="0"/>
      <w:marRight w:val="0"/>
      <w:marTop w:val="0"/>
      <w:marBottom w:val="0"/>
      <w:divBdr>
        <w:top w:val="none" w:sz="0" w:space="0" w:color="auto"/>
        <w:left w:val="none" w:sz="0" w:space="0" w:color="auto"/>
        <w:bottom w:val="none" w:sz="0" w:space="0" w:color="auto"/>
        <w:right w:val="none" w:sz="0" w:space="0" w:color="auto"/>
      </w:divBdr>
      <w:divsChild>
        <w:div w:id="1774747177">
          <w:marLeft w:val="0"/>
          <w:marRight w:val="0"/>
          <w:marTop w:val="0"/>
          <w:marBottom w:val="0"/>
          <w:divBdr>
            <w:top w:val="none" w:sz="0" w:space="0" w:color="auto"/>
            <w:left w:val="none" w:sz="0" w:space="0" w:color="auto"/>
            <w:bottom w:val="none" w:sz="0" w:space="0" w:color="auto"/>
            <w:right w:val="none" w:sz="0" w:space="0" w:color="auto"/>
          </w:divBdr>
          <w:divsChild>
            <w:div w:id="414134625">
              <w:marLeft w:val="0"/>
              <w:marRight w:val="0"/>
              <w:marTop w:val="0"/>
              <w:marBottom w:val="0"/>
              <w:divBdr>
                <w:top w:val="none" w:sz="0" w:space="0" w:color="auto"/>
                <w:left w:val="none" w:sz="0" w:space="0" w:color="auto"/>
                <w:bottom w:val="none" w:sz="0" w:space="0" w:color="auto"/>
                <w:right w:val="none" w:sz="0" w:space="0" w:color="auto"/>
              </w:divBdr>
              <w:divsChild>
                <w:div w:id="683019716">
                  <w:marLeft w:val="0"/>
                  <w:marRight w:val="0"/>
                  <w:marTop w:val="0"/>
                  <w:marBottom w:val="0"/>
                  <w:divBdr>
                    <w:top w:val="none" w:sz="0" w:space="0" w:color="auto"/>
                    <w:left w:val="none" w:sz="0" w:space="0" w:color="auto"/>
                    <w:bottom w:val="none" w:sz="0" w:space="0" w:color="auto"/>
                    <w:right w:val="none" w:sz="0" w:space="0" w:color="auto"/>
                  </w:divBdr>
                  <w:divsChild>
                    <w:div w:id="305018177">
                      <w:marLeft w:val="0"/>
                      <w:marRight w:val="0"/>
                      <w:marTop w:val="0"/>
                      <w:marBottom w:val="0"/>
                      <w:divBdr>
                        <w:top w:val="none" w:sz="0" w:space="0" w:color="auto"/>
                        <w:left w:val="none" w:sz="0" w:space="0" w:color="auto"/>
                        <w:bottom w:val="none" w:sz="0" w:space="0" w:color="auto"/>
                        <w:right w:val="none" w:sz="0" w:space="0" w:color="auto"/>
                      </w:divBdr>
                      <w:divsChild>
                        <w:div w:id="468742873">
                          <w:marLeft w:val="384"/>
                          <w:marRight w:val="384"/>
                          <w:marTop w:val="0"/>
                          <w:marBottom w:val="0"/>
                          <w:divBdr>
                            <w:top w:val="none" w:sz="0" w:space="0" w:color="auto"/>
                            <w:left w:val="none" w:sz="0" w:space="0" w:color="auto"/>
                            <w:bottom w:val="none" w:sz="0" w:space="0" w:color="auto"/>
                            <w:right w:val="none" w:sz="0" w:space="0" w:color="auto"/>
                          </w:divBdr>
                          <w:divsChild>
                            <w:div w:id="1904607279">
                              <w:marLeft w:val="0"/>
                              <w:marRight w:val="0"/>
                              <w:marTop w:val="0"/>
                              <w:marBottom w:val="0"/>
                              <w:divBdr>
                                <w:top w:val="none" w:sz="0" w:space="0" w:color="auto"/>
                                <w:left w:val="none" w:sz="0" w:space="0" w:color="auto"/>
                                <w:bottom w:val="none" w:sz="0" w:space="0" w:color="auto"/>
                                <w:right w:val="none" w:sz="0" w:space="0" w:color="auto"/>
                              </w:divBdr>
                              <w:divsChild>
                                <w:div w:id="1300652996">
                                  <w:marLeft w:val="0"/>
                                  <w:marRight w:val="0"/>
                                  <w:marTop w:val="0"/>
                                  <w:marBottom w:val="0"/>
                                  <w:divBdr>
                                    <w:top w:val="none" w:sz="0" w:space="0" w:color="auto"/>
                                    <w:left w:val="none" w:sz="0" w:space="0" w:color="auto"/>
                                    <w:bottom w:val="none" w:sz="0" w:space="0" w:color="auto"/>
                                    <w:right w:val="none" w:sz="0" w:space="0" w:color="auto"/>
                                  </w:divBdr>
                                  <w:divsChild>
                                    <w:div w:id="1899510790">
                                      <w:marLeft w:val="0"/>
                                      <w:marRight w:val="0"/>
                                      <w:marTop w:val="332"/>
                                      <w:marBottom w:val="332"/>
                                      <w:divBdr>
                                        <w:top w:val="none" w:sz="0" w:space="0" w:color="auto"/>
                                        <w:left w:val="none" w:sz="0" w:space="0" w:color="auto"/>
                                        <w:bottom w:val="none" w:sz="0" w:space="0" w:color="auto"/>
                                        <w:right w:val="none" w:sz="0" w:space="0" w:color="auto"/>
                                      </w:divBdr>
                                      <w:divsChild>
                                        <w:div w:id="478888744">
                                          <w:marLeft w:val="0"/>
                                          <w:marRight w:val="0"/>
                                          <w:marTop w:val="332"/>
                                          <w:marBottom w:val="332"/>
                                          <w:divBdr>
                                            <w:top w:val="none" w:sz="0" w:space="0" w:color="auto"/>
                                            <w:left w:val="none" w:sz="0" w:space="0" w:color="auto"/>
                                            <w:bottom w:val="none" w:sz="0" w:space="0" w:color="auto"/>
                                            <w:right w:val="none" w:sz="0" w:space="0" w:color="auto"/>
                                          </w:divBdr>
                                          <w:divsChild>
                                            <w:div w:id="1565723341">
                                              <w:marLeft w:val="0"/>
                                              <w:marRight w:val="0"/>
                                              <w:marTop w:val="0"/>
                                              <w:marBottom w:val="0"/>
                                              <w:divBdr>
                                                <w:top w:val="none" w:sz="0" w:space="0" w:color="auto"/>
                                                <w:left w:val="none" w:sz="0" w:space="0" w:color="auto"/>
                                                <w:bottom w:val="none" w:sz="0" w:space="0" w:color="auto"/>
                                                <w:right w:val="none" w:sz="0" w:space="0" w:color="auto"/>
                                              </w:divBdr>
                                            </w:div>
                                            <w:div w:id="675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750331">
      <w:bodyDiv w:val="1"/>
      <w:marLeft w:val="0"/>
      <w:marRight w:val="0"/>
      <w:marTop w:val="0"/>
      <w:marBottom w:val="0"/>
      <w:divBdr>
        <w:top w:val="none" w:sz="0" w:space="0" w:color="auto"/>
        <w:left w:val="none" w:sz="0" w:space="0" w:color="auto"/>
        <w:bottom w:val="none" w:sz="0" w:space="0" w:color="auto"/>
        <w:right w:val="none" w:sz="0" w:space="0" w:color="auto"/>
      </w:divBdr>
    </w:div>
    <w:div w:id="1601329193">
      <w:bodyDiv w:val="1"/>
      <w:marLeft w:val="0"/>
      <w:marRight w:val="0"/>
      <w:marTop w:val="0"/>
      <w:marBottom w:val="0"/>
      <w:divBdr>
        <w:top w:val="none" w:sz="0" w:space="0" w:color="auto"/>
        <w:left w:val="none" w:sz="0" w:space="0" w:color="auto"/>
        <w:bottom w:val="none" w:sz="0" w:space="0" w:color="auto"/>
        <w:right w:val="none" w:sz="0" w:space="0" w:color="auto"/>
      </w:divBdr>
    </w:div>
    <w:div w:id="1662198236">
      <w:bodyDiv w:val="1"/>
      <w:marLeft w:val="0"/>
      <w:marRight w:val="0"/>
      <w:marTop w:val="0"/>
      <w:marBottom w:val="0"/>
      <w:divBdr>
        <w:top w:val="none" w:sz="0" w:space="0" w:color="auto"/>
        <w:left w:val="none" w:sz="0" w:space="0" w:color="auto"/>
        <w:bottom w:val="none" w:sz="0" w:space="0" w:color="auto"/>
        <w:right w:val="none" w:sz="0" w:space="0" w:color="auto"/>
      </w:divBdr>
    </w:div>
    <w:div w:id="1701395042">
      <w:bodyDiv w:val="1"/>
      <w:marLeft w:val="0"/>
      <w:marRight w:val="0"/>
      <w:marTop w:val="0"/>
      <w:marBottom w:val="0"/>
      <w:divBdr>
        <w:top w:val="none" w:sz="0" w:space="0" w:color="auto"/>
        <w:left w:val="none" w:sz="0" w:space="0" w:color="auto"/>
        <w:bottom w:val="none" w:sz="0" w:space="0" w:color="auto"/>
        <w:right w:val="none" w:sz="0" w:space="0" w:color="auto"/>
      </w:divBdr>
    </w:div>
    <w:div w:id="1837107833">
      <w:bodyDiv w:val="1"/>
      <w:marLeft w:val="0"/>
      <w:marRight w:val="0"/>
      <w:marTop w:val="0"/>
      <w:marBottom w:val="0"/>
      <w:divBdr>
        <w:top w:val="none" w:sz="0" w:space="0" w:color="auto"/>
        <w:left w:val="none" w:sz="0" w:space="0" w:color="auto"/>
        <w:bottom w:val="none" w:sz="0" w:space="0" w:color="auto"/>
        <w:right w:val="none" w:sz="0" w:space="0" w:color="auto"/>
      </w:divBdr>
    </w:div>
    <w:div w:id="1892381554">
      <w:bodyDiv w:val="1"/>
      <w:marLeft w:val="0"/>
      <w:marRight w:val="0"/>
      <w:marTop w:val="0"/>
      <w:marBottom w:val="0"/>
      <w:divBdr>
        <w:top w:val="none" w:sz="0" w:space="0" w:color="auto"/>
        <w:left w:val="none" w:sz="0" w:space="0" w:color="auto"/>
        <w:bottom w:val="none" w:sz="0" w:space="0" w:color="auto"/>
        <w:right w:val="none" w:sz="0" w:space="0" w:color="auto"/>
      </w:divBdr>
    </w:div>
    <w:div w:id="2117476584">
      <w:bodyDiv w:val="1"/>
      <w:marLeft w:val="0"/>
      <w:marRight w:val="0"/>
      <w:marTop w:val="0"/>
      <w:marBottom w:val="0"/>
      <w:divBdr>
        <w:top w:val="none" w:sz="0" w:space="0" w:color="auto"/>
        <w:left w:val="none" w:sz="0" w:space="0" w:color="auto"/>
        <w:bottom w:val="none" w:sz="0" w:space="0" w:color="auto"/>
        <w:right w:val="none" w:sz="0" w:space="0" w:color="auto"/>
      </w:divBdr>
    </w:div>
    <w:div w:id="21389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18.xml"/><Relationship Id="rId5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pbs.gov.au/info/industry/listing/elements/pbac-meetings/psd/2011-07/pbac-psd-alendronate-july11" TargetMode="External"/><Relationship Id="rId3" Type="http://schemas.openxmlformats.org/officeDocument/2006/relationships/hyperlink" Target="http://stat.abs.gov.au/" TargetMode="External"/><Relationship Id="rId7" Type="http://schemas.openxmlformats.org/officeDocument/2006/relationships/hyperlink" Target="https://www.tga.gov.au/product-information-pi" TargetMode="External"/><Relationship Id="rId2" Type="http://schemas.openxmlformats.org/officeDocument/2006/relationships/hyperlink" Target="http://www.garvan.org.au/research/diseases-we-research/osteoporosis" TargetMode="External"/><Relationship Id="rId1" Type="http://schemas.openxmlformats.org/officeDocument/2006/relationships/hyperlink" Target="https://www.tga.gov.au/product-information-pi" TargetMode="External"/><Relationship Id="rId6" Type="http://schemas.openxmlformats.org/officeDocument/2006/relationships/hyperlink" Target="http://www.aihw.gov.au/WorkArea/DownloadAsset.aspx?id=10737420130" TargetMode="External"/><Relationship Id="rId5" Type="http://schemas.openxmlformats.org/officeDocument/2006/relationships/hyperlink" Target="http://www.aihw.gov.au/WorkArea/DownloadAsset.aspx?id=10737420130" TargetMode="External"/><Relationship Id="rId4" Type="http://schemas.openxmlformats.org/officeDocument/2006/relationships/hyperlink" Target="http://www.aihw.gov.au/WorkArea/DownloadAsset.aspx?id=10737420130" TargetMode="External"/><Relationship Id="rId9" Type="http://schemas.openxmlformats.org/officeDocument/2006/relationships/hyperlink" Target="https://www.tga.gov.au/product-information-pi"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9.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PAT_CNT_BY_DRUG_N_SUPP_Y, therapy, id=age, sex, MoA, drg_grp.xlsx]Sheet1!PivotTable1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marker>
          <c:symbol val="none"/>
        </c:marker>
      </c:pivotFmt>
      <c:pivotFmt>
        <c:idx val="10"/>
      </c:pivotFmt>
      <c:pivotFmt>
        <c:idx val="11"/>
        <c:marker>
          <c:symbol val="none"/>
        </c:marker>
      </c:pivotFmt>
      <c:pivotFmt>
        <c:idx val="12"/>
      </c:pivotFmt>
      <c:pivotFmt>
        <c:idx val="13"/>
        <c:marker>
          <c:symbol val="none"/>
        </c:marker>
      </c:pivotFmt>
      <c:pivotFmt>
        <c:idx val="14"/>
      </c:pivotFmt>
      <c:pivotFmt>
        <c:idx val="15"/>
      </c:pivotFmt>
      <c:pivotFmt>
        <c:idx val="16"/>
      </c:pivotFmt>
      <c:pivotFmt>
        <c:idx val="17"/>
      </c:pivotFmt>
      <c:pivotFmt>
        <c:idx val="18"/>
      </c:pivotFmt>
      <c:pivotFmt>
        <c:idx val="19"/>
      </c:pivotFmt>
    </c:pivotFmts>
    <c:plotArea>
      <c:layout/>
      <c:lineChart>
        <c:grouping val="standard"/>
        <c:varyColors val="0"/>
        <c:ser>
          <c:idx val="0"/>
          <c:order val="0"/>
          <c:tx>
            <c:strRef>
              <c:f>Sheet1!$B$3:$B$4</c:f>
              <c:strCache>
                <c:ptCount val="1"/>
                <c:pt idx="0">
                  <c:v>prevalent patients</c:v>
                </c:pt>
              </c:strCache>
            </c:strRef>
          </c:tx>
          <c:cat>
            <c:strRef>
              <c:f>Sheet1!$A$5:$A$18</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Sheet1!$B$5:$B$18</c:f>
              <c:numCache>
                <c:formatCode>General</c:formatCode>
                <c:ptCount val="13"/>
                <c:pt idx="0">
                  <c:v>316691</c:v>
                </c:pt>
                <c:pt idx="1">
                  <c:v>352553</c:v>
                </c:pt>
                <c:pt idx="2">
                  <c:v>391036</c:v>
                </c:pt>
                <c:pt idx="3">
                  <c:v>412611</c:v>
                </c:pt>
                <c:pt idx="4">
                  <c:v>440958</c:v>
                </c:pt>
                <c:pt idx="5">
                  <c:v>442473</c:v>
                </c:pt>
                <c:pt idx="6">
                  <c:v>441798</c:v>
                </c:pt>
                <c:pt idx="7">
                  <c:v>442952</c:v>
                </c:pt>
                <c:pt idx="8">
                  <c:v>445529</c:v>
                </c:pt>
                <c:pt idx="9">
                  <c:v>450983</c:v>
                </c:pt>
                <c:pt idx="10">
                  <c:v>452945</c:v>
                </c:pt>
                <c:pt idx="11">
                  <c:v>455957</c:v>
                </c:pt>
                <c:pt idx="12">
                  <c:v>471497</c:v>
                </c:pt>
              </c:numCache>
            </c:numRef>
          </c:val>
          <c:smooth val="0"/>
          <c:extLst xmlns:c16r2="http://schemas.microsoft.com/office/drawing/2015/06/chart">
            <c:ext xmlns:c16="http://schemas.microsoft.com/office/drawing/2014/chart" uri="{C3380CC4-5D6E-409C-BE32-E72D297353CC}">
              <c16:uniqueId val="{00000000-6A9C-47BD-85BF-DECCB0BB703E}"/>
            </c:ext>
          </c:extLst>
        </c:ser>
        <c:ser>
          <c:idx val="1"/>
          <c:order val="1"/>
          <c:tx>
            <c:strRef>
              <c:f>Sheet1!$C$3:$C$4</c:f>
              <c:strCache>
                <c:ptCount val="1"/>
                <c:pt idx="0">
                  <c:v>initiating patients - no script since January 2003</c:v>
                </c:pt>
              </c:strCache>
            </c:strRef>
          </c:tx>
          <c:cat>
            <c:strRef>
              <c:f>Sheet1!$A$5:$A$18</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Sheet1!$C$5:$C$18</c:f>
              <c:numCache>
                <c:formatCode>General</c:formatCode>
                <c:ptCount val="13"/>
                <c:pt idx="2">
                  <c:v>82771</c:v>
                </c:pt>
                <c:pt idx="3">
                  <c:v>70421</c:v>
                </c:pt>
                <c:pt idx="4">
                  <c:v>77989</c:v>
                </c:pt>
                <c:pt idx="5">
                  <c:v>71079</c:v>
                </c:pt>
                <c:pt idx="6">
                  <c:v>67475</c:v>
                </c:pt>
                <c:pt idx="7">
                  <c:v>64717</c:v>
                </c:pt>
                <c:pt idx="8">
                  <c:v>66334</c:v>
                </c:pt>
                <c:pt idx="9">
                  <c:v>67574</c:v>
                </c:pt>
                <c:pt idx="10">
                  <c:v>65804</c:v>
                </c:pt>
                <c:pt idx="11">
                  <c:v>67092</c:v>
                </c:pt>
                <c:pt idx="12">
                  <c:v>72132</c:v>
                </c:pt>
              </c:numCache>
            </c:numRef>
          </c:val>
          <c:smooth val="0"/>
          <c:extLst xmlns:c16r2="http://schemas.microsoft.com/office/drawing/2015/06/chart">
            <c:ext xmlns:c16="http://schemas.microsoft.com/office/drawing/2014/chart" uri="{C3380CC4-5D6E-409C-BE32-E72D297353CC}">
              <c16:uniqueId val="{00000001-6A9C-47BD-85BF-DECCB0BB703E}"/>
            </c:ext>
          </c:extLst>
        </c:ser>
        <c:ser>
          <c:idx val="2"/>
          <c:order val="2"/>
          <c:tx>
            <c:strRef>
              <c:f>Sheet1!$D$3:$D$4</c:f>
              <c:strCache>
                <c:ptCount val="1"/>
                <c:pt idx="0">
                  <c:v>re-initiating patients - no prior supply within last 24 months</c:v>
                </c:pt>
              </c:strCache>
            </c:strRef>
          </c:tx>
          <c:cat>
            <c:strRef>
              <c:f>Sheet1!$A$5:$A$18</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Sheet1!$D$5:$D$18</c:f>
              <c:numCache>
                <c:formatCode>General</c:formatCode>
                <c:ptCount val="13"/>
                <c:pt idx="2">
                  <c:v>1572</c:v>
                </c:pt>
                <c:pt idx="3">
                  <c:v>3907</c:v>
                </c:pt>
                <c:pt idx="4">
                  <c:v>6201</c:v>
                </c:pt>
                <c:pt idx="5">
                  <c:v>7273</c:v>
                </c:pt>
                <c:pt idx="6">
                  <c:v>9743</c:v>
                </c:pt>
                <c:pt idx="7">
                  <c:v>12296</c:v>
                </c:pt>
                <c:pt idx="8">
                  <c:v>15071</c:v>
                </c:pt>
                <c:pt idx="9">
                  <c:v>16512</c:v>
                </c:pt>
                <c:pt idx="10">
                  <c:v>17653</c:v>
                </c:pt>
                <c:pt idx="11">
                  <c:v>18710</c:v>
                </c:pt>
                <c:pt idx="12">
                  <c:v>21346</c:v>
                </c:pt>
              </c:numCache>
            </c:numRef>
          </c:val>
          <c:smooth val="0"/>
          <c:extLst xmlns:c16r2="http://schemas.microsoft.com/office/drawing/2015/06/chart">
            <c:ext xmlns:c16="http://schemas.microsoft.com/office/drawing/2014/chart" uri="{C3380CC4-5D6E-409C-BE32-E72D297353CC}">
              <c16:uniqueId val="{00000002-6A9C-47BD-85BF-DECCB0BB703E}"/>
            </c:ext>
          </c:extLst>
        </c:ser>
        <c:dLbls>
          <c:showLegendKey val="0"/>
          <c:showVal val="0"/>
          <c:showCatName val="0"/>
          <c:showSerName val="0"/>
          <c:showPercent val="0"/>
          <c:showBubbleSize val="0"/>
        </c:dLbls>
        <c:marker val="1"/>
        <c:smooth val="0"/>
        <c:axId val="127947136"/>
        <c:axId val="127948672"/>
      </c:lineChart>
      <c:catAx>
        <c:axId val="127947136"/>
        <c:scaling>
          <c:orientation val="minMax"/>
        </c:scaling>
        <c:delete val="0"/>
        <c:axPos val="b"/>
        <c:numFmt formatCode="General" sourceLinked="0"/>
        <c:majorTickMark val="none"/>
        <c:minorTickMark val="none"/>
        <c:tickLblPos val="nextTo"/>
        <c:crossAx val="127948672"/>
        <c:crosses val="autoZero"/>
        <c:auto val="1"/>
        <c:lblAlgn val="ctr"/>
        <c:lblOffset val="100"/>
        <c:noMultiLvlLbl val="0"/>
      </c:catAx>
      <c:valAx>
        <c:axId val="127948672"/>
        <c:scaling>
          <c:orientation val="minMax"/>
        </c:scaling>
        <c:delete val="0"/>
        <c:axPos val="l"/>
        <c:majorGridlines/>
        <c:title>
          <c:tx>
            <c:rich>
              <a:bodyPr rot="-5400000" vert="horz"/>
              <a:lstStyle/>
              <a:p>
                <a:pPr>
                  <a:defRPr b="0"/>
                </a:pPr>
                <a:r>
                  <a:rPr lang="en-AU" b="0"/>
                  <a:t>Patietns</a:t>
                </a:r>
              </a:p>
            </c:rich>
          </c:tx>
          <c:layout>
            <c:manualLayout>
              <c:xMode val="edge"/>
              <c:yMode val="edge"/>
              <c:x val="1.340033500837521E-2"/>
              <c:y val="0.30857689856669152"/>
            </c:manualLayout>
          </c:layout>
          <c:overlay val="0"/>
        </c:title>
        <c:numFmt formatCode="#,##0" sourceLinked="0"/>
        <c:majorTickMark val="none"/>
        <c:minorTickMark val="none"/>
        <c:tickLblPos val="nextTo"/>
        <c:crossAx val="127947136"/>
        <c:crosses val="autoZero"/>
        <c:crossBetween val="between"/>
      </c:valAx>
    </c:plotArea>
    <c:legend>
      <c:legendPos val="b"/>
      <c:layout/>
      <c:overlay val="0"/>
    </c:legend>
    <c:plotVisOnly val="1"/>
    <c:dispBlanksAs val="gap"/>
    <c:showDLblsOverMax val="0"/>
  </c:chart>
  <c:externalData r:id="rId1">
    <c:autoUpdate val="0"/>
  </c:externalData>
  <c:userShapes r:id="rId2"/>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[D941_AGSTD_PATS - raw and age adj rates - adj for time and state age distr change v2.xlsx]Sheet1 (4)!PivotTable4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marker>
          <c:symbol val="none"/>
        </c:marker>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s>
    <c:plotArea>
      <c:layout/>
      <c:lineChart>
        <c:grouping val="standard"/>
        <c:varyColors val="0"/>
        <c:ser>
          <c:idx val="0"/>
          <c:order val="0"/>
          <c:tx>
            <c:strRef>
              <c:f>'Sheet1 (4)'!$B$3:$B$4</c:f>
              <c:strCache>
                <c:ptCount val="1"/>
                <c:pt idx="0">
                  <c:v>ACT</c:v>
                </c:pt>
              </c:strCache>
            </c:strRef>
          </c:tx>
          <c:cat>
            <c:strRef>
              <c:f>'Sheet1 (4)'!$A$5:$A$18</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(4)'!$B$5:$B$18</c:f>
              <c:numCache>
                <c:formatCode>General</c:formatCode>
                <c:ptCount val="13"/>
                <c:pt idx="0">
                  <c:v>28.471365202299999</c:v>
                </c:pt>
                <c:pt idx="1">
                  <c:v>30.373714164500001</c:v>
                </c:pt>
                <c:pt idx="2">
                  <c:v>32.285543388800001</c:v>
                </c:pt>
                <c:pt idx="3">
                  <c:v>32.653367014499999</c:v>
                </c:pt>
                <c:pt idx="4">
                  <c:v>33.156069068800008</c:v>
                </c:pt>
                <c:pt idx="5">
                  <c:v>30.7553796037</c:v>
                </c:pt>
                <c:pt idx="6">
                  <c:v>29.054741289900001</c:v>
                </c:pt>
                <c:pt idx="7">
                  <c:v>27.965336614599998</c:v>
                </c:pt>
                <c:pt idx="8">
                  <c:v>27.615542119699999</c:v>
                </c:pt>
                <c:pt idx="9">
                  <c:v>27.513139281400001</c:v>
                </c:pt>
                <c:pt idx="10">
                  <c:v>26.466095018099999</c:v>
                </c:pt>
                <c:pt idx="11">
                  <c:v>25.759792889600003</c:v>
                </c:pt>
                <c:pt idx="12">
                  <c:v>25.682769264800001</c:v>
                </c:pt>
              </c:numCache>
            </c:numRef>
          </c:val>
          <c:smooth val="0"/>
          <c:extLst xmlns:c16r2="http://schemas.microsoft.com/office/drawing/2015/06/chart">
            <c:ext xmlns:c16="http://schemas.microsoft.com/office/drawing/2014/chart" uri="{C3380CC4-5D6E-409C-BE32-E72D297353CC}">
              <c16:uniqueId val="{00000000-49D8-4D8E-BD82-1EE078DB95D4}"/>
            </c:ext>
          </c:extLst>
        </c:ser>
        <c:ser>
          <c:idx val="1"/>
          <c:order val="1"/>
          <c:tx>
            <c:strRef>
              <c:f>'Sheet1 (4)'!$C$3:$C$4</c:f>
              <c:strCache>
                <c:ptCount val="1"/>
                <c:pt idx="0">
                  <c:v>NSW</c:v>
                </c:pt>
              </c:strCache>
            </c:strRef>
          </c:tx>
          <c:cat>
            <c:strRef>
              <c:f>'Sheet1 (4)'!$A$5:$A$18</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(4)'!$C$5:$C$18</c:f>
              <c:numCache>
                <c:formatCode>General</c:formatCode>
                <c:ptCount val="13"/>
                <c:pt idx="0">
                  <c:v>19.809463481100003</c:v>
                </c:pt>
                <c:pt idx="1">
                  <c:v>21.605573709400002</c:v>
                </c:pt>
                <c:pt idx="2">
                  <c:v>23.3783005855</c:v>
                </c:pt>
                <c:pt idx="3">
                  <c:v>24.2635265686</c:v>
                </c:pt>
                <c:pt idx="4">
                  <c:v>25.176185568400001</c:v>
                </c:pt>
                <c:pt idx="5">
                  <c:v>24.507794988500002</c:v>
                </c:pt>
                <c:pt idx="6">
                  <c:v>23.713897641799999</c:v>
                </c:pt>
                <c:pt idx="7">
                  <c:v>22.994212505300002</c:v>
                </c:pt>
                <c:pt idx="8">
                  <c:v>22.436960784500002</c:v>
                </c:pt>
                <c:pt idx="9">
                  <c:v>22.127025838999998</c:v>
                </c:pt>
                <c:pt idx="10">
                  <c:v>21.463228363500001</c:v>
                </c:pt>
                <c:pt idx="11">
                  <c:v>20.897882085900001</c:v>
                </c:pt>
                <c:pt idx="12">
                  <c:v>20.818627700500002</c:v>
                </c:pt>
              </c:numCache>
            </c:numRef>
          </c:val>
          <c:smooth val="0"/>
          <c:extLst xmlns:c16r2="http://schemas.microsoft.com/office/drawing/2015/06/chart">
            <c:ext xmlns:c16="http://schemas.microsoft.com/office/drawing/2014/chart" uri="{C3380CC4-5D6E-409C-BE32-E72D297353CC}">
              <c16:uniqueId val="{00000001-49D8-4D8E-BD82-1EE078DB95D4}"/>
            </c:ext>
          </c:extLst>
        </c:ser>
        <c:ser>
          <c:idx val="2"/>
          <c:order val="2"/>
          <c:tx>
            <c:strRef>
              <c:f>'Sheet1 (4)'!$D$3:$D$4</c:f>
              <c:strCache>
                <c:ptCount val="1"/>
                <c:pt idx="0">
                  <c:v>NT</c:v>
                </c:pt>
              </c:strCache>
            </c:strRef>
          </c:tx>
          <c:cat>
            <c:strRef>
              <c:f>'Sheet1 (4)'!$A$5:$A$18</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(4)'!$D$5:$D$18</c:f>
              <c:numCache>
                <c:formatCode>General</c:formatCode>
                <c:ptCount val="13"/>
                <c:pt idx="0">
                  <c:v>8.6660628672999991</c:v>
                </c:pt>
                <c:pt idx="1">
                  <c:v>9.9488174817000008</c:v>
                </c:pt>
                <c:pt idx="2">
                  <c:v>10.746666578399999</c:v>
                </c:pt>
                <c:pt idx="3">
                  <c:v>11.3400408523</c:v>
                </c:pt>
                <c:pt idx="4">
                  <c:v>12.7552429728</c:v>
                </c:pt>
                <c:pt idx="5">
                  <c:v>13.1099741545</c:v>
                </c:pt>
                <c:pt idx="6">
                  <c:v>13.484434346099999</c:v>
                </c:pt>
                <c:pt idx="7">
                  <c:v>13.475040800199999</c:v>
                </c:pt>
                <c:pt idx="8">
                  <c:v>14.054656606299998</c:v>
                </c:pt>
                <c:pt idx="9">
                  <c:v>14.628198920300001</c:v>
                </c:pt>
                <c:pt idx="10">
                  <c:v>14.562419396599999</c:v>
                </c:pt>
                <c:pt idx="11">
                  <c:v>14.052753805800004</c:v>
                </c:pt>
                <c:pt idx="12">
                  <c:v>14.231830387600001</c:v>
                </c:pt>
              </c:numCache>
            </c:numRef>
          </c:val>
          <c:smooth val="0"/>
          <c:extLst xmlns:c16r2="http://schemas.microsoft.com/office/drawing/2015/06/chart">
            <c:ext xmlns:c16="http://schemas.microsoft.com/office/drawing/2014/chart" uri="{C3380CC4-5D6E-409C-BE32-E72D297353CC}">
              <c16:uniqueId val="{00000002-49D8-4D8E-BD82-1EE078DB95D4}"/>
            </c:ext>
          </c:extLst>
        </c:ser>
        <c:ser>
          <c:idx val="3"/>
          <c:order val="3"/>
          <c:tx>
            <c:strRef>
              <c:f>'Sheet1 (4)'!$E$3:$E$4</c:f>
              <c:strCache>
                <c:ptCount val="1"/>
                <c:pt idx="0">
                  <c:v>QLD</c:v>
                </c:pt>
              </c:strCache>
            </c:strRef>
          </c:tx>
          <c:cat>
            <c:strRef>
              <c:f>'Sheet1 (4)'!$A$5:$A$18</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(4)'!$E$5:$E$18</c:f>
              <c:numCache>
                <c:formatCode>General</c:formatCode>
                <c:ptCount val="13"/>
                <c:pt idx="0">
                  <c:v>18.890337665899999</c:v>
                </c:pt>
                <c:pt idx="1">
                  <c:v>20.2774258054</c:v>
                </c:pt>
                <c:pt idx="2">
                  <c:v>21.843046856599997</c:v>
                </c:pt>
                <c:pt idx="3">
                  <c:v>22.385132220200003</c:v>
                </c:pt>
                <c:pt idx="4">
                  <c:v>23.3701832699</c:v>
                </c:pt>
                <c:pt idx="5">
                  <c:v>22.907951822699999</c:v>
                </c:pt>
                <c:pt idx="6">
                  <c:v>22.2802068845</c:v>
                </c:pt>
                <c:pt idx="7">
                  <c:v>21.791502935700002</c:v>
                </c:pt>
                <c:pt idx="8">
                  <c:v>21.403752577799999</c:v>
                </c:pt>
                <c:pt idx="9">
                  <c:v>20.9923088669</c:v>
                </c:pt>
                <c:pt idx="10">
                  <c:v>20.668670908700001</c:v>
                </c:pt>
                <c:pt idx="11">
                  <c:v>20.2673628105</c:v>
                </c:pt>
                <c:pt idx="12">
                  <c:v>20.615578347300001</c:v>
                </c:pt>
              </c:numCache>
            </c:numRef>
          </c:val>
          <c:smooth val="0"/>
          <c:extLst xmlns:c16r2="http://schemas.microsoft.com/office/drawing/2015/06/chart">
            <c:ext xmlns:c16="http://schemas.microsoft.com/office/drawing/2014/chart" uri="{C3380CC4-5D6E-409C-BE32-E72D297353CC}">
              <c16:uniqueId val="{00000003-49D8-4D8E-BD82-1EE078DB95D4}"/>
            </c:ext>
          </c:extLst>
        </c:ser>
        <c:ser>
          <c:idx val="4"/>
          <c:order val="4"/>
          <c:tx>
            <c:strRef>
              <c:f>'Sheet1 (4)'!$F$3:$F$4</c:f>
              <c:strCache>
                <c:ptCount val="1"/>
                <c:pt idx="0">
                  <c:v>SA</c:v>
                </c:pt>
              </c:strCache>
            </c:strRef>
          </c:tx>
          <c:cat>
            <c:strRef>
              <c:f>'Sheet1 (4)'!$A$5:$A$18</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(4)'!$F$5:$F$18</c:f>
              <c:numCache>
                <c:formatCode>General</c:formatCode>
                <c:ptCount val="13"/>
                <c:pt idx="0">
                  <c:v>16.644712417499999</c:v>
                </c:pt>
                <c:pt idx="1">
                  <c:v>18.361703226899998</c:v>
                </c:pt>
                <c:pt idx="2">
                  <c:v>20.249571042300001</c:v>
                </c:pt>
                <c:pt idx="3">
                  <c:v>20.685905874700001</c:v>
                </c:pt>
                <c:pt idx="4">
                  <c:v>20.952691901999998</c:v>
                </c:pt>
                <c:pt idx="5">
                  <c:v>19.993120551699999</c:v>
                </c:pt>
                <c:pt idx="6">
                  <c:v>19.641575112799998</c:v>
                </c:pt>
                <c:pt idx="7">
                  <c:v>19.612127536000003</c:v>
                </c:pt>
                <c:pt idx="8">
                  <c:v>19.207321100600002</c:v>
                </c:pt>
                <c:pt idx="9">
                  <c:v>18.830079381099999</c:v>
                </c:pt>
                <c:pt idx="10">
                  <c:v>18.595440724100001</c:v>
                </c:pt>
                <c:pt idx="11">
                  <c:v>18.037965330800002</c:v>
                </c:pt>
                <c:pt idx="12">
                  <c:v>18.1294580014</c:v>
                </c:pt>
              </c:numCache>
            </c:numRef>
          </c:val>
          <c:smooth val="0"/>
          <c:extLst xmlns:c16r2="http://schemas.microsoft.com/office/drawing/2015/06/chart">
            <c:ext xmlns:c16="http://schemas.microsoft.com/office/drawing/2014/chart" uri="{C3380CC4-5D6E-409C-BE32-E72D297353CC}">
              <c16:uniqueId val="{00000004-49D8-4D8E-BD82-1EE078DB95D4}"/>
            </c:ext>
          </c:extLst>
        </c:ser>
        <c:ser>
          <c:idx val="5"/>
          <c:order val="5"/>
          <c:tx>
            <c:strRef>
              <c:f>'Sheet1 (4)'!$G$3:$G$4</c:f>
              <c:strCache>
                <c:ptCount val="1"/>
                <c:pt idx="0">
                  <c:v>TAS</c:v>
                </c:pt>
              </c:strCache>
            </c:strRef>
          </c:tx>
          <c:cat>
            <c:strRef>
              <c:f>'Sheet1 (4)'!$A$5:$A$18</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(4)'!$G$5:$G$18</c:f>
              <c:numCache>
                <c:formatCode>General</c:formatCode>
                <c:ptCount val="13"/>
                <c:pt idx="0">
                  <c:v>13.8539153519</c:v>
                </c:pt>
                <c:pt idx="1">
                  <c:v>14.468170453699999</c:v>
                </c:pt>
                <c:pt idx="2">
                  <c:v>15.086812307900001</c:v>
                </c:pt>
                <c:pt idx="3">
                  <c:v>15.1568440717</c:v>
                </c:pt>
                <c:pt idx="4">
                  <c:v>15.642409451400001</c:v>
                </c:pt>
                <c:pt idx="5">
                  <c:v>15.597483605000001</c:v>
                </c:pt>
                <c:pt idx="6">
                  <c:v>15.549172285600001</c:v>
                </c:pt>
                <c:pt idx="7">
                  <c:v>15.284771421699997</c:v>
                </c:pt>
                <c:pt idx="8">
                  <c:v>14.692628403000002</c:v>
                </c:pt>
                <c:pt idx="9">
                  <c:v>14.4646711651</c:v>
                </c:pt>
                <c:pt idx="10">
                  <c:v>14.430003726699997</c:v>
                </c:pt>
                <c:pt idx="11">
                  <c:v>14.9795071066</c:v>
                </c:pt>
                <c:pt idx="12">
                  <c:v>15.756497011099997</c:v>
                </c:pt>
              </c:numCache>
            </c:numRef>
          </c:val>
          <c:smooth val="0"/>
          <c:extLst xmlns:c16r2="http://schemas.microsoft.com/office/drawing/2015/06/chart">
            <c:ext xmlns:c16="http://schemas.microsoft.com/office/drawing/2014/chart" uri="{C3380CC4-5D6E-409C-BE32-E72D297353CC}">
              <c16:uniqueId val="{00000005-49D8-4D8E-BD82-1EE078DB95D4}"/>
            </c:ext>
          </c:extLst>
        </c:ser>
        <c:ser>
          <c:idx val="6"/>
          <c:order val="6"/>
          <c:tx>
            <c:strRef>
              <c:f>'Sheet1 (4)'!$H$3:$H$4</c:f>
              <c:strCache>
                <c:ptCount val="1"/>
                <c:pt idx="0">
                  <c:v>VIC</c:v>
                </c:pt>
              </c:strCache>
            </c:strRef>
          </c:tx>
          <c:cat>
            <c:strRef>
              <c:f>'Sheet1 (4)'!$A$5:$A$18</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(4)'!$H$5:$H$18</c:f>
              <c:numCache>
                <c:formatCode>General</c:formatCode>
                <c:ptCount val="13"/>
                <c:pt idx="0">
                  <c:v>14.498224802899999</c:v>
                </c:pt>
                <c:pt idx="1">
                  <c:v>16.044566909499999</c:v>
                </c:pt>
                <c:pt idx="2">
                  <c:v>17.597855602700001</c:v>
                </c:pt>
                <c:pt idx="3">
                  <c:v>18.355457254500003</c:v>
                </c:pt>
                <c:pt idx="4">
                  <c:v>19.263985438600002</c:v>
                </c:pt>
                <c:pt idx="5">
                  <c:v>19.239505224399998</c:v>
                </c:pt>
                <c:pt idx="6">
                  <c:v>18.781792091500005</c:v>
                </c:pt>
                <c:pt idx="7">
                  <c:v>18.243895195500002</c:v>
                </c:pt>
                <c:pt idx="8">
                  <c:v>17.806152458700002</c:v>
                </c:pt>
                <c:pt idx="9">
                  <c:v>17.505318086100001</c:v>
                </c:pt>
                <c:pt idx="10">
                  <c:v>17.066615802000001</c:v>
                </c:pt>
                <c:pt idx="11">
                  <c:v>16.665342927800001</c:v>
                </c:pt>
                <c:pt idx="12">
                  <c:v>16.6803729365</c:v>
                </c:pt>
              </c:numCache>
            </c:numRef>
          </c:val>
          <c:smooth val="0"/>
          <c:extLst xmlns:c16r2="http://schemas.microsoft.com/office/drawing/2015/06/chart">
            <c:ext xmlns:c16="http://schemas.microsoft.com/office/drawing/2014/chart" uri="{C3380CC4-5D6E-409C-BE32-E72D297353CC}">
              <c16:uniqueId val="{00000006-49D8-4D8E-BD82-1EE078DB95D4}"/>
            </c:ext>
          </c:extLst>
        </c:ser>
        <c:ser>
          <c:idx val="7"/>
          <c:order val="7"/>
          <c:tx>
            <c:strRef>
              <c:f>'Sheet1 (4)'!$I$3:$I$4</c:f>
              <c:strCache>
                <c:ptCount val="1"/>
                <c:pt idx="0">
                  <c:v>WA</c:v>
                </c:pt>
              </c:strCache>
            </c:strRef>
          </c:tx>
          <c:cat>
            <c:strRef>
              <c:f>'Sheet1 (4)'!$A$5:$A$18</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(4)'!$I$5:$I$18</c:f>
              <c:numCache>
                <c:formatCode>General</c:formatCode>
                <c:ptCount val="13"/>
                <c:pt idx="0">
                  <c:v>14.252499318</c:v>
                </c:pt>
                <c:pt idx="1">
                  <c:v>15.4470846177</c:v>
                </c:pt>
                <c:pt idx="2">
                  <c:v>16.3056964775</c:v>
                </c:pt>
                <c:pt idx="3">
                  <c:v>16.337635311099998</c:v>
                </c:pt>
                <c:pt idx="4">
                  <c:v>16.690038179199998</c:v>
                </c:pt>
                <c:pt idx="5">
                  <c:v>16.194527455600003</c:v>
                </c:pt>
                <c:pt idx="6">
                  <c:v>15.857589374399998</c:v>
                </c:pt>
                <c:pt idx="7">
                  <c:v>15.5113647721</c:v>
                </c:pt>
                <c:pt idx="8">
                  <c:v>15.333454536800001</c:v>
                </c:pt>
                <c:pt idx="9">
                  <c:v>15.140237699199998</c:v>
                </c:pt>
                <c:pt idx="10">
                  <c:v>14.881789887299998</c:v>
                </c:pt>
                <c:pt idx="11">
                  <c:v>14.804561042200001</c:v>
                </c:pt>
                <c:pt idx="12">
                  <c:v>15.059620406200001</c:v>
                </c:pt>
              </c:numCache>
            </c:numRef>
          </c:val>
          <c:smooth val="0"/>
          <c:extLst xmlns:c16r2="http://schemas.microsoft.com/office/drawing/2015/06/chart">
            <c:ext xmlns:c16="http://schemas.microsoft.com/office/drawing/2014/chart" uri="{C3380CC4-5D6E-409C-BE32-E72D297353CC}">
              <c16:uniqueId val="{00000007-49D8-4D8E-BD82-1EE078DB95D4}"/>
            </c:ext>
          </c:extLst>
        </c:ser>
        <c:dLbls>
          <c:showLegendKey val="0"/>
          <c:showVal val="0"/>
          <c:showCatName val="0"/>
          <c:showSerName val="0"/>
          <c:showPercent val="0"/>
          <c:showBubbleSize val="0"/>
        </c:dLbls>
        <c:marker val="1"/>
        <c:smooth val="0"/>
        <c:axId val="114837376"/>
        <c:axId val="114838912"/>
      </c:lineChart>
      <c:catAx>
        <c:axId val="114837376"/>
        <c:scaling>
          <c:orientation val="minMax"/>
        </c:scaling>
        <c:delete val="0"/>
        <c:axPos val="b"/>
        <c:numFmt formatCode="General" sourceLinked="0"/>
        <c:majorTickMark val="none"/>
        <c:minorTickMark val="none"/>
        <c:tickLblPos val="nextTo"/>
        <c:crossAx val="114838912"/>
        <c:crosses val="autoZero"/>
        <c:auto val="1"/>
        <c:lblAlgn val="ctr"/>
        <c:lblOffset val="100"/>
        <c:noMultiLvlLbl val="0"/>
      </c:catAx>
      <c:valAx>
        <c:axId val="114838912"/>
        <c:scaling>
          <c:orientation val="minMax"/>
        </c:scaling>
        <c:delete val="0"/>
        <c:axPos val="l"/>
        <c:majorGridlines/>
        <c:title>
          <c:tx>
            <c:rich>
              <a:bodyPr rot="-5400000" vert="horz"/>
              <a:lstStyle/>
              <a:p>
                <a:pPr>
                  <a:defRPr/>
                </a:pPr>
                <a:r>
                  <a:rPr lang="en-AU"/>
                  <a:t>Patients per 1000 population (age adjusted)</a:t>
                </a:r>
              </a:p>
            </c:rich>
          </c:tx>
          <c:layout>
            <c:manualLayout>
              <c:xMode val="edge"/>
              <c:yMode val="edge"/>
              <c:x val="2.0079185421000616E-2"/>
              <c:y val="0.13887700765799338"/>
            </c:manualLayout>
          </c:layout>
          <c:overlay val="0"/>
        </c:title>
        <c:numFmt formatCode="General" sourceLinked="1"/>
        <c:majorTickMark val="none"/>
        <c:minorTickMark val="none"/>
        <c:tickLblPos val="nextTo"/>
        <c:crossAx val="114837376"/>
        <c:crosses val="autoZero"/>
        <c:crossBetween val="between"/>
      </c:valAx>
    </c:plotArea>
    <c:legend>
      <c:legendPos val="r"/>
      <c:layout/>
      <c:overlay val="0"/>
    </c:legend>
    <c:plotVisOnly val="1"/>
    <c:dispBlanksAs val="gap"/>
    <c:showDLblsOverMax val="0"/>
  </c:chart>
  <c:externalData r:id="rId2">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[D941_AGSTD_PATS - raw and age adj rates - adj for time and state age distr change v2.xlsx]Sheet1 (5)!PivotTable4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marker>
          <c:symbol val="none"/>
        </c:marker>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s>
    <c:plotArea>
      <c:layout/>
      <c:lineChart>
        <c:grouping val="standard"/>
        <c:varyColors val="0"/>
        <c:ser>
          <c:idx val="0"/>
          <c:order val="0"/>
          <c:tx>
            <c:strRef>
              <c:f>'Sheet1 (5)'!$B$4:$B$5</c:f>
              <c:strCache>
                <c:ptCount val="1"/>
                <c:pt idx="0">
                  <c:v>ACT</c:v>
                </c:pt>
              </c:strCache>
            </c:strRef>
          </c:tx>
          <c:cat>
            <c:strRef>
              <c:f>'Sheet1 (5)'!$A$6:$A$12</c:f>
              <c:strCache>
                <c:ptCount val="6"/>
                <c:pt idx="0">
                  <c:v>2010</c:v>
                </c:pt>
                <c:pt idx="1">
                  <c:v>2011</c:v>
                </c:pt>
                <c:pt idx="2">
                  <c:v>2012</c:v>
                </c:pt>
                <c:pt idx="3">
                  <c:v>2013</c:v>
                </c:pt>
                <c:pt idx="4">
                  <c:v>2014</c:v>
                </c:pt>
                <c:pt idx="5">
                  <c:v>2015</c:v>
                </c:pt>
              </c:strCache>
            </c:strRef>
          </c:cat>
          <c:val>
            <c:numRef>
              <c:f>'Sheet1 (5)'!$B$6:$B$12</c:f>
              <c:numCache>
                <c:formatCode>General</c:formatCode>
                <c:ptCount val="6"/>
                <c:pt idx="0">
                  <c:v>1.79706858E-2</c:v>
                </c:pt>
                <c:pt idx="1">
                  <c:v>0.97540518980000002</c:v>
                </c:pt>
                <c:pt idx="2">
                  <c:v>1.6275724906</c:v>
                </c:pt>
                <c:pt idx="3">
                  <c:v>2.5214559974999999</c:v>
                </c:pt>
                <c:pt idx="4">
                  <c:v>4.4844599935999998</c:v>
                </c:pt>
                <c:pt idx="5">
                  <c:v>4.9754828828999997</c:v>
                </c:pt>
              </c:numCache>
            </c:numRef>
          </c:val>
          <c:smooth val="0"/>
          <c:extLst xmlns:c16r2="http://schemas.microsoft.com/office/drawing/2015/06/chart">
            <c:ext xmlns:c16="http://schemas.microsoft.com/office/drawing/2014/chart" uri="{C3380CC4-5D6E-409C-BE32-E72D297353CC}">
              <c16:uniqueId val="{00000000-01E3-48CC-BB89-D3F2F61AE630}"/>
            </c:ext>
          </c:extLst>
        </c:ser>
        <c:ser>
          <c:idx val="1"/>
          <c:order val="1"/>
          <c:tx>
            <c:strRef>
              <c:f>'Sheet1 (5)'!$C$4:$C$5</c:f>
              <c:strCache>
                <c:ptCount val="1"/>
                <c:pt idx="0">
                  <c:v>NSW</c:v>
                </c:pt>
              </c:strCache>
            </c:strRef>
          </c:tx>
          <c:cat>
            <c:strRef>
              <c:f>'Sheet1 (5)'!$A$6:$A$12</c:f>
              <c:strCache>
                <c:ptCount val="6"/>
                <c:pt idx="0">
                  <c:v>2010</c:v>
                </c:pt>
                <c:pt idx="1">
                  <c:v>2011</c:v>
                </c:pt>
                <c:pt idx="2">
                  <c:v>2012</c:v>
                </c:pt>
                <c:pt idx="3">
                  <c:v>2013</c:v>
                </c:pt>
                <c:pt idx="4">
                  <c:v>2014</c:v>
                </c:pt>
                <c:pt idx="5">
                  <c:v>2015</c:v>
                </c:pt>
              </c:strCache>
            </c:strRef>
          </c:cat>
          <c:val>
            <c:numRef>
              <c:f>'Sheet1 (5)'!$C$6:$C$12</c:f>
              <c:numCache>
                <c:formatCode>General</c:formatCode>
                <c:ptCount val="6"/>
                <c:pt idx="0">
                  <c:v>9.1933094000000003E-3</c:v>
                </c:pt>
                <c:pt idx="1">
                  <c:v>0.54950470029999998</c:v>
                </c:pt>
                <c:pt idx="2">
                  <c:v>1.2088129303999999</c:v>
                </c:pt>
                <c:pt idx="3">
                  <c:v>1.8290555988999999</c:v>
                </c:pt>
                <c:pt idx="4">
                  <c:v>3.2850873709999999</c:v>
                </c:pt>
                <c:pt idx="5">
                  <c:v>3.6265398286999999</c:v>
                </c:pt>
              </c:numCache>
            </c:numRef>
          </c:val>
          <c:smooth val="0"/>
          <c:extLst xmlns:c16r2="http://schemas.microsoft.com/office/drawing/2015/06/chart">
            <c:ext xmlns:c16="http://schemas.microsoft.com/office/drawing/2014/chart" uri="{C3380CC4-5D6E-409C-BE32-E72D297353CC}">
              <c16:uniqueId val="{00000001-01E3-48CC-BB89-D3F2F61AE630}"/>
            </c:ext>
          </c:extLst>
        </c:ser>
        <c:ser>
          <c:idx val="2"/>
          <c:order val="2"/>
          <c:tx>
            <c:strRef>
              <c:f>'Sheet1 (5)'!$D$4:$D$5</c:f>
              <c:strCache>
                <c:ptCount val="1"/>
                <c:pt idx="0">
                  <c:v>NT</c:v>
                </c:pt>
              </c:strCache>
            </c:strRef>
          </c:tx>
          <c:cat>
            <c:strRef>
              <c:f>'Sheet1 (5)'!$A$6:$A$12</c:f>
              <c:strCache>
                <c:ptCount val="6"/>
                <c:pt idx="0">
                  <c:v>2010</c:v>
                </c:pt>
                <c:pt idx="1">
                  <c:v>2011</c:v>
                </c:pt>
                <c:pt idx="2">
                  <c:v>2012</c:v>
                </c:pt>
                <c:pt idx="3">
                  <c:v>2013</c:v>
                </c:pt>
                <c:pt idx="4">
                  <c:v>2014</c:v>
                </c:pt>
                <c:pt idx="5">
                  <c:v>2015</c:v>
                </c:pt>
              </c:strCache>
            </c:strRef>
          </c:cat>
          <c:val>
            <c:numRef>
              <c:f>'Sheet1 (5)'!$D$6:$D$12</c:f>
              <c:numCache>
                <c:formatCode>General</c:formatCode>
                <c:ptCount val="6"/>
                <c:pt idx="1">
                  <c:v>0.19314609760000001</c:v>
                </c:pt>
                <c:pt idx="2">
                  <c:v>0.37047213509999999</c:v>
                </c:pt>
                <c:pt idx="3">
                  <c:v>0.80068989850000005</c:v>
                </c:pt>
                <c:pt idx="4">
                  <c:v>0.89403432719999998</c:v>
                </c:pt>
                <c:pt idx="5">
                  <c:v>1.7612177958999999</c:v>
                </c:pt>
              </c:numCache>
            </c:numRef>
          </c:val>
          <c:smooth val="0"/>
          <c:extLst xmlns:c16r2="http://schemas.microsoft.com/office/drawing/2015/06/chart">
            <c:ext xmlns:c16="http://schemas.microsoft.com/office/drawing/2014/chart" uri="{C3380CC4-5D6E-409C-BE32-E72D297353CC}">
              <c16:uniqueId val="{00000002-01E3-48CC-BB89-D3F2F61AE630}"/>
            </c:ext>
          </c:extLst>
        </c:ser>
        <c:ser>
          <c:idx val="3"/>
          <c:order val="3"/>
          <c:tx>
            <c:strRef>
              <c:f>'Sheet1 (5)'!$E$4:$E$5</c:f>
              <c:strCache>
                <c:ptCount val="1"/>
                <c:pt idx="0">
                  <c:v>QLD</c:v>
                </c:pt>
              </c:strCache>
            </c:strRef>
          </c:tx>
          <c:cat>
            <c:strRef>
              <c:f>'Sheet1 (5)'!$A$6:$A$12</c:f>
              <c:strCache>
                <c:ptCount val="6"/>
                <c:pt idx="0">
                  <c:v>2010</c:v>
                </c:pt>
                <c:pt idx="1">
                  <c:v>2011</c:v>
                </c:pt>
                <c:pt idx="2">
                  <c:v>2012</c:v>
                </c:pt>
                <c:pt idx="3">
                  <c:v>2013</c:v>
                </c:pt>
                <c:pt idx="4">
                  <c:v>2014</c:v>
                </c:pt>
                <c:pt idx="5">
                  <c:v>2015</c:v>
                </c:pt>
              </c:strCache>
            </c:strRef>
          </c:cat>
          <c:val>
            <c:numRef>
              <c:f>'Sheet1 (5)'!$E$6:$E$12</c:f>
              <c:numCache>
                <c:formatCode>General</c:formatCode>
                <c:ptCount val="6"/>
                <c:pt idx="0">
                  <c:v>2.8400711E-3</c:v>
                </c:pt>
                <c:pt idx="1">
                  <c:v>0.47071306019999998</c:v>
                </c:pt>
                <c:pt idx="2">
                  <c:v>1.2074636066</c:v>
                </c:pt>
                <c:pt idx="3">
                  <c:v>1.9448928749000001</c:v>
                </c:pt>
                <c:pt idx="4">
                  <c:v>3.2409842441999999</c:v>
                </c:pt>
                <c:pt idx="5">
                  <c:v>3.8920923659</c:v>
                </c:pt>
              </c:numCache>
            </c:numRef>
          </c:val>
          <c:smooth val="0"/>
          <c:extLst xmlns:c16r2="http://schemas.microsoft.com/office/drawing/2015/06/chart">
            <c:ext xmlns:c16="http://schemas.microsoft.com/office/drawing/2014/chart" uri="{C3380CC4-5D6E-409C-BE32-E72D297353CC}">
              <c16:uniqueId val="{00000003-01E3-48CC-BB89-D3F2F61AE630}"/>
            </c:ext>
          </c:extLst>
        </c:ser>
        <c:ser>
          <c:idx val="4"/>
          <c:order val="4"/>
          <c:tx>
            <c:strRef>
              <c:f>'Sheet1 (5)'!$F$4:$F$5</c:f>
              <c:strCache>
                <c:ptCount val="1"/>
                <c:pt idx="0">
                  <c:v>SA</c:v>
                </c:pt>
              </c:strCache>
            </c:strRef>
          </c:tx>
          <c:cat>
            <c:strRef>
              <c:f>'Sheet1 (5)'!$A$6:$A$12</c:f>
              <c:strCache>
                <c:ptCount val="6"/>
                <c:pt idx="0">
                  <c:v>2010</c:v>
                </c:pt>
                <c:pt idx="1">
                  <c:v>2011</c:v>
                </c:pt>
                <c:pt idx="2">
                  <c:v>2012</c:v>
                </c:pt>
                <c:pt idx="3">
                  <c:v>2013</c:v>
                </c:pt>
                <c:pt idx="4">
                  <c:v>2014</c:v>
                </c:pt>
                <c:pt idx="5">
                  <c:v>2015</c:v>
                </c:pt>
              </c:strCache>
            </c:strRef>
          </c:cat>
          <c:val>
            <c:numRef>
              <c:f>'Sheet1 (5)'!$F$6:$F$12</c:f>
              <c:numCache>
                <c:formatCode>General</c:formatCode>
                <c:ptCount val="6"/>
                <c:pt idx="0">
                  <c:v>5.3777180999999997E-3</c:v>
                </c:pt>
                <c:pt idx="1">
                  <c:v>0.33439441920000001</c:v>
                </c:pt>
                <c:pt idx="2">
                  <c:v>0.74939287789999998</c:v>
                </c:pt>
                <c:pt idx="3">
                  <c:v>1.2487619057999999</c:v>
                </c:pt>
                <c:pt idx="4">
                  <c:v>2.2954248739000001</c:v>
                </c:pt>
                <c:pt idx="5">
                  <c:v>2.9169230882999999</c:v>
                </c:pt>
              </c:numCache>
            </c:numRef>
          </c:val>
          <c:smooth val="0"/>
          <c:extLst xmlns:c16r2="http://schemas.microsoft.com/office/drawing/2015/06/chart">
            <c:ext xmlns:c16="http://schemas.microsoft.com/office/drawing/2014/chart" uri="{C3380CC4-5D6E-409C-BE32-E72D297353CC}">
              <c16:uniqueId val="{00000004-01E3-48CC-BB89-D3F2F61AE630}"/>
            </c:ext>
          </c:extLst>
        </c:ser>
        <c:ser>
          <c:idx val="5"/>
          <c:order val="5"/>
          <c:tx>
            <c:strRef>
              <c:f>'Sheet1 (5)'!$G$4:$G$5</c:f>
              <c:strCache>
                <c:ptCount val="1"/>
                <c:pt idx="0">
                  <c:v>TAS</c:v>
                </c:pt>
              </c:strCache>
            </c:strRef>
          </c:tx>
          <c:cat>
            <c:strRef>
              <c:f>'Sheet1 (5)'!$A$6:$A$12</c:f>
              <c:strCache>
                <c:ptCount val="6"/>
                <c:pt idx="0">
                  <c:v>2010</c:v>
                </c:pt>
                <c:pt idx="1">
                  <c:v>2011</c:v>
                </c:pt>
                <c:pt idx="2">
                  <c:v>2012</c:v>
                </c:pt>
                <c:pt idx="3">
                  <c:v>2013</c:v>
                </c:pt>
                <c:pt idx="4">
                  <c:v>2014</c:v>
                </c:pt>
                <c:pt idx="5">
                  <c:v>2015</c:v>
                </c:pt>
              </c:strCache>
            </c:strRef>
          </c:cat>
          <c:val>
            <c:numRef>
              <c:f>'Sheet1 (5)'!$G$6:$G$12</c:f>
              <c:numCache>
                <c:formatCode>General</c:formatCode>
                <c:ptCount val="6"/>
                <c:pt idx="0">
                  <c:v>1.742705E-3</c:v>
                </c:pt>
                <c:pt idx="1">
                  <c:v>0.48362597550000003</c:v>
                </c:pt>
                <c:pt idx="2">
                  <c:v>1.0180413967999999</c:v>
                </c:pt>
                <c:pt idx="3">
                  <c:v>1.6907244701999999</c:v>
                </c:pt>
                <c:pt idx="4">
                  <c:v>2.8515694671</c:v>
                </c:pt>
                <c:pt idx="5">
                  <c:v>3.2213570511</c:v>
                </c:pt>
              </c:numCache>
            </c:numRef>
          </c:val>
          <c:smooth val="0"/>
          <c:extLst xmlns:c16r2="http://schemas.microsoft.com/office/drawing/2015/06/chart">
            <c:ext xmlns:c16="http://schemas.microsoft.com/office/drawing/2014/chart" uri="{C3380CC4-5D6E-409C-BE32-E72D297353CC}">
              <c16:uniqueId val="{00000005-01E3-48CC-BB89-D3F2F61AE630}"/>
            </c:ext>
          </c:extLst>
        </c:ser>
        <c:ser>
          <c:idx val="6"/>
          <c:order val="6"/>
          <c:tx>
            <c:strRef>
              <c:f>'Sheet1 (5)'!$H$4:$H$5</c:f>
              <c:strCache>
                <c:ptCount val="1"/>
                <c:pt idx="0">
                  <c:v>VIC</c:v>
                </c:pt>
              </c:strCache>
            </c:strRef>
          </c:tx>
          <c:cat>
            <c:strRef>
              <c:f>'Sheet1 (5)'!$A$6:$A$12</c:f>
              <c:strCache>
                <c:ptCount val="6"/>
                <c:pt idx="0">
                  <c:v>2010</c:v>
                </c:pt>
                <c:pt idx="1">
                  <c:v>2011</c:v>
                </c:pt>
                <c:pt idx="2">
                  <c:v>2012</c:v>
                </c:pt>
                <c:pt idx="3">
                  <c:v>2013</c:v>
                </c:pt>
                <c:pt idx="4">
                  <c:v>2014</c:v>
                </c:pt>
                <c:pt idx="5">
                  <c:v>2015</c:v>
                </c:pt>
              </c:strCache>
            </c:strRef>
          </c:cat>
          <c:val>
            <c:numRef>
              <c:f>'Sheet1 (5)'!$H$6:$H$12</c:f>
              <c:numCache>
                <c:formatCode>General</c:formatCode>
                <c:ptCount val="6"/>
                <c:pt idx="0">
                  <c:v>4.5764680999999998E-3</c:v>
                </c:pt>
                <c:pt idx="1">
                  <c:v>0.37765492810000001</c:v>
                </c:pt>
                <c:pt idx="2">
                  <c:v>0.75165122819999997</c:v>
                </c:pt>
                <c:pt idx="3">
                  <c:v>1.2742248527</c:v>
                </c:pt>
                <c:pt idx="4">
                  <c:v>2.2735111818</c:v>
                </c:pt>
                <c:pt idx="5">
                  <c:v>2.6830359897</c:v>
                </c:pt>
              </c:numCache>
            </c:numRef>
          </c:val>
          <c:smooth val="0"/>
          <c:extLst xmlns:c16r2="http://schemas.microsoft.com/office/drawing/2015/06/chart">
            <c:ext xmlns:c16="http://schemas.microsoft.com/office/drawing/2014/chart" uri="{C3380CC4-5D6E-409C-BE32-E72D297353CC}">
              <c16:uniqueId val="{00000006-01E3-48CC-BB89-D3F2F61AE630}"/>
            </c:ext>
          </c:extLst>
        </c:ser>
        <c:ser>
          <c:idx val="7"/>
          <c:order val="7"/>
          <c:tx>
            <c:strRef>
              <c:f>'Sheet1 (5)'!$I$4:$I$5</c:f>
              <c:strCache>
                <c:ptCount val="1"/>
                <c:pt idx="0">
                  <c:v>WA</c:v>
                </c:pt>
              </c:strCache>
            </c:strRef>
          </c:tx>
          <c:cat>
            <c:strRef>
              <c:f>'Sheet1 (5)'!$A$6:$A$12</c:f>
              <c:strCache>
                <c:ptCount val="6"/>
                <c:pt idx="0">
                  <c:v>2010</c:v>
                </c:pt>
                <c:pt idx="1">
                  <c:v>2011</c:v>
                </c:pt>
                <c:pt idx="2">
                  <c:v>2012</c:v>
                </c:pt>
                <c:pt idx="3">
                  <c:v>2013</c:v>
                </c:pt>
                <c:pt idx="4">
                  <c:v>2014</c:v>
                </c:pt>
                <c:pt idx="5">
                  <c:v>2015</c:v>
                </c:pt>
              </c:strCache>
            </c:strRef>
          </c:cat>
          <c:val>
            <c:numRef>
              <c:f>'Sheet1 (5)'!$I$6:$I$12</c:f>
              <c:numCache>
                <c:formatCode>General</c:formatCode>
                <c:ptCount val="6"/>
                <c:pt idx="0">
                  <c:v>4.5039084999999998E-3</c:v>
                </c:pt>
                <c:pt idx="1">
                  <c:v>0.4532694786</c:v>
                </c:pt>
                <c:pt idx="2">
                  <c:v>0.83595277629999998</c:v>
                </c:pt>
                <c:pt idx="3">
                  <c:v>1.3471454302999999</c:v>
                </c:pt>
                <c:pt idx="4">
                  <c:v>2.3992058278999999</c:v>
                </c:pt>
                <c:pt idx="5">
                  <c:v>2.7965477330000001</c:v>
                </c:pt>
              </c:numCache>
            </c:numRef>
          </c:val>
          <c:smooth val="0"/>
          <c:extLst xmlns:c16r2="http://schemas.microsoft.com/office/drawing/2015/06/chart">
            <c:ext xmlns:c16="http://schemas.microsoft.com/office/drawing/2014/chart" uri="{C3380CC4-5D6E-409C-BE32-E72D297353CC}">
              <c16:uniqueId val="{00000007-01E3-48CC-BB89-D3F2F61AE630}"/>
            </c:ext>
          </c:extLst>
        </c:ser>
        <c:dLbls>
          <c:showLegendKey val="0"/>
          <c:showVal val="0"/>
          <c:showCatName val="0"/>
          <c:showSerName val="0"/>
          <c:showPercent val="0"/>
          <c:showBubbleSize val="0"/>
        </c:dLbls>
        <c:marker val="1"/>
        <c:smooth val="0"/>
        <c:axId val="114914048"/>
        <c:axId val="114915584"/>
      </c:lineChart>
      <c:catAx>
        <c:axId val="114914048"/>
        <c:scaling>
          <c:orientation val="minMax"/>
        </c:scaling>
        <c:delete val="0"/>
        <c:axPos val="b"/>
        <c:numFmt formatCode="General" sourceLinked="0"/>
        <c:majorTickMark val="none"/>
        <c:minorTickMark val="none"/>
        <c:tickLblPos val="nextTo"/>
        <c:crossAx val="114915584"/>
        <c:crosses val="autoZero"/>
        <c:auto val="1"/>
        <c:lblAlgn val="ctr"/>
        <c:lblOffset val="100"/>
        <c:noMultiLvlLbl val="0"/>
      </c:catAx>
      <c:valAx>
        <c:axId val="114915584"/>
        <c:scaling>
          <c:orientation val="minMax"/>
          <c:max val="5"/>
        </c:scaling>
        <c:delete val="0"/>
        <c:axPos val="l"/>
        <c:majorGridlines/>
        <c:title>
          <c:tx>
            <c:rich>
              <a:bodyPr rot="-5400000" vert="horz"/>
              <a:lstStyle/>
              <a:p>
                <a:pPr>
                  <a:defRPr/>
                </a:pPr>
                <a:r>
                  <a:rPr lang="en-AU" sz="1000" b="1" i="0" u="none" strike="noStrike" baseline="0">
                    <a:effectLst/>
                  </a:rPr>
                  <a:t>Patients per 1000 population (age adjusted)</a:t>
                </a:r>
                <a:endParaRPr lang="en-AU"/>
              </a:p>
            </c:rich>
          </c:tx>
          <c:layout>
            <c:manualLayout>
              <c:xMode val="edge"/>
              <c:yMode val="edge"/>
              <c:x val="1.5617144216333811E-2"/>
              <c:y val="0.15602378406402903"/>
            </c:manualLayout>
          </c:layout>
          <c:overlay val="0"/>
        </c:title>
        <c:numFmt formatCode="General" sourceLinked="1"/>
        <c:majorTickMark val="none"/>
        <c:minorTickMark val="none"/>
        <c:tickLblPos val="nextTo"/>
        <c:crossAx val="114914048"/>
        <c:crosses val="autoZero"/>
        <c:crossBetween val="between"/>
      </c:valAx>
    </c:plotArea>
    <c:legend>
      <c:legendPos val="r"/>
      <c:layout/>
      <c:overlay val="0"/>
    </c:legend>
    <c:plotVisOnly val="1"/>
    <c:dispBlanksAs val="gap"/>
    <c:showDLblsOverMax val="0"/>
  </c:chart>
  <c:externalData r:id="rId2">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SCRPT_SUM2 - DUSC database v3, incld AMFAC.xlsx]Sheet1 (11)!PivotTable4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spPr>
          <a:ln w="25400">
            <a:noFill/>
          </a:ln>
        </c:spPr>
        <c:marker>
          <c:symbol val="none"/>
        </c:marker>
      </c:pivotFmt>
      <c:pivotFmt>
        <c:idx val="48"/>
        <c:spPr>
          <a:ln w="25400">
            <a:noFill/>
          </a:ln>
        </c:spPr>
        <c:marker>
          <c:symbol val="none"/>
        </c:marker>
      </c:pivotFmt>
      <c:pivotFmt>
        <c:idx val="49"/>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spPr>
          <a:ln w="25400">
            <a:noFill/>
          </a:ln>
        </c:spPr>
        <c:marker>
          <c:symbol val="none"/>
        </c:marker>
      </c:pivotFmt>
      <c:pivotFmt>
        <c:idx val="55"/>
        <c:spPr>
          <a:ln w="25400">
            <a:noFill/>
          </a:ln>
        </c:spPr>
        <c:marker>
          <c:symbol val="none"/>
        </c:marker>
      </c:pivotFmt>
      <c:pivotFmt>
        <c:idx val="56"/>
        <c:marker>
          <c:symbol val="none"/>
        </c:marker>
      </c:pivotFmt>
      <c:pivotFmt>
        <c:idx val="57"/>
        <c:spPr>
          <a:ln w="25400">
            <a:noFill/>
          </a:ln>
        </c:spPr>
        <c:marker>
          <c:symbol val="none"/>
        </c:marker>
      </c:pivotFmt>
      <c:pivotFmt>
        <c:idx val="58"/>
        <c:spPr>
          <a:ln w="25400">
            <a:noFill/>
          </a:ln>
        </c:spPr>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spPr>
          <a:ln w="25400">
            <a:noFill/>
          </a:ln>
        </c:spPr>
        <c:marker>
          <c:symbol val="none"/>
        </c:marker>
      </c:pivotFmt>
      <c:pivotFmt>
        <c:idx val="64"/>
        <c:spPr>
          <a:ln w="25400">
            <a:noFill/>
          </a:ln>
        </c:spPr>
        <c:marker>
          <c:symbol val="none"/>
        </c:marker>
      </c:pivotFmt>
      <c:pivotFmt>
        <c:idx val="65"/>
      </c:pivotFmt>
      <c:pivotFmt>
        <c:idx val="66"/>
      </c:pivotFmt>
    </c:pivotFmts>
    <c:plotArea>
      <c:layout/>
      <c:lineChart>
        <c:grouping val="standard"/>
        <c:varyColors val="0"/>
        <c:ser>
          <c:idx val="0"/>
          <c:order val="0"/>
          <c:tx>
            <c:strRef>
              <c:f>'Sheet1 (11)'!$B$3</c:f>
              <c:strCache>
                <c:ptCount val="1"/>
                <c:pt idx="0">
                  <c:v>Total</c:v>
                </c:pt>
              </c:strCache>
            </c:strRef>
          </c:tx>
          <c:cat>
            <c:strRef>
              <c:f>'Sheet1 (11)'!$A$4:$A$29</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(11)'!$B$4:$B$29</c:f>
              <c:numCache>
                <c:formatCode>General</c:formatCode>
                <c:ptCount val="25"/>
                <c:pt idx="0">
                  <c:v>14183</c:v>
                </c:pt>
                <c:pt idx="1">
                  <c:v>40556</c:v>
                </c:pt>
                <c:pt idx="2">
                  <c:v>78883</c:v>
                </c:pt>
                <c:pt idx="3">
                  <c:v>120353</c:v>
                </c:pt>
                <c:pt idx="4">
                  <c:v>174816</c:v>
                </c:pt>
                <c:pt idx="5">
                  <c:v>251682</c:v>
                </c:pt>
                <c:pt idx="6">
                  <c:v>434826</c:v>
                </c:pt>
                <c:pt idx="7">
                  <c:v>626008</c:v>
                </c:pt>
                <c:pt idx="8">
                  <c:v>825343</c:v>
                </c:pt>
                <c:pt idx="9">
                  <c:v>1103346</c:v>
                </c:pt>
                <c:pt idx="10">
                  <c:v>1546958</c:v>
                </c:pt>
                <c:pt idx="11">
                  <c:v>2191060</c:v>
                </c:pt>
                <c:pt idx="12">
                  <c:v>2723728</c:v>
                </c:pt>
                <c:pt idx="13">
                  <c:v>3160038</c:v>
                </c:pt>
                <c:pt idx="14">
                  <c:v>3530144</c:v>
                </c:pt>
                <c:pt idx="15">
                  <c:v>3750684</c:v>
                </c:pt>
                <c:pt idx="16">
                  <c:v>3973030</c:v>
                </c:pt>
                <c:pt idx="17">
                  <c:v>3903054</c:v>
                </c:pt>
                <c:pt idx="18">
                  <c:v>3812410</c:v>
                </c:pt>
                <c:pt idx="19">
                  <c:v>3755145</c:v>
                </c:pt>
                <c:pt idx="20">
                  <c:v>3647582</c:v>
                </c:pt>
                <c:pt idx="21">
                  <c:v>3534849</c:v>
                </c:pt>
                <c:pt idx="22">
                  <c:v>3345212</c:v>
                </c:pt>
                <c:pt idx="23">
                  <c:v>3042499</c:v>
                </c:pt>
                <c:pt idx="24">
                  <c:v>2724852</c:v>
                </c:pt>
              </c:numCache>
            </c:numRef>
          </c:val>
          <c:smooth val="0"/>
        </c:ser>
        <c:dLbls>
          <c:showLegendKey val="0"/>
          <c:showVal val="0"/>
          <c:showCatName val="0"/>
          <c:showSerName val="0"/>
          <c:showPercent val="0"/>
          <c:showBubbleSize val="0"/>
        </c:dLbls>
        <c:marker val="1"/>
        <c:smooth val="0"/>
        <c:axId val="114963968"/>
        <c:axId val="114965504"/>
      </c:lineChart>
      <c:catAx>
        <c:axId val="114963968"/>
        <c:scaling>
          <c:orientation val="minMax"/>
        </c:scaling>
        <c:delete val="0"/>
        <c:axPos val="b"/>
        <c:majorTickMark val="out"/>
        <c:minorTickMark val="none"/>
        <c:tickLblPos val="nextTo"/>
        <c:crossAx val="114965504"/>
        <c:crosses val="autoZero"/>
        <c:auto val="1"/>
        <c:lblAlgn val="ctr"/>
        <c:lblOffset val="100"/>
        <c:noMultiLvlLbl val="0"/>
      </c:catAx>
      <c:valAx>
        <c:axId val="114965504"/>
        <c:scaling>
          <c:orientation val="minMax"/>
        </c:scaling>
        <c:delete val="0"/>
        <c:axPos val="l"/>
        <c:majorGridlines/>
        <c:title>
          <c:tx>
            <c:rich>
              <a:bodyPr rot="-5400000" vert="horz"/>
              <a:lstStyle/>
              <a:p>
                <a:pPr>
                  <a:defRPr b="0"/>
                </a:pPr>
                <a:r>
                  <a:rPr lang="en-US" b="0"/>
                  <a:t>Prescriptions</a:t>
                </a:r>
              </a:p>
            </c:rich>
          </c:tx>
          <c:layout>
            <c:manualLayout>
              <c:xMode val="edge"/>
              <c:yMode val="edge"/>
              <c:x val="1.0441709861644178E-2"/>
              <c:y val="0.31930024950584873"/>
            </c:manualLayout>
          </c:layout>
          <c:overlay val="0"/>
        </c:title>
        <c:numFmt formatCode="#,##0" sourceLinked="0"/>
        <c:majorTickMark val="out"/>
        <c:minorTickMark val="none"/>
        <c:tickLblPos val="nextTo"/>
        <c:crossAx val="114963968"/>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SCRPT_SUM2 - DUSC database v3, incld AMFAC.xlsx]Sheet1 (8)!PivotTable4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s>
    <c:plotArea>
      <c:layout/>
      <c:lineChart>
        <c:grouping val="standard"/>
        <c:varyColors val="0"/>
        <c:ser>
          <c:idx val="0"/>
          <c:order val="0"/>
          <c:tx>
            <c:strRef>
              <c:f>'Sheet1 (8)'!$B$3:$B$4</c:f>
              <c:strCache>
                <c:ptCount val="1"/>
                <c:pt idx="0">
                  <c:v>ALENDRONATE (incl. combination products)</c:v>
                </c:pt>
              </c:strCache>
            </c:strRef>
          </c:tx>
          <c:cat>
            <c:strRef>
              <c:f>'Sheet1 (8)'!$A$5:$A$30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(8)'!$B$5:$B$30</c:f>
              <c:numCache>
                <c:formatCode>General</c:formatCode>
                <c:ptCount val="25"/>
                <c:pt idx="5">
                  <c:v>808</c:v>
                </c:pt>
                <c:pt idx="6">
                  <c:v>125055</c:v>
                </c:pt>
                <c:pt idx="7">
                  <c:v>249312</c:v>
                </c:pt>
                <c:pt idx="8">
                  <c:v>368371</c:v>
                </c:pt>
                <c:pt idx="9">
                  <c:v>485769</c:v>
                </c:pt>
                <c:pt idx="10">
                  <c:v>787937</c:v>
                </c:pt>
                <c:pt idx="11">
                  <c:v>1408108</c:v>
                </c:pt>
                <c:pt idx="12">
                  <c:v>1801403</c:v>
                </c:pt>
                <c:pt idx="13">
                  <c:v>2029170</c:v>
                </c:pt>
                <c:pt idx="14">
                  <c:v>2224139</c:v>
                </c:pt>
                <c:pt idx="15">
                  <c:v>2287318</c:v>
                </c:pt>
                <c:pt idx="16">
                  <c:v>2296999</c:v>
                </c:pt>
                <c:pt idx="17">
                  <c:v>2057727</c:v>
                </c:pt>
                <c:pt idx="18">
                  <c:v>1849823</c:v>
                </c:pt>
                <c:pt idx="19">
                  <c:v>1670209</c:v>
                </c:pt>
                <c:pt idx="20">
                  <c:v>1530317</c:v>
                </c:pt>
                <c:pt idx="21">
                  <c:v>1405326</c:v>
                </c:pt>
                <c:pt idx="22">
                  <c:v>1271400</c:v>
                </c:pt>
                <c:pt idx="23">
                  <c:v>1119236</c:v>
                </c:pt>
                <c:pt idx="24">
                  <c:v>961595</c:v>
                </c:pt>
              </c:numCache>
            </c:numRef>
          </c:val>
          <c:smooth val="0"/>
        </c:ser>
        <c:ser>
          <c:idx val="1"/>
          <c:order val="1"/>
          <c:tx>
            <c:strRef>
              <c:f>'Sheet1 (8)'!$C$3:$C$4</c:f>
              <c:strCache>
                <c:ptCount val="1"/>
                <c:pt idx="0">
                  <c:v>CALCITRIOL</c:v>
                </c:pt>
              </c:strCache>
            </c:strRef>
          </c:tx>
          <c:cat>
            <c:strRef>
              <c:f>'Sheet1 (8)'!$A$5:$A$30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(8)'!$C$5:$C$30</c:f>
              <c:numCache>
                <c:formatCode>General</c:formatCode>
                <c:ptCount val="25"/>
                <c:pt idx="0">
                  <c:v>14183</c:v>
                </c:pt>
                <c:pt idx="1">
                  <c:v>40556</c:v>
                </c:pt>
                <c:pt idx="2">
                  <c:v>78883</c:v>
                </c:pt>
                <c:pt idx="3">
                  <c:v>120353</c:v>
                </c:pt>
                <c:pt idx="4">
                  <c:v>174816</c:v>
                </c:pt>
                <c:pt idx="5">
                  <c:v>248071</c:v>
                </c:pt>
                <c:pt idx="6">
                  <c:v>293853</c:v>
                </c:pt>
                <c:pt idx="7">
                  <c:v>351512</c:v>
                </c:pt>
                <c:pt idx="8">
                  <c:v>414342</c:v>
                </c:pt>
                <c:pt idx="9">
                  <c:v>424663</c:v>
                </c:pt>
                <c:pt idx="10">
                  <c:v>380133</c:v>
                </c:pt>
                <c:pt idx="11">
                  <c:v>293130</c:v>
                </c:pt>
                <c:pt idx="12">
                  <c:v>231966</c:v>
                </c:pt>
                <c:pt idx="13">
                  <c:v>201529</c:v>
                </c:pt>
                <c:pt idx="14">
                  <c:v>178876</c:v>
                </c:pt>
                <c:pt idx="15">
                  <c:v>164196</c:v>
                </c:pt>
                <c:pt idx="16">
                  <c:v>155466</c:v>
                </c:pt>
                <c:pt idx="17">
                  <c:v>155574</c:v>
                </c:pt>
                <c:pt idx="18">
                  <c:v>151820</c:v>
                </c:pt>
                <c:pt idx="19">
                  <c:v>149448</c:v>
                </c:pt>
                <c:pt idx="20">
                  <c:v>143908</c:v>
                </c:pt>
                <c:pt idx="21">
                  <c:v>139813</c:v>
                </c:pt>
                <c:pt idx="22">
                  <c:v>137415</c:v>
                </c:pt>
                <c:pt idx="23">
                  <c:v>135092</c:v>
                </c:pt>
                <c:pt idx="24">
                  <c:v>134385</c:v>
                </c:pt>
              </c:numCache>
            </c:numRef>
          </c:val>
          <c:smooth val="0"/>
        </c:ser>
        <c:ser>
          <c:idx val="2"/>
          <c:order val="2"/>
          <c:tx>
            <c:strRef>
              <c:f>'Sheet1 (8)'!$D$3:$D$4</c:f>
              <c:strCache>
                <c:ptCount val="1"/>
                <c:pt idx="0">
                  <c:v>DENOSUMAB</c:v>
                </c:pt>
              </c:strCache>
            </c:strRef>
          </c:tx>
          <c:cat>
            <c:strRef>
              <c:f>'Sheet1 (8)'!$A$5:$A$30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(8)'!$D$5:$D$30</c:f>
              <c:numCache>
                <c:formatCode>General</c:formatCode>
                <c:ptCount val="25"/>
                <c:pt idx="19">
                  <c:v>120</c:v>
                </c:pt>
                <c:pt idx="20">
                  <c:v>12254</c:v>
                </c:pt>
                <c:pt idx="21">
                  <c:v>42021</c:v>
                </c:pt>
                <c:pt idx="22">
                  <c:v>91370</c:v>
                </c:pt>
                <c:pt idx="23">
                  <c:v>183108</c:v>
                </c:pt>
                <c:pt idx="24">
                  <c:v>293802</c:v>
                </c:pt>
              </c:numCache>
            </c:numRef>
          </c:val>
          <c:smooth val="0"/>
        </c:ser>
        <c:ser>
          <c:idx val="3"/>
          <c:order val="3"/>
          <c:tx>
            <c:strRef>
              <c:f>'Sheet1 (8)'!$E$3:$E$4</c:f>
              <c:strCache>
                <c:ptCount val="1"/>
                <c:pt idx="0">
                  <c:v>ETIDRONATE DISODIUM (&amp;) CALCIUM CARBONATE</c:v>
                </c:pt>
              </c:strCache>
            </c:strRef>
          </c:tx>
          <c:cat>
            <c:strRef>
              <c:f>'Sheet1 (8)'!$A$5:$A$30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(8)'!$E$5:$E$30</c:f>
              <c:numCache>
                <c:formatCode>General</c:formatCode>
                <c:ptCount val="25"/>
                <c:pt idx="5">
                  <c:v>2803</c:v>
                </c:pt>
                <c:pt idx="6">
                  <c:v>15918</c:v>
                </c:pt>
                <c:pt idx="7">
                  <c:v>25184</c:v>
                </c:pt>
                <c:pt idx="8">
                  <c:v>35660</c:v>
                </c:pt>
                <c:pt idx="9">
                  <c:v>50823</c:v>
                </c:pt>
                <c:pt idx="10">
                  <c:v>49947</c:v>
                </c:pt>
                <c:pt idx="11">
                  <c:v>39404</c:v>
                </c:pt>
                <c:pt idx="12">
                  <c:v>31100</c:v>
                </c:pt>
                <c:pt idx="13">
                  <c:v>25133</c:v>
                </c:pt>
                <c:pt idx="14">
                  <c:v>20290</c:v>
                </c:pt>
                <c:pt idx="15">
                  <c:v>16747</c:v>
                </c:pt>
                <c:pt idx="16">
                  <c:v>13448</c:v>
                </c:pt>
                <c:pt idx="17">
                  <c:v>11063</c:v>
                </c:pt>
                <c:pt idx="18">
                  <c:v>8835</c:v>
                </c:pt>
                <c:pt idx="19">
                  <c:v>7177</c:v>
                </c:pt>
                <c:pt idx="20">
                  <c:v>5945</c:v>
                </c:pt>
                <c:pt idx="21">
                  <c:v>3197</c:v>
                </c:pt>
              </c:numCache>
            </c:numRef>
          </c:val>
          <c:smooth val="0"/>
        </c:ser>
        <c:ser>
          <c:idx val="4"/>
          <c:order val="4"/>
          <c:tx>
            <c:strRef>
              <c:f>'Sheet1 (8)'!$F$3:$F$4</c:f>
              <c:strCache>
                <c:ptCount val="1"/>
                <c:pt idx="0">
                  <c:v>RALOXIFENE</c:v>
                </c:pt>
              </c:strCache>
            </c:strRef>
          </c:tx>
          <c:cat>
            <c:strRef>
              <c:f>'Sheet1 (8)'!$A$5:$A$30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(8)'!$F$5:$F$30</c:f>
              <c:numCache>
                <c:formatCode>General</c:formatCode>
                <c:ptCount val="25"/>
                <c:pt idx="8">
                  <c:v>6970</c:v>
                </c:pt>
                <c:pt idx="9">
                  <c:v>142091</c:v>
                </c:pt>
                <c:pt idx="10">
                  <c:v>270467</c:v>
                </c:pt>
                <c:pt idx="11">
                  <c:v>325756</c:v>
                </c:pt>
                <c:pt idx="12">
                  <c:v>349677</c:v>
                </c:pt>
                <c:pt idx="13">
                  <c:v>348806</c:v>
                </c:pt>
                <c:pt idx="14">
                  <c:v>337136</c:v>
                </c:pt>
                <c:pt idx="15">
                  <c:v>325004</c:v>
                </c:pt>
                <c:pt idx="16">
                  <c:v>310051</c:v>
                </c:pt>
                <c:pt idx="17">
                  <c:v>292887</c:v>
                </c:pt>
                <c:pt idx="18">
                  <c:v>264040</c:v>
                </c:pt>
                <c:pt idx="19">
                  <c:v>238767</c:v>
                </c:pt>
                <c:pt idx="20">
                  <c:v>215230</c:v>
                </c:pt>
                <c:pt idx="21">
                  <c:v>190877</c:v>
                </c:pt>
                <c:pt idx="22">
                  <c:v>168592</c:v>
                </c:pt>
                <c:pt idx="23">
                  <c:v>148264</c:v>
                </c:pt>
                <c:pt idx="24">
                  <c:v>127151</c:v>
                </c:pt>
              </c:numCache>
            </c:numRef>
          </c:val>
          <c:smooth val="0"/>
        </c:ser>
        <c:ser>
          <c:idx val="5"/>
          <c:order val="5"/>
          <c:tx>
            <c:strRef>
              <c:f>'Sheet1 (8)'!$G$3:$G$4</c:f>
              <c:strCache>
                <c:ptCount val="1"/>
                <c:pt idx="0">
                  <c:v>RISEDRONATE (incl. combination products)</c:v>
                </c:pt>
              </c:strCache>
            </c:strRef>
          </c:tx>
          <c:cat>
            <c:strRef>
              <c:f>'Sheet1 (8)'!$A$5:$A$30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(8)'!$G$5:$G$30</c:f>
              <c:numCache>
                <c:formatCode>General</c:formatCode>
                <c:ptCount val="25"/>
                <c:pt idx="10">
                  <c:v>58482</c:v>
                </c:pt>
                <c:pt idx="11">
                  <c:v>124743</c:v>
                </c:pt>
                <c:pt idx="12">
                  <c:v>309582</c:v>
                </c:pt>
                <c:pt idx="13">
                  <c:v>555400</c:v>
                </c:pt>
                <c:pt idx="14">
                  <c:v>769703</c:v>
                </c:pt>
                <c:pt idx="15">
                  <c:v>957419</c:v>
                </c:pt>
                <c:pt idx="16">
                  <c:v>1151306</c:v>
                </c:pt>
                <c:pt idx="17">
                  <c:v>1231979</c:v>
                </c:pt>
                <c:pt idx="18">
                  <c:v>1292303</c:v>
                </c:pt>
                <c:pt idx="19">
                  <c:v>1374409</c:v>
                </c:pt>
                <c:pt idx="20">
                  <c:v>1381755</c:v>
                </c:pt>
                <c:pt idx="21">
                  <c:v>1375379</c:v>
                </c:pt>
                <c:pt idx="22">
                  <c:v>1326212</c:v>
                </c:pt>
                <c:pt idx="23">
                  <c:v>1234124</c:v>
                </c:pt>
                <c:pt idx="24">
                  <c:v>1099185</c:v>
                </c:pt>
              </c:numCache>
            </c:numRef>
          </c:val>
          <c:smooth val="0"/>
        </c:ser>
        <c:ser>
          <c:idx val="6"/>
          <c:order val="6"/>
          <c:tx>
            <c:strRef>
              <c:f>'Sheet1 (8)'!$H$3:$H$4</c:f>
              <c:strCache>
                <c:ptCount val="1"/>
                <c:pt idx="0">
                  <c:v>STRONTIUM</c:v>
                </c:pt>
              </c:strCache>
            </c:strRef>
          </c:tx>
          <c:cat>
            <c:strRef>
              <c:f>'Sheet1 (8)'!$A$5:$A$30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(8)'!$H$5:$H$30</c:f>
              <c:numCache>
                <c:formatCode>General</c:formatCode>
                <c:ptCount val="25"/>
                <c:pt idx="16">
                  <c:v>45760</c:v>
                </c:pt>
                <c:pt idx="17">
                  <c:v>153544</c:v>
                </c:pt>
                <c:pt idx="18">
                  <c:v>231832</c:v>
                </c:pt>
                <c:pt idx="19">
                  <c:v>287440</c:v>
                </c:pt>
                <c:pt idx="20">
                  <c:v>324255</c:v>
                </c:pt>
                <c:pt idx="21">
                  <c:v>341693</c:v>
                </c:pt>
                <c:pt idx="22">
                  <c:v>310945</c:v>
                </c:pt>
                <c:pt idx="23">
                  <c:v>188461</c:v>
                </c:pt>
                <c:pt idx="24">
                  <c:v>79836</c:v>
                </c:pt>
              </c:numCache>
            </c:numRef>
          </c:val>
          <c:smooth val="0"/>
        </c:ser>
        <c:ser>
          <c:idx val="7"/>
          <c:order val="7"/>
          <c:tx>
            <c:strRef>
              <c:f>'Sheet1 (8)'!$I$3:$I$4</c:f>
              <c:strCache>
                <c:ptCount val="1"/>
                <c:pt idx="0">
                  <c:v>TERIPARATIDE</c:v>
                </c:pt>
              </c:strCache>
            </c:strRef>
          </c:tx>
          <c:cat>
            <c:strRef>
              <c:f>'Sheet1 (8)'!$A$5:$A$30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(8)'!$I$5:$I$30</c:f>
              <c:numCache>
                <c:formatCode>General</c:formatCode>
                <c:ptCount val="25"/>
                <c:pt idx="18">
                  <c:v>1353</c:v>
                </c:pt>
                <c:pt idx="19">
                  <c:v>5487</c:v>
                </c:pt>
                <c:pt idx="20">
                  <c:v>6448</c:v>
                </c:pt>
                <c:pt idx="21">
                  <c:v>6776</c:v>
                </c:pt>
                <c:pt idx="22">
                  <c:v>8117</c:v>
                </c:pt>
                <c:pt idx="23">
                  <c:v>8591</c:v>
                </c:pt>
                <c:pt idx="24">
                  <c:v>8678</c:v>
                </c:pt>
              </c:numCache>
            </c:numRef>
          </c:val>
          <c:smooth val="0"/>
        </c:ser>
        <c:ser>
          <c:idx val="8"/>
          <c:order val="8"/>
          <c:tx>
            <c:strRef>
              <c:f>'Sheet1 (8)'!$J$3:$J$4</c:f>
              <c:strCache>
                <c:ptCount val="1"/>
                <c:pt idx="0">
                  <c:v>ZOLEDRONIC ACID</c:v>
                </c:pt>
              </c:strCache>
            </c:strRef>
          </c:tx>
          <c:cat>
            <c:strRef>
              <c:f>'Sheet1 (8)'!$A$5:$A$30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(8)'!$J$5:$J$30</c:f>
              <c:numCache>
                <c:formatCode>General</c:formatCode>
                <c:ptCount val="25"/>
                <c:pt idx="17">
                  <c:v>280</c:v>
                </c:pt>
                <c:pt idx="18">
                  <c:v>12404</c:v>
                </c:pt>
                <c:pt idx="19">
                  <c:v>22088</c:v>
                </c:pt>
                <c:pt idx="20">
                  <c:v>27470</c:v>
                </c:pt>
                <c:pt idx="21">
                  <c:v>29767</c:v>
                </c:pt>
                <c:pt idx="22">
                  <c:v>31161</c:v>
                </c:pt>
                <c:pt idx="23">
                  <c:v>25623</c:v>
                </c:pt>
                <c:pt idx="24">
                  <c:v>20220</c:v>
                </c:pt>
              </c:numCache>
            </c:numRef>
          </c:val>
          <c:smooth val="0"/>
        </c:ser>
        <c:dLbls>
          <c:showLegendKey val="0"/>
          <c:showVal val="0"/>
          <c:showCatName val="0"/>
          <c:showSerName val="0"/>
          <c:showPercent val="0"/>
          <c:showBubbleSize val="0"/>
        </c:dLbls>
        <c:marker val="1"/>
        <c:smooth val="0"/>
        <c:axId val="115582464"/>
        <c:axId val="115584000"/>
      </c:lineChart>
      <c:catAx>
        <c:axId val="115582464"/>
        <c:scaling>
          <c:orientation val="minMax"/>
        </c:scaling>
        <c:delete val="0"/>
        <c:axPos val="b"/>
        <c:majorTickMark val="none"/>
        <c:minorTickMark val="none"/>
        <c:tickLblPos val="nextTo"/>
        <c:crossAx val="115584000"/>
        <c:crosses val="autoZero"/>
        <c:auto val="1"/>
        <c:lblAlgn val="ctr"/>
        <c:lblOffset val="100"/>
        <c:noMultiLvlLbl val="0"/>
      </c:catAx>
      <c:valAx>
        <c:axId val="115584000"/>
        <c:scaling>
          <c:orientation val="minMax"/>
          <c:max val="2500000"/>
        </c:scaling>
        <c:delete val="0"/>
        <c:axPos val="l"/>
        <c:majorGridlines/>
        <c:title>
          <c:tx>
            <c:rich>
              <a:bodyPr rot="-5400000" vert="horz"/>
              <a:lstStyle/>
              <a:p>
                <a:pPr>
                  <a:defRPr b="0"/>
                </a:pPr>
                <a:r>
                  <a:rPr lang="en-AU" b="0"/>
                  <a:t>Prescriptions</a:t>
                </a:r>
              </a:p>
            </c:rich>
          </c:tx>
          <c:layout>
            <c:manualLayout>
              <c:xMode val="edge"/>
              <c:yMode val="edge"/>
              <c:x val="1.7867113344500279E-2"/>
              <c:y val="0.2194860287525788"/>
            </c:manualLayout>
          </c:layout>
          <c:overlay val="0"/>
        </c:title>
        <c:numFmt formatCode="#,##0" sourceLinked="0"/>
        <c:majorTickMark val="none"/>
        <c:minorTickMark val="none"/>
        <c:tickLblPos val="nextTo"/>
        <c:crossAx val="115582464"/>
        <c:crosses val="autoZero"/>
        <c:crossBetween val="between"/>
      </c:valAx>
    </c:plotArea>
    <c:legend>
      <c:legendPos val="b"/>
      <c:layout/>
      <c:overlay val="0"/>
      <c:txPr>
        <a:bodyPr/>
        <a:lstStyle/>
        <a:p>
          <a:pPr>
            <a:defRPr sz="8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SUPPLY_LAG_FREQ by drg_grp.xlsx]Sheet1 (3)!PivotTable1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s>
    <c:plotArea>
      <c:layout/>
      <c:lineChart>
        <c:grouping val="standard"/>
        <c:varyColors val="0"/>
        <c:ser>
          <c:idx val="0"/>
          <c:order val="0"/>
          <c:tx>
            <c:strRef>
              <c:f>'Sheet1 (3)'!$B$3:$B$4</c:f>
              <c:strCache>
                <c:ptCount val="1"/>
                <c:pt idx="0">
                  <c:v>DENOSUMAB</c:v>
                </c:pt>
              </c:strCache>
            </c:strRef>
          </c:tx>
          <c:marker>
            <c:symbol val="none"/>
          </c:marker>
          <c:cat>
            <c:strRef>
              <c:f>'Sheet1 (3)'!$A$5:$A$745</c:f>
              <c:strCache>
                <c:ptCount val="7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pt idx="500">
                  <c:v>501</c:v>
                </c:pt>
                <c:pt idx="501">
                  <c:v>502</c:v>
                </c:pt>
                <c:pt idx="502">
                  <c:v>503</c:v>
                </c:pt>
                <c:pt idx="503">
                  <c:v>504</c:v>
                </c:pt>
                <c:pt idx="504">
                  <c:v>505</c:v>
                </c:pt>
                <c:pt idx="505">
                  <c:v>506</c:v>
                </c:pt>
                <c:pt idx="506">
                  <c:v>507</c:v>
                </c:pt>
                <c:pt idx="507">
                  <c:v>508</c:v>
                </c:pt>
                <c:pt idx="508">
                  <c:v>509</c:v>
                </c:pt>
                <c:pt idx="509">
                  <c:v>510</c:v>
                </c:pt>
                <c:pt idx="510">
                  <c:v>511</c:v>
                </c:pt>
                <c:pt idx="511">
                  <c:v>512</c:v>
                </c:pt>
                <c:pt idx="512">
                  <c:v>513</c:v>
                </c:pt>
                <c:pt idx="513">
                  <c:v>514</c:v>
                </c:pt>
                <c:pt idx="514">
                  <c:v>515</c:v>
                </c:pt>
                <c:pt idx="515">
                  <c:v>516</c:v>
                </c:pt>
                <c:pt idx="516">
                  <c:v>517</c:v>
                </c:pt>
                <c:pt idx="517">
                  <c:v>518</c:v>
                </c:pt>
                <c:pt idx="518">
                  <c:v>519</c:v>
                </c:pt>
                <c:pt idx="519">
                  <c:v>520</c:v>
                </c:pt>
                <c:pt idx="520">
                  <c:v>521</c:v>
                </c:pt>
                <c:pt idx="521">
                  <c:v>522</c:v>
                </c:pt>
                <c:pt idx="522">
                  <c:v>523</c:v>
                </c:pt>
                <c:pt idx="523">
                  <c:v>524</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strCache>
            </c:strRef>
          </c:cat>
          <c:val>
            <c:numRef>
              <c:f>'Sheet1 (3)'!$B$5:$B$745</c:f>
              <c:numCache>
                <c:formatCode>0.00%</c:formatCode>
                <c:ptCount val="740"/>
                <c:pt idx="0">
                  <c:v>1.8695682783544669E-3</c:v>
                </c:pt>
                <c:pt idx="1">
                  <c:v>5.3974983768392566E-4</c:v>
                </c:pt>
                <c:pt idx="2">
                  <c:v>4.1459045503258057E-4</c:v>
                </c:pt>
                <c:pt idx="3">
                  <c:v>2.3467384247127202E-4</c:v>
                </c:pt>
                <c:pt idx="4">
                  <c:v>2.1120645822414482E-4</c:v>
                </c:pt>
                <c:pt idx="5">
                  <c:v>2.2294015034770841E-4</c:v>
                </c:pt>
                <c:pt idx="6">
                  <c:v>3.6765568653832612E-4</c:v>
                </c:pt>
                <c:pt idx="7">
                  <c:v>2.1120645822414482E-4</c:v>
                </c:pt>
                <c:pt idx="8">
                  <c:v>1.7209415114559948E-4</c:v>
                </c:pt>
                <c:pt idx="9">
                  <c:v>1.4471553619061774E-4</c:v>
                </c:pt>
                <c:pt idx="10">
                  <c:v>1.4471553619061774E-4</c:v>
                </c:pt>
                <c:pt idx="11">
                  <c:v>1.4862676689847228E-4</c:v>
                </c:pt>
                <c:pt idx="12">
                  <c:v>1.4080430548276321E-4</c:v>
                </c:pt>
                <c:pt idx="13">
                  <c:v>2.6596368813410826E-4</c:v>
                </c:pt>
                <c:pt idx="14">
                  <c:v>1.6036045902203587E-4</c:v>
                </c:pt>
                <c:pt idx="15">
                  <c:v>1.3298184406705413E-4</c:v>
                </c:pt>
                <c:pt idx="16">
                  <c:v>1.2907061335919959E-4</c:v>
                </c:pt>
                <c:pt idx="17">
                  <c:v>1.2124815194349053E-4</c:v>
                </c:pt>
                <c:pt idx="18">
                  <c:v>1.0951445981992694E-4</c:v>
                </c:pt>
                <c:pt idx="19">
                  <c:v>1.5644922831418133E-4</c:v>
                </c:pt>
                <c:pt idx="20">
                  <c:v>2.9725353379694456E-4</c:v>
                </c:pt>
                <c:pt idx="21">
                  <c:v>1.877390739770176E-4</c:v>
                </c:pt>
                <c:pt idx="22">
                  <c:v>1.1733692123563601E-4</c:v>
                </c:pt>
                <c:pt idx="23">
                  <c:v>1.1733692123563601E-4</c:v>
                </c:pt>
                <c:pt idx="24">
                  <c:v>1.0169199840421787E-4</c:v>
                </c:pt>
                <c:pt idx="25">
                  <c:v>1.4471553619061774E-4</c:v>
                </c:pt>
                <c:pt idx="26">
                  <c:v>1.7991661256130855E-4</c:v>
                </c:pt>
                <c:pt idx="27">
                  <c:v>2.8943107238123549E-4</c:v>
                </c:pt>
                <c:pt idx="28">
                  <c:v>1.9556153539272667E-4</c:v>
                </c:pt>
                <c:pt idx="29">
                  <c:v>1.7209415114559948E-4</c:v>
                </c:pt>
                <c:pt idx="30">
                  <c:v>1.5253799760632682E-4</c:v>
                </c:pt>
                <c:pt idx="31">
                  <c:v>1.4862676689847228E-4</c:v>
                </c:pt>
                <c:pt idx="32">
                  <c:v>1.3298184406705413E-4</c:v>
                </c:pt>
                <c:pt idx="33">
                  <c:v>1.5644922831418133E-4</c:v>
                </c:pt>
                <c:pt idx="34">
                  <c:v>1.9556153539272667E-4</c:v>
                </c:pt>
                <c:pt idx="35">
                  <c:v>1.1342569052778147E-4</c:v>
                </c:pt>
                <c:pt idx="36">
                  <c:v>1.3298184406705413E-4</c:v>
                </c:pt>
                <c:pt idx="37">
                  <c:v>1.0560322911207241E-4</c:v>
                </c:pt>
                <c:pt idx="38">
                  <c:v>1.2124815194349053E-4</c:v>
                </c:pt>
                <c:pt idx="39">
                  <c:v>1.4862676689847228E-4</c:v>
                </c:pt>
                <c:pt idx="40">
                  <c:v>1.642716897298904E-4</c:v>
                </c:pt>
                <c:pt idx="41">
                  <c:v>2.3467384247127202E-4</c:v>
                </c:pt>
                <c:pt idx="42">
                  <c:v>1.7991661256130855E-4</c:v>
                </c:pt>
                <c:pt idx="43">
                  <c:v>9.7780767696363337E-5</c:v>
                </c:pt>
                <c:pt idx="44">
                  <c:v>1.0560322911207241E-4</c:v>
                </c:pt>
                <c:pt idx="45">
                  <c:v>1.1342569052778147E-4</c:v>
                </c:pt>
                <c:pt idx="46">
                  <c:v>7.8224614157090664E-5</c:v>
                </c:pt>
                <c:pt idx="47">
                  <c:v>1.642716897298904E-4</c:v>
                </c:pt>
                <c:pt idx="48">
                  <c:v>1.6036045902203587E-4</c:v>
                </c:pt>
                <c:pt idx="49">
                  <c:v>1.4080430548276321E-4</c:v>
                </c:pt>
                <c:pt idx="50">
                  <c:v>1.0951445981992694E-4</c:v>
                </c:pt>
                <c:pt idx="51">
                  <c:v>1.5644922831418133E-4</c:v>
                </c:pt>
                <c:pt idx="52">
                  <c:v>1.1342569052778147E-4</c:v>
                </c:pt>
                <c:pt idx="53">
                  <c:v>1.0169199840421787E-4</c:v>
                </c:pt>
                <c:pt idx="54">
                  <c:v>1.5644922831418133E-4</c:v>
                </c:pt>
                <c:pt idx="55">
                  <c:v>1.9947276610058121E-4</c:v>
                </c:pt>
                <c:pt idx="56">
                  <c:v>1.6036045902203587E-4</c:v>
                </c:pt>
                <c:pt idx="57">
                  <c:v>1.3689307477490867E-4</c:v>
                </c:pt>
                <c:pt idx="58">
                  <c:v>1.2515938265134508E-4</c:v>
                </c:pt>
                <c:pt idx="59">
                  <c:v>1.2515938265134508E-4</c:v>
                </c:pt>
                <c:pt idx="60">
                  <c:v>1.6036045902203587E-4</c:v>
                </c:pt>
                <c:pt idx="61">
                  <c:v>1.9165030468487214E-4</c:v>
                </c:pt>
                <c:pt idx="62">
                  <c:v>2.1902891963985387E-4</c:v>
                </c:pt>
                <c:pt idx="63">
                  <c:v>1.4862676689847228E-4</c:v>
                </c:pt>
                <c:pt idx="64">
                  <c:v>1.0951445981992694E-4</c:v>
                </c:pt>
                <c:pt idx="65">
                  <c:v>1.1733692123563601E-4</c:v>
                </c:pt>
                <c:pt idx="66">
                  <c:v>1.2515938265134508E-4</c:v>
                </c:pt>
                <c:pt idx="67">
                  <c:v>1.2124815194349053E-4</c:v>
                </c:pt>
                <c:pt idx="68">
                  <c:v>1.2124815194349053E-4</c:v>
                </c:pt>
                <c:pt idx="69">
                  <c:v>1.8382784326916306E-4</c:v>
                </c:pt>
                <c:pt idx="70">
                  <c:v>1.3298184406705413E-4</c:v>
                </c:pt>
                <c:pt idx="71">
                  <c:v>1.2515938265134508E-4</c:v>
                </c:pt>
                <c:pt idx="72">
                  <c:v>1.1342569052778147E-4</c:v>
                </c:pt>
                <c:pt idx="73">
                  <c:v>1.1342569052778147E-4</c:v>
                </c:pt>
                <c:pt idx="74">
                  <c:v>1.7209415114559948E-4</c:v>
                </c:pt>
                <c:pt idx="75">
                  <c:v>1.7209415114559948E-4</c:v>
                </c:pt>
                <c:pt idx="76">
                  <c:v>2.3467384247127202E-4</c:v>
                </c:pt>
                <c:pt idx="77">
                  <c:v>1.642716897298904E-4</c:v>
                </c:pt>
                <c:pt idx="78">
                  <c:v>1.2907061335919959E-4</c:v>
                </c:pt>
                <c:pt idx="79">
                  <c:v>1.3689307477490867E-4</c:v>
                </c:pt>
                <c:pt idx="80">
                  <c:v>1.0169199840421787E-4</c:v>
                </c:pt>
                <c:pt idx="81">
                  <c:v>1.4471553619061774E-4</c:v>
                </c:pt>
                <c:pt idx="82">
                  <c:v>1.7600538185345401E-4</c:v>
                </c:pt>
                <c:pt idx="83">
                  <c:v>3.246321487519263E-4</c:v>
                </c:pt>
                <c:pt idx="84">
                  <c:v>2.2685138105556294E-4</c:v>
                </c:pt>
                <c:pt idx="85">
                  <c:v>1.4080430548276321E-4</c:v>
                </c:pt>
                <c:pt idx="86">
                  <c:v>1.4471553619061774E-4</c:v>
                </c:pt>
                <c:pt idx="87">
                  <c:v>1.6818292043774494E-4</c:v>
                </c:pt>
                <c:pt idx="88">
                  <c:v>1.6818292043774494E-4</c:v>
                </c:pt>
                <c:pt idx="89">
                  <c:v>2.1120645822414482E-4</c:v>
                </c:pt>
                <c:pt idx="90">
                  <c:v>3.6374445583047161E-4</c:v>
                </c:pt>
                <c:pt idx="91">
                  <c:v>2.6205245742625375E-4</c:v>
                </c:pt>
                <c:pt idx="92">
                  <c:v>1.642716897298904E-4</c:v>
                </c:pt>
                <c:pt idx="93">
                  <c:v>2.464075345948356E-4</c:v>
                </c:pt>
                <c:pt idx="94">
                  <c:v>1.8382784326916306E-4</c:v>
                </c:pt>
                <c:pt idx="95">
                  <c:v>2.0338399680843575E-4</c:v>
                </c:pt>
                <c:pt idx="96">
                  <c:v>2.1120645822414482E-4</c:v>
                </c:pt>
                <c:pt idx="97">
                  <c:v>3.754781479540352E-4</c:v>
                </c:pt>
                <c:pt idx="98">
                  <c:v>2.6596368813410826E-4</c:v>
                </c:pt>
                <c:pt idx="99">
                  <c:v>2.464075345948356E-4</c:v>
                </c:pt>
                <c:pt idx="100">
                  <c:v>1.642716897298904E-4</c:v>
                </c:pt>
                <c:pt idx="101">
                  <c:v>2.0729522751629029E-4</c:v>
                </c:pt>
                <c:pt idx="102">
                  <c:v>2.1120645822414482E-4</c:v>
                </c:pt>
                <c:pt idx="103">
                  <c:v>2.3858507317912656E-4</c:v>
                </c:pt>
                <c:pt idx="104">
                  <c:v>4.419690699875623E-4</c:v>
                </c:pt>
                <c:pt idx="105">
                  <c:v>2.6205245742625375E-4</c:v>
                </c:pt>
                <c:pt idx="106">
                  <c:v>2.1511768893199933E-4</c:v>
                </c:pt>
                <c:pt idx="107">
                  <c:v>1.9165030468487214E-4</c:v>
                </c:pt>
                <c:pt idx="108">
                  <c:v>2.2294015034770841E-4</c:v>
                </c:pt>
                <c:pt idx="109">
                  <c:v>2.9334230308909E-4</c:v>
                </c:pt>
                <c:pt idx="110">
                  <c:v>3.3636584087548988E-4</c:v>
                </c:pt>
                <c:pt idx="111">
                  <c:v>5.2410491485250751E-4</c:v>
                </c:pt>
                <c:pt idx="112">
                  <c:v>3.2072091804407173E-4</c:v>
                </c:pt>
                <c:pt idx="113">
                  <c:v>3.1680968733621722E-4</c:v>
                </c:pt>
                <c:pt idx="114">
                  <c:v>2.8943107238123549E-4</c:v>
                </c:pt>
                <c:pt idx="115">
                  <c:v>3.0898722592050815E-4</c:v>
                </c:pt>
                <c:pt idx="116">
                  <c:v>3.6374445583047161E-4</c:v>
                </c:pt>
                <c:pt idx="117">
                  <c:v>4.3414660857185323E-4</c:v>
                </c:pt>
                <c:pt idx="118">
                  <c:v>5.7103968334676185E-4</c:v>
                </c:pt>
                <c:pt idx="119">
                  <c:v>4.6934768494254404E-4</c:v>
                </c:pt>
                <c:pt idx="120">
                  <c:v>3.7156691724618069E-4</c:v>
                </c:pt>
                <c:pt idx="121">
                  <c:v>3.4027707158334439E-4</c:v>
                </c:pt>
                <c:pt idx="122">
                  <c:v>4.2632414715614416E-4</c:v>
                </c:pt>
                <c:pt idx="123">
                  <c:v>4.1459045503258057E-4</c:v>
                </c:pt>
                <c:pt idx="124">
                  <c:v>4.9672629989752572E-4</c:v>
                </c:pt>
                <c:pt idx="125">
                  <c:v>7.9006860298661572E-4</c:v>
                </c:pt>
                <c:pt idx="126">
                  <c:v>6.3361937467243444E-4</c:v>
                </c:pt>
                <c:pt idx="127">
                  <c:v>5.1628245343679838E-4</c:v>
                </c:pt>
                <c:pt idx="128">
                  <c:v>4.7325891565039855E-4</c:v>
                </c:pt>
                <c:pt idx="129">
                  <c:v>5.2801614556036202E-4</c:v>
                </c:pt>
                <c:pt idx="130">
                  <c:v>5.0063753060538034E-4</c:v>
                </c:pt>
                <c:pt idx="131">
                  <c:v>7.0011029670596155E-4</c:v>
                </c:pt>
                <c:pt idx="132">
                  <c:v>1.0012750612107607E-3</c:v>
                </c:pt>
                <c:pt idx="133">
                  <c:v>8.9958306280654276E-4</c:v>
                </c:pt>
                <c:pt idx="134">
                  <c:v>7.0402152741381606E-4</c:v>
                </c:pt>
                <c:pt idx="135">
                  <c:v>6.8055414316668878E-4</c:v>
                </c:pt>
                <c:pt idx="136">
                  <c:v>7.1184398882952508E-4</c:v>
                </c:pt>
                <c:pt idx="137">
                  <c:v>8.487370636044338E-4</c:v>
                </c:pt>
                <c:pt idx="138">
                  <c:v>9.3869536988508808E-4</c:v>
                </c:pt>
                <c:pt idx="139">
                  <c:v>1.7404976649952673E-3</c:v>
                </c:pt>
                <c:pt idx="140">
                  <c:v>1.1929253658956326E-3</c:v>
                </c:pt>
                <c:pt idx="141">
                  <c:v>1.0794996753678513E-3</c:v>
                </c:pt>
                <c:pt idx="142">
                  <c:v>1.0677659832442877E-3</c:v>
                </c:pt>
                <c:pt idx="143">
                  <c:v>1.17336921235636E-3</c:v>
                </c:pt>
                <c:pt idx="144">
                  <c:v>1.3454633635019595E-3</c:v>
                </c:pt>
                <c:pt idx="145">
                  <c:v>1.7444088957031219E-3</c:v>
                </c:pt>
                <c:pt idx="146">
                  <c:v>2.6205245742625376E-3</c:v>
                </c:pt>
                <c:pt idx="147">
                  <c:v>1.9008581240173032E-3</c:v>
                </c:pt>
                <c:pt idx="148">
                  <c:v>1.701385357916722E-3</c:v>
                </c:pt>
                <c:pt idx="149">
                  <c:v>1.9321479696801395E-3</c:v>
                </c:pt>
                <c:pt idx="150">
                  <c:v>1.8187222791523582E-3</c:v>
                </c:pt>
                <c:pt idx="151">
                  <c:v>2.3115373483420295E-3</c:v>
                </c:pt>
                <c:pt idx="152">
                  <c:v>2.7847962639924277E-3</c:v>
                </c:pt>
                <c:pt idx="153">
                  <c:v>4.5526725439426772E-3</c:v>
                </c:pt>
                <c:pt idx="154">
                  <c:v>3.1328957969914812E-3</c:v>
                </c:pt>
                <c:pt idx="155">
                  <c:v>2.6987491884196283E-3</c:v>
                </c:pt>
                <c:pt idx="156">
                  <c:v>2.8160861096552642E-3</c:v>
                </c:pt>
                <c:pt idx="157">
                  <c:v>3.1094284127443543E-3</c:v>
                </c:pt>
                <c:pt idx="158">
                  <c:v>3.2306765646878447E-3</c:v>
                </c:pt>
                <c:pt idx="159">
                  <c:v>4.2984425479321324E-3</c:v>
                </c:pt>
                <c:pt idx="160">
                  <c:v>6.5708675891956161E-3</c:v>
                </c:pt>
                <c:pt idx="161">
                  <c:v>4.9555293068516935E-3</c:v>
                </c:pt>
                <c:pt idx="162">
                  <c:v>4.4940040833248594E-3</c:v>
                </c:pt>
                <c:pt idx="163">
                  <c:v>4.705210541549004E-3</c:v>
                </c:pt>
                <c:pt idx="164">
                  <c:v>5.1393571501208574E-3</c:v>
                </c:pt>
                <c:pt idx="165">
                  <c:v>5.6556396035576557E-3</c:v>
                </c:pt>
                <c:pt idx="166">
                  <c:v>7.5408528047435407E-3</c:v>
                </c:pt>
                <c:pt idx="167">
                  <c:v>1.2605896571415162E-2</c:v>
                </c:pt>
                <c:pt idx="168">
                  <c:v>8.5460390966621558E-3</c:v>
                </c:pt>
                <c:pt idx="169">
                  <c:v>7.8811298763268849E-3</c:v>
                </c:pt>
                <c:pt idx="170">
                  <c:v>8.1236261802138665E-3</c:v>
                </c:pt>
                <c:pt idx="171">
                  <c:v>8.6594647871899369E-3</c:v>
                </c:pt>
                <c:pt idx="172">
                  <c:v>9.6450949255692791E-3</c:v>
                </c:pt>
                <c:pt idx="173">
                  <c:v>1.3016575795739888E-2</c:v>
                </c:pt>
                <c:pt idx="174">
                  <c:v>2.2423085648130042E-2</c:v>
                </c:pt>
                <c:pt idx="175">
                  <c:v>1.5918708980967953E-2</c:v>
                </c:pt>
                <c:pt idx="176">
                  <c:v>1.5073883148071373E-2</c:v>
                </c:pt>
                <c:pt idx="177">
                  <c:v>1.555496452513748E-2</c:v>
                </c:pt>
                <c:pt idx="178">
                  <c:v>1.6982563733504385E-2</c:v>
                </c:pt>
                <c:pt idx="179">
                  <c:v>1.9360592003879941E-2</c:v>
                </c:pt>
                <c:pt idx="180">
                  <c:v>2.8153038635136931E-2</c:v>
                </c:pt>
                <c:pt idx="181">
                  <c:v>4.7310246642208439E-2</c:v>
                </c:pt>
                <c:pt idx="182">
                  <c:v>3.0374617677198307E-2</c:v>
                </c:pt>
                <c:pt idx="183">
                  <c:v>2.4957563146819777E-2</c:v>
                </c:pt>
                <c:pt idx="184">
                  <c:v>2.2325304880433678E-2</c:v>
                </c:pt>
                <c:pt idx="185">
                  <c:v>2.1183225513740155E-2</c:v>
                </c:pt>
                <c:pt idx="186">
                  <c:v>2.0091992146248738E-2</c:v>
                </c:pt>
                <c:pt idx="187">
                  <c:v>2.2825942411039059E-2</c:v>
                </c:pt>
                <c:pt idx="188">
                  <c:v>3.1649678887958888E-2</c:v>
                </c:pt>
                <c:pt idx="189">
                  <c:v>1.8789552320533177E-2</c:v>
                </c:pt>
                <c:pt idx="190">
                  <c:v>1.4139099008894139E-2</c:v>
                </c:pt>
                <c:pt idx="191">
                  <c:v>1.3032220718571305E-2</c:v>
                </c:pt>
                <c:pt idx="192">
                  <c:v>1.207005796443909E-2</c:v>
                </c:pt>
                <c:pt idx="193">
                  <c:v>1.2379045190359598E-2</c:v>
                </c:pt>
                <c:pt idx="194">
                  <c:v>1.3744064707400831E-2</c:v>
                </c:pt>
                <c:pt idx="195">
                  <c:v>2.034231091155143E-2</c:v>
                </c:pt>
                <c:pt idx="196">
                  <c:v>1.1725869662147892E-2</c:v>
                </c:pt>
                <c:pt idx="197">
                  <c:v>9.3595750838958991E-3</c:v>
                </c:pt>
                <c:pt idx="198">
                  <c:v>8.3974123297636833E-3</c:v>
                </c:pt>
                <c:pt idx="199">
                  <c:v>8.2957203313594654E-3</c:v>
                </c:pt>
                <c:pt idx="200">
                  <c:v>7.8772186456190305E-3</c:v>
                </c:pt>
                <c:pt idx="201">
                  <c:v>9.3165515461094989E-3</c:v>
                </c:pt>
                <c:pt idx="202">
                  <c:v>1.2551139341505198E-2</c:v>
                </c:pt>
                <c:pt idx="203">
                  <c:v>7.8654849534954673E-3</c:v>
                </c:pt>
                <c:pt idx="204">
                  <c:v>6.2384129790279807E-3</c:v>
                </c:pt>
                <c:pt idx="205">
                  <c:v>5.7573316019618737E-3</c:v>
                </c:pt>
                <c:pt idx="206">
                  <c:v>5.4561668374570743E-3</c:v>
                </c:pt>
                <c:pt idx="207">
                  <c:v>5.3818534540078381E-3</c:v>
                </c:pt>
                <c:pt idx="208">
                  <c:v>6.1054311349609267E-3</c:v>
                </c:pt>
                <c:pt idx="209">
                  <c:v>9.26570554690739E-3</c:v>
                </c:pt>
                <c:pt idx="210">
                  <c:v>5.6360834500183829E-3</c:v>
                </c:pt>
                <c:pt idx="211">
                  <c:v>4.4548917762463136E-3</c:v>
                </c:pt>
                <c:pt idx="212">
                  <c:v>3.915141938562388E-3</c:v>
                </c:pt>
                <c:pt idx="213">
                  <c:v>3.9738103991802057E-3</c:v>
                </c:pt>
                <c:pt idx="214">
                  <c:v>4.4314243919991864E-3</c:v>
                </c:pt>
                <c:pt idx="215">
                  <c:v>4.6660982344704583E-3</c:v>
                </c:pt>
                <c:pt idx="216">
                  <c:v>6.4457082065442709E-3</c:v>
                </c:pt>
                <c:pt idx="217">
                  <c:v>4.0676799361687149E-3</c:v>
                </c:pt>
                <c:pt idx="218">
                  <c:v>3.187653026901445E-3</c:v>
                </c:pt>
                <c:pt idx="219">
                  <c:v>3.0155588757558452E-3</c:v>
                </c:pt>
                <c:pt idx="220">
                  <c:v>2.9334230308909002E-3</c:v>
                </c:pt>
                <c:pt idx="221">
                  <c:v>3.1094284127443543E-3</c:v>
                </c:pt>
                <c:pt idx="222">
                  <c:v>3.6882905575068253E-3</c:v>
                </c:pt>
                <c:pt idx="223">
                  <c:v>4.9320619226045671E-3</c:v>
                </c:pt>
                <c:pt idx="224">
                  <c:v>3.0077364143401364E-3</c:v>
                </c:pt>
                <c:pt idx="225">
                  <c:v>2.4953651916111924E-3</c:v>
                </c:pt>
                <c:pt idx="226">
                  <c:v>2.2215790420613752E-3</c:v>
                </c:pt>
                <c:pt idx="227">
                  <c:v>2.1824667349828299E-3</c:v>
                </c:pt>
                <c:pt idx="228">
                  <c:v>2.5031876530269013E-3</c:v>
                </c:pt>
                <c:pt idx="229">
                  <c:v>2.6479031892175193E-3</c:v>
                </c:pt>
                <c:pt idx="230">
                  <c:v>3.8760296314838427E-3</c:v>
                </c:pt>
                <c:pt idx="231">
                  <c:v>2.4758090380719196E-3</c:v>
                </c:pt>
                <c:pt idx="232">
                  <c:v>1.9321479696801395E-3</c:v>
                </c:pt>
                <c:pt idx="233">
                  <c:v>1.8069885870287945E-3</c:v>
                </c:pt>
                <c:pt idx="234">
                  <c:v>1.7248527421638493E-3</c:v>
                </c:pt>
                <c:pt idx="235">
                  <c:v>1.7444088957031219E-3</c:v>
                </c:pt>
                <c:pt idx="236">
                  <c:v>2.1824667349828299E-3</c:v>
                </c:pt>
                <c:pt idx="237">
                  <c:v>3.1094284127443543E-3</c:v>
                </c:pt>
                <c:pt idx="238">
                  <c:v>1.9712602767586848E-3</c:v>
                </c:pt>
                <c:pt idx="239">
                  <c:v>1.627071974467486E-3</c:v>
                </c:pt>
                <c:pt idx="240">
                  <c:v>1.619249513051777E-3</c:v>
                </c:pt>
                <c:pt idx="241">
                  <c:v>1.3767532091647958E-3</c:v>
                </c:pt>
                <c:pt idx="242">
                  <c:v>1.576225975265377E-3</c:v>
                </c:pt>
                <c:pt idx="243">
                  <c:v>1.6896516657931586E-3</c:v>
                </c:pt>
                <c:pt idx="244">
                  <c:v>2.5501224215211558E-3</c:v>
                </c:pt>
                <c:pt idx="245">
                  <c:v>1.6661842815460313E-3</c:v>
                </c:pt>
                <c:pt idx="246">
                  <c:v>1.2437713650977416E-3</c:v>
                </c:pt>
                <c:pt idx="247">
                  <c:v>1.1694579816485056E-3</c:v>
                </c:pt>
                <c:pt idx="248">
                  <c:v>1.1968365966034873E-3</c:v>
                </c:pt>
                <c:pt idx="249">
                  <c:v>1.3532858249176685E-3</c:v>
                </c:pt>
                <c:pt idx="250">
                  <c:v>1.5996933595125043E-3</c:v>
                </c:pt>
                <c:pt idx="251">
                  <c:v>2.1394431971964297E-3</c:v>
                </c:pt>
                <c:pt idx="252">
                  <c:v>1.3923981319962139E-3</c:v>
                </c:pt>
                <c:pt idx="253">
                  <c:v>1.114700751738542E-3</c:v>
                </c:pt>
                <c:pt idx="254">
                  <c:v>1.040387368289306E-3</c:v>
                </c:pt>
                <c:pt idx="255">
                  <c:v>9.5434029271650623E-4</c:v>
                </c:pt>
                <c:pt idx="256">
                  <c:v>1.048209829705015E-3</c:v>
                </c:pt>
                <c:pt idx="257">
                  <c:v>1.4002205934119231E-3</c:v>
                </c:pt>
                <c:pt idx="258">
                  <c:v>1.8108998177366489E-3</c:v>
                </c:pt>
                <c:pt idx="259">
                  <c:v>1.0951445981992694E-3</c:v>
                </c:pt>
                <c:pt idx="260">
                  <c:v>8.174472179415975E-4</c:v>
                </c:pt>
                <c:pt idx="261">
                  <c:v>9.3087290846937895E-4</c:v>
                </c:pt>
                <c:pt idx="262">
                  <c:v>9.2696167776152444E-4</c:v>
                </c:pt>
                <c:pt idx="263">
                  <c:v>9.8563013837934242E-4</c:v>
                </c:pt>
                <c:pt idx="264">
                  <c:v>1.1694579816485056E-3</c:v>
                </c:pt>
                <c:pt idx="265">
                  <c:v>1.4862676689847228E-3</c:v>
                </c:pt>
                <c:pt idx="266">
                  <c:v>8.9176060139083363E-4</c:v>
                </c:pt>
                <c:pt idx="267">
                  <c:v>8.2918091006516114E-4</c:v>
                </c:pt>
                <c:pt idx="268">
                  <c:v>7.4704506520021589E-4</c:v>
                </c:pt>
                <c:pt idx="269">
                  <c:v>7.7051244944734306E-4</c:v>
                </c:pt>
                <c:pt idx="270">
                  <c:v>7.7442368015519767E-4</c:v>
                </c:pt>
                <c:pt idx="271">
                  <c:v>1.0247424454578877E-3</c:v>
                </c:pt>
                <c:pt idx="272">
                  <c:v>1.4080430548276321E-3</c:v>
                </c:pt>
                <c:pt idx="273">
                  <c:v>9.2305044705366993E-4</c:v>
                </c:pt>
                <c:pt idx="274">
                  <c:v>7.3140014236879774E-4</c:v>
                </c:pt>
                <c:pt idx="275">
                  <c:v>6.3361937467243444E-4</c:v>
                </c:pt>
                <c:pt idx="276">
                  <c:v>6.8055414316668878E-4</c:v>
                </c:pt>
                <c:pt idx="277">
                  <c:v>6.6882045104312525E-4</c:v>
                </c:pt>
                <c:pt idx="278">
                  <c:v>9.152279856379608E-4</c:v>
                </c:pt>
                <c:pt idx="279">
                  <c:v>1.2124815194349053E-3</c:v>
                </c:pt>
                <c:pt idx="280">
                  <c:v>7.0793275812167057E-4</c:v>
                </c:pt>
                <c:pt idx="281">
                  <c:v>5.8668460617817999E-4</c:v>
                </c:pt>
                <c:pt idx="282">
                  <c:v>6.4535306679599808E-4</c:v>
                </c:pt>
                <c:pt idx="283">
                  <c:v>5.5930599122319831E-4</c:v>
                </c:pt>
                <c:pt idx="284">
                  <c:v>5.8277337547032548E-4</c:v>
                </c:pt>
                <c:pt idx="285">
                  <c:v>8.1353598723374299E-4</c:v>
                </c:pt>
                <c:pt idx="286">
                  <c:v>1.114700751738542E-3</c:v>
                </c:pt>
                <c:pt idx="287">
                  <c:v>6.4144183608814346E-4</c:v>
                </c:pt>
                <c:pt idx="288">
                  <c:v>4.7717014635825311E-4</c:v>
                </c:pt>
                <c:pt idx="289">
                  <c:v>6.1797445184101629E-4</c:v>
                </c:pt>
                <c:pt idx="290">
                  <c:v>5.5930599122319831E-4</c:v>
                </c:pt>
                <c:pt idx="291">
                  <c:v>5.5148352980748919E-4</c:v>
                </c:pt>
                <c:pt idx="292">
                  <c:v>6.7273168175097976E-4</c:v>
                </c:pt>
                <c:pt idx="293">
                  <c:v>9.6607398484006976E-4</c:v>
                </c:pt>
                <c:pt idx="294">
                  <c:v>6.1406322113316178E-4</c:v>
                </c:pt>
                <c:pt idx="295">
                  <c:v>4.8108137706610762E-4</c:v>
                </c:pt>
                <c:pt idx="296">
                  <c:v>4.9281506918967121E-4</c:v>
                </c:pt>
                <c:pt idx="297">
                  <c:v>5.553947605153438E-4</c:v>
                </c:pt>
                <c:pt idx="298">
                  <c:v>4.9281506918967121E-4</c:v>
                </c:pt>
                <c:pt idx="299">
                  <c:v>6.218856825488708E-4</c:v>
                </c:pt>
                <c:pt idx="300">
                  <c:v>9.0740552422225178E-4</c:v>
                </c:pt>
                <c:pt idx="301">
                  <c:v>6.1797445184101629E-4</c:v>
                </c:pt>
                <c:pt idx="302">
                  <c:v>4.6934768494254404E-4</c:v>
                </c:pt>
                <c:pt idx="303">
                  <c:v>3.9503430149330786E-4</c:v>
                </c:pt>
                <c:pt idx="304">
                  <c:v>4.0285676290901693E-4</c:v>
                </c:pt>
                <c:pt idx="305">
                  <c:v>5.1628245343679838E-4</c:v>
                </c:pt>
                <c:pt idx="306">
                  <c:v>5.3192737626821653E-4</c:v>
                </c:pt>
                <c:pt idx="307">
                  <c:v>7.4313383449236138E-4</c:v>
                </c:pt>
                <c:pt idx="308">
                  <c:v>6.0624075971745265E-4</c:v>
                </c:pt>
                <c:pt idx="309">
                  <c:v>4.419690699875623E-4</c:v>
                </c:pt>
                <c:pt idx="310">
                  <c:v>3.6374445583047161E-4</c:v>
                </c:pt>
                <c:pt idx="311">
                  <c:v>3.9894553220116242E-4</c:v>
                </c:pt>
                <c:pt idx="312">
                  <c:v>3.9894553220116242E-4</c:v>
                </c:pt>
                <c:pt idx="313">
                  <c:v>4.9672629989752572E-4</c:v>
                </c:pt>
                <c:pt idx="314">
                  <c:v>7.3140014236879774E-4</c:v>
                </c:pt>
                <c:pt idx="315">
                  <c:v>5.7886214476247097E-4</c:v>
                </c:pt>
                <c:pt idx="316">
                  <c:v>4.1067922432472601E-4</c:v>
                </c:pt>
                <c:pt idx="317">
                  <c:v>3.246321487519263E-4</c:v>
                </c:pt>
                <c:pt idx="318">
                  <c:v>4.2632414715614416E-4</c:v>
                </c:pt>
                <c:pt idx="319">
                  <c:v>3.4809953299905346E-4</c:v>
                </c:pt>
                <c:pt idx="320">
                  <c:v>4.7325891565039855E-4</c:v>
                </c:pt>
                <c:pt idx="321">
                  <c:v>6.8837660458239791E-4</c:v>
                </c:pt>
                <c:pt idx="322">
                  <c:v>5.9059583688603461E-4</c:v>
                </c:pt>
                <c:pt idx="323">
                  <c:v>3.8330060936974427E-4</c:v>
                </c:pt>
                <c:pt idx="324">
                  <c:v>4.1067922432472601E-4</c:v>
                </c:pt>
                <c:pt idx="325">
                  <c:v>4.3023537786399867E-4</c:v>
                </c:pt>
                <c:pt idx="326">
                  <c:v>3.6765568653832612E-4</c:v>
                </c:pt>
                <c:pt idx="327">
                  <c:v>4.3414660857185323E-4</c:v>
                </c:pt>
                <c:pt idx="328">
                  <c:v>7.1184398882952508E-4</c:v>
                </c:pt>
                <c:pt idx="329">
                  <c:v>4.3805783927970774E-4</c:v>
                </c:pt>
                <c:pt idx="330">
                  <c:v>4.1459045503258057E-4</c:v>
                </c:pt>
                <c:pt idx="331">
                  <c:v>3.0116476450479907E-4</c:v>
                </c:pt>
                <c:pt idx="332">
                  <c:v>3.8330060936974427E-4</c:v>
                </c:pt>
                <c:pt idx="333">
                  <c:v>3.4809953299905346E-4</c:v>
                </c:pt>
                <c:pt idx="334">
                  <c:v>4.067679936168715E-4</c:v>
                </c:pt>
                <c:pt idx="335">
                  <c:v>6.1797445184101629E-4</c:v>
                </c:pt>
                <c:pt idx="336">
                  <c:v>3.8721184007759884E-4</c:v>
                </c:pt>
                <c:pt idx="337">
                  <c:v>3.4027707158334439E-4</c:v>
                </c:pt>
                <c:pt idx="338">
                  <c:v>3.4418830229119895E-4</c:v>
                </c:pt>
                <c:pt idx="339">
                  <c:v>3.2072091804407173E-4</c:v>
                </c:pt>
                <c:pt idx="340">
                  <c:v>3.3245461016763537E-4</c:v>
                </c:pt>
                <c:pt idx="341">
                  <c:v>3.9503430149330786E-4</c:v>
                </c:pt>
                <c:pt idx="342">
                  <c:v>6.7273168175097976E-4</c:v>
                </c:pt>
                <c:pt idx="343">
                  <c:v>4.3414660857185323E-4</c:v>
                </c:pt>
                <c:pt idx="344">
                  <c:v>3.8330060936974427E-4</c:v>
                </c:pt>
                <c:pt idx="345">
                  <c:v>3.2072091804407173E-4</c:v>
                </c:pt>
                <c:pt idx="346">
                  <c:v>3.754781479540352E-4</c:v>
                </c:pt>
                <c:pt idx="347">
                  <c:v>4.0285676290901693E-4</c:v>
                </c:pt>
                <c:pt idx="348">
                  <c:v>4.9281506918967121E-4</c:v>
                </c:pt>
                <c:pt idx="349">
                  <c:v>7.2748891166094323E-4</c:v>
                </c:pt>
                <c:pt idx="350">
                  <c:v>4.3805783927970774E-4</c:v>
                </c:pt>
                <c:pt idx="351">
                  <c:v>3.6765568653832612E-4</c:v>
                </c:pt>
                <c:pt idx="352">
                  <c:v>3.6374445583047161E-4</c:v>
                </c:pt>
                <c:pt idx="353">
                  <c:v>3.4027707158334439E-4</c:v>
                </c:pt>
                <c:pt idx="354">
                  <c:v>4.067679936168715E-4</c:v>
                </c:pt>
                <c:pt idx="355">
                  <c:v>5.2801614556036202E-4</c:v>
                </c:pt>
                <c:pt idx="356">
                  <c:v>7.1966645024523421E-4</c:v>
                </c:pt>
                <c:pt idx="357">
                  <c:v>6.3361937467243444E-4</c:v>
                </c:pt>
                <c:pt idx="358">
                  <c:v>4.4979153140327138E-4</c:v>
                </c:pt>
                <c:pt idx="359">
                  <c:v>4.6934768494254404E-4</c:v>
                </c:pt>
                <c:pt idx="360">
                  <c:v>4.3023537786399867E-4</c:v>
                </c:pt>
                <c:pt idx="361">
                  <c:v>5.0845999202108936E-4</c:v>
                </c:pt>
                <c:pt idx="362">
                  <c:v>6.4926429750385259E-4</c:v>
                </c:pt>
                <c:pt idx="363">
                  <c:v>1.0794996753678513E-3</c:v>
                </c:pt>
                <c:pt idx="364">
                  <c:v>7.7833491086305218E-4</c:v>
                </c:pt>
                <c:pt idx="365">
                  <c:v>5.9059583688603461E-4</c:v>
                </c:pt>
                <c:pt idx="366">
                  <c:v>5.2410491485250751E-4</c:v>
                </c:pt>
                <c:pt idx="367">
                  <c:v>6.4144183608814346E-4</c:v>
                </c:pt>
                <c:pt idx="368">
                  <c:v>4.9672629989752572E-4</c:v>
                </c:pt>
                <c:pt idx="369">
                  <c:v>6.0232952900959814E-4</c:v>
                </c:pt>
                <c:pt idx="370">
                  <c:v>7.9397983369447033E-4</c:v>
                </c:pt>
                <c:pt idx="371">
                  <c:v>5.3192737626821653E-4</c:v>
                </c:pt>
                <c:pt idx="372">
                  <c:v>4.5370276211112589E-4</c:v>
                </c:pt>
                <c:pt idx="373">
                  <c:v>3.7156691724618069E-4</c:v>
                </c:pt>
                <c:pt idx="374">
                  <c:v>3.8330060936974427E-4</c:v>
                </c:pt>
                <c:pt idx="375">
                  <c:v>3.7938937866188976E-4</c:v>
                </c:pt>
                <c:pt idx="376">
                  <c:v>5.7495091405461646E-4</c:v>
                </c:pt>
                <c:pt idx="377">
                  <c:v>6.218856825488708E-4</c:v>
                </c:pt>
                <c:pt idx="378">
                  <c:v>4.3023537786399867E-4</c:v>
                </c:pt>
                <c:pt idx="379">
                  <c:v>3.2072091804407173E-4</c:v>
                </c:pt>
                <c:pt idx="380">
                  <c:v>3.5201076370690803E-4</c:v>
                </c:pt>
                <c:pt idx="381">
                  <c:v>3.3636584087548988E-4</c:v>
                </c:pt>
                <c:pt idx="382">
                  <c:v>3.9503430149330786E-4</c:v>
                </c:pt>
                <c:pt idx="383">
                  <c:v>5.0845999202108936E-4</c:v>
                </c:pt>
                <c:pt idx="384">
                  <c:v>5.0845999202108936E-4</c:v>
                </c:pt>
                <c:pt idx="385">
                  <c:v>3.3636584087548988E-4</c:v>
                </c:pt>
                <c:pt idx="386">
                  <c:v>3.0898722592050815E-4</c:v>
                </c:pt>
                <c:pt idx="387">
                  <c:v>2.8551984167338092E-4</c:v>
                </c:pt>
                <c:pt idx="388">
                  <c:v>2.5031876530269017E-4</c:v>
                </c:pt>
                <c:pt idx="389">
                  <c:v>3.0898722592050815E-4</c:v>
                </c:pt>
                <c:pt idx="390">
                  <c:v>2.8943107238123549E-4</c:v>
                </c:pt>
                <c:pt idx="391">
                  <c:v>5.5930599122319831E-4</c:v>
                </c:pt>
                <c:pt idx="392">
                  <c:v>4.0285676290901693E-4</c:v>
                </c:pt>
                <c:pt idx="393">
                  <c:v>3.0507599521265364E-4</c:v>
                </c:pt>
                <c:pt idx="394">
                  <c:v>3.0116476450479907E-4</c:v>
                </c:pt>
                <c:pt idx="395">
                  <c:v>2.5814122671839919E-4</c:v>
                </c:pt>
                <c:pt idx="396">
                  <c:v>2.1902891963985387E-4</c:v>
                </c:pt>
                <c:pt idx="397">
                  <c:v>3.6374445583047161E-4</c:v>
                </c:pt>
                <c:pt idx="398">
                  <c:v>4.0285676290901693E-4</c:v>
                </c:pt>
                <c:pt idx="399">
                  <c:v>3.1680968733621722E-4</c:v>
                </c:pt>
                <c:pt idx="400">
                  <c:v>2.5031876530269017E-4</c:v>
                </c:pt>
                <c:pt idx="401">
                  <c:v>2.9334230308909E-4</c:v>
                </c:pt>
                <c:pt idx="402">
                  <c:v>2.1511768893199933E-4</c:v>
                </c:pt>
                <c:pt idx="403">
                  <c:v>2.0338399680843575E-4</c:v>
                </c:pt>
                <c:pt idx="404">
                  <c:v>2.6987491884196283E-4</c:v>
                </c:pt>
                <c:pt idx="405">
                  <c:v>4.2632414715614416E-4</c:v>
                </c:pt>
                <c:pt idx="406">
                  <c:v>2.7378614954981734E-4</c:v>
                </c:pt>
                <c:pt idx="407">
                  <c:v>1.7209415114559948E-4</c:v>
                </c:pt>
                <c:pt idx="408">
                  <c:v>2.6596368813410826E-4</c:v>
                </c:pt>
                <c:pt idx="409">
                  <c:v>1.5644922831418133E-4</c:v>
                </c:pt>
                <c:pt idx="410">
                  <c:v>1.9556153539272667E-4</c:v>
                </c:pt>
                <c:pt idx="411">
                  <c:v>2.0338399680843575E-4</c:v>
                </c:pt>
                <c:pt idx="412">
                  <c:v>2.6987491884196283E-4</c:v>
                </c:pt>
                <c:pt idx="413">
                  <c:v>3.0898722592050815E-4</c:v>
                </c:pt>
                <c:pt idx="414">
                  <c:v>1.7600538185345401E-4</c:v>
                </c:pt>
                <c:pt idx="415">
                  <c:v>1.4471553619061774E-4</c:v>
                </c:pt>
                <c:pt idx="416">
                  <c:v>1.9556153539272667E-4</c:v>
                </c:pt>
                <c:pt idx="417">
                  <c:v>1.6818292043774494E-4</c:v>
                </c:pt>
                <c:pt idx="418">
                  <c:v>2.0729522751629029E-4</c:v>
                </c:pt>
                <c:pt idx="419">
                  <c:v>3.4027707158334439E-4</c:v>
                </c:pt>
                <c:pt idx="420">
                  <c:v>1.9165030468487214E-4</c:v>
                </c:pt>
                <c:pt idx="421">
                  <c:v>1.9556153539272667E-4</c:v>
                </c:pt>
                <c:pt idx="422">
                  <c:v>1.9556153539272667E-4</c:v>
                </c:pt>
                <c:pt idx="423">
                  <c:v>1.7600538185345401E-4</c:v>
                </c:pt>
                <c:pt idx="424">
                  <c:v>1.7209415114559948E-4</c:v>
                </c:pt>
                <c:pt idx="425">
                  <c:v>2.2685138105556294E-4</c:v>
                </c:pt>
                <c:pt idx="426">
                  <c:v>2.8160861096552641E-4</c:v>
                </c:pt>
                <c:pt idx="427">
                  <c:v>1.9556153539272667E-4</c:v>
                </c:pt>
                <c:pt idx="428">
                  <c:v>1.642716897298904E-4</c:v>
                </c:pt>
                <c:pt idx="429">
                  <c:v>1.7209415114559948E-4</c:v>
                </c:pt>
                <c:pt idx="430">
                  <c:v>1.2124815194349053E-4</c:v>
                </c:pt>
                <c:pt idx="431">
                  <c:v>1.7209415114559948E-4</c:v>
                </c:pt>
                <c:pt idx="432">
                  <c:v>1.6818292043774494E-4</c:v>
                </c:pt>
                <c:pt idx="433">
                  <c:v>3.1289845662836266E-4</c:v>
                </c:pt>
                <c:pt idx="434">
                  <c:v>1.7209415114559948E-4</c:v>
                </c:pt>
                <c:pt idx="435">
                  <c:v>1.4080430548276321E-4</c:v>
                </c:pt>
                <c:pt idx="436">
                  <c:v>1.7209415114559948E-4</c:v>
                </c:pt>
                <c:pt idx="437">
                  <c:v>1.4080430548276321E-4</c:v>
                </c:pt>
                <c:pt idx="438">
                  <c:v>1.5644922831418133E-4</c:v>
                </c:pt>
                <c:pt idx="439">
                  <c:v>2.2685138105556294E-4</c:v>
                </c:pt>
                <c:pt idx="440">
                  <c:v>2.3858507317912656E-4</c:v>
                </c:pt>
                <c:pt idx="441">
                  <c:v>1.877390739770176E-4</c:v>
                </c:pt>
                <c:pt idx="442">
                  <c:v>1.1342569052778147E-4</c:v>
                </c:pt>
                <c:pt idx="443">
                  <c:v>1.4862676689847228E-4</c:v>
                </c:pt>
                <c:pt idx="444">
                  <c:v>1.4471553619061774E-4</c:v>
                </c:pt>
                <c:pt idx="445">
                  <c:v>1.4080430548276321E-4</c:v>
                </c:pt>
                <c:pt idx="446">
                  <c:v>1.9556153539272667E-4</c:v>
                </c:pt>
                <c:pt idx="447">
                  <c:v>1.9947276610058121E-4</c:v>
                </c:pt>
                <c:pt idx="448">
                  <c:v>2.2294015034770841E-4</c:v>
                </c:pt>
                <c:pt idx="449">
                  <c:v>1.2907061335919959E-4</c:v>
                </c:pt>
                <c:pt idx="450">
                  <c:v>8.6047075572799739E-5</c:v>
                </c:pt>
                <c:pt idx="451">
                  <c:v>1.3689307477490867E-4</c:v>
                </c:pt>
                <c:pt idx="452">
                  <c:v>1.4471553619061774E-4</c:v>
                </c:pt>
                <c:pt idx="453">
                  <c:v>1.4471553619061774E-4</c:v>
                </c:pt>
                <c:pt idx="454">
                  <c:v>2.0338399680843575E-4</c:v>
                </c:pt>
                <c:pt idx="455">
                  <c:v>1.2907061335919959E-4</c:v>
                </c:pt>
                <c:pt idx="456">
                  <c:v>1.1342569052778147E-4</c:v>
                </c:pt>
                <c:pt idx="457">
                  <c:v>1.8382784326916306E-4</c:v>
                </c:pt>
                <c:pt idx="458">
                  <c:v>1.5644922831418133E-4</c:v>
                </c:pt>
                <c:pt idx="459">
                  <c:v>1.3298184406705413E-4</c:v>
                </c:pt>
                <c:pt idx="460">
                  <c:v>1.2515938265134508E-4</c:v>
                </c:pt>
                <c:pt idx="461">
                  <c:v>1.2515938265134508E-4</c:v>
                </c:pt>
                <c:pt idx="462">
                  <c:v>1.1733692123563601E-4</c:v>
                </c:pt>
                <c:pt idx="463">
                  <c:v>8.2135844864945201E-5</c:v>
                </c:pt>
                <c:pt idx="464">
                  <c:v>1.1733692123563601E-4</c:v>
                </c:pt>
                <c:pt idx="465">
                  <c:v>1.0951445981992694E-4</c:v>
                </c:pt>
                <c:pt idx="466">
                  <c:v>1.1733692123563601E-4</c:v>
                </c:pt>
                <c:pt idx="467">
                  <c:v>1.1733692123563601E-4</c:v>
                </c:pt>
                <c:pt idx="468">
                  <c:v>2.3858507317912656E-4</c:v>
                </c:pt>
                <c:pt idx="469">
                  <c:v>1.3298184406705413E-4</c:v>
                </c:pt>
                <c:pt idx="470">
                  <c:v>1.4471553619061774E-4</c:v>
                </c:pt>
                <c:pt idx="471">
                  <c:v>8.2135844864945201E-5</c:v>
                </c:pt>
                <c:pt idx="472">
                  <c:v>6.2579691325672542E-5</c:v>
                </c:pt>
                <c:pt idx="473">
                  <c:v>9.38695369885088E-5</c:v>
                </c:pt>
                <c:pt idx="474">
                  <c:v>1.3298184406705413E-4</c:v>
                </c:pt>
                <c:pt idx="475">
                  <c:v>1.6036045902203587E-4</c:v>
                </c:pt>
                <c:pt idx="476">
                  <c:v>1.2907061335919959E-4</c:v>
                </c:pt>
                <c:pt idx="477">
                  <c:v>1.2515938265134508E-4</c:v>
                </c:pt>
                <c:pt idx="478">
                  <c:v>1.3689307477490867E-4</c:v>
                </c:pt>
                <c:pt idx="479">
                  <c:v>1.0169199840421787E-4</c:v>
                </c:pt>
                <c:pt idx="480">
                  <c:v>7.0402152741381603E-5</c:v>
                </c:pt>
                <c:pt idx="481">
                  <c:v>1.2124815194349053E-4</c:v>
                </c:pt>
                <c:pt idx="482">
                  <c:v>1.4080430548276321E-4</c:v>
                </c:pt>
                <c:pt idx="483">
                  <c:v>7.431338344923614E-5</c:v>
                </c:pt>
                <c:pt idx="484">
                  <c:v>1.1342569052778147E-4</c:v>
                </c:pt>
                <c:pt idx="485">
                  <c:v>8.6047075572799739E-5</c:v>
                </c:pt>
                <c:pt idx="486">
                  <c:v>5.8668460617818005E-5</c:v>
                </c:pt>
                <c:pt idx="487">
                  <c:v>8.2135844864945201E-5</c:v>
                </c:pt>
                <c:pt idx="488">
                  <c:v>1.1342569052778147E-4</c:v>
                </c:pt>
                <c:pt idx="489">
                  <c:v>1.4080430548276321E-4</c:v>
                </c:pt>
                <c:pt idx="490">
                  <c:v>1.0560322911207241E-4</c:v>
                </c:pt>
                <c:pt idx="491">
                  <c:v>7.431338344923614E-5</c:v>
                </c:pt>
                <c:pt idx="492">
                  <c:v>7.0402152741381603E-5</c:v>
                </c:pt>
                <c:pt idx="493">
                  <c:v>7.431338344923614E-5</c:v>
                </c:pt>
                <c:pt idx="494">
                  <c:v>5.4757229909963468E-5</c:v>
                </c:pt>
                <c:pt idx="495">
                  <c:v>8.9958306280654276E-5</c:v>
                </c:pt>
                <c:pt idx="496">
                  <c:v>1.1342569052778147E-4</c:v>
                </c:pt>
                <c:pt idx="497">
                  <c:v>1.0951445981992694E-4</c:v>
                </c:pt>
                <c:pt idx="498">
                  <c:v>9.7780767696363337E-5</c:v>
                </c:pt>
                <c:pt idx="499">
                  <c:v>7.431338344923614E-5</c:v>
                </c:pt>
                <c:pt idx="500">
                  <c:v>8.9958306280654276E-5</c:v>
                </c:pt>
                <c:pt idx="501">
                  <c:v>1.1733692123563601E-4</c:v>
                </c:pt>
                <c:pt idx="502">
                  <c:v>9.38695369885088E-5</c:v>
                </c:pt>
                <c:pt idx="503">
                  <c:v>1.3298184406705413E-4</c:v>
                </c:pt>
                <c:pt idx="504">
                  <c:v>1.1342569052778147E-4</c:v>
                </c:pt>
                <c:pt idx="505">
                  <c:v>5.0845999202108937E-5</c:v>
                </c:pt>
                <c:pt idx="506">
                  <c:v>9.38695369885088E-5</c:v>
                </c:pt>
                <c:pt idx="507">
                  <c:v>7.8224614157090664E-5</c:v>
                </c:pt>
                <c:pt idx="508">
                  <c:v>9.7780767696363337E-5</c:v>
                </c:pt>
                <c:pt idx="509">
                  <c:v>1.2124815194349053E-4</c:v>
                </c:pt>
                <c:pt idx="510">
                  <c:v>1.2124815194349053E-4</c:v>
                </c:pt>
                <c:pt idx="511">
                  <c:v>8.9958306280654276E-5</c:v>
                </c:pt>
                <c:pt idx="512">
                  <c:v>1.0951445981992694E-4</c:v>
                </c:pt>
                <c:pt idx="513">
                  <c:v>8.6047075572799739E-5</c:v>
                </c:pt>
                <c:pt idx="514">
                  <c:v>7.0402152741381603E-5</c:v>
                </c:pt>
                <c:pt idx="515">
                  <c:v>1.3689307477490867E-4</c:v>
                </c:pt>
                <c:pt idx="516">
                  <c:v>7.0402152741381603E-5</c:v>
                </c:pt>
                <c:pt idx="517">
                  <c:v>1.3298184406705413E-4</c:v>
                </c:pt>
                <c:pt idx="518">
                  <c:v>1.5644922831418133E-4</c:v>
                </c:pt>
                <c:pt idx="519">
                  <c:v>1.2124815194349053E-4</c:v>
                </c:pt>
                <c:pt idx="520">
                  <c:v>1.1733692123563601E-4</c:v>
                </c:pt>
                <c:pt idx="521">
                  <c:v>4.69347684942544E-5</c:v>
                </c:pt>
                <c:pt idx="522">
                  <c:v>6.6490922033527066E-5</c:v>
                </c:pt>
                <c:pt idx="523">
                  <c:v>1.1342569052778147E-4</c:v>
                </c:pt>
                <c:pt idx="524">
                  <c:v>1.5644922831418133E-4</c:v>
                </c:pt>
                <c:pt idx="525">
                  <c:v>1.2515938265134508E-4</c:v>
                </c:pt>
                <c:pt idx="526">
                  <c:v>7.0402152741381603E-5</c:v>
                </c:pt>
                <c:pt idx="527">
                  <c:v>1.0951445981992694E-4</c:v>
                </c:pt>
                <c:pt idx="528">
                  <c:v>1.0560322911207241E-4</c:v>
                </c:pt>
                <c:pt idx="529">
                  <c:v>6.2579691325672542E-5</c:v>
                </c:pt>
                <c:pt idx="530">
                  <c:v>6.6490922033527066E-5</c:v>
                </c:pt>
                <c:pt idx="531">
                  <c:v>1.5644922831418133E-4</c:v>
                </c:pt>
                <c:pt idx="532">
                  <c:v>1.2515938265134508E-4</c:v>
                </c:pt>
                <c:pt idx="533">
                  <c:v>9.7780767696363337E-5</c:v>
                </c:pt>
                <c:pt idx="534">
                  <c:v>8.9958306280654276E-5</c:v>
                </c:pt>
                <c:pt idx="535">
                  <c:v>8.2135844864945201E-5</c:v>
                </c:pt>
                <c:pt idx="536">
                  <c:v>8.6047075572799739E-5</c:v>
                </c:pt>
                <c:pt idx="537">
                  <c:v>1.0560322911207241E-4</c:v>
                </c:pt>
                <c:pt idx="538">
                  <c:v>1.8382784326916306E-4</c:v>
                </c:pt>
                <c:pt idx="539">
                  <c:v>1.0560322911207241E-4</c:v>
                </c:pt>
                <c:pt idx="540">
                  <c:v>7.0402152741381603E-5</c:v>
                </c:pt>
                <c:pt idx="541">
                  <c:v>6.2579691325672542E-5</c:v>
                </c:pt>
                <c:pt idx="542">
                  <c:v>7.8224614157090664E-5</c:v>
                </c:pt>
                <c:pt idx="543">
                  <c:v>7.431338344923614E-5</c:v>
                </c:pt>
                <c:pt idx="544">
                  <c:v>1.1342569052778147E-4</c:v>
                </c:pt>
                <c:pt idx="545">
                  <c:v>1.3689307477490867E-4</c:v>
                </c:pt>
                <c:pt idx="546">
                  <c:v>1.3298184406705413E-4</c:v>
                </c:pt>
                <c:pt idx="547">
                  <c:v>1.2124815194349053E-4</c:v>
                </c:pt>
                <c:pt idx="548">
                  <c:v>1.0169199840421787E-4</c:v>
                </c:pt>
                <c:pt idx="549">
                  <c:v>1.0169199840421787E-4</c:v>
                </c:pt>
                <c:pt idx="550">
                  <c:v>6.6490922033527066E-5</c:v>
                </c:pt>
                <c:pt idx="551">
                  <c:v>9.7780767696363337E-5</c:v>
                </c:pt>
                <c:pt idx="552">
                  <c:v>1.4080430548276321E-4</c:v>
                </c:pt>
                <c:pt idx="553">
                  <c:v>1.0560322911207241E-4</c:v>
                </c:pt>
                <c:pt idx="554">
                  <c:v>1.0951445981992694E-4</c:v>
                </c:pt>
                <c:pt idx="555">
                  <c:v>7.431338344923614E-5</c:v>
                </c:pt>
                <c:pt idx="556">
                  <c:v>8.6047075572799739E-5</c:v>
                </c:pt>
                <c:pt idx="557">
                  <c:v>1.2515938265134508E-4</c:v>
                </c:pt>
                <c:pt idx="558">
                  <c:v>1.0951445981992694E-4</c:v>
                </c:pt>
                <c:pt idx="559">
                  <c:v>1.2515938265134508E-4</c:v>
                </c:pt>
                <c:pt idx="560">
                  <c:v>1.4080430548276321E-4</c:v>
                </c:pt>
                <c:pt idx="561">
                  <c:v>7.0402152741381603E-5</c:v>
                </c:pt>
                <c:pt idx="562">
                  <c:v>7.0402152741381603E-5</c:v>
                </c:pt>
                <c:pt idx="563">
                  <c:v>6.6490922033527066E-5</c:v>
                </c:pt>
                <c:pt idx="564">
                  <c:v>8.9958306280654276E-5</c:v>
                </c:pt>
                <c:pt idx="565">
                  <c:v>9.38695369885088E-5</c:v>
                </c:pt>
                <c:pt idx="566">
                  <c:v>1.3298184406705413E-4</c:v>
                </c:pt>
                <c:pt idx="567">
                  <c:v>8.9958306280654276E-5</c:v>
                </c:pt>
                <c:pt idx="568">
                  <c:v>1.0560322911207241E-4</c:v>
                </c:pt>
                <c:pt idx="569">
                  <c:v>7.431338344923614E-5</c:v>
                </c:pt>
                <c:pt idx="570">
                  <c:v>6.6490922033527066E-5</c:v>
                </c:pt>
                <c:pt idx="571">
                  <c:v>6.6490922033527066E-5</c:v>
                </c:pt>
                <c:pt idx="572">
                  <c:v>7.8224614157090664E-5</c:v>
                </c:pt>
                <c:pt idx="573">
                  <c:v>1.4080430548276321E-4</c:v>
                </c:pt>
                <c:pt idx="574">
                  <c:v>1.2907061335919959E-4</c:v>
                </c:pt>
                <c:pt idx="575">
                  <c:v>7.431338344923614E-5</c:v>
                </c:pt>
                <c:pt idx="576">
                  <c:v>8.2135844864945201E-5</c:v>
                </c:pt>
                <c:pt idx="577">
                  <c:v>8.2135844864945201E-5</c:v>
                </c:pt>
                <c:pt idx="578">
                  <c:v>4.69347684942544E-5</c:v>
                </c:pt>
                <c:pt idx="579">
                  <c:v>9.7780767696363337E-5</c:v>
                </c:pt>
                <c:pt idx="580">
                  <c:v>8.9958306280654276E-5</c:v>
                </c:pt>
                <c:pt idx="581">
                  <c:v>8.2135844864945201E-5</c:v>
                </c:pt>
                <c:pt idx="582">
                  <c:v>8.9958306280654276E-5</c:v>
                </c:pt>
                <c:pt idx="583">
                  <c:v>5.4757229909963468E-5</c:v>
                </c:pt>
                <c:pt idx="584">
                  <c:v>7.0402152741381603E-5</c:v>
                </c:pt>
                <c:pt idx="585">
                  <c:v>8.2135844864945201E-5</c:v>
                </c:pt>
                <c:pt idx="586">
                  <c:v>6.6490922033527066E-5</c:v>
                </c:pt>
                <c:pt idx="587">
                  <c:v>1.0169199840421787E-4</c:v>
                </c:pt>
                <c:pt idx="588">
                  <c:v>6.6490922033527066E-5</c:v>
                </c:pt>
                <c:pt idx="589">
                  <c:v>5.8668460617818005E-5</c:v>
                </c:pt>
                <c:pt idx="590">
                  <c:v>3.5201076370690802E-5</c:v>
                </c:pt>
                <c:pt idx="591">
                  <c:v>5.4757229909963468E-5</c:v>
                </c:pt>
                <c:pt idx="592">
                  <c:v>8.9958306280654276E-5</c:v>
                </c:pt>
                <c:pt idx="593">
                  <c:v>6.6490922033527066E-5</c:v>
                </c:pt>
                <c:pt idx="594">
                  <c:v>9.38695369885088E-5</c:v>
                </c:pt>
                <c:pt idx="595">
                  <c:v>7.0402152741381603E-5</c:v>
                </c:pt>
                <c:pt idx="596">
                  <c:v>5.8668460617818005E-5</c:v>
                </c:pt>
                <c:pt idx="597">
                  <c:v>3.9112307078545332E-5</c:v>
                </c:pt>
                <c:pt idx="598">
                  <c:v>5.4757229909963468E-5</c:v>
                </c:pt>
                <c:pt idx="599">
                  <c:v>4.3023537786399869E-5</c:v>
                </c:pt>
                <c:pt idx="600">
                  <c:v>8.2135844864945201E-5</c:v>
                </c:pt>
                <c:pt idx="601">
                  <c:v>9.38695369885088E-5</c:v>
                </c:pt>
                <c:pt idx="602">
                  <c:v>8.6047075572799739E-5</c:v>
                </c:pt>
                <c:pt idx="603">
                  <c:v>2.34673842471272E-5</c:v>
                </c:pt>
                <c:pt idx="604">
                  <c:v>5.0845999202108937E-5</c:v>
                </c:pt>
                <c:pt idx="605">
                  <c:v>3.9112307078545332E-5</c:v>
                </c:pt>
                <c:pt idx="606">
                  <c:v>5.0845999202108937E-5</c:v>
                </c:pt>
                <c:pt idx="607">
                  <c:v>7.8224614157090664E-5</c:v>
                </c:pt>
                <c:pt idx="608">
                  <c:v>6.6490922033527066E-5</c:v>
                </c:pt>
                <c:pt idx="609">
                  <c:v>6.2579691325672542E-5</c:v>
                </c:pt>
                <c:pt idx="610">
                  <c:v>5.8668460617818005E-5</c:v>
                </c:pt>
                <c:pt idx="611">
                  <c:v>5.4757229909963468E-5</c:v>
                </c:pt>
                <c:pt idx="612">
                  <c:v>7.0402152741381603E-5</c:v>
                </c:pt>
                <c:pt idx="613">
                  <c:v>5.0845999202108937E-5</c:v>
                </c:pt>
                <c:pt idx="614">
                  <c:v>7.0402152741381603E-5</c:v>
                </c:pt>
                <c:pt idx="615">
                  <c:v>8.6047075572799739E-5</c:v>
                </c:pt>
                <c:pt idx="616">
                  <c:v>7.431338344923614E-5</c:v>
                </c:pt>
                <c:pt idx="617">
                  <c:v>4.3023537786399869E-5</c:v>
                </c:pt>
                <c:pt idx="618">
                  <c:v>6.6490922033527066E-5</c:v>
                </c:pt>
                <c:pt idx="619">
                  <c:v>3.5201076370690802E-5</c:v>
                </c:pt>
                <c:pt idx="620">
                  <c:v>5.8668460617818005E-5</c:v>
                </c:pt>
                <c:pt idx="621">
                  <c:v>7.0402152741381603E-5</c:v>
                </c:pt>
                <c:pt idx="622">
                  <c:v>5.8668460617818005E-5</c:v>
                </c:pt>
                <c:pt idx="623">
                  <c:v>4.3023537786399869E-5</c:v>
                </c:pt>
                <c:pt idx="624">
                  <c:v>2.34673842471272E-5</c:v>
                </c:pt>
                <c:pt idx="625">
                  <c:v>3.1289845662836271E-5</c:v>
                </c:pt>
                <c:pt idx="626">
                  <c:v>4.69347684942544E-5</c:v>
                </c:pt>
                <c:pt idx="627">
                  <c:v>3.5201076370690802E-5</c:v>
                </c:pt>
                <c:pt idx="628">
                  <c:v>5.4757229909963468E-5</c:v>
                </c:pt>
                <c:pt idx="629">
                  <c:v>5.8668460617818005E-5</c:v>
                </c:pt>
                <c:pt idx="630">
                  <c:v>7.0402152741381603E-5</c:v>
                </c:pt>
                <c:pt idx="631">
                  <c:v>5.0845999202108937E-5</c:v>
                </c:pt>
                <c:pt idx="632">
                  <c:v>5.0845999202108937E-5</c:v>
                </c:pt>
                <c:pt idx="633">
                  <c:v>7.0402152741381603E-5</c:v>
                </c:pt>
                <c:pt idx="634">
                  <c:v>6.6490922033527066E-5</c:v>
                </c:pt>
                <c:pt idx="635">
                  <c:v>7.0402152741381603E-5</c:v>
                </c:pt>
                <c:pt idx="636">
                  <c:v>8.2135844864945201E-5</c:v>
                </c:pt>
                <c:pt idx="637">
                  <c:v>6.2579691325672542E-5</c:v>
                </c:pt>
                <c:pt idx="638">
                  <c:v>7.8224614157090664E-5</c:v>
                </c:pt>
                <c:pt idx="639">
                  <c:v>5.4757229909963468E-5</c:v>
                </c:pt>
                <c:pt idx="640">
                  <c:v>2.7378614954981734E-5</c:v>
                </c:pt>
                <c:pt idx="641">
                  <c:v>4.3023537786399869E-5</c:v>
                </c:pt>
                <c:pt idx="642">
                  <c:v>3.9112307078545332E-5</c:v>
                </c:pt>
                <c:pt idx="643">
                  <c:v>6.2579691325672542E-5</c:v>
                </c:pt>
                <c:pt idx="644">
                  <c:v>5.4757229909963468E-5</c:v>
                </c:pt>
                <c:pt idx="645">
                  <c:v>3.9112307078545332E-5</c:v>
                </c:pt>
                <c:pt idx="646">
                  <c:v>3.5201076370690802E-5</c:v>
                </c:pt>
                <c:pt idx="647">
                  <c:v>3.5201076370690802E-5</c:v>
                </c:pt>
                <c:pt idx="648">
                  <c:v>2.7378614954981734E-5</c:v>
                </c:pt>
                <c:pt idx="649">
                  <c:v>5.8668460617818005E-5</c:v>
                </c:pt>
                <c:pt idx="650">
                  <c:v>5.4757229909963468E-5</c:v>
                </c:pt>
                <c:pt idx="651">
                  <c:v>2.7378614954981734E-5</c:v>
                </c:pt>
                <c:pt idx="652">
                  <c:v>3.9112307078545332E-5</c:v>
                </c:pt>
                <c:pt idx="653">
                  <c:v>3.1289845662836271E-5</c:v>
                </c:pt>
                <c:pt idx="654">
                  <c:v>5.4757229909963468E-5</c:v>
                </c:pt>
                <c:pt idx="655">
                  <c:v>3.9112307078545332E-5</c:v>
                </c:pt>
                <c:pt idx="656">
                  <c:v>1.17336921235636E-5</c:v>
                </c:pt>
                <c:pt idx="657">
                  <c:v>8.9958306280654276E-5</c:v>
                </c:pt>
                <c:pt idx="658">
                  <c:v>6.2579691325672542E-5</c:v>
                </c:pt>
                <c:pt idx="659">
                  <c:v>3.1289845662836271E-5</c:v>
                </c:pt>
                <c:pt idx="660">
                  <c:v>3.5201076370690802E-5</c:v>
                </c:pt>
                <c:pt idx="661">
                  <c:v>3.9112307078545332E-5</c:v>
                </c:pt>
                <c:pt idx="662">
                  <c:v>6.2579691325672542E-5</c:v>
                </c:pt>
                <c:pt idx="663">
                  <c:v>5.4757229909963468E-5</c:v>
                </c:pt>
                <c:pt idx="664">
                  <c:v>3.9112307078545332E-5</c:v>
                </c:pt>
                <c:pt idx="665">
                  <c:v>3.9112307078545332E-5</c:v>
                </c:pt>
                <c:pt idx="666">
                  <c:v>4.3023537786399869E-5</c:v>
                </c:pt>
                <c:pt idx="667">
                  <c:v>3.9112307078545332E-5</c:v>
                </c:pt>
                <c:pt idx="668">
                  <c:v>3.1289845662836271E-5</c:v>
                </c:pt>
                <c:pt idx="669">
                  <c:v>5.8668460617818005E-5</c:v>
                </c:pt>
                <c:pt idx="670">
                  <c:v>5.8668460617818005E-5</c:v>
                </c:pt>
                <c:pt idx="671">
                  <c:v>7.431338344923614E-5</c:v>
                </c:pt>
                <c:pt idx="672">
                  <c:v>3.5201076370690802E-5</c:v>
                </c:pt>
                <c:pt idx="673">
                  <c:v>4.69347684942544E-5</c:v>
                </c:pt>
                <c:pt idx="674">
                  <c:v>3.5201076370690802E-5</c:v>
                </c:pt>
                <c:pt idx="675">
                  <c:v>3.5201076370690802E-5</c:v>
                </c:pt>
                <c:pt idx="676">
                  <c:v>3.5201076370690802E-5</c:v>
                </c:pt>
                <c:pt idx="677">
                  <c:v>4.69347684942544E-5</c:v>
                </c:pt>
                <c:pt idx="678">
                  <c:v>3.9112307078545332E-5</c:v>
                </c:pt>
                <c:pt idx="679">
                  <c:v>3.9112307078545332E-5</c:v>
                </c:pt>
                <c:pt idx="680">
                  <c:v>2.7378614954981734E-5</c:v>
                </c:pt>
                <c:pt idx="681">
                  <c:v>3.5201076370690802E-5</c:v>
                </c:pt>
                <c:pt idx="682">
                  <c:v>2.7378614954981734E-5</c:v>
                </c:pt>
                <c:pt idx="683">
                  <c:v>2.7378614954981734E-5</c:v>
                </c:pt>
                <c:pt idx="684">
                  <c:v>3.9112307078545332E-5</c:v>
                </c:pt>
                <c:pt idx="685">
                  <c:v>4.69347684942544E-5</c:v>
                </c:pt>
                <c:pt idx="686">
                  <c:v>3.5201076370690802E-5</c:v>
                </c:pt>
                <c:pt idx="687">
                  <c:v>5.4757229909963468E-5</c:v>
                </c:pt>
                <c:pt idx="688">
                  <c:v>5.4757229909963468E-5</c:v>
                </c:pt>
                <c:pt idx="689">
                  <c:v>2.7378614954981734E-5</c:v>
                </c:pt>
                <c:pt idx="690">
                  <c:v>3.5201076370690802E-5</c:v>
                </c:pt>
                <c:pt idx="691">
                  <c:v>3.1289845662836271E-5</c:v>
                </c:pt>
                <c:pt idx="692">
                  <c:v>6.6490922033527066E-5</c:v>
                </c:pt>
                <c:pt idx="693">
                  <c:v>4.69347684942544E-5</c:v>
                </c:pt>
                <c:pt idx="694">
                  <c:v>3.5201076370690802E-5</c:v>
                </c:pt>
                <c:pt idx="695">
                  <c:v>5.0845999202108937E-5</c:v>
                </c:pt>
                <c:pt idx="696">
                  <c:v>4.3023537786399869E-5</c:v>
                </c:pt>
                <c:pt idx="697">
                  <c:v>2.7378614954981734E-5</c:v>
                </c:pt>
                <c:pt idx="698">
                  <c:v>2.7378614954981734E-5</c:v>
                </c:pt>
                <c:pt idx="699">
                  <c:v>4.3023537786399869E-5</c:v>
                </c:pt>
                <c:pt idx="700">
                  <c:v>6.2579691325672542E-5</c:v>
                </c:pt>
                <c:pt idx="701">
                  <c:v>7.8224614157090678E-6</c:v>
                </c:pt>
                <c:pt idx="702">
                  <c:v>3.5201076370690802E-5</c:v>
                </c:pt>
                <c:pt idx="703">
                  <c:v>1.5644922831418136E-5</c:v>
                </c:pt>
                <c:pt idx="704">
                  <c:v>3.9112307078545332E-5</c:v>
                </c:pt>
                <c:pt idx="705">
                  <c:v>2.34673842471272E-5</c:v>
                </c:pt>
                <c:pt idx="706">
                  <c:v>6.2579691325672542E-5</c:v>
                </c:pt>
                <c:pt idx="707">
                  <c:v>3.5201076370690802E-5</c:v>
                </c:pt>
                <c:pt idx="708">
                  <c:v>4.69347684942544E-5</c:v>
                </c:pt>
                <c:pt idx="709">
                  <c:v>7.8224614157090678E-6</c:v>
                </c:pt>
                <c:pt idx="710">
                  <c:v>2.34673842471272E-5</c:v>
                </c:pt>
                <c:pt idx="711">
                  <c:v>3.5201076370690802E-5</c:v>
                </c:pt>
                <c:pt idx="712">
                  <c:v>2.7378614954981734E-5</c:v>
                </c:pt>
                <c:pt idx="713">
                  <c:v>4.69347684942544E-5</c:v>
                </c:pt>
                <c:pt idx="714">
                  <c:v>3.5201076370690802E-5</c:v>
                </c:pt>
                <c:pt idx="715">
                  <c:v>2.7378614954981734E-5</c:v>
                </c:pt>
                <c:pt idx="716">
                  <c:v>3.1289845662836271E-5</c:v>
                </c:pt>
                <c:pt idx="717">
                  <c:v>3.9112307078545332E-5</c:v>
                </c:pt>
                <c:pt idx="718">
                  <c:v>3.5201076370690802E-5</c:v>
                </c:pt>
                <c:pt idx="719">
                  <c:v>5.0845999202108937E-5</c:v>
                </c:pt>
                <c:pt idx="720">
                  <c:v>5.0845999202108937E-5</c:v>
                </c:pt>
                <c:pt idx="721">
                  <c:v>5.8668460617818005E-5</c:v>
                </c:pt>
                <c:pt idx="722">
                  <c:v>3.5201076370690802E-5</c:v>
                </c:pt>
                <c:pt idx="723">
                  <c:v>1.9556153539272666E-5</c:v>
                </c:pt>
                <c:pt idx="724">
                  <c:v>5.4757229909963468E-5</c:v>
                </c:pt>
                <c:pt idx="725">
                  <c:v>2.34673842471272E-5</c:v>
                </c:pt>
                <c:pt idx="726">
                  <c:v>1.5644922831418136E-5</c:v>
                </c:pt>
                <c:pt idx="727">
                  <c:v>4.3023537786399869E-5</c:v>
                </c:pt>
                <c:pt idx="728">
                  <c:v>3.5201076370690802E-5</c:v>
                </c:pt>
                <c:pt idx="729">
                  <c:v>6.2579691325672542E-5</c:v>
                </c:pt>
                <c:pt idx="730">
                  <c:v>3.9112307078545332E-5</c:v>
                </c:pt>
                <c:pt idx="731">
                  <c:v>3.9112307078545332E-5</c:v>
                </c:pt>
                <c:pt idx="732">
                  <c:v>5.4757229909963468E-5</c:v>
                </c:pt>
                <c:pt idx="733">
                  <c:v>4.3023537786399869E-5</c:v>
                </c:pt>
                <c:pt idx="734">
                  <c:v>5.4757229909963468E-5</c:v>
                </c:pt>
                <c:pt idx="735">
                  <c:v>3.1289845662836271E-5</c:v>
                </c:pt>
                <c:pt idx="736">
                  <c:v>2.34673842471272E-5</c:v>
                </c:pt>
                <c:pt idx="737">
                  <c:v>2.34673842471272E-5</c:v>
                </c:pt>
                <c:pt idx="738">
                  <c:v>4.3023537786399869E-5</c:v>
                </c:pt>
                <c:pt idx="739">
                  <c:v>2.7378614954981734E-5</c:v>
                </c:pt>
              </c:numCache>
            </c:numRef>
          </c:val>
          <c:smooth val="0"/>
          <c:extLst xmlns:c16r2="http://schemas.microsoft.com/office/drawing/2015/06/chart">
            <c:ext xmlns:c16="http://schemas.microsoft.com/office/drawing/2014/chart" uri="{C3380CC4-5D6E-409C-BE32-E72D297353CC}">
              <c16:uniqueId val="{00000000-03ED-4CE3-9733-1A8305D79B04}"/>
            </c:ext>
          </c:extLst>
        </c:ser>
        <c:ser>
          <c:idx val="1"/>
          <c:order val="1"/>
          <c:tx>
            <c:strRef>
              <c:f>'Sheet1 (3)'!$C$3:$C$4</c:f>
              <c:strCache>
                <c:ptCount val="1"/>
                <c:pt idx="0">
                  <c:v>TERIPARATIDE</c:v>
                </c:pt>
              </c:strCache>
            </c:strRef>
          </c:tx>
          <c:marker>
            <c:symbol val="none"/>
          </c:marker>
          <c:cat>
            <c:strRef>
              <c:f>'Sheet1 (3)'!$A$5:$A$745</c:f>
              <c:strCache>
                <c:ptCount val="7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pt idx="500">
                  <c:v>501</c:v>
                </c:pt>
                <c:pt idx="501">
                  <c:v>502</c:v>
                </c:pt>
                <c:pt idx="502">
                  <c:v>503</c:v>
                </c:pt>
                <c:pt idx="503">
                  <c:v>504</c:v>
                </c:pt>
                <c:pt idx="504">
                  <c:v>505</c:v>
                </c:pt>
                <c:pt idx="505">
                  <c:v>506</c:v>
                </c:pt>
                <c:pt idx="506">
                  <c:v>507</c:v>
                </c:pt>
                <c:pt idx="507">
                  <c:v>508</c:v>
                </c:pt>
                <c:pt idx="508">
                  <c:v>509</c:v>
                </c:pt>
                <c:pt idx="509">
                  <c:v>510</c:v>
                </c:pt>
                <c:pt idx="510">
                  <c:v>511</c:v>
                </c:pt>
                <c:pt idx="511">
                  <c:v>512</c:v>
                </c:pt>
                <c:pt idx="512">
                  <c:v>513</c:v>
                </c:pt>
                <c:pt idx="513">
                  <c:v>514</c:v>
                </c:pt>
                <c:pt idx="514">
                  <c:v>515</c:v>
                </c:pt>
                <c:pt idx="515">
                  <c:v>516</c:v>
                </c:pt>
                <c:pt idx="516">
                  <c:v>517</c:v>
                </c:pt>
                <c:pt idx="517">
                  <c:v>518</c:v>
                </c:pt>
                <c:pt idx="518">
                  <c:v>519</c:v>
                </c:pt>
                <c:pt idx="519">
                  <c:v>520</c:v>
                </c:pt>
                <c:pt idx="520">
                  <c:v>521</c:v>
                </c:pt>
                <c:pt idx="521">
                  <c:v>522</c:v>
                </c:pt>
                <c:pt idx="522">
                  <c:v>523</c:v>
                </c:pt>
                <c:pt idx="523">
                  <c:v>524</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strCache>
            </c:strRef>
          </c:cat>
          <c:val>
            <c:numRef>
              <c:f>'Sheet1 (3)'!$C$5:$C$745</c:f>
              <c:numCache>
                <c:formatCode>0.00%</c:formatCode>
                <c:ptCount val="740"/>
                <c:pt idx="0">
                  <c:v>2.4557137066971843E-3</c:v>
                </c:pt>
                <c:pt idx="1">
                  <c:v>1.5020384807953651E-3</c:v>
                </c:pt>
                <c:pt idx="2">
                  <c:v>1.2159359130248194E-3</c:v>
                </c:pt>
                <c:pt idx="3">
                  <c:v>1.2636196743199104E-3</c:v>
                </c:pt>
                <c:pt idx="4">
                  <c:v>1.3113034356150013E-3</c:v>
                </c:pt>
                <c:pt idx="5">
                  <c:v>1.645089764680638E-3</c:v>
                </c:pt>
                <c:pt idx="6">
                  <c:v>1.645089764680638E-3</c:v>
                </c:pt>
                <c:pt idx="7">
                  <c:v>1.7166154066232744E-3</c:v>
                </c:pt>
                <c:pt idx="8">
                  <c:v>1.6212478840330925E-3</c:v>
                </c:pt>
                <c:pt idx="9">
                  <c:v>1.5020384807953651E-3</c:v>
                </c:pt>
                <c:pt idx="10">
                  <c:v>1.5497222420904561E-3</c:v>
                </c:pt>
                <c:pt idx="11">
                  <c:v>2.0504017356889111E-3</c:v>
                </c:pt>
                <c:pt idx="12">
                  <c:v>2.3841880647545478E-3</c:v>
                </c:pt>
                <c:pt idx="13">
                  <c:v>3.8147009036072765E-3</c:v>
                </c:pt>
                <c:pt idx="14">
                  <c:v>3.2663376487137305E-3</c:v>
                </c:pt>
                <c:pt idx="15">
                  <c:v>2.7179743938201845E-3</c:v>
                </c:pt>
                <c:pt idx="16">
                  <c:v>3.2663376487137305E-3</c:v>
                </c:pt>
                <c:pt idx="17">
                  <c:v>3.6954915003695491E-3</c:v>
                </c:pt>
                <c:pt idx="18">
                  <c:v>4.4107479197959135E-3</c:v>
                </c:pt>
                <c:pt idx="19">
                  <c:v>7.0333547910259161E-3</c:v>
                </c:pt>
                <c:pt idx="20">
                  <c:v>4.9495744224304417E-2</c:v>
                </c:pt>
                <c:pt idx="21">
                  <c:v>2.779963283503803E-2</c:v>
                </c:pt>
                <c:pt idx="22">
                  <c:v>2.7346637102734665E-2</c:v>
                </c:pt>
                <c:pt idx="23">
                  <c:v>3.2353432038719217E-2</c:v>
                </c:pt>
                <c:pt idx="24">
                  <c:v>4.0125885129819037E-2</c:v>
                </c:pt>
                <c:pt idx="25">
                  <c:v>4.7159239920844954E-2</c:v>
                </c:pt>
                <c:pt idx="26">
                  <c:v>7.4219774455809073E-2</c:v>
                </c:pt>
                <c:pt idx="27">
                  <c:v>0.1347304675392795</c:v>
                </c:pt>
                <c:pt idx="28">
                  <c:v>8.3017428414753361E-2</c:v>
                </c:pt>
                <c:pt idx="29">
                  <c:v>5.8698710154256969E-2</c:v>
                </c:pt>
                <c:pt idx="30">
                  <c:v>5.035405192761605E-2</c:v>
                </c:pt>
                <c:pt idx="31">
                  <c:v>4.222397062680304E-2</c:v>
                </c:pt>
                <c:pt idx="32">
                  <c:v>3.6048923539088763E-2</c:v>
                </c:pt>
                <c:pt idx="33">
                  <c:v>3.4809145745416402E-2</c:v>
                </c:pt>
                <c:pt idx="34">
                  <c:v>3.5262141477719763E-2</c:v>
                </c:pt>
                <c:pt idx="35">
                  <c:v>2.1243115656963022E-2</c:v>
                </c:pt>
                <c:pt idx="36">
                  <c:v>1.3399136923920559E-2</c:v>
                </c:pt>
                <c:pt idx="37">
                  <c:v>1.3566030088453378E-2</c:v>
                </c:pt>
                <c:pt idx="38">
                  <c:v>1.0776530052690556E-2</c:v>
                </c:pt>
                <c:pt idx="39">
                  <c:v>9.8466967074362834E-3</c:v>
                </c:pt>
                <c:pt idx="40">
                  <c:v>9.226807810600101E-3</c:v>
                </c:pt>
                <c:pt idx="41">
                  <c:v>1.0275850559092102E-2</c:v>
                </c:pt>
                <c:pt idx="42">
                  <c:v>6.3896240135421882E-3</c:v>
                </c:pt>
                <c:pt idx="43">
                  <c:v>4.8399017714517321E-3</c:v>
                </c:pt>
                <c:pt idx="44">
                  <c:v>4.5061154423860954E-3</c:v>
                </c:pt>
                <c:pt idx="45">
                  <c:v>3.8623846649023675E-3</c:v>
                </c:pt>
                <c:pt idx="46">
                  <c:v>3.4093889325990034E-3</c:v>
                </c:pt>
                <c:pt idx="47">
                  <c:v>3.7908590229597311E-3</c:v>
                </c:pt>
                <c:pt idx="48">
                  <c:v>4.0531197100827313E-3</c:v>
                </c:pt>
                <c:pt idx="49">
                  <c:v>3.0994444841809122E-3</c:v>
                </c:pt>
                <c:pt idx="50">
                  <c:v>2.3126624228119114E-3</c:v>
                </c:pt>
                <c:pt idx="51">
                  <c:v>2.5033974679922752E-3</c:v>
                </c:pt>
                <c:pt idx="52">
                  <c:v>1.8596666905085473E-3</c:v>
                </c:pt>
                <c:pt idx="53">
                  <c:v>2.1219273776315476E-3</c:v>
                </c:pt>
                <c:pt idx="54">
                  <c:v>2.4080299454020933E-3</c:v>
                </c:pt>
                <c:pt idx="55">
                  <c:v>3.6478077390744582E-3</c:v>
                </c:pt>
                <c:pt idx="56">
                  <c:v>2.4080299454020933E-3</c:v>
                </c:pt>
                <c:pt idx="57">
                  <c:v>1.7642991679183654E-3</c:v>
                </c:pt>
                <c:pt idx="58">
                  <c:v>1.2397777936723649E-3</c:v>
                </c:pt>
                <c:pt idx="59">
                  <c:v>1.6689316453281835E-3</c:v>
                </c:pt>
                <c:pt idx="60">
                  <c:v>1.7166154066232744E-3</c:v>
                </c:pt>
                <c:pt idx="61">
                  <c:v>1.5497222420904561E-3</c:v>
                </c:pt>
                <c:pt idx="62">
                  <c:v>1.6212478840330925E-3</c:v>
                </c:pt>
                <c:pt idx="63">
                  <c:v>1.1682521517297284E-3</c:v>
                </c:pt>
                <c:pt idx="64">
                  <c:v>1.2874615549674558E-3</c:v>
                </c:pt>
                <c:pt idx="65">
                  <c:v>1.4066709582051832E-3</c:v>
                </c:pt>
                <c:pt idx="66">
                  <c:v>9.2983334525427366E-4</c:v>
                </c:pt>
                <c:pt idx="67">
                  <c:v>6.4373077748372792E-4</c:v>
                </c:pt>
                <c:pt idx="68">
                  <c:v>8.821495839591827E-4</c:v>
                </c:pt>
                <c:pt idx="69">
                  <c:v>1.144410271082183E-3</c:v>
                </c:pt>
                <c:pt idx="70">
                  <c:v>6.9141453877881887E-4</c:v>
                </c:pt>
                <c:pt idx="71">
                  <c:v>5.0067949359845505E-4</c:v>
                </c:pt>
                <c:pt idx="72">
                  <c:v>6.9141453877881887E-4</c:v>
                </c:pt>
                <c:pt idx="73">
                  <c:v>5.48363254893546E-4</c:v>
                </c:pt>
                <c:pt idx="74">
                  <c:v>5.7220513554109148E-4</c:v>
                </c:pt>
                <c:pt idx="75">
                  <c:v>4.2915385165581861E-4</c:v>
                </c:pt>
                <c:pt idx="76">
                  <c:v>4.5299573230336409E-4</c:v>
                </c:pt>
                <c:pt idx="77">
                  <c:v>4.5299573230336409E-4</c:v>
                </c:pt>
                <c:pt idx="78">
                  <c:v>5.7220513554109148E-4</c:v>
                </c:pt>
                <c:pt idx="79">
                  <c:v>3.5762820971318218E-4</c:v>
                </c:pt>
                <c:pt idx="80">
                  <c:v>2.3841880647545478E-4</c:v>
                </c:pt>
                <c:pt idx="81">
                  <c:v>4.7683761295090957E-4</c:v>
                </c:pt>
                <c:pt idx="82">
                  <c:v>3.5762820971318218E-4</c:v>
                </c:pt>
                <c:pt idx="83">
                  <c:v>6.9141453877881887E-4</c:v>
                </c:pt>
                <c:pt idx="84">
                  <c:v>4.5299573230336409E-4</c:v>
                </c:pt>
                <c:pt idx="85">
                  <c:v>2.3841880647545478E-4</c:v>
                </c:pt>
                <c:pt idx="86">
                  <c:v>3.0994444841809122E-4</c:v>
                </c:pt>
                <c:pt idx="87">
                  <c:v>2.8610256777054574E-4</c:v>
                </c:pt>
                <c:pt idx="88">
                  <c:v>2.8610256777054574E-4</c:v>
                </c:pt>
                <c:pt idx="89">
                  <c:v>2.1457692582790931E-4</c:v>
                </c:pt>
                <c:pt idx="90">
                  <c:v>2.8610256777054574E-4</c:v>
                </c:pt>
                <c:pt idx="91">
                  <c:v>3.5762820971318218E-4</c:v>
                </c:pt>
                <c:pt idx="92">
                  <c:v>1.4305128388527287E-4</c:v>
                </c:pt>
                <c:pt idx="93">
                  <c:v>1.9073504518036383E-4</c:v>
                </c:pt>
                <c:pt idx="94">
                  <c:v>2.8610256777054574E-4</c:v>
                </c:pt>
                <c:pt idx="95">
                  <c:v>3.0994444841809122E-4</c:v>
                </c:pt>
                <c:pt idx="96">
                  <c:v>1.6689316453281835E-4</c:v>
                </c:pt>
                <c:pt idx="97">
                  <c:v>1.9073504518036383E-4</c:v>
                </c:pt>
                <c:pt idx="98">
                  <c:v>2.3841880647545478E-4</c:v>
                </c:pt>
                <c:pt idx="99">
                  <c:v>1.1920940323772739E-4</c:v>
                </c:pt>
                <c:pt idx="100">
                  <c:v>2.3841880647545478E-4</c:v>
                </c:pt>
                <c:pt idx="101">
                  <c:v>7.1525641942636435E-5</c:v>
                </c:pt>
                <c:pt idx="102">
                  <c:v>1.1920940323772739E-4</c:v>
                </c:pt>
                <c:pt idx="103">
                  <c:v>1.1920940323772739E-4</c:v>
                </c:pt>
                <c:pt idx="104">
                  <c:v>1.1920940323772739E-4</c:v>
                </c:pt>
                <c:pt idx="105">
                  <c:v>2.3841880647545478E-4</c:v>
                </c:pt>
                <c:pt idx="106">
                  <c:v>9.5367522590181913E-5</c:v>
                </c:pt>
                <c:pt idx="107">
                  <c:v>1.1920940323772739E-4</c:v>
                </c:pt>
                <c:pt idx="108">
                  <c:v>1.4305128388527287E-4</c:v>
                </c:pt>
                <c:pt idx="109">
                  <c:v>4.7683761295090957E-5</c:v>
                </c:pt>
                <c:pt idx="110">
                  <c:v>1.4305128388527287E-4</c:v>
                </c:pt>
                <c:pt idx="111">
                  <c:v>9.5367522590181913E-5</c:v>
                </c:pt>
                <c:pt idx="112">
                  <c:v>7.1525641942636435E-5</c:v>
                </c:pt>
                <c:pt idx="113">
                  <c:v>1.6689316453281835E-4</c:v>
                </c:pt>
                <c:pt idx="114">
                  <c:v>9.5367522590181913E-5</c:v>
                </c:pt>
                <c:pt idx="115">
                  <c:v>2.3841880647545478E-5</c:v>
                </c:pt>
                <c:pt idx="116">
                  <c:v>0</c:v>
                </c:pt>
                <c:pt idx="117">
                  <c:v>9.5367522590181913E-5</c:v>
                </c:pt>
                <c:pt idx="118">
                  <c:v>1.6689316453281835E-4</c:v>
                </c:pt>
                <c:pt idx="119">
                  <c:v>7.1525641942636435E-5</c:v>
                </c:pt>
                <c:pt idx="120">
                  <c:v>9.5367522590181913E-5</c:v>
                </c:pt>
                <c:pt idx="121">
                  <c:v>9.5367522590181913E-5</c:v>
                </c:pt>
                <c:pt idx="122">
                  <c:v>0</c:v>
                </c:pt>
                <c:pt idx="123">
                  <c:v>1.6689316453281835E-4</c:v>
                </c:pt>
                <c:pt idx="124">
                  <c:v>2.3841880647545478E-5</c:v>
                </c:pt>
                <c:pt idx="125">
                  <c:v>1.9073504518036383E-4</c:v>
                </c:pt>
                <c:pt idx="126">
                  <c:v>1.1920940323772739E-4</c:v>
                </c:pt>
                <c:pt idx="127">
                  <c:v>4.7683761295090957E-5</c:v>
                </c:pt>
                <c:pt idx="128">
                  <c:v>7.1525641942636435E-5</c:v>
                </c:pt>
                <c:pt idx="129">
                  <c:v>7.1525641942636435E-5</c:v>
                </c:pt>
                <c:pt idx="130">
                  <c:v>4.7683761295090957E-5</c:v>
                </c:pt>
                <c:pt idx="131">
                  <c:v>9.5367522590181913E-5</c:v>
                </c:pt>
                <c:pt idx="132">
                  <c:v>7.1525641942636435E-5</c:v>
                </c:pt>
                <c:pt idx="133">
                  <c:v>4.7683761295090957E-5</c:v>
                </c:pt>
                <c:pt idx="134">
                  <c:v>4.7683761295090957E-5</c:v>
                </c:pt>
                <c:pt idx="135">
                  <c:v>9.5367522590181913E-5</c:v>
                </c:pt>
                <c:pt idx="136">
                  <c:v>2.3841880647545478E-5</c:v>
                </c:pt>
                <c:pt idx="137">
                  <c:v>4.7683761295090957E-5</c:v>
                </c:pt>
                <c:pt idx="138">
                  <c:v>7.1525641942636435E-5</c:v>
                </c:pt>
                <c:pt idx="139">
                  <c:v>1.6689316453281835E-4</c:v>
                </c:pt>
                <c:pt idx="140">
                  <c:v>9.5367522590181913E-5</c:v>
                </c:pt>
                <c:pt idx="141">
                  <c:v>4.7683761295090957E-5</c:v>
                </c:pt>
                <c:pt idx="142">
                  <c:v>9.5367522590181913E-5</c:v>
                </c:pt>
                <c:pt idx="143">
                  <c:v>0</c:v>
                </c:pt>
                <c:pt idx="144">
                  <c:v>2.3841880647545478E-5</c:v>
                </c:pt>
                <c:pt idx="145">
                  <c:v>2.3841880647545478E-5</c:v>
                </c:pt>
                <c:pt idx="146">
                  <c:v>4.7683761295090957E-5</c:v>
                </c:pt>
                <c:pt idx="147">
                  <c:v>9.5367522590181913E-5</c:v>
                </c:pt>
                <c:pt idx="148">
                  <c:v>7.1525641942636435E-5</c:v>
                </c:pt>
                <c:pt idx="149">
                  <c:v>7.1525641942636435E-5</c:v>
                </c:pt>
                <c:pt idx="150">
                  <c:v>2.3841880647545478E-5</c:v>
                </c:pt>
                <c:pt idx="151">
                  <c:v>2.3841880647545478E-5</c:v>
                </c:pt>
                <c:pt idx="152">
                  <c:v>2.3841880647545478E-5</c:v>
                </c:pt>
                <c:pt idx="153">
                  <c:v>2.3841880647545478E-5</c:v>
                </c:pt>
                <c:pt idx="154">
                  <c:v>2.3841880647545478E-5</c:v>
                </c:pt>
                <c:pt idx="155">
                  <c:v>2.3841880647545478E-5</c:v>
                </c:pt>
                <c:pt idx="156">
                  <c:v>2.3841880647545478E-5</c:v>
                </c:pt>
                <c:pt idx="157">
                  <c:v>2.3841880647545478E-5</c:v>
                </c:pt>
                <c:pt idx="158">
                  <c:v>7.1525641942636435E-5</c:v>
                </c:pt>
                <c:pt idx="159">
                  <c:v>7.1525641942636435E-5</c:v>
                </c:pt>
                <c:pt idx="160">
                  <c:v>9.5367522590181913E-5</c:v>
                </c:pt>
                <c:pt idx="161">
                  <c:v>2.3841880647545478E-5</c:v>
                </c:pt>
                <c:pt idx="162">
                  <c:v>0</c:v>
                </c:pt>
                <c:pt idx="163">
                  <c:v>2.3841880647545478E-5</c:v>
                </c:pt>
                <c:pt idx="164">
                  <c:v>4.7683761295090957E-5</c:v>
                </c:pt>
                <c:pt idx="165">
                  <c:v>7.1525641942636435E-5</c:v>
                </c:pt>
                <c:pt idx="166">
                  <c:v>7.1525641942636435E-5</c:v>
                </c:pt>
                <c:pt idx="167">
                  <c:v>4.7683761295090957E-5</c:v>
                </c:pt>
                <c:pt idx="168">
                  <c:v>9.5367522590181913E-5</c:v>
                </c:pt>
                <c:pt idx="169">
                  <c:v>7.1525641942636435E-5</c:v>
                </c:pt>
                <c:pt idx="170">
                  <c:v>4.7683761295090957E-5</c:v>
                </c:pt>
                <c:pt idx="171">
                  <c:v>4.7683761295090957E-5</c:v>
                </c:pt>
                <c:pt idx="172">
                  <c:v>0</c:v>
                </c:pt>
                <c:pt idx="173">
                  <c:v>9.5367522590181913E-5</c:v>
                </c:pt>
                <c:pt idx="174">
                  <c:v>4.7683761295090957E-5</c:v>
                </c:pt>
                <c:pt idx="175">
                  <c:v>0</c:v>
                </c:pt>
                <c:pt idx="176">
                  <c:v>2.3841880647545478E-5</c:v>
                </c:pt>
                <c:pt idx="177">
                  <c:v>4.7683761295090957E-5</c:v>
                </c:pt>
                <c:pt idx="178">
                  <c:v>4.7683761295090957E-5</c:v>
                </c:pt>
                <c:pt idx="179">
                  <c:v>0</c:v>
                </c:pt>
                <c:pt idx="180">
                  <c:v>4.7683761295090957E-5</c:v>
                </c:pt>
                <c:pt idx="181">
                  <c:v>4.7683761295090957E-5</c:v>
                </c:pt>
                <c:pt idx="182">
                  <c:v>7.1525641942636435E-5</c:v>
                </c:pt>
                <c:pt idx="183">
                  <c:v>0</c:v>
                </c:pt>
                <c:pt idx="184">
                  <c:v>7.1525641942636435E-5</c:v>
                </c:pt>
                <c:pt idx="185">
                  <c:v>4.7683761295090957E-5</c:v>
                </c:pt>
                <c:pt idx="186">
                  <c:v>0</c:v>
                </c:pt>
                <c:pt idx="187">
                  <c:v>2.3841880647545478E-5</c:v>
                </c:pt>
                <c:pt idx="188">
                  <c:v>4.7683761295090957E-5</c:v>
                </c:pt>
                <c:pt idx="189">
                  <c:v>4.7683761295090957E-5</c:v>
                </c:pt>
                <c:pt idx="190">
                  <c:v>2.3841880647545478E-5</c:v>
                </c:pt>
                <c:pt idx="191">
                  <c:v>7.1525641942636435E-5</c:v>
                </c:pt>
                <c:pt idx="192">
                  <c:v>4.7683761295090957E-5</c:v>
                </c:pt>
                <c:pt idx="193">
                  <c:v>2.3841880647545478E-5</c:v>
                </c:pt>
                <c:pt idx="194">
                  <c:v>4.7683761295090957E-5</c:v>
                </c:pt>
                <c:pt idx="195">
                  <c:v>2.3841880647545478E-5</c:v>
                </c:pt>
                <c:pt idx="196">
                  <c:v>2.3841880647545478E-5</c:v>
                </c:pt>
                <c:pt idx="197">
                  <c:v>0</c:v>
                </c:pt>
                <c:pt idx="198">
                  <c:v>7.1525641942636435E-5</c:v>
                </c:pt>
                <c:pt idx="199">
                  <c:v>2.3841880647545478E-5</c:v>
                </c:pt>
                <c:pt idx="200">
                  <c:v>2.3841880647545478E-5</c:v>
                </c:pt>
                <c:pt idx="201">
                  <c:v>2.3841880647545478E-5</c:v>
                </c:pt>
                <c:pt idx="202">
                  <c:v>4.7683761295090957E-5</c:v>
                </c:pt>
                <c:pt idx="203">
                  <c:v>2.3841880647545478E-5</c:v>
                </c:pt>
                <c:pt idx="204">
                  <c:v>2.3841880647545478E-5</c:v>
                </c:pt>
                <c:pt idx="205">
                  <c:v>7.1525641942636435E-5</c:v>
                </c:pt>
                <c:pt idx="206">
                  <c:v>0</c:v>
                </c:pt>
                <c:pt idx="207">
                  <c:v>0</c:v>
                </c:pt>
                <c:pt idx="208">
                  <c:v>2.3841880647545478E-5</c:v>
                </c:pt>
                <c:pt idx="209">
                  <c:v>2.3841880647545478E-5</c:v>
                </c:pt>
                <c:pt idx="210">
                  <c:v>7.1525641942636435E-5</c:v>
                </c:pt>
                <c:pt idx="211">
                  <c:v>0</c:v>
                </c:pt>
                <c:pt idx="212">
                  <c:v>2.3841880647545478E-5</c:v>
                </c:pt>
                <c:pt idx="213">
                  <c:v>2.3841880647545478E-5</c:v>
                </c:pt>
                <c:pt idx="214">
                  <c:v>2.3841880647545478E-5</c:v>
                </c:pt>
                <c:pt idx="215">
                  <c:v>0</c:v>
                </c:pt>
                <c:pt idx="216">
                  <c:v>2.3841880647545478E-5</c:v>
                </c:pt>
                <c:pt idx="217">
                  <c:v>2.3841880647545478E-5</c:v>
                </c:pt>
                <c:pt idx="218">
                  <c:v>0</c:v>
                </c:pt>
                <c:pt idx="219">
                  <c:v>4.7683761295090957E-5</c:v>
                </c:pt>
                <c:pt idx="220">
                  <c:v>0</c:v>
                </c:pt>
                <c:pt idx="221">
                  <c:v>0</c:v>
                </c:pt>
                <c:pt idx="222">
                  <c:v>2.3841880647545478E-5</c:v>
                </c:pt>
                <c:pt idx="223">
                  <c:v>2.3841880647545478E-5</c:v>
                </c:pt>
                <c:pt idx="224">
                  <c:v>0</c:v>
                </c:pt>
                <c:pt idx="225">
                  <c:v>0</c:v>
                </c:pt>
                <c:pt idx="226">
                  <c:v>2.3841880647545478E-5</c:v>
                </c:pt>
                <c:pt idx="227">
                  <c:v>0</c:v>
                </c:pt>
                <c:pt idx="228">
                  <c:v>2.3841880647545478E-5</c:v>
                </c:pt>
                <c:pt idx="229">
                  <c:v>0</c:v>
                </c:pt>
                <c:pt idx="230">
                  <c:v>0</c:v>
                </c:pt>
                <c:pt idx="231">
                  <c:v>4.7683761295090957E-5</c:v>
                </c:pt>
                <c:pt idx="232">
                  <c:v>2.3841880647545478E-5</c:v>
                </c:pt>
                <c:pt idx="233">
                  <c:v>2.3841880647545478E-5</c:v>
                </c:pt>
                <c:pt idx="234">
                  <c:v>2.3841880647545478E-5</c:v>
                </c:pt>
                <c:pt idx="235">
                  <c:v>0</c:v>
                </c:pt>
                <c:pt idx="236">
                  <c:v>0</c:v>
                </c:pt>
                <c:pt idx="237">
                  <c:v>2.3841880647545478E-5</c:v>
                </c:pt>
                <c:pt idx="238">
                  <c:v>0</c:v>
                </c:pt>
                <c:pt idx="239">
                  <c:v>2.3841880647545478E-5</c:v>
                </c:pt>
                <c:pt idx="240">
                  <c:v>0</c:v>
                </c:pt>
                <c:pt idx="241">
                  <c:v>0</c:v>
                </c:pt>
                <c:pt idx="242">
                  <c:v>0</c:v>
                </c:pt>
                <c:pt idx="243">
                  <c:v>0</c:v>
                </c:pt>
                <c:pt idx="244">
                  <c:v>2.3841880647545478E-5</c:v>
                </c:pt>
                <c:pt idx="245">
                  <c:v>2.3841880647545478E-5</c:v>
                </c:pt>
                <c:pt idx="246">
                  <c:v>0</c:v>
                </c:pt>
                <c:pt idx="247">
                  <c:v>0</c:v>
                </c:pt>
                <c:pt idx="248">
                  <c:v>0</c:v>
                </c:pt>
                <c:pt idx="249">
                  <c:v>2.3841880647545478E-5</c:v>
                </c:pt>
                <c:pt idx="250">
                  <c:v>7.1525641942636435E-5</c:v>
                </c:pt>
                <c:pt idx="251">
                  <c:v>0</c:v>
                </c:pt>
                <c:pt idx="252">
                  <c:v>0</c:v>
                </c:pt>
                <c:pt idx="253">
                  <c:v>0</c:v>
                </c:pt>
                <c:pt idx="254">
                  <c:v>0</c:v>
                </c:pt>
                <c:pt idx="255">
                  <c:v>0</c:v>
                </c:pt>
                <c:pt idx="256">
                  <c:v>0</c:v>
                </c:pt>
                <c:pt idx="257">
                  <c:v>0</c:v>
                </c:pt>
                <c:pt idx="258">
                  <c:v>2.3841880647545478E-5</c:v>
                </c:pt>
                <c:pt idx="259">
                  <c:v>0</c:v>
                </c:pt>
                <c:pt idx="260">
                  <c:v>7.1525641942636435E-5</c:v>
                </c:pt>
                <c:pt idx="261">
                  <c:v>0</c:v>
                </c:pt>
                <c:pt idx="262">
                  <c:v>0</c:v>
                </c:pt>
                <c:pt idx="263">
                  <c:v>0</c:v>
                </c:pt>
                <c:pt idx="264">
                  <c:v>2.3841880647545478E-5</c:v>
                </c:pt>
                <c:pt idx="265">
                  <c:v>0</c:v>
                </c:pt>
                <c:pt idx="266">
                  <c:v>0</c:v>
                </c:pt>
                <c:pt idx="267">
                  <c:v>0</c:v>
                </c:pt>
                <c:pt idx="268">
                  <c:v>0</c:v>
                </c:pt>
                <c:pt idx="269">
                  <c:v>2.3841880647545478E-5</c:v>
                </c:pt>
                <c:pt idx="270">
                  <c:v>2.3841880647545478E-5</c:v>
                </c:pt>
                <c:pt idx="271">
                  <c:v>0</c:v>
                </c:pt>
                <c:pt idx="272">
                  <c:v>0</c:v>
                </c:pt>
                <c:pt idx="273">
                  <c:v>0</c:v>
                </c:pt>
                <c:pt idx="274">
                  <c:v>0</c:v>
                </c:pt>
                <c:pt idx="275">
                  <c:v>4.7683761295090957E-5</c:v>
                </c:pt>
                <c:pt idx="276">
                  <c:v>0</c:v>
                </c:pt>
                <c:pt idx="277">
                  <c:v>0</c:v>
                </c:pt>
                <c:pt idx="278">
                  <c:v>0</c:v>
                </c:pt>
                <c:pt idx="279">
                  <c:v>2.3841880647545478E-5</c:v>
                </c:pt>
                <c:pt idx="280">
                  <c:v>2.3841880647545478E-5</c:v>
                </c:pt>
                <c:pt idx="281">
                  <c:v>0</c:v>
                </c:pt>
                <c:pt idx="282">
                  <c:v>4.7683761295090957E-5</c:v>
                </c:pt>
                <c:pt idx="283">
                  <c:v>0</c:v>
                </c:pt>
                <c:pt idx="284">
                  <c:v>0</c:v>
                </c:pt>
                <c:pt idx="285">
                  <c:v>2.3841880647545478E-5</c:v>
                </c:pt>
                <c:pt idx="286">
                  <c:v>0</c:v>
                </c:pt>
                <c:pt idx="287">
                  <c:v>0</c:v>
                </c:pt>
                <c:pt idx="288">
                  <c:v>0</c:v>
                </c:pt>
                <c:pt idx="289">
                  <c:v>0</c:v>
                </c:pt>
                <c:pt idx="290">
                  <c:v>0</c:v>
                </c:pt>
                <c:pt idx="291">
                  <c:v>2.3841880647545478E-5</c:v>
                </c:pt>
                <c:pt idx="292">
                  <c:v>0</c:v>
                </c:pt>
                <c:pt idx="293">
                  <c:v>2.3841880647545478E-5</c:v>
                </c:pt>
                <c:pt idx="294">
                  <c:v>0</c:v>
                </c:pt>
                <c:pt idx="295">
                  <c:v>2.3841880647545478E-5</c:v>
                </c:pt>
                <c:pt idx="296">
                  <c:v>0</c:v>
                </c:pt>
                <c:pt idx="297">
                  <c:v>2.3841880647545478E-5</c:v>
                </c:pt>
                <c:pt idx="298">
                  <c:v>2.3841880647545478E-5</c:v>
                </c:pt>
                <c:pt idx="299">
                  <c:v>0</c:v>
                </c:pt>
                <c:pt idx="300">
                  <c:v>0</c:v>
                </c:pt>
                <c:pt idx="301">
                  <c:v>2.3841880647545478E-5</c:v>
                </c:pt>
                <c:pt idx="302">
                  <c:v>0</c:v>
                </c:pt>
                <c:pt idx="303">
                  <c:v>0</c:v>
                </c:pt>
                <c:pt idx="304">
                  <c:v>0</c:v>
                </c:pt>
                <c:pt idx="305">
                  <c:v>0</c:v>
                </c:pt>
                <c:pt idx="306">
                  <c:v>0</c:v>
                </c:pt>
                <c:pt idx="307">
                  <c:v>0</c:v>
                </c:pt>
                <c:pt idx="308">
                  <c:v>2.3841880647545478E-5</c:v>
                </c:pt>
                <c:pt idx="309">
                  <c:v>0</c:v>
                </c:pt>
                <c:pt idx="310">
                  <c:v>2.3841880647545478E-5</c:v>
                </c:pt>
                <c:pt idx="311">
                  <c:v>0</c:v>
                </c:pt>
                <c:pt idx="312">
                  <c:v>0</c:v>
                </c:pt>
                <c:pt idx="313">
                  <c:v>0</c:v>
                </c:pt>
                <c:pt idx="314">
                  <c:v>0</c:v>
                </c:pt>
                <c:pt idx="315">
                  <c:v>0</c:v>
                </c:pt>
                <c:pt idx="316">
                  <c:v>0</c:v>
                </c:pt>
                <c:pt idx="317">
                  <c:v>2.3841880647545478E-5</c:v>
                </c:pt>
                <c:pt idx="318">
                  <c:v>2.3841880647545478E-5</c:v>
                </c:pt>
                <c:pt idx="319">
                  <c:v>0</c:v>
                </c:pt>
                <c:pt idx="320">
                  <c:v>0</c:v>
                </c:pt>
                <c:pt idx="321">
                  <c:v>0</c:v>
                </c:pt>
                <c:pt idx="322">
                  <c:v>0</c:v>
                </c:pt>
                <c:pt idx="323">
                  <c:v>0</c:v>
                </c:pt>
                <c:pt idx="324">
                  <c:v>0</c:v>
                </c:pt>
                <c:pt idx="325">
                  <c:v>0</c:v>
                </c:pt>
                <c:pt idx="326">
                  <c:v>0</c:v>
                </c:pt>
                <c:pt idx="327">
                  <c:v>0</c:v>
                </c:pt>
                <c:pt idx="328">
                  <c:v>0</c:v>
                </c:pt>
                <c:pt idx="329">
                  <c:v>0</c:v>
                </c:pt>
                <c:pt idx="330">
                  <c:v>2.3841880647545478E-5</c:v>
                </c:pt>
                <c:pt idx="331">
                  <c:v>0</c:v>
                </c:pt>
                <c:pt idx="332">
                  <c:v>0</c:v>
                </c:pt>
                <c:pt idx="333">
                  <c:v>0</c:v>
                </c:pt>
                <c:pt idx="334">
                  <c:v>0</c:v>
                </c:pt>
                <c:pt idx="335">
                  <c:v>0</c:v>
                </c:pt>
                <c:pt idx="336">
                  <c:v>0</c:v>
                </c:pt>
                <c:pt idx="337">
                  <c:v>0</c:v>
                </c:pt>
                <c:pt idx="338">
                  <c:v>0</c:v>
                </c:pt>
                <c:pt idx="339">
                  <c:v>0</c:v>
                </c:pt>
                <c:pt idx="340">
                  <c:v>0</c:v>
                </c:pt>
                <c:pt idx="341">
                  <c:v>2.3841880647545478E-5</c:v>
                </c:pt>
                <c:pt idx="342">
                  <c:v>0</c:v>
                </c:pt>
                <c:pt idx="343">
                  <c:v>0</c:v>
                </c:pt>
                <c:pt idx="344">
                  <c:v>2.3841880647545478E-5</c:v>
                </c:pt>
                <c:pt idx="345">
                  <c:v>0</c:v>
                </c:pt>
                <c:pt idx="346">
                  <c:v>2.3841880647545478E-5</c:v>
                </c:pt>
                <c:pt idx="347">
                  <c:v>0</c:v>
                </c:pt>
                <c:pt idx="348">
                  <c:v>0</c:v>
                </c:pt>
                <c:pt idx="349">
                  <c:v>2.3841880647545478E-5</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2.3841880647545478E-5</c:v>
                </c:pt>
                <c:pt idx="366">
                  <c:v>0</c:v>
                </c:pt>
                <c:pt idx="367">
                  <c:v>0</c:v>
                </c:pt>
                <c:pt idx="368">
                  <c:v>2.3841880647545478E-5</c:v>
                </c:pt>
                <c:pt idx="369">
                  <c:v>0</c:v>
                </c:pt>
                <c:pt idx="370">
                  <c:v>0</c:v>
                </c:pt>
                <c:pt idx="371">
                  <c:v>0</c:v>
                </c:pt>
                <c:pt idx="372">
                  <c:v>0</c:v>
                </c:pt>
                <c:pt idx="373">
                  <c:v>0</c:v>
                </c:pt>
                <c:pt idx="374">
                  <c:v>2.3841880647545478E-5</c:v>
                </c:pt>
                <c:pt idx="375">
                  <c:v>2.3841880647545478E-5</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2.3841880647545478E-5</c:v>
                </c:pt>
                <c:pt idx="399">
                  <c:v>0</c:v>
                </c:pt>
                <c:pt idx="400">
                  <c:v>0</c:v>
                </c:pt>
                <c:pt idx="401">
                  <c:v>0</c:v>
                </c:pt>
                <c:pt idx="402">
                  <c:v>0</c:v>
                </c:pt>
                <c:pt idx="403">
                  <c:v>0</c:v>
                </c:pt>
                <c:pt idx="404">
                  <c:v>0</c:v>
                </c:pt>
                <c:pt idx="405">
                  <c:v>0</c:v>
                </c:pt>
                <c:pt idx="406">
                  <c:v>2.3841880647545478E-5</c:v>
                </c:pt>
                <c:pt idx="407">
                  <c:v>0</c:v>
                </c:pt>
                <c:pt idx="408">
                  <c:v>0</c:v>
                </c:pt>
                <c:pt idx="409">
                  <c:v>0</c:v>
                </c:pt>
                <c:pt idx="410">
                  <c:v>0</c:v>
                </c:pt>
                <c:pt idx="411">
                  <c:v>0</c:v>
                </c:pt>
                <c:pt idx="412">
                  <c:v>2.3841880647545478E-5</c:v>
                </c:pt>
                <c:pt idx="413">
                  <c:v>0</c:v>
                </c:pt>
                <c:pt idx="414">
                  <c:v>0</c:v>
                </c:pt>
                <c:pt idx="415">
                  <c:v>0</c:v>
                </c:pt>
                <c:pt idx="416">
                  <c:v>0</c:v>
                </c:pt>
                <c:pt idx="417">
                  <c:v>2.3841880647545478E-5</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2.3841880647545478E-5</c:v>
                </c:pt>
                <c:pt idx="439">
                  <c:v>0</c:v>
                </c:pt>
                <c:pt idx="440">
                  <c:v>2.3841880647545478E-5</c:v>
                </c:pt>
                <c:pt idx="441">
                  <c:v>0</c:v>
                </c:pt>
                <c:pt idx="442">
                  <c:v>0</c:v>
                </c:pt>
                <c:pt idx="443">
                  <c:v>2.3841880647545478E-5</c:v>
                </c:pt>
                <c:pt idx="444">
                  <c:v>0</c:v>
                </c:pt>
                <c:pt idx="445">
                  <c:v>0</c:v>
                </c:pt>
                <c:pt idx="446">
                  <c:v>0</c:v>
                </c:pt>
                <c:pt idx="447">
                  <c:v>0</c:v>
                </c:pt>
                <c:pt idx="448">
                  <c:v>2.3841880647545478E-5</c:v>
                </c:pt>
                <c:pt idx="449">
                  <c:v>0</c:v>
                </c:pt>
                <c:pt idx="450">
                  <c:v>0</c:v>
                </c:pt>
                <c:pt idx="451">
                  <c:v>0</c:v>
                </c:pt>
                <c:pt idx="452">
                  <c:v>0</c:v>
                </c:pt>
                <c:pt idx="453">
                  <c:v>0</c:v>
                </c:pt>
                <c:pt idx="454">
                  <c:v>4.7683761295090957E-5</c:v>
                </c:pt>
                <c:pt idx="455">
                  <c:v>0</c:v>
                </c:pt>
                <c:pt idx="456">
                  <c:v>0</c:v>
                </c:pt>
                <c:pt idx="457">
                  <c:v>0</c:v>
                </c:pt>
                <c:pt idx="458">
                  <c:v>0</c:v>
                </c:pt>
                <c:pt idx="459">
                  <c:v>0</c:v>
                </c:pt>
                <c:pt idx="460">
                  <c:v>2.3841880647545478E-5</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2.3841880647545478E-5</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2.3841880647545478E-5</c:v>
                </c:pt>
                <c:pt idx="518">
                  <c:v>0</c:v>
                </c:pt>
                <c:pt idx="519">
                  <c:v>0</c:v>
                </c:pt>
                <c:pt idx="520">
                  <c:v>0</c:v>
                </c:pt>
                <c:pt idx="521">
                  <c:v>0</c:v>
                </c:pt>
                <c:pt idx="522">
                  <c:v>0</c:v>
                </c:pt>
                <c:pt idx="523">
                  <c:v>0</c:v>
                </c:pt>
                <c:pt idx="524">
                  <c:v>0</c:v>
                </c:pt>
                <c:pt idx="525">
                  <c:v>0</c:v>
                </c:pt>
                <c:pt idx="526">
                  <c:v>2.3841880647545478E-5</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2.3841880647545478E-5</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2.3841880647545478E-5</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2.3841880647545478E-5</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2.3841880647545478E-5</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2.3841880647545478E-5</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2.3841880647545478E-5</c:v>
                </c:pt>
                <c:pt idx="711">
                  <c:v>0</c:v>
                </c:pt>
                <c:pt idx="712">
                  <c:v>0</c:v>
                </c:pt>
                <c:pt idx="713">
                  <c:v>0</c:v>
                </c:pt>
                <c:pt idx="714">
                  <c:v>0</c:v>
                </c:pt>
                <c:pt idx="715">
                  <c:v>0</c:v>
                </c:pt>
                <c:pt idx="716">
                  <c:v>0</c:v>
                </c:pt>
                <c:pt idx="717">
                  <c:v>0</c:v>
                </c:pt>
                <c:pt idx="718">
                  <c:v>2.3841880647545478E-5</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numCache>
            </c:numRef>
          </c:val>
          <c:smooth val="0"/>
          <c:extLst xmlns:c16r2="http://schemas.microsoft.com/office/drawing/2015/06/chart">
            <c:ext xmlns:c16="http://schemas.microsoft.com/office/drawing/2014/chart" uri="{C3380CC4-5D6E-409C-BE32-E72D297353CC}">
              <c16:uniqueId val="{00000001-03ED-4CE3-9733-1A8305D79B04}"/>
            </c:ext>
          </c:extLst>
        </c:ser>
        <c:ser>
          <c:idx val="2"/>
          <c:order val="2"/>
          <c:tx>
            <c:strRef>
              <c:f>'Sheet1 (3)'!$D$3:$D$4</c:f>
              <c:strCache>
                <c:ptCount val="1"/>
                <c:pt idx="0">
                  <c:v>ZOLEDRONIC ACID</c:v>
                </c:pt>
              </c:strCache>
            </c:strRef>
          </c:tx>
          <c:marker>
            <c:symbol val="none"/>
          </c:marker>
          <c:cat>
            <c:strRef>
              <c:f>'Sheet1 (3)'!$A$5:$A$745</c:f>
              <c:strCache>
                <c:ptCount val="7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pt idx="500">
                  <c:v>501</c:v>
                </c:pt>
                <c:pt idx="501">
                  <c:v>502</c:v>
                </c:pt>
                <c:pt idx="502">
                  <c:v>503</c:v>
                </c:pt>
                <c:pt idx="503">
                  <c:v>504</c:v>
                </c:pt>
                <c:pt idx="504">
                  <c:v>505</c:v>
                </c:pt>
                <c:pt idx="505">
                  <c:v>506</c:v>
                </c:pt>
                <c:pt idx="506">
                  <c:v>507</c:v>
                </c:pt>
                <c:pt idx="507">
                  <c:v>508</c:v>
                </c:pt>
                <c:pt idx="508">
                  <c:v>509</c:v>
                </c:pt>
                <c:pt idx="509">
                  <c:v>510</c:v>
                </c:pt>
                <c:pt idx="510">
                  <c:v>511</c:v>
                </c:pt>
                <c:pt idx="511">
                  <c:v>512</c:v>
                </c:pt>
                <c:pt idx="512">
                  <c:v>513</c:v>
                </c:pt>
                <c:pt idx="513">
                  <c:v>514</c:v>
                </c:pt>
                <c:pt idx="514">
                  <c:v>515</c:v>
                </c:pt>
                <c:pt idx="515">
                  <c:v>516</c:v>
                </c:pt>
                <c:pt idx="516">
                  <c:v>517</c:v>
                </c:pt>
                <c:pt idx="517">
                  <c:v>518</c:v>
                </c:pt>
                <c:pt idx="518">
                  <c:v>519</c:v>
                </c:pt>
                <c:pt idx="519">
                  <c:v>520</c:v>
                </c:pt>
                <c:pt idx="520">
                  <c:v>521</c:v>
                </c:pt>
                <c:pt idx="521">
                  <c:v>522</c:v>
                </c:pt>
                <c:pt idx="522">
                  <c:v>523</c:v>
                </c:pt>
                <c:pt idx="523">
                  <c:v>524</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strCache>
            </c:strRef>
          </c:cat>
          <c:val>
            <c:numRef>
              <c:f>'Sheet1 (3)'!$D$5:$D$745</c:f>
              <c:numCache>
                <c:formatCode>0.00%</c:formatCode>
                <c:ptCount val="740"/>
                <c:pt idx="0">
                  <c:v>1.7480850522836348E-3</c:v>
                </c:pt>
                <c:pt idx="1">
                  <c:v>9.3760925531576771E-4</c:v>
                </c:pt>
                <c:pt idx="2">
                  <c:v>1.080634395957156E-3</c:v>
                </c:pt>
                <c:pt idx="3">
                  <c:v>5.7210056256555314E-4</c:v>
                </c:pt>
                <c:pt idx="4">
                  <c:v>7.9458411467437946E-4</c:v>
                </c:pt>
                <c:pt idx="5">
                  <c:v>5.4031719797857799E-4</c:v>
                </c:pt>
                <c:pt idx="6">
                  <c:v>6.0388392715252841E-4</c:v>
                </c:pt>
                <c:pt idx="7">
                  <c:v>3.6550869275021452E-4</c:v>
                </c:pt>
                <c:pt idx="8">
                  <c:v>1.4302514064138829E-4</c:v>
                </c:pt>
                <c:pt idx="9">
                  <c:v>1.4302514064138829E-4</c:v>
                </c:pt>
                <c:pt idx="10">
                  <c:v>1.7480850522836347E-4</c:v>
                </c:pt>
                <c:pt idx="11">
                  <c:v>1.2713345834790071E-4</c:v>
                </c:pt>
                <c:pt idx="12">
                  <c:v>6.3566729173950354E-5</c:v>
                </c:pt>
                <c:pt idx="13">
                  <c:v>2.0659186981533865E-4</c:v>
                </c:pt>
                <c:pt idx="14">
                  <c:v>3.1783364586975177E-5</c:v>
                </c:pt>
                <c:pt idx="15">
                  <c:v>3.1783364586975177E-5</c:v>
                </c:pt>
                <c:pt idx="16">
                  <c:v>3.1783364586975177E-5</c:v>
                </c:pt>
                <c:pt idx="17">
                  <c:v>7.9458411467437946E-5</c:v>
                </c:pt>
                <c:pt idx="18">
                  <c:v>6.3566729173950354E-5</c:v>
                </c:pt>
                <c:pt idx="19">
                  <c:v>1.4302514064138829E-4</c:v>
                </c:pt>
                <c:pt idx="20">
                  <c:v>7.9458411467437946E-5</c:v>
                </c:pt>
                <c:pt idx="21">
                  <c:v>1.5891682293487588E-5</c:v>
                </c:pt>
                <c:pt idx="22">
                  <c:v>1.5891682293487588E-5</c:v>
                </c:pt>
                <c:pt idx="23">
                  <c:v>1.5891682293487588E-5</c:v>
                </c:pt>
                <c:pt idx="24">
                  <c:v>6.3566729173950354E-5</c:v>
                </c:pt>
                <c:pt idx="25">
                  <c:v>7.9458411467437946E-5</c:v>
                </c:pt>
                <c:pt idx="26">
                  <c:v>4.7675046880462769E-5</c:v>
                </c:pt>
                <c:pt idx="27">
                  <c:v>9.5350093760925537E-5</c:v>
                </c:pt>
                <c:pt idx="28">
                  <c:v>9.5350093760925537E-5</c:v>
                </c:pt>
                <c:pt idx="29">
                  <c:v>6.3566729173950354E-5</c:v>
                </c:pt>
                <c:pt idx="30">
                  <c:v>1.5891682293487588E-5</c:v>
                </c:pt>
                <c:pt idx="31">
                  <c:v>6.3566729173950354E-5</c:v>
                </c:pt>
                <c:pt idx="32">
                  <c:v>6.3566729173950354E-5</c:v>
                </c:pt>
                <c:pt idx="33">
                  <c:v>1.5891682293487588E-5</c:v>
                </c:pt>
                <c:pt idx="34">
                  <c:v>7.9458411467437946E-5</c:v>
                </c:pt>
                <c:pt idx="35">
                  <c:v>1.5891682293487588E-5</c:v>
                </c:pt>
                <c:pt idx="36">
                  <c:v>9.5350093760925537E-5</c:v>
                </c:pt>
                <c:pt idx="37">
                  <c:v>3.1783364586975177E-5</c:v>
                </c:pt>
                <c:pt idx="38">
                  <c:v>7.9458411467437946E-5</c:v>
                </c:pt>
                <c:pt idx="39">
                  <c:v>1.5891682293487588E-5</c:v>
                </c:pt>
                <c:pt idx="40">
                  <c:v>1.5891682293487588E-5</c:v>
                </c:pt>
                <c:pt idx="41">
                  <c:v>4.7675046880462769E-5</c:v>
                </c:pt>
                <c:pt idx="42">
                  <c:v>4.7675046880462769E-5</c:v>
                </c:pt>
                <c:pt idx="43">
                  <c:v>1.5891682293487588E-5</c:v>
                </c:pt>
                <c:pt idx="44">
                  <c:v>4.7675046880462769E-5</c:v>
                </c:pt>
                <c:pt idx="45">
                  <c:v>1.5891682293487588E-5</c:v>
                </c:pt>
                <c:pt idx="46">
                  <c:v>3.1783364586975177E-5</c:v>
                </c:pt>
                <c:pt idx="47">
                  <c:v>3.1783364586975177E-5</c:v>
                </c:pt>
                <c:pt idx="48">
                  <c:v>4.7675046880462769E-5</c:v>
                </c:pt>
                <c:pt idx="49">
                  <c:v>1.5891682293487588E-5</c:v>
                </c:pt>
                <c:pt idx="50">
                  <c:v>4.7675046880462769E-5</c:v>
                </c:pt>
                <c:pt idx="51">
                  <c:v>4.7675046880462769E-5</c:v>
                </c:pt>
                <c:pt idx="52">
                  <c:v>0</c:v>
                </c:pt>
                <c:pt idx="53">
                  <c:v>1.5891682293487588E-5</c:v>
                </c:pt>
                <c:pt idx="54">
                  <c:v>1.5891682293487588E-5</c:v>
                </c:pt>
                <c:pt idx="55">
                  <c:v>4.7675046880462769E-5</c:v>
                </c:pt>
                <c:pt idx="56">
                  <c:v>0</c:v>
                </c:pt>
                <c:pt idx="57">
                  <c:v>1.5891682293487588E-5</c:v>
                </c:pt>
                <c:pt idx="58">
                  <c:v>1.5891682293487588E-5</c:v>
                </c:pt>
                <c:pt idx="59">
                  <c:v>1.5891682293487588E-5</c:v>
                </c:pt>
                <c:pt idx="60">
                  <c:v>3.1783364586975177E-5</c:v>
                </c:pt>
                <c:pt idx="61">
                  <c:v>3.1783364586975177E-5</c:v>
                </c:pt>
                <c:pt idx="62">
                  <c:v>4.7675046880462769E-5</c:v>
                </c:pt>
                <c:pt idx="63">
                  <c:v>3.1783364586975177E-5</c:v>
                </c:pt>
                <c:pt idx="64">
                  <c:v>3.1783364586975177E-5</c:v>
                </c:pt>
                <c:pt idx="65">
                  <c:v>0</c:v>
                </c:pt>
                <c:pt idx="66">
                  <c:v>3.1783364586975177E-5</c:v>
                </c:pt>
                <c:pt idx="67">
                  <c:v>0</c:v>
                </c:pt>
                <c:pt idx="68">
                  <c:v>4.7675046880462769E-5</c:v>
                </c:pt>
                <c:pt idx="69">
                  <c:v>3.1783364586975177E-5</c:v>
                </c:pt>
                <c:pt idx="70">
                  <c:v>3.1783364586975177E-5</c:v>
                </c:pt>
                <c:pt idx="71">
                  <c:v>0</c:v>
                </c:pt>
                <c:pt idx="72">
                  <c:v>1.5891682293487588E-5</c:v>
                </c:pt>
                <c:pt idx="73">
                  <c:v>0</c:v>
                </c:pt>
                <c:pt idx="74">
                  <c:v>3.1783364586975177E-5</c:v>
                </c:pt>
                <c:pt idx="75">
                  <c:v>4.7675046880462769E-5</c:v>
                </c:pt>
                <c:pt idx="76">
                  <c:v>1.5891682293487588E-5</c:v>
                </c:pt>
                <c:pt idx="77">
                  <c:v>0</c:v>
                </c:pt>
                <c:pt idx="78">
                  <c:v>1.5891682293487588E-5</c:v>
                </c:pt>
                <c:pt idx="79">
                  <c:v>1.5891682293487588E-5</c:v>
                </c:pt>
                <c:pt idx="80">
                  <c:v>1.5891682293487588E-5</c:v>
                </c:pt>
                <c:pt idx="81">
                  <c:v>4.7675046880462769E-5</c:v>
                </c:pt>
                <c:pt idx="82">
                  <c:v>3.1783364586975177E-5</c:v>
                </c:pt>
                <c:pt idx="83">
                  <c:v>3.1783364586975177E-5</c:v>
                </c:pt>
                <c:pt idx="84">
                  <c:v>1.5891682293487588E-5</c:v>
                </c:pt>
                <c:pt idx="85">
                  <c:v>1.5891682293487588E-5</c:v>
                </c:pt>
                <c:pt idx="86">
                  <c:v>1.5891682293487588E-5</c:v>
                </c:pt>
                <c:pt idx="87">
                  <c:v>1.5891682293487588E-5</c:v>
                </c:pt>
                <c:pt idx="88">
                  <c:v>4.7675046880462769E-5</c:v>
                </c:pt>
                <c:pt idx="89">
                  <c:v>0</c:v>
                </c:pt>
                <c:pt idx="90">
                  <c:v>3.1783364586975177E-5</c:v>
                </c:pt>
                <c:pt idx="91">
                  <c:v>1.5891682293487588E-5</c:v>
                </c:pt>
                <c:pt idx="92">
                  <c:v>0</c:v>
                </c:pt>
                <c:pt idx="93">
                  <c:v>1.5891682293487588E-5</c:v>
                </c:pt>
                <c:pt idx="94">
                  <c:v>0</c:v>
                </c:pt>
                <c:pt idx="95">
                  <c:v>0</c:v>
                </c:pt>
                <c:pt idx="96">
                  <c:v>6.3566729173950354E-5</c:v>
                </c:pt>
                <c:pt idx="97">
                  <c:v>6.3566729173950354E-5</c:v>
                </c:pt>
                <c:pt idx="98">
                  <c:v>3.1783364586975177E-5</c:v>
                </c:pt>
                <c:pt idx="99">
                  <c:v>1.5891682293487588E-5</c:v>
                </c:pt>
                <c:pt idx="100">
                  <c:v>0</c:v>
                </c:pt>
                <c:pt idx="101">
                  <c:v>0</c:v>
                </c:pt>
                <c:pt idx="102">
                  <c:v>0</c:v>
                </c:pt>
                <c:pt idx="103">
                  <c:v>1.5891682293487588E-5</c:v>
                </c:pt>
                <c:pt idx="104">
                  <c:v>3.1783364586975177E-5</c:v>
                </c:pt>
                <c:pt idx="105">
                  <c:v>4.7675046880462769E-5</c:v>
                </c:pt>
                <c:pt idx="106">
                  <c:v>0</c:v>
                </c:pt>
                <c:pt idx="107">
                  <c:v>1.5891682293487588E-5</c:v>
                </c:pt>
                <c:pt idx="108">
                  <c:v>0</c:v>
                </c:pt>
                <c:pt idx="109">
                  <c:v>1.5891682293487588E-5</c:v>
                </c:pt>
                <c:pt idx="110">
                  <c:v>1.5891682293487588E-5</c:v>
                </c:pt>
                <c:pt idx="111">
                  <c:v>1.5891682293487588E-5</c:v>
                </c:pt>
                <c:pt idx="112">
                  <c:v>0</c:v>
                </c:pt>
                <c:pt idx="113">
                  <c:v>1.5891682293487588E-5</c:v>
                </c:pt>
                <c:pt idx="114">
                  <c:v>0</c:v>
                </c:pt>
                <c:pt idx="115">
                  <c:v>1.5891682293487588E-5</c:v>
                </c:pt>
                <c:pt idx="116">
                  <c:v>3.1783364586975177E-5</c:v>
                </c:pt>
                <c:pt idx="117">
                  <c:v>3.1783364586975177E-5</c:v>
                </c:pt>
                <c:pt idx="118">
                  <c:v>0</c:v>
                </c:pt>
                <c:pt idx="119">
                  <c:v>0</c:v>
                </c:pt>
                <c:pt idx="120">
                  <c:v>3.1783364586975177E-5</c:v>
                </c:pt>
                <c:pt idx="121">
                  <c:v>0</c:v>
                </c:pt>
                <c:pt idx="122">
                  <c:v>0</c:v>
                </c:pt>
                <c:pt idx="123">
                  <c:v>0</c:v>
                </c:pt>
                <c:pt idx="124">
                  <c:v>3.1783364586975177E-5</c:v>
                </c:pt>
                <c:pt idx="125">
                  <c:v>7.9458411467437946E-5</c:v>
                </c:pt>
                <c:pt idx="126">
                  <c:v>3.1783364586975177E-5</c:v>
                </c:pt>
                <c:pt idx="127">
                  <c:v>1.5891682293487588E-5</c:v>
                </c:pt>
                <c:pt idx="128">
                  <c:v>1.5891682293487588E-5</c:v>
                </c:pt>
                <c:pt idx="129">
                  <c:v>0</c:v>
                </c:pt>
                <c:pt idx="130">
                  <c:v>0</c:v>
                </c:pt>
                <c:pt idx="131">
                  <c:v>0</c:v>
                </c:pt>
                <c:pt idx="132">
                  <c:v>1.5891682293487588E-5</c:v>
                </c:pt>
                <c:pt idx="133">
                  <c:v>4.7675046880462769E-5</c:v>
                </c:pt>
                <c:pt idx="134">
                  <c:v>0</c:v>
                </c:pt>
                <c:pt idx="135">
                  <c:v>0</c:v>
                </c:pt>
                <c:pt idx="136">
                  <c:v>1.5891682293487588E-5</c:v>
                </c:pt>
                <c:pt idx="137">
                  <c:v>1.5891682293487588E-5</c:v>
                </c:pt>
                <c:pt idx="138">
                  <c:v>3.1783364586975177E-5</c:v>
                </c:pt>
                <c:pt idx="139">
                  <c:v>6.3566729173950354E-5</c:v>
                </c:pt>
                <c:pt idx="140">
                  <c:v>1.5891682293487588E-5</c:v>
                </c:pt>
                <c:pt idx="141">
                  <c:v>0</c:v>
                </c:pt>
                <c:pt idx="142">
                  <c:v>7.9458411467437946E-5</c:v>
                </c:pt>
                <c:pt idx="143">
                  <c:v>1.5891682293487588E-5</c:v>
                </c:pt>
                <c:pt idx="144">
                  <c:v>1.5891682293487588E-5</c:v>
                </c:pt>
                <c:pt idx="145">
                  <c:v>1.5891682293487588E-5</c:v>
                </c:pt>
                <c:pt idx="146">
                  <c:v>4.7675046880462769E-5</c:v>
                </c:pt>
                <c:pt idx="147">
                  <c:v>3.1783364586975177E-5</c:v>
                </c:pt>
                <c:pt idx="148">
                  <c:v>3.1783364586975177E-5</c:v>
                </c:pt>
                <c:pt idx="149">
                  <c:v>0</c:v>
                </c:pt>
                <c:pt idx="150">
                  <c:v>0</c:v>
                </c:pt>
                <c:pt idx="151">
                  <c:v>0</c:v>
                </c:pt>
                <c:pt idx="152">
                  <c:v>3.1783364586975177E-5</c:v>
                </c:pt>
                <c:pt idx="153">
                  <c:v>7.9458411467437946E-5</c:v>
                </c:pt>
                <c:pt idx="154">
                  <c:v>3.1783364586975177E-5</c:v>
                </c:pt>
                <c:pt idx="155">
                  <c:v>3.1783364586975177E-5</c:v>
                </c:pt>
                <c:pt idx="156">
                  <c:v>0</c:v>
                </c:pt>
                <c:pt idx="157">
                  <c:v>0</c:v>
                </c:pt>
                <c:pt idx="158">
                  <c:v>3.1783364586975177E-5</c:v>
                </c:pt>
                <c:pt idx="159">
                  <c:v>4.7675046880462769E-5</c:v>
                </c:pt>
                <c:pt idx="160">
                  <c:v>4.7675046880462769E-5</c:v>
                </c:pt>
                <c:pt idx="161">
                  <c:v>4.7675046880462769E-5</c:v>
                </c:pt>
                <c:pt idx="162">
                  <c:v>1.5891682293487588E-5</c:v>
                </c:pt>
                <c:pt idx="163">
                  <c:v>3.1783364586975177E-5</c:v>
                </c:pt>
                <c:pt idx="164">
                  <c:v>1.5891682293487588E-5</c:v>
                </c:pt>
                <c:pt idx="165">
                  <c:v>0</c:v>
                </c:pt>
                <c:pt idx="166">
                  <c:v>0</c:v>
                </c:pt>
                <c:pt idx="167">
                  <c:v>3.1783364586975177E-5</c:v>
                </c:pt>
                <c:pt idx="168">
                  <c:v>6.3566729173950354E-5</c:v>
                </c:pt>
                <c:pt idx="169">
                  <c:v>1.5891682293487588E-5</c:v>
                </c:pt>
                <c:pt idx="170">
                  <c:v>1.5891682293487588E-5</c:v>
                </c:pt>
                <c:pt idx="171">
                  <c:v>1.5891682293487588E-5</c:v>
                </c:pt>
                <c:pt idx="172">
                  <c:v>3.1783364586975177E-5</c:v>
                </c:pt>
                <c:pt idx="173">
                  <c:v>0</c:v>
                </c:pt>
                <c:pt idx="174">
                  <c:v>7.9458411467437946E-5</c:v>
                </c:pt>
                <c:pt idx="175">
                  <c:v>6.3566729173950354E-5</c:v>
                </c:pt>
                <c:pt idx="176">
                  <c:v>0</c:v>
                </c:pt>
                <c:pt idx="177">
                  <c:v>0</c:v>
                </c:pt>
                <c:pt idx="178">
                  <c:v>3.1783364586975177E-5</c:v>
                </c:pt>
                <c:pt idx="179">
                  <c:v>0</c:v>
                </c:pt>
                <c:pt idx="180">
                  <c:v>3.1783364586975177E-5</c:v>
                </c:pt>
                <c:pt idx="181">
                  <c:v>1.1124177605441312E-4</c:v>
                </c:pt>
                <c:pt idx="182">
                  <c:v>4.7675046880462769E-5</c:v>
                </c:pt>
                <c:pt idx="183">
                  <c:v>1.5891682293487588E-5</c:v>
                </c:pt>
                <c:pt idx="184">
                  <c:v>1.5891682293487588E-5</c:v>
                </c:pt>
                <c:pt idx="185">
                  <c:v>1.5891682293487588E-5</c:v>
                </c:pt>
                <c:pt idx="186">
                  <c:v>1.5891682293487588E-5</c:v>
                </c:pt>
                <c:pt idx="187">
                  <c:v>3.1783364586975177E-5</c:v>
                </c:pt>
                <c:pt idx="188">
                  <c:v>0</c:v>
                </c:pt>
                <c:pt idx="189">
                  <c:v>7.9458411467437946E-5</c:v>
                </c:pt>
                <c:pt idx="190">
                  <c:v>1.5891682293487588E-5</c:v>
                </c:pt>
                <c:pt idx="191">
                  <c:v>1.5891682293487588E-5</c:v>
                </c:pt>
                <c:pt idx="192">
                  <c:v>4.7675046880462769E-5</c:v>
                </c:pt>
                <c:pt idx="193">
                  <c:v>3.1783364586975177E-5</c:v>
                </c:pt>
                <c:pt idx="194">
                  <c:v>1.5891682293487588E-5</c:v>
                </c:pt>
                <c:pt idx="195">
                  <c:v>4.7675046880462769E-5</c:v>
                </c:pt>
                <c:pt idx="196">
                  <c:v>3.1783364586975177E-5</c:v>
                </c:pt>
                <c:pt idx="197">
                  <c:v>1.5891682293487588E-5</c:v>
                </c:pt>
                <c:pt idx="198">
                  <c:v>1.5891682293487588E-5</c:v>
                </c:pt>
                <c:pt idx="199">
                  <c:v>4.7675046880462769E-5</c:v>
                </c:pt>
                <c:pt idx="200">
                  <c:v>3.1783364586975177E-5</c:v>
                </c:pt>
                <c:pt idx="201">
                  <c:v>3.1783364586975177E-5</c:v>
                </c:pt>
                <c:pt idx="202">
                  <c:v>9.5350093760925537E-5</c:v>
                </c:pt>
                <c:pt idx="203">
                  <c:v>7.9458411467437946E-5</c:v>
                </c:pt>
                <c:pt idx="204">
                  <c:v>1.5891682293487588E-5</c:v>
                </c:pt>
                <c:pt idx="205">
                  <c:v>3.1783364586975177E-5</c:v>
                </c:pt>
                <c:pt idx="206">
                  <c:v>1.5891682293487588E-5</c:v>
                </c:pt>
                <c:pt idx="207">
                  <c:v>1.5891682293487588E-5</c:v>
                </c:pt>
                <c:pt idx="208">
                  <c:v>4.7675046880462769E-5</c:v>
                </c:pt>
                <c:pt idx="209">
                  <c:v>4.7675046880462769E-5</c:v>
                </c:pt>
                <c:pt idx="210">
                  <c:v>1.5891682293487588E-5</c:v>
                </c:pt>
                <c:pt idx="211">
                  <c:v>6.3566729173950354E-5</c:v>
                </c:pt>
                <c:pt idx="212">
                  <c:v>1.5891682293487588E-5</c:v>
                </c:pt>
                <c:pt idx="213">
                  <c:v>7.9458411467437946E-5</c:v>
                </c:pt>
                <c:pt idx="214">
                  <c:v>1.5891682293487588E-5</c:v>
                </c:pt>
                <c:pt idx="215">
                  <c:v>4.7675046880462769E-5</c:v>
                </c:pt>
                <c:pt idx="216">
                  <c:v>3.1783364586975177E-5</c:v>
                </c:pt>
                <c:pt idx="217">
                  <c:v>4.7675046880462769E-5</c:v>
                </c:pt>
                <c:pt idx="218">
                  <c:v>1.5891682293487588E-5</c:v>
                </c:pt>
                <c:pt idx="219">
                  <c:v>1.5891682293487588E-5</c:v>
                </c:pt>
                <c:pt idx="220">
                  <c:v>6.3566729173950354E-5</c:v>
                </c:pt>
                <c:pt idx="221">
                  <c:v>1.5891682293487588E-5</c:v>
                </c:pt>
                <c:pt idx="222">
                  <c:v>6.3566729173950354E-5</c:v>
                </c:pt>
                <c:pt idx="223">
                  <c:v>7.9458411467437946E-5</c:v>
                </c:pt>
                <c:pt idx="224">
                  <c:v>1.5891682293487588E-5</c:v>
                </c:pt>
                <c:pt idx="225">
                  <c:v>1.5891682293487588E-5</c:v>
                </c:pt>
                <c:pt idx="226">
                  <c:v>3.1783364586975177E-5</c:v>
                </c:pt>
                <c:pt idx="227">
                  <c:v>0</c:v>
                </c:pt>
                <c:pt idx="228">
                  <c:v>3.1783364586975177E-5</c:v>
                </c:pt>
                <c:pt idx="229">
                  <c:v>3.1783364586975177E-5</c:v>
                </c:pt>
                <c:pt idx="230">
                  <c:v>3.1783364586975177E-5</c:v>
                </c:pt>
                <c:pt idx="231">
                  <c:v>7.9458411467437946E-5</c:v>
                </c:pt>
                <c:pt idx="232">
                  <c:v>4.7675046880462769E-5</c:v>
                </c:pt>
                <c:pt idx="233">
                  <c:v>7.9458411467437946E-5</c:v>
                </c:pt>
                <c:pt idx="234">
                  <c:v>1.5891682293487588E-5</c:v>
                </c:pt>
                <c:pt idx="235">
                  <c:v>3.1783364586975177E-5</c:v>
                </c:pt>
                <c:pt idx="236">
                  <c:v>1.1124177605441312E-4</c:v>
                </c:pt>
                <c:pt idx="237">
                  <c:v>1.5891682293487588E-5</c:v>
                </c:pt>
                <c:pt idx="238">
                  <c:v>6.3566729173950354E-5</c:v>
                </c:pt>
                <c:pt idx="239">
                  <c:v>3.1783364586975177E-5</c:v>
                </c:pt>
                <c:pt idx="240">
                  <c:v>0</c:v>
                </c:pt>
                <c:pt idx="241">
                  <c:v>0</c:v>
                </c:pt>
                <c:pt idx="242">
                  <c:v>0</c:v>
                </c:pt>
                <c:pt idx="243">
                  <c:v>7.9458411467437946E-5</c:v>
                </c:pt>
                <c:pt idx="244">
                  <c:v>7.9458411467437946E-5</c:v>
                </c:pt>
                <c:pt idx="245">
                  <c:v>3.1783364586975177E-5</c:v>
                </c:pt>
                <c:pt idx="246">
                  <c:v>4.7675046880462769E-5</c:v>
                </c:pt>
                <c:pt idx="247">
                  <c:v>6.3566729173950354E-5</c:v>
                </c:pt>
                <c:pt idx="248">
                  <c:v>0</c:v>
                </c:pt>
                <c:pt idx="249">
                  <c:v>4.7675046880462769E-5</c:v>
                </c:pt>
                <c:pt idx="250">
                  <c:v>6.3566729173950354E-5</c:v>
                </c:pt>
                <c:pt idx="251">
                  <c:v>9.5350093760925537E-5</c:v>
                </c:pt>
                <c:pt idx="252">
                  <c:v>1.5891682293487588E-5</c:v>
                </c:pt>
                <c:pt idx="253">
                  <c:v>1.5891682293487588E-5</c:v>
                </c:pt>
                <c:pt idx="254">
                  <c:v>4.7675046880462769E-5</c:v>
                </c:pt>
                <c:pt idx="255">
                  <c:v>6.3566729173950354E-5</c:v>
                </c:pt>
                <c:pt idx="256">
                  <c:v>1.5891682293487588E-5</c:v>
                </c:pt>
                <c:pt idx="257">
                  <c:v>4.7675046880462769E-5</c:v>
                </c:pt>
                <c:pt idx="258">
                  <c:v>4.7675046880462769E-5</c:v>
                </c:pt>
                <c:pt idx="259">
                  <c:v>6.3566729173950354E-5</c:v>
                </c:pt>
                <c:pt idx="260">
                  <c:v>1.4302514064138829E-4</c:v>
                </c:pt>
                <c:pt idx="261">
                  <c:v>4.7675046880462769E-5</c:v>
                </c:pt>
                <c:pt idx="262">
                  <c:v>9.5350093760925537E-5</c:v>
                </c:pt>
                <c:pt idx="263">
                  <c:v>3.1783364586975177E-5</c:v>
                </c:pt>
                <c:pt idx="264">
                  <c:v>9.5350093760925537E-5</c:v>
                </c:pt>
                <c:pt idx="265">
                  <c:v>4.7675046880462769E-5</c:v>
                </c:pt>
                <c:pt idx="266">
                  <c:v>1.2713345834790071E-4</c:v>
                </c:pt>
                <c:pt idx="267">
                  <c:v>6.3566729173950354E-5</c:v>
                </c:pt>
                <c:pt idx="268">
                  <c:v>7.9458411467437946E-5</c:v>
                </c:pt>
                <c:pt idx="269">
                  <c:v>3.1783364586975177E-5</c:v>
                </c:pt>
                <c:pt idx="270">
                  <c:v>7.9458411467437946E-5</c:v>
                </c:pt>
                <c:pt idx="271">
                  <c:v>9.5350093760925537E-5</c:v>
                </c:pt>
                <c:pt idx="272">
                  <c:v>1.2713345834790071E-4</c:v>
                </c:pt>
                <c:pt idx="273">
                  <c:v>9.5350093760925537E-5</c:v>
                </c:pt>
                <c:pt idx="274">
                  <c:v>7.9458411467437946E-5</c:v>
                </c:pt>
                <c:pt idx="275">
                  <c:v>6.3566729173950354E-5</c:v>
                </c:pt>
                <c:pt idx="276">
                  <c:v>7.9458411467437946E-5</c:v>
                </c:pt>
                <c:pt idx="277">
                  <c:v>4.7675046880462769E-5</c:v>
                </c:pt>
                <c:pt idx="278">
                  <c:v>9.5350093760925537E-5</c:v>
                </c:pt>
                <c:pt idx="279">
                  <c:v>9.5350093760925537E-5</c:v>
                </c:pt>
                <c:pt idx="280">
                  <c:v>1.5891682293487589E-4</c:v>
                </c:pt>
                <c:pt idx="281">
                  <c:v>7.9458411467437946E-5</c:v>
                </c:pt>
                <c:pt idx="282">
                  <c:v>1.5891682293487589E-4</c:v>
                </c:pt>
                <c:pt idx="283">
                  <c:v>9.5350093760925537E-5</c:v>
                </c:pt>
                <c:pt idx="284">
                  <c:v>9.5350093760925537E-5</c:v>
                </c:pt>
                <c:pt idx="285">
                  <c:v>1.7480850522836347E-4</c:v>
                </c:pt>
                <c:pt idx="286">
                  <c:v>1.1124177605441312E-4</c:v>
                </c:pt>
                <c:pt idx="287">
                  <c:v>2.0659186981533865E-4</c:v>
                </c:pt>
                <c:pt idx="288">
                  <c:v>1.1124177605441312E-4</c:v>
                </c:pt>
                <c:pt idx="289">
                  <c:v>1.1124177605441312E-4</c:v>
                </c:pt>
                <c:pt idx="290">
                  <c:v>1.7480850522836347E-4</c:v>
                </c:pt>
                <c:pt idx="291">
                  <c:v>1.9070018752185107E-4</c:v>
                </c:pt>
                <c:pt idx="292">
                  <c:v>1.4302514064138829E-4</c:v>
                </c:pt>
                <c:pt idx="293">
                  <c:v>2.7015859898928899E-4</c:v>
                </c:pt>
                <c:pt idx="294">
                  <c:v>9.5350093760925537E-5</c:v>
                </c:pt>
                <c:pt idx="295">
                  <c:v>1.5891682293487589E-4</c:v>
                </c:pt>
                <c:pt idx="296">
                  <c:v>1.5891682293487589E-4</c:v>
                </c:pt>
                <c:pt idx="297">
                  <c:v>2.5426691669580142E-4</c:v>
                </c:pt>
                <c:pt idx="298">
                  <c:v>1.1124177605441312E-4</c:v>
                </c:pt>
                <c:pt idx="299">
                  <c:v>1.7480850522836347E-4</c:v>
                </c:pt>
                <c:pt idx="300">
                  <c:v>4.4496710421765246E-4</c:v>
                </c:pt>
                <c:pt idx="301">
                  <c:v>2.8605028128277657E-4</c:v>
                </c:pt>
                <c:pt idx="302">
                  <c:v>2.2248355210882623E-4</c:v>
                </c:pt>
                <c:pt idx="303">
                  <c:v>2.5426691669580142E-4</c:v>
                </c:pt>
                <c:pt idx="304">
                  <c:v>3.1783364586975178E-4</c:v>
                </c:pt>
                <c:pt idx="305">
                  <c:v>2.3837523440231384E-4</c:v>
                </c:pt>
                <c:pt idx="306">
                  <c:v>4.4496710421765246E-4</c:v>
                </c:pt>
                <c:pt idx="307">
                  <c:v>5.7210056256555314E-4</c:v>
                </c:pt>
                <c:pt idx="308">
                  <c:v>3.6550869275021452E-4</c:v>
                </c:pt>
                <c:pt idx="309">
                  <c:v>3.6550869275021452E-4</c:v>
                </c:pt>
                <c:pt idx="310">
                  <c:v>4.1318373963067731E-4</c:v>
                </c:pt>
                <c:pt idx="311">
                  <c:v>4.608587865111401E-4</c:v>
                </c:pt>
                <c:pt idx="312">
                  <c:v>4.2907542192416488E-4</c:v>
                </c:pt>
                <c:pt idx="313">
                  <c:v>6.9923402091345388E-4</c:v>
                </c:pt>
                <c:pt idx="314">
                  <c:v>5.7210056256555314E-4</c:v>
                </c:pt>
                <c:pt idx="315">
                  <c:v>5.5620888027206562E-4</c:v>
                </c:pt>
                <c:pt idx="316">
                  <c:v>4.7675046880462767E-4</c:v>
                </c:pt>
                <c:pt idx="317">
                  <c:v>4.608587865111401E-4</c:v>
                </c:pt>
                <c:pt idx="318">
                  <c:v>6.0388392715252841E-4</c:v>
                </c:pt>
                <c:pt idx="319">
                  <c:v>7.4690906779391667E-4</c:v>
                </c:pt>
                <c:pt idx="320">
                  <c:v>6.6745065632647872E-4</c:v>
                </c:pt>
                <c:pt idx="321">
                  <c:v>1.1442011251311063E-3</c:v>
                </c:pt>
                <c:pt idx="322">
                  <c:v>8.1047579696786698E-4</c:v>
                </c:pt>
                <c:pt idx="323">
                  <c:v>8.8993420843530493E-4</c:v>
                </c:pt>
                <c:pt idx="324">
                  <c:v>8.1047579696786698E-4</c:v>
                </c:pt>
                <c:pt idx="325">
                  <c:v>9.5350093760925535E-4</c:v>
                </c:pt>
                <c:pt idx="326">
                  <c:v>1.0647427136636683E-3</c:v>
                </c:pt>
                <c:pt idx="327">
                  <c:v>1.4938181355878333E-3</c:v>
                </c:pt>
                <c:pt idx="328">
                  <c:v>2.0659186981533866E-3</c:v>
                </c:pt>
                <c:pt idx="329">
                  <c:v>1.7957600991640975E-3</c:v>
                </c:pt>
                <c:pt idx="330">
                  <c:v>1.4620347710008581E-3</c:v>
                </c:pt>
                <c:pt idx="331">
                  <c:v>1.5732765470552713E-3</c:v>
                </c:pt>
                <c:pt idx="332">
                  <c:v>1.5256015001748086E-3</c:v>
                </c:pt>
                <c:pt idx="333">
                  <c:v>1.6527349585227092E-3</c:v>
                </c:pt>
                <c:pt idx="334">
                  <c:v>2.4473190731970885E-3</c:v>
                </c:pt>
                <c:pt idx="335">
                  <c:v>4.0364873025458478E-3</c:v>
                </c:pt>
                <c:pt idx="336">
                  <c:v>3.7345453389695834E-3</c:v>
                </c:pt>
                <c:pt idx="337">
                  <c:v>3.082986364936592E-3</c:v>
                </c:pt>
                <c:pt idx="338">
                  <c:v>3.0353113180561293E-3</c:v>
                </c:pt>
                <c:pt idx="339">
                  <c:v>3.3531449639258811E-3</c:v>
                </c:pt>
                <c:pt idx="340">
                  <c:v>4.3066459015351369E-3</c:v>
                </c:pt>
                <c:pt idx="341">
                  <c:v>5.2442551568509044E-3</c:v>
                </c:pt>
                <c:pt idx="342">
                  <c:v>7.5008740425261417E-3</c:v>
                </c:pt>
                <c:pt idx="343">
                  <c:v>6.3884562819820105E-3</c:v>
                </c:pt>
                <c:pt idx="344">
                  <c:v>5.3554969329053176E-3</c:v>
                </c:pt>
                <c:pt idx="345">
                  <c:v>5.6892222610685564E-3</c:v>
                </c:pt>
                <c:pt idx="346">
                  <c:v>5.593872167307631E-3</c:v>
                </c:pt>
                <c:pt idx="347">
                  <c:v>6.4679146934494489E-3</c:v>
                </c:pt>
                <c:pt idx="348">
                  <c:v>8.4861583447223728E-3</c:v>
                </c:pt>
                <c:pt idx="349">
                  <c:v>1.1187744334615262E-2</c:v>
                </c:pt>
                <c:pt idx="350">
                  <c:v>9.9481931157232306E-3</c:v>
                </c:pt>
                <c:pt idx="351">
                  <c:v>7.2466071258303405E-3</c:v>
                </c:pt>
                <c:pt idx="352">
                  <c:v>7.0400152560150019E-3</c:v>
                </c:pt>
                <c:pt idx="353">
                  <c:v>8.0888662873851817E-3</c:v>
                </c:pt>
                <c:pt idx="354">
                  <c:v>8.4543749801353971E-3</c:v>
                </c:pt>
                <c:pt idx="355">
                  <c:v>1.1680386485713378E-2</c:v>
                </c:pt>
                <c:pt idx="356">
                  <c:v>1.4620347710008582E-2</c:v>
                </c:pt>
                <c:pt idx="357">
                  <c:v>1.2173028636811493E-2</c:v>
                </c:pt>
                <c:pt idx="358">
                  <c:v>1.0218351714712519E-2</c:v>
                </c:pt>
                <c:pt idx="359">
                  <c:v>9.6939261990274285E-3</c:v>
                </c:pt>
                <c:pt idx="360">
                  <c:v>9.455550964625116E-3</c:v>
                </c:pt>
                <c:pt idx="361">
                  <c:v>1.0536185360582271E-2</c:v>
                </c:pt>
                <c:pt idx="362">
                  <c:v>1.436608079331278E-2</c:v>
                </c:pt>
                <c:pt idx="363">
                  <c:v>2.0977020627403618E-2</c:v>
                </c:pt>
                <c:pt idx="364">
                  <c:v>1.5414931824682961E-2</c:v>
                </c:pt>
                <c:pt idx="365">
                  <c:v>1.1902870037822203E-2</c:v>
                </c:pt>
                <c:pt idx="366">
                  <c:v>1.1664494803419891E-2</c:v>
                </c:pt>
                <c:pt idx="367">
                  <c:v>1.2570320694148682E-2</c:v>
                </c:pt>
                <c:pt idx="368">
                  <c:v>1.1632711438832915E-2</c:v>
                </c:pt>
                <c:pt idx="369">
                  <c:v>1.5891682293487589E-2</c:v>
                </c:pt>
                <c:pt idx="370">
                  <c:v>2.3662714935003021E-2</c:v>
                </c:pt>
                <c:pt idx="371">
                  <c:v>1.5351365095509011E-2</c:v>
                </c:pt>
                <c:pt idx="372">
                  <c:v>1.1012935829386899E-2</c:v>
                </c:pt>
                <c:pt idx="373">
                  <c:v>1.0520293678288783E-2</c:v>
                </c:pt>
                <c:pt idx="374">
                  <c:v>1.0774560594984585E-2</c:v>
                </c:pt>
                <c:pt idx="375">
                  <c:v>1.0742777230397609E-2</c:v>
                </c:pt>
                <c:pt idx="376">
                  <c:v>1.3698630136986301E-2</c:v>
                </c:pt>
                <c:pt idx="377">
                  <c:v>1.8736293424021867E-2</c:v>
                </c:pt>
                <c:pt idx="378">
                  <c:v>1.2761020881670533E-2</c:v>
                </c:pt>
                <c:pt idx="379">
                  <c:v>9.4078759177446524E-3</c:v>
                </c:pt>
                <c:pt idx="380">
                  <c:v>9.2489590948097774E-3</c:v>
                </c:pt>
                <c:pt idx="381">
                  <c:v>9.2489590948097774E-3</c:v>
                </c:pt>
                <c:pt idx="382">
                  <c:v>8.9311254489400256E-3</c:v>
                </c:pt>
                <c:pt idx="383">
                  <c:v>1.0997044147093411E-2</c:v>
                </c:pt>
                <c:pt idx="384">
                  <c:v>1.4524997616247657E-2</c:v>
                </c:pt>
                <c:pt idx="385">
                  <c:v>1.086991068874551E-2</c:v>
                </c:pt>
                <c:pt idx="386">
                  <c:v>7.6915742300479933E-3</c:v>
                </c:pt>
                <c:pt idx="387">
                  <c:v>7.1830403966563899E-3</c:v>
                </c:pt>
                <c:pt idx="388">
                  <c:v>7.2148237612433656E-3</c:v>
                </c:pt>
                <c:pt idx="389">
                  <c:v>7.3737405841782415E-3</c:v>
                </c:pt>
                <c:pt idx="390">
                  <c:v>9.4873343292120899E-3</c:v>
                </c:pt>
                <c:pt idx="391">
                  <c:v>1.350792994946445E-2</c:v>
                </c:pt>
                <c:pt idx="392">
                  <c:v>8.327241521787496E-3</c:v>
                </c:pt>
                <c:pt idx="393">
                  <c:v>5.7051139433620442E-3</c:v>
                </c:pt>
                <c:pt idx="394">
                  <c:v>6.1977560944601598E-3</c:v>
                </c:pt>
                <c:pt idx="395">
                  <c:v>6.1182976829927214E-3</c:v>
                </c:pt>
                <c:pt idx="396">
                  <c:v>5.7686806725359948E-3</c:v>
                </c:pt>
                <c:pt idx="397">
                  <c:v>7.453198995645679E-3</c:v>
                </c:pt>
                <c:pt idx="398">
                  <c:v>9.7257095636144042E-3</c:v>
                </c:pt>
                <c:pt idx="399">
                  <c:v>6.8652067507866382E-3</c:v>
                </c:pt>
                <c:pt idx="400">
                  <c:v>4.8946381463941769E-3</c:v>
                </c:pt>
                <c:pt idx="401">
                  <c:v>5.3872802974922925E-3</c:v>
                </c:pt>
                <c:pt idx="402">
                  <c:v>5.148905063089979E-3</c:v>
                </c:pt>
                <c:pt idx="403">
                  <c:v>4.8469630995137142E-3</c:v>
                </c:pt>
                <c:pt idx="404">
                  <c:v>6.2772145059275973E-3</c:v>
                </c:pt>
                <c:pt idx="405">
                  <c:v>7.6756825477545055E-3</c:v>
                </c:pt>
                <c:pt idx="406">
                  <c:v>5.4985220735467057E-3</c:v>
                </c:pt>
                <c:pt idx="407">
                  <c:v>4.163620760893748E-3</c:v>
                </c:pt>
                <c:pt idx="408">
                  <c:v>4.0523789848393348E-3</c:v>
                </c:pt>
                <c:pt idx="409">
                  <c:v>3.9888122556653851E-3</c:v>
                </c:pt>
                <c:pt idx="410">
                  <c:v>4.1000540317197975E-3</c:v>
                </c:pt>
                <c:pt idx="411">
                  <c:v>5.0853383339160285E-3</c:v>
                </c:pt>
                <c:pt idx="412">
                  <c:v>6.1024060006992344E-3</c:v>
                </c:pt>
                <c:pt idx="413">
                  <c:v>5.1965801099704417E-3</c:v>
                </c:pt>
                <c:pt idx="414">
                  <c:v>3.4643867399802943E-3</c:v>
                </c:pt>
                <c:pt idx="415">
                  <c:v>3.3054699170454185E-3</c:v>
                </c:pt>
                <c:pt idx="416">
                  <c:v>3.6868702920891208E-3</c:v>
                </c:pt>
                <c:pt idx="417">
                  <c:v>3.2736865524584432E-3</c:v>
                </c:pt>
                <c:pt idx="418">
                  <c:v>4.5768045005244251E-3</c:v>
                </c:pt>
                <c:pt idx="419">
                  <c:v>5.3078218860248549E-3</c:v>
                </c:pt>
                <c:pt idx="420">
                  <c:v>3.6391952452086576E-3</c:v>
                </c:pt>
                <c:pt idx="421">
                  <c:v>2.7015859898928902E-3</c:v>
                </c:pt>
                <c:pt idx="422">
                  <c:v>2.7651527190668402E-3</c:v>
                </c:pt>
                <c:pt idx="423">
                  <c:v>2.9876362711756667E-3</c:v>
                </c:pt>
                <c:pt idx="424">
                  <c:v>2.7492610367733528E-3</c:v>
                </c:pt>
                <c:pt idx="425">
                  <c:v>4.163620760893748E-3</c:v>
                </c:pt>
                <c:pt idx="426">
                  <c:v>4.4019959952960623E-3</c:v>
                </c:pt>
                <c:pt idx="427">
                  <c:v>3.2260115055779805E-3</c:v>
                </c:pt>
                <c:pt idx="428">
                  <c:v>2.3042939325557004E-3</c:v>
                </c:pt>
                <c:pt idx="429">
                  <c:v>2.3678606617296505E-3</c:v>
                </c:pt>
                <c:pt idx="430">
                  <c:v>2.431427390903601E-3</c:v>
                </c:pt>
                <c:pt idx="431">
                  <c:v>2.5267774846645264E-3</c:v>
                </c:pt>
                <c:pt idx="432">
                  <c:v>2.9876362711756667E-3</c:v>
                </c:pt>
                <c:pt idx="433">
                  <c:v>3.6709786097956329E-3</c:v>
                </c:pt>
                <c:pt idx="434">
                  <c:v>2.8446111305342782E-3</c:v>
                </c:pt>
                <c:pt idx="435">
                  <c:v>2.0500270158598987E-3</c:v>
                </c:pt>
                <c:pt idx="436">
                  <c:v>2.2089438387947746E-3</c:v>
                </c:pt>
                <c:pt idx="437">
                  <c:v>2.1453771096208245E-3</c:v>
                </c:pt>
                <c:pt idx="438">
                  <c:v>2.4632107554905763E-3</c:v>
                </c:pt>
                <c:pt idx="439">
                  <c:v>2.2407272033817499E-3</c:v>
                </c:pt>
                <c:pt idx="440">
                  <c:v>3.4484950576868069E-3</c:v>
                </c:pt>
                <c:pt idx="441">
                  <c:v>2.2248355210882625E-3</c:v>
                </c:pt>
                <c:pt idx="442">
                  <c:v>1.9228935575119983E-3</c:v>
                </c:pt>
                <c:pt idx="443">
                  <c:v>1.541493182468296E-3</c:v>
                </c:pt>
                <c:pt idx="444">
                  <c:v>1.6527349585227092E-3</c:v>
                </c:pt>
                <c:pt idx="445">
                  <c:v>2.1135937450338493E-3</c:v>
                </c:pt>
                <c:pt idx="446">
                  <c:v>2.3042939325557004E-3</c:v>
                </c:pt>
                <c:pt idx="447">
                  <c:v>2.7651527190668402E-3</c:v>
                </c:pt>
                <c:pt idx="448">
                  <c:v>2.0182436512729239E-3</c:v>
                </c:pt>
                <c:pt idx="449">
                  <c:v>1.6050599116422465E-3</c:v>
                </c:pt>
                <c:pt idx="450">
                  <c:v>1.5732765470552713E-3</c:v>
                </c:pt>
                <c:pt idx="451">
                  <c:v>1.4620347710008581E-3</c:v>
                </c:pt>
                <c:pt idx="452">
                  <c:v>1.509709817881321E-3</c:v>
                </c:pt>
                <c:pt idx="453">
                  <c:v>2.1135937450338493E-3</c:v>
                </c:pt>
                <c:pt idx="454">
                  <c:v>2.939961224295204E-3</c:v>
                </c:pt>
                <c:pt idx="455">
                  <c:v>1.9228935575119983E-3</c:v>
                </c:pt>
                <c:pt idx="456">
                  <c:v>1.3507929949464451E-3</c:v>
                </c:pt>
                <c:pt idx="457">
                  <c:v>1.2236595365985442E-3</c:v>
                </c:pt>
                <c:pt idx="458">
                  <c:v>1.3349013126529574E-3</c:v>
                </c:pt>
                <c:pt idx="459">
                  <c:v>1.3825763595334201E-3</c:v>
                </c:pt>
                <c:pt idx="460">
                  <c:v>1.5732765470552713E-3</c:v>
                </c:pt>
                <c:pt idx="461">
                  <c:v>2.3996440263166258E-3</c:v>
                </c:pt>
                <c:pt idx="462">
                  <c:v>1.6368432762292216E-3</c:v>
                </c:pt>
                <c:pt idx="463">
                  <c:v>1.1442011251311063E-3</c:v>
                </c:pt>
                <c:pt idx="464">
                  <c:v>1.3666846772399327E-3</c:v>
                </c:pt>
                <c:pt idx="465">
                  <c:v>1.0170676667832057E-3</c:v>
                </c:pt>
                <c:pt idx="466">
                  <c:v>1.1759844897180816E-3</c:v>
                </c:pt>
                <c:pt idx="467">
                  <c:v>1.3666846772399327E-3</c:v>
                </c:pt>
                <c:pt idx="468">
                  <c:v>1.8752185106315354E-3</c:v>
                </c:pt>
                <c:pt idx="469">
                  <c:v>1.3666846772399327E-3</c:v>
                </c:pt>
                <c:pt idx="470">
                  <c:v>1.0329593490766933E-3</c:v>
                </c:pt>
                <c:pt idx="471">
                  <c:v>1.1442011251311063E-3</c:v>
                </c:pt>
                <c:pt idx="472">
                  <c:v>1.3031179480659822E-3</c:v>
                </c:pt>
                <c:pt idx="473">
                  <c:v>1.1283094428376189E-3</c:v>
                </c:pt>
                <c:pt idx="474">
                  <c:v>1.3666846772399327E-3</c:v>
                </c:pt>
                <c:pt idx="475">
                  <c:v>1.7639767345771224E-3</c:v>
                </c:pt>
                <c:pt idx="476">
                  <c:v>1.2872262657724948E-3</c:v>
                </c:pt>
                <c:pt idx="477">
                  <c:v>8.740425261418174E-4</c:v>
                </c:pt>
                <c:pt idx="478">
                  <c:v>7.628007500874043E-4</c:v>
                </c:pt>
                <c:pt idx="479">
                  <c:v>1.0329593490766933E-3</c:v>
                </c:pt>
                <c:pt idx="480">
                  <c:v>1.001175984489718E-3</c:v>
                </c:pt>
                <c:pt idx="481">
                  <c:v>1.2713345834790071E-3</c:v>
                </c:pt>
                <c:pt idx="482">
                  <c:v>1.541493182468296E-3</c:v>
                </c:pt>
                <c:pt idx="483">
                  <c:v>1.001175984489718E-3</c:v>
                </c:pt>
                <c:pt idx="484">
                  <c:v>8.4225916155484225E-4</c:v>
                </c:pt>
                <c:pt idx="485">
                  <c:v>1.0170676667832057E-3</c:v>
                </c:pt>
                <c:pt idx="486">
                  <c:v>7.3101738550042903E-4</c:v>
                </c:pt>
                <c:pt idx="487">
                  <c:v>9.5350093760925535E-4</c:v>
                </c:pt>
                <c:pt idx="488">
                  <c:v>1.0170676667832057E-3</c:v>
                </c:pt>
                <c:pt idx="489">
                  <c:v>1.509709817881321E-3</c:v>
                </c:pt>
                <c:pt idx="490">
                  <c:v>9.0582589072879256E-4</c:v>
                </c:pt>
                <c:pt idx="491">
                  <c:v>8.1047579696786698E-4</c:v>
                </c:pt>
                <c:pt idx="492">
                  <c:v>8.740425261418174E-4</c:v>
                </c:pt>
                <c:pt idx="493">
                  <c:v>6.3566729173950356E-4</c:v>
                </c:pt>
                <c:pt idx="494">
                  <c:v>6.8334233861996635E-4</c:v>
                </c:pt>
                <c:pt idx="495">
                  <c:v>8.740425261418174E-4</c:v>
                </c:pt>
                <c:pt idx="496">
                  <c:v>1.1283094428376189E-3</c:v>
                </c:pt>
                <c:pt idx="497">
                  <c:v>9.852843021962304E-4</c:v>
                </c:pt>
                <c:pt idx="498">
                  <c:v>7.1512570320694151E-4</c:v>
                </c:pt>
                <c:pt idx="499">
                  <c:v>6.5155897403299109E-4</c:v>
                </c:pt>
                <c:pt idx="500">
                  <c:v>8.1047579696786698E-4</c:v>
                </c:pt>
                <c:pt idx="501">
                  <c:v>6.6745065632647872E-4</c:v>
                </c:pt>
                <c:pt idx="502">
                  <c:v>8.1047579696786698E-4</c:v>
                </c:pt>
                <c:pt idx="503">
                  <c:v>9.852843021962304E-4</c:v>
                </c:pt>
                <c:pt idx="504">
                  <c:v>9.0582589072879256E-4</c:v>
                </c:pt>
                <c:pt idx="505">
                  <c:v>6.9923402091345388E-4</c:v>
                </c:pt>
                <c:pt idx="506">
                  <c:v>7.1512570320694151E-4</c:v>
                </c:pt>
                <c:pt idx="507">
                  <c:v>5.8799224485904078E-4</c:v>
                </c:pt>
                <c:pt idx="508">
                  <c:v>8.8993420843530493E-4</c:v>
                </c:pt>
                <c:pt idx="509">
                  <c:v>7.9458411467437946E-4</c:v>
                </c:pt>
                <c:pt idx="510">
                  <c:v>1.2395512188920319E-3</c:v>
                </c:pt>
                <c:pt idx="511">
                  <c:v>7.628007500874043E-4</c:v>
                </c:pt>
                <c:pt idx="512">
                  <c:v>6.5155897403299109E-4</c:v>
                </c:pt>
                <c:pt idx="513">
                  <c:v>6.3566729173950356E-4</c:v>
                </c:pt>
                <c:pt idx="514">
                  <c:v>4.4496710421765246E-4</c:v>
                </c:pt>
                <c:pt idx="515">
                  <c:v>8.4225916155484225E-4</c:v>
                </c:pt>
                <c:pt idx="516">
                  <c:v>7.7869243238089182E-4</c:v>
                </c:pt>
                <c:pt idx="517">
                  <c:v>9.6939261990274287E-4</c:v>
                </c:pt>
                <c:pt idx="518">
                  <c:v>8.8993420843530493E-4</c:v>
                </c:pt>
                <c:pt idx="519">
                  <c:v>6.9923402091345388E-4</c:v>
                </c:pt>
                <c:pt idx="520">
                  <c:v>5.4031719797857799E-4</c:v>
                </c:pt>
                <c:pt idx="521">
                  <c:v>5.0853383339160283E-4</c:v>
                </c:pt>
                <c:pt idx="522">
                  <c:v>3.9729205733718973E-4</c:v>
                </c:pt>
                <c:pt idx="523">
                  <c:v>4.4496710421765246E-4</c:v>
                </c:pt>
                <c:pt idx="524">
                  <c:v>7.3101738550042903E-4</c:v>
                </c:pt>
                <c:pt idx="525">
                  <c:v>5.5620888027206562E-4</c:v>
                </c:pt>
                <c:pt idx="526">
                  <c:v>5.0853383339160283E-4</c:v>
                </c:pt>
                <c:pt idx="527">
                  <c:v>3.8140037504370215E-4</c:v>
                </c:pt>
                <c:pt idx="528">
                  <c:v>6.0388392715252841E-4</c:v>
                </c:pt>
                <c:pt idx="529">
                  <c:v>4.608587865111401E-4</c:v>
                </c:pt>
                <c:pt idx="530">
                  <c:v>7.628007500874043E-4</c:v>
                </c:pt>
                <c:pt idx="531">
                  <c:v>9.2171757302228019E-4</c:v>
                </c:pt>
                <c:pt idx="532">
                  <c:v>5.5620888027206562E-4</c:v>
                </c:pt>
                <c:pt idx="533">
                  <c:v>6.1977560944601593E-4</c:v>
                </c:pt>
                <c:pt idx="534">
                  <c:v>4.7675046880462767E-4</c:v>
                </c:pt>
                <c:pt idx="535">
                  <c:v>4.926421510981152E-4</c:v>
                </c:pt>
                <c:pt idx="536">
                  <c:v>3.9729205733718973E-4</c:v>
                </c:pt>
                <c:pt idx="537">
                  <c:v>6.3566729173950356E-4</c:v>
                </c:pt>
                <c:pt idx="538">
                  <c:v>7.4690906779391667E-4</c:v>
                </c:pt>
                <c:pt idx="539">
                  <c:v>5.4031719797857799E-4</c:v>
                </c:pt>
                <c:pt idx="540">
                  <c:v>4.4496710421765246E-4</c:v>
                </c:pt>
                <c:pt idx="541">
                  <c:v>5.0853383339160283E-4</c:v>
                </c:pt>
                <c:pt idx="542">
                  <c:v>3.9729205733718973E-4</c:v>
                </c:pt>
                <c:pt idx="543">
                  <c:v>3.8140037504370215E-4</c:v>
                </c:pt>
                <c:pt idx="544">
                  <c:v>6.5155897403299109E-4</c:v>
                </c:pt>
                <c:pt idx="545">
                  <c:v>7.628007500874043E-4</c:v>
                </c:pt>
                <c:pt idx="546">
                  <c:v>4.2907542192416488E-4</c:v>
                </c:pt>
                <c:pt idx="547">
                  <c:v>3.4961701045672694E-4</c:v>
                </c:pt>
                <c:pt idx="548">
                  <c:v>4.926421510981152E-4</c:v>
                </c:pt>
                <c:pt idx="549">
                  <c:v>3.9729205733718973E-4</c:v>
                </c:pt>
                <c:pt idx="550">
                  <c:v>4.608587865111401E-4</c:v>
                </c:pt>
                <c:pt idx="551">
                  <c:v>5.0853383339160283E-4</c:v>
                </c:pt>
                <c:pt idx="552">
                  <c:v>8.1047579696786698E-4</c:v>
                </c:pt>
                <c:pt idx="553">
                  <c:v>4.926421510981152E-4</c:v>
                </c:pt>
                <c:pt idx="554">
                  <c:v>3.1783364586975178E-4</c:v>
                </c:pt>
                <c:pt idx="555">
                  <c:v>3.6550869275021452E-4</c:v>
                </c:pt>
                <c:pt idx="556">
                  <c:v>3.9729205733718973E-4</c:v>
                </c:pt>
                <c:pt idx="557">
                  <c:v>3.9729205733718973E-4</c:v>
                </c:pt>
                <c:pt idx="558">
                  <c:v>5.0853383339160283E-4</c:v>
                </c:pt>
                <c:pt idx="559">
                  <c:v>7.9458411467437946E-4</c:v>
                </c:pt>
                <c:pt idx="560">
                  <c:v>4.1318373963067731E-4</c:v>
                </c:pt>
                <c:pt idx="561">
                  <c:v>3.4961701045672694E-4</c:v>
                </c:pt>
                <c:pt idx="562">
                  <c:v>3.6550869275021452E-4</c:v>
                </c:pt>
                <c:pt idx="563">
                  <c:v>3.1783364586975178E-4</c:v>
                </c:pt>
                <c:pt idx="564">
                  <c:v>3.019419635762642E-4</c:v>
                </c:pt>
                <c:pt idx="565">
                  <c:v>4.926421510981152E-4</c:v>
                </c:pt>
                <c:pt idx="566">
                  <c:v>6.0388392715252841E-4</c:v>
                </c:pt>
                <c:pt idx="567">
                  <c:v>3.3372532816323936E-4</c:v>
                </c:pt>
                <c:pt idx="568">
                  <c:v>3.9729205733718973E-4</c:v>
                </c:pt>
                <c:pt idx="569">
                  <c:v>3.1783364586975178E-4</c:v>
                </c:pt>
                <c:pt idx="570">
                  <c:v>2.5426691669580142E-4</c:v>
                </c:pt>
                <c:pt idx="571">
                  <c:v>2.3837523440231384E-4</c:v>
                </c:pt>
                <c:pt idx="572">
                  <c:v>3.8140037504370215E-4</c:v>
                </c:pt>
                <c:pt idx="573">
                  <c:v>6.5155897403299109E-4</c:v>
                </c:pt>
                <c:pt idx="574">
                  <c:v>3.8140037504370215E-4</c:v>
                </c:pt>
                <c:pt idx="575">
                  <c:v>3.3372532816323936E-4</c:v>
                </c:pt>
                <c:pt idx="576">
                  <c:v>2.7015859898928899E-4</c:v>
                </c:pt>
                <c:pt idx="577">
                  <c:v>3.019419635762642E-4</c:v>
                </c:pt>
                <c:pt idx="578">
                  <c:v>3.1783364586975178E-4</c:v>
                </c:pt>
                <c:pt idx="579">
                  <c:v>4.608587865111401E-4</c:v>
                </c:pt>
                <c:pt idx="580">
                  <c:v>4.926421510981152E-4</c:v>
                </c:pt>
                <c:pt idx="581">
                  <c:v>3.4961701045672694E-4</c:v>
                </c:pt>
                <c:pt idx="582">
                  <c:v>2.7015859898928899E-4</c:v>
                </c:pt>
                <c:pt idx="583">
                  <c:v>2.5426691669580142E-4</c:v>
                </c:pt>
                <c:pt idx="584">
                  <c:v>3.6550869275021452E-4</c:v>
                </c:pt>
                <c:pt idx="585">
                  <c:v>3.1783364586975178E-4</c:v>
                </c:pt>
                <c:pt idx="586">
                  <c:v>4.2907542192416488E-4</c:v>
                </c:pt>
                <c:pt idx="587">
                  <c:v>4.608587865111401E-4</c:v>
                </c:pt>
                <c:pt idx="588">
                  <c:v>3.4961701045672694E-4</c:v>
                </c:pt>
                <c:pt idx="589">
                  <c:v>3.6550869275021452E-4</c:v>
                </c:pt>
                <c:pt idx="590">
                  <c:v>3.8140037504370215E-4</c:v>
                </c:pt>
                <c:pt idx="591">
                  <c:v>2.5426691669580142E-4</c:v>
                </c:pt>
                <c:pt idx="592">
                  <c:v>2.2248355210882623E-4</c:v>
                </c:pt>
                <c:pt idx="593">
                  <c:v>3.3372532816323936E-4</c:v>
                </c:pt>
                <c:pt idx="594">
                  <c:v>3.3372532816323936E-4</c:v>
                </c:pt>
                <c:pt idx="595">
                  <c:v>3.019419635762642E-4</c:v>
                </c:pt>
                <c:pt idx="596">
                  <c:v>9.5350093760925537E-5</c:v>
                </c:pt>
                <c:pt idx="597">
                  <c:v>2.2248355210882623E-4</c:v>
                </c:pt>
                <c:pt idx="598">
                  <c:v>1.7480850522836347E-4</c:v>
                </c:pt>
                <c:pt idx="599">
                  <c:v>2.8605028128277657E-4</c:v>
                </c:pt>
                <c:pt idx="600">
                  <c:v>2.7015859898928899E-4</c:v>
                </c:pt>
                <c:pt idx="601">
                  <c:v>4.608587865111401E-4</c:v>
                </c:pt>
                <c:pt idx="602">
                  <c:v>3.1783364586975178E-4</c:v>
                </c:pt>
                <c:pt idx="603">
                  <c:v>1.2713345834790071E-4</c:v>
                </c:pt>
                <c:pt idx="604">
                  <c:v>2.2248355210882623E-4</c:v>
                </c:pt>
                <c:pt idx="605">
                  <c:v>2.3837523440231384E-4</c:v>
                </c:pt>
                <c:pt idx="606">
                  <c:v>2.7015859898928899E-4</c:v>
                </c:pt>
                <c:pt idx="607">
                  <c:v>3.1783364586975178E-4</c:v>
                </c:pt>
                <c:pt idx="608">
                  <c:v>5.4031719797857799E-4</c:v>
                </c:pt>
                <c:pt idx="609">
                  <c:v>3.019419635762642E-4</c:v>
                </c:pt>
                <c:pt idx="610">
                  <c:v>2.2248355210882623E-4</c:v>
                </c:pt>
                <c:pt idx="611">
                  <c:v>2.5426691669580142E-4</c:v>
                </c:pt>
                <c:pt idx="612">
                  <c:v>2.0659186981533865E-4</c:v>
                </c:pt>
                <c:pt idx="613">
                  <c:v>1.7480850522836347E-4</c:v>
                </c:pt>
                <c:pt idx="614">
                  <c:v>2.8605028128277657E-4</c:v>
                </c:pt>
                <c:pt idx="615">
                  <c:v>3.6550869275021452E-4</c:v>
                </c:pt>
                <c:pt idx="616">
                  <c:v>3.6550869275021452E-4</c:v>
                </c:pt>
                <c:pt idx="617">
                  <c:v>2.5426691669580142E-4</c:v>
                </c:pt>
                <c:pt idx="618">
                  <c:v>1.7480850522836347E-4</c:v>
                </c:pt>
                <c:pt idx="619">
                  <c:v>2.2248355210882623E-4</c:v>
                </c:pt>
                <c:pt idx="620">
                  <c:v>2.3837523440231384E-4</c:v>
                </c:pt>
                <c:pt idx="621">
                  <c:v>3.1783364586975178E-4</c:v>
                </c:pt>
                <c:pt idx="622">
                  <c:v>3.4961701045672694E-4</c:v>
                </c:pt>
                <c:pt idx="623">
                  <c:v>3.3372532816323936E-4</c:v>
                </c:pt>
                <c:pt idx="624">
                  <c:v>3.1783364586975178E-4</c:v>
                </c:pt>
                <c:pt idx="625">
                  <c:v>2.5426691669580142E-4</c:v>
                </c:pt>
                <c:pt idx="626">
                  <c:v>2.5426691669580142E-4</c:v>
                </c:pt>
                <c:pt idx="627">
                  <c:v>2.5426691669580142E-4</c:v>
                </c:pt>
                <c:pt idx="628">
                  <c:v>2.5426691669580142E-4</c:v>
                </c:pt>
                <c:pt idx="629">
                  <c:v>2.3837523440231384E-4</c:v>
                </c:pt>
                <c:pt idx="630">
                  <c:v>3.1783364586975178E-4</c:v>
                </c:pt>
                <c:pt idx="631">
                  <c:v>2.8605028128277657E-4</c:v>
                </c:pt>
                <c:pt idx="632">
                  <c:v>2.3837523440231384E-4</c:v>
                </c:pt>
                <c:pt idx="633">
                  <c:v>2.2248355210882623E-4</c:v>
                </c:pt>
                <c:pt idx="634">
                  <c:v>2.0659186981533865E-4</c:v>
                </c:pt>
                <c:pt idx="635">
                  <c:v>2.3837523440231384E-4</c:v>
                </c:pt>
                <c:pt idx="636">
                  <c:v>4.4496710421765246E-4</c:v>
                </c:pt>
                <c:pt idx="637">
                  <c:v>2.5426691669580142E-4</c:v>
                </c:pt>
                <c:pt idx="638">
                  <c:v>2.2248355210882623E-4</c:v>
                </c:pt>
                <c:pt idx="639">
                  <c:v>2.0659186981533865E-4</c:v>
                </c:pt>
                <c:pt idx="640">
                  <c:v>1.2713345834790071E-4</c:v>
                </c:pt>
                <c:pt idx="641">
                  <c:v>1.7480850522836347E-4</c:v>
                </c:pt>
                <c:pt idx="642">
                  <c:v>2.7015859898928899E-4</c:v>
                </c:pt>
                <c:pt idx="643">
                  <c:v>3.019419635762642E-4</c:v>
                </c:pt>
                <c:pt idx="644">
                  <c:v>2.5426691669580142E-4</c:v>
                </c:pt>
                <c:pt idx="645">
                  <c:v>1.5891682293487589E-4</c:v>
                </c:pt>
                <c:pt idx="646">
                  <c:v>1.9070018752185107E-4</c:v>
                </c:pt>
                <c:pt idx="647">
                  <c:v>1.7480850522836347E-4</c:v>
                </c:pt>
                <c:pt idx="648">
                  <c:v>4.7675046880462769E-5</c:v>
                </c:pt>
                <c:pt idx="649">
                  <c:v>1.7480850522836347E-4</c:v>
                </c:pt>
                <c:pt idx="650">
                  <c:v>3.1783364586975178E-4</c:v>
                </c:pt>
                <c:pt idx="651">
                  <c:v>2.7015859898928899E-4</c:v>
                </c:pt>
                <c:pt idx="652">
                  <c:v>1.7480850522836347E-4</c:v>
                </c:pt>
                <c:pt idx="653">
                  <c:v>1.7480850522836347E-4</c:v>
                </c:pt>
                <c:pt idx="654">
                  <c:v>1.4302514064138829E-4</c:v>
                </c:pt>
                <c:pt idx="655">
                  <c:v>1.4302514064138829E-4</c:v>
                </c:pt>
                <c:pt idx="656">
                  <c:v>1.7480850522836347E-4</c:v>
                </c:pt>
                <c:pt idx="657">
                  <c:v>3.019419635762642E-4</c:v>
                </c:pt>
                <c:pt idx="658">
                  <c:v>2.2248355210882623E-4</c:v>
                </c:pt>
                <c:pt idx="659">
                  <c:v>1.4302514064138829E-4</c:v>
                </c:pt>
                <c:pt idx="660">
                  <c:v>6.3566729173950354E-5</c:v>
                </c:pt>
                <c:pt idx="661">
                  <c:v>2.3837523440231384E-4</c:v>
                </c:pt>
                <c:pt idx="662">
                  <c:v>1.4302514064138829E-4</c:v>
                </c:pt>
                <c:pt idx="663">
                  <c:v>3.1783364586975178E-4</c:v>
                </c:pt>
                <c:pt idx="664">
                  <c:v>1.2713345834790071E-4</c:v>
                </c:pt>
                <c:pt idx="665">
                  <c:v>1.9070018752185107E-4</c:v>
                </c:pt>
                <c:pt idx="666">
                  <c:v>1.5891682293487589E-4</c:v>
                </c:pt>
                <c:pt idx="667">
                  <c:v>1.7480850522836347E-4</c:v>
                </c:pt>
                <c:pt idx="668">
                  <c:v>1.2713345834790071E-4</c:v>
                </c:pt>
                <c:pt idx="669">
                  <c:v>1.4302514064138829E-4</c:v>
                </c:pt>
                <c:pt idx="670">
                  <c:v>3.3372532816323936E-4</c:v>
                </c:pt>
                <c:pt idx="671">
                  <c:v>3.1783364586975178E-4</c:v>
                </c:pt>
                <c:pt idx="672">
                  <c:v>2.8605028128277657E-4</c:v>
                </c:pt>
                <c:pt idx="673">
                  <c:v>9.5350093760925537E-5</c:v>
                </c:pt>
                <c:pt idx="674">
                  <c:v>1.5891682293487589E-4</c:v>
                </c:pt>
                <c:pt idx="675">
                  <c:v>2.2248355210882623E-4</c:v>
                </c:pt>
                <c:pt idx="676">
                  <c:v>1.9070018752185107E-4</c:v>
                </c:pt>
                <c:pt idx="677">
                  <c:v>2.8605028128277657E-4</c:v>
                </c:pt>
                <c:pt idx="678">
                  <c:v>2.2248355210882623E-4</c:v>
                </c:pt>
                <c:pt idx="679">
                  <c:v>2.8605028128277657E-4</c:v>
                </c:pt>
                <c:pt idx="680">
                  <c:v>1.7480850522836347E-4</c:v>
                </c:pt>
                <c:pt idx="681">
                  <c:v>1.7480850522836347E-4</c:v>
                </c:pt>
                <c:pt idx="682">
                  <c:v>2.7015859898928899E-4</c:v>
                </c:pt>
                <c:pt idx="683">
                  <c:v>1.7480850522836347E-4</c:v>
                </c:pt>
                <c:pt idx="684">
                  <c:v>2.8605028128277657E-4</c:v>
                </c:pt>
                <c:pt idx="685">
                  <c:v>3.6550869275021452E-4</c:v>
                </c:pt>
                <c:pt idx="686">
                  <c:v>2.7015859898928899E-4</c:v>
                </c:pt>
                <c:pt idx="687">
                  <c:v>1.5891682293487589E-4</c:v>
                </c:pt>
                <c:pt idx="688">
                  <c:v>1.5891682293487589E-4</c:v>
                </c:pt>
                <c:pt idx="689">
                  <c:v>1.1124177605441312E-4</c:v>
                </c:pt>
                <c:pt idx="690">
                  <c:v>1.7480850522836347E-4</c:v>
                </c:pt>
                <c:pt idx="691">
                  <c:v>2.3837523440231384E-4</c:v>
                </c:pt>
                <c:pt idx="692">
                  <c:v>3.4961701045672694E-4</c:v>
                </c:pt>
                <c:pt idx="693">
                  <c:v>2.7015859898928899E-4</c:v>
                </c:pt>
                <c:pt idx="694">
                  <c:v>1.7480850522836347E-4</c:v>
                </c:pt>
                <c:pt idx="695">
                  <c:v>2.3837523440231384E-4</c:v>
                </c:pt>
                <c:pt idx="696">
                  <c:v>2.7015859898928899E-4</c:v>
                </c:pt>
                <c:pt idx="697">
                  <c:v>1.2713345834790071E-4</c:v>
                </c:pt>
                <c:pt idx="698">
                  <c:v>3.019419635762642E-4</c:v>
                </c:pt>
                <c:pt idx="699">
                  <c:v>3.3372532816323936E-4</c:v>
                </c:pt>
                <c:pt idx="700">
                  <c:v>3.8140037504370215E-4</c:v>
                </c:pt>
                <c:pt idx="701">
                  <c:v>2.8605028128277657E-4</c:v>
                </c:pt>
                <c:pt idx="702">
                  <c:v>1.5891682293487589E-4</c:v>
                </c:pt>
                <c:pt idx="703">
                  <c:v>2.2248355210882623E-4</c:v>
                </c:pt>
                <c:pt idx="704">
                  <c:v>2.7015859898928899E-4</c:v>
                </c:pt>
                <c:pt idx="705">
                  <c:v>3.6550869275021452E-4</c:v>
                </c:pt>
                <c:pt idx="706">
                  <c:v>4.608587865111401E-4</c:v>
                </c:pt>
                <c:pt idx="707">
                  <c:v>3.6550869275021452E-4</c:v>
                </c:pt>
                <c:pt idx="708">
                  <c:v>1.7480850522836347E-4</c:v>
                </c:pt>
                <c:pt idx="709">
                  <c:v>2.0659186981533865E-4</c:v>
                </c:pt>
                <c:pt idx="710">
                  <c:v>1.4302514064138829E-4</c:v>
                </c:pt>
                <c:pt idx="711">
                  <c:v>1.2713345834790071E-4</c:v>
                </c:pt>
                <c:pt idx="712">
                  <c:v>2.3837523440231384E-4</c:v>
                </c:pt>
                <c:pt idx="713">
                  <c:v>3.8140037504370215E-4</c:v>
                </c:pt>
                <c:pt idx="714">
                  <c:v>3.019419635762642E-4</c:v>
                </c:pt>
                <c:pt idx="715">
                  <c:v>2.7015859898928899E-4</c:v>
                </c:pt>
                <c:pt idx="716">
                  <c:v>2.8605028128277657E-4</c:v>
                </c:pt>
                <c:pt idx="717">
                  <c:v>3.1783364586975178E-4</c:v>
                </c:pt>
                <c:pt idx="718">
                  <c:v>3.3372532816323936E-4</c:v>
                </c:pt>
                <c:pt idx="719">
                  <c:v>4.2907542192416488E-4</c:v>
                </c:pt>
                <c:pt idx="720">
                  <c:v>5.0853383339160283E-4</c:v>
                </c:pt>
                <c:pt idx="721">
                  <c:v>3.8140037504370215E-4</c:v>
                </c:pt>
                <c:pt idx="722">
                  <c:v>2.0659186981533865E-4</c:v>
                </c:pt>
                <c:pt idx="723">
                  <c:v>3.6550869275021452E-4</c:v>
                </c:pt>
                <c:pt idx="724">
                  <c:v>2.3837523440231384E-4</c:v>
                </c:pt>
                <c:pt idx="725">
                  <c:v>2.8605028128277657E-4</c:v>
                </c:pt>
                <c:pt idx="726">
                  <c:v>2.7015859898928899E-4</c:v>
                </c:pt>
                <c:pt idx="727">
                  <c:v>5.0853383339160283E-4</c:v>
                </c:pt>
                <c:pt idx="728">
                  <c:v>2.7015859898928899E-4</c:v>
                </c:pt>
                <c:pt idx="729">
                  <c:v>2.3837523440231384E-4</c:v>
                </c:pt>
                <c:pt idx="730">
                  <c:v>2.8605028128277657E-4</c:v>
                </c:pt>
                <c:pt idx="731">
                  <c:v>5.2442551568509046E-4</c:v>
                </c:pt>
                <c:pt idx="732">
                  <c:v>3.6550869275021452E-4</c:v>
                </c:pt>
                <c:pt idx="733">
                  <c:v>4.926421510981152E-4</c:v>
                </c:pt>
                <c:pt idx="734">
                  <c:v>7.4690906779391667E-4</c:v>
                </c:pt>
                <c:pt idx="735">
                  <c:v>3.8140037504370215E-4</c:v>
                </c:pt>
                <c:pt idx="736">
                  <c:v>4.1318373963067731E-4</c:v>
                </c:pt>
                <c:pt idx="737">
                  <c:v>2.8605028128277657E-4</c:v>
                </c:pt>
                <c:pt idx="738">
                  <c:v>3.9729205733718973E-4</c:v>
                </c:pt>
                <c:pt idx="739">
                  <c:v>3.8140037504370215E-4</c:v>
                </c:pt>
              </c:numCache>
            </c:numRef>
          </c:val>
          <c:smooth val="0"/>
          <c:extLst xmlns:c16r2="http://schemas.microsoft.com/office/drawing/2015/06/chart">
            <c:ext xmlns:c16="http://schemas.microsoft.com/office/drawing/2014/chart" uri="{C3380CC4-5D6E-409C-BE32-E72D297353CC}">
              <c16:uniqueId val="{00000002-03ED-4CE3-9733-1A8305D79B04}"/>
            </c:ext>
          </c:extLst>
        </c:ser>
        <c:dLbls>
          <c:showLegendKey val="0"/>
          <c:showVal val="0"/>
          <c:showCatName val="0"/>
          <c:showSerName val="0"/>
          <c:showPercent val="0"/>
          <c:showBubbleSize val="0"/>
        </c:dLbls>
        <c:marker val="1"/>
        <c:smooth val="0"/>
        <c:axId val="115648384"/>
        <c:axId val="115650560"/>
      </c:lineChart>
      <c:catAx>
        <c:axId val="115648384"/>
        <c:scaling>
          <c:orientation val="minMax"/>
        </c:scaling>
        <c:delete val="0"/>
        <c:axPos val="b"/>
        <c:title>
          <c:tx>
            <c:rich>
              <a:bodyPr/>
              <a:lstStyle/>
              <a:p>
                <a:pPr>
                  <a:defRPr/>
                </a:pPr>
                <a:r>
                  <a:rPr lang="en-AU" b="0"/>
                  <a:t>Days to re-supply</a:t>
                </a:r>
              </a:p>
            </c:rich>
          </c:tx>
          <c:layout/>
          <c:overlay val="0"/>
        </c:title>
        <c:numFmt formatCode="General" sourceLinked="0"/>
        <c:majorTickMark val="none"/>
        <c:minorTickMark val="none"/>
        <c:tickLblPos val="nextTo"/>
        <c:crossAx val="115650560"/>
        <c:crosses val="autoZero"/>
        <c:auto val="1"/>
        <c:lblAlgn val="ctr"/>
        <c:lblOffset val="100"/>
        <c:noMultiLvlLbl val="0"/>
      </c:catAx>
      <c:valAx>
        <c:axId val="115650560"/>
        <c:scaling>
          <c:orientation val="minMax"/>
          <c:max val="0.14000000000000001"/>
        </c:scaling>
        <c:delete val="0"/>
        <c:axPos val="l"/>
        <c:majorGridlines/>
        <c:title>
          <c:tx>
            <c:rich>
              <a:bodyPr rot="-5400000" vert="horz"/>
              <a:lstStyle/>
              <a:p>
                <a:pPr>
                  <a:defRPr b="0"/>
                </a:pPr>
                <a:r>
                  <a:rPr lang="en-AU" b="0"/>
                  <a:t>% prescriptions</a:t>
                </a:r>
              </a:p>
            </c:rich>
          </c:tx>
          <c:layout/>
          <c:overlay val="0"/>
        </c:title>
        <c:numFmt formatCode="0%" sourceLinked="0"/>
        <c:majorTickMark val="none"/>
        <c:minorTickMark val="none"/>
        <c:tickLblPos val="nextTo"/>
        <c:crossAx val="115648384"/>
        <c:crosses val="autoZero"/>
        <c:crossBetween val="between"/>
      </c:valAx>
    </c:plotArea>
    <c:legend>
      <c:legendPos val="b"/>
      <c:layout/>
      <c:overlay val="0"/>
    </c:legend>
    <c:plotVisOnly val="1"/>
    <c:dispBlanksAs val="gap"/>
    <c:showDLblsOverMax val="0"/>
  </c:chart>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SUPPLY_LAG_FREQ by drg_grp.xlsx]Sheet1 (4)!PivotTable1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s>
    <c:plotArea>
      <c:layout/>
      <c:lineChart>
        <c:grouping val="standard"/>
        <c:varyColors val="0"/>
        <c:ser>
          <c:idx val="0"/>
          <c:order val="0"/>
          <c:tx>
            <c:strRef>
              <c:f>'Sheet1 (4)'!$B$3:$B$4</c:f>
              <c:strCache>
                <c:ptCount val="1"/>
                <c:pt idx="0">
                  <c:v>ALENDRONATE (incl. combination products)</c:v>
                </c:pt>
              </c:strCache>
            </c:strRef>
          </c:tx>
          <c:marker>
            <c:symbol val="none"/>
          </c:marker>
          <c:cat>
            <c:strRef>
              <c:f>'Sheet1 (4)'!$A$5:$A$185</c:f>
              <c:strCache>
                <c:ptCount val="18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strCache>
            </c:strRef>
          </c:cat>
          <c:val>
            <c:numRef>
              <c:f>'Sheet1 (4)'!$B$5:$B$185</c:f>
              <c:numCache>
                <c:formatCode>0.00%</c:formatCode>
                <c:ptCount val="180"/>
                <c:pt idx="0">
                  <c:v>1.5692547243258547E-3</c:v>
                </c:pt>
                <c:pt idx="1">
                  <c:v>1.0964682567768419E-3</c:v>
                </c:pt>
                <c:pt idx="2">
                  <c:v>1.1708778634958832E-3</c:v>
                </c:pt>
                <c:pt idx="3">
                  <c:v>1.2478354212376436E-3</c:v>
                </c:pt>
                <c:pt idx="4">
                  <c:v>1.4301082879184656E-3</c:v>
                </c:pt>
                <c:pt idx="5">
                  <c:v>1.8469813858022508E-3</c:v>
                </c:pt>
                <c:pt idx="6">
                  <c:v>2.9763370844834501E-3</c:v>
                </c:pt>
                <c:pt idx="7">
                  <c:v>2.2484724089933236E-3</c:v>
                </c:pt>
                <c:pt idx="8">
                  <c:v>2.1496213461674571E-3</c:v>
                </c:pt>
                <c:pt idx="9">
                  <c:v>2.4132870927406989E-3</c:v>
                </c:pt>
                <c:pt idx="10">
                  <c:v>2.7306485479038386E-3</c:v>
                </c:pt>
                <c:pt idx="11">
                  <c:v>3.1322811239295066E-3</c:v>
                </c:pt>
                <c:pt idx="12">
                  <c:v>4.2486611461061176E-3</c:v>
                </c:pt>
                <c:pt idx="13">
                  <c:v>8.1624554698374509E-3</c:v>
                </c:pt>
                <c:pt idx="14">
                  <c:v>5.6725411093023802E-3</c:v>
                </c:pt>
                <c:pt idx="15">
                  <c:v>5.5272607167291855E-3</c:v>
                </c:pt>
                <c:pt idx="16">
                  <c:v>6.2756977375138601E-3</c:v>
                </c:pt>
                <c:pt idx="17">
                  <c:v>7.2743058013070043E-3</c:v>
                </c:pt>
                <c:pt idx="18">
                  <c:v>8.6374595984617924E-3</c:v>
                </c:pt>
                <c:pt idx="19">
                  <c:v>1.2268572911505887E-2</c:v>
                </c:pt>
                <c:pt idx="20">
                  <c:v>5.7342015240521856E-2</c:v>
                </c:pt>
                <c:pt idx="21">
                  <c:v>3.156585745629556E-2</c:v>
                </c:pt>
                <c:pt idx="22">
                  <c:v>2.8870502748484204E-2</c:v>
                </c:pt>
                <c:pt idx="23">
                  <c:v>3.2037700238280606E-2</c:v>
                </c:pt>
                <c:pt idx="24">
                  <c:v>3.6632835539198341E-2</c:v>
                </c:pt>
                <c:pt idx="25">
                  <c:v>4.3326821902941938E-2</c:v>
                </c:pt>
                <c:pt idx="26">
                  <c:v>6.346894094887584E-2</c:v>
                </c:pt>
                <c:pt idx="27">
                  <c:v>0.13742501238587301</c:v>
                </c:pt>
                <c:pt idx="28">
                  <c:v>6.5609974756411157E-2</c:v>
                </c:pt>
                <c:pt idx="29">
                  <c:v>4.6298440559605539E-2</c:v>
                </c:pt>
                <c:pt idx="30">
                  <c:v>3.8740274140656332E-2</c:v>
                </c:pt>
                <c:pt idx="31">
                  <c:v>3.2771981975605727E-2</c:v>
                </c:pt>
                <c:pt idx="32">
                  <c:v>2.8228088800811568E-2</c:v>
                </c:pt>
                <c:pt idx="33">
                  <c:v>2.8361950598060726E-2</c:v>
                </c:pt>
                <c:pt idx="34">
                  <c:v>4.0309009837922002E-2</c:v>
                </c:pt>
                <c:pt idx="35">
                  <c:v>1.9885625309646826E-2</c:v>
                </c:pt>
                <c:pt idx="36">
                  <c:v>1.4216292731261944E-2</c:v>
                </c:pt>
                <c:pt idx="37">
                  <c:v>1.2135937905489891E-2</c:v>
                </c:pt>
                <c:pt idx="38">
                  <c:v>1.0637270861348998E-2</c:v>
                </c:pt>
                <c:pt idx="39">
                  <c:v>9.4879562129898311E-3</c:v>
                </c:pt>
                <c:pt idx="40">
                  <c:v>1.0024111166159436E-2</c:v>
                </c:pt>
                <c:pt idx="41">
                  <c:v>1.5384622643735107E-2</c:v>
                </c:pt>
                <c:pt idx="42">
                  <c:v>7.8952037181211215E-3</c:v>
                </c:pt>
                <c:pt idx="43">
                  <c:v>5.8853893882558333E-3</c:v>
                </c:pt>
                <c:pt idx="44">
                  <c:v>5.2152782692806753E-3</c:v>
                </c:pt>
                <c:pt idx="45">
                  <c:v>4.7297520466180664E-3</c:v>
                </c:pt>
                <c:pt idx="46">
                  <c:v>4.3573265387972723E-3</c:v>
                </c:pt>
                <c:pt idx="47">
                  <c:v>4.6534550687710851E-3</c:v>
                </c:pt>
                <c:pt idx="48">
                  <c:v>6.6389223110859463E-3</c:v>
                </c:pt>
                <c:pt idx="49">
                  <c:v>3.9724443815320736E-3</c:v>
                </c:pt>
                <c:pt idx="50">
                  <c:v>3.1656875928940476E-3</c:v>
                </c:pt>
                <c:pt idx="51">
                  <c:v>2.9407601387217777E-3</c:v>
                </c:pt>
                <c:pt idx="52">
                  <c:v>2.7719819756057283E-3</c:v>
                </c:pt>
                <c:pt idx="53">
                  <c:v>2.7066789345789981E-3</c:v>
                </c:pt>
                <c:pt idx="54">
                  <c:v>3.085144030009201E-3</c:v>
                </c:pt>
                <c:pt idx="55">
                  <c:v>4.9484039917899354E-3</c:v>
                </c:pt>
                <c:pt idx="56">
                  <c:v>2.790100738433954E-3</c:v>
                </c:pt>
                <c:pt idx="57">
                  <c:v>2.1761389105150165E-3</c:v>
                </c:pt>
                <c:pt idx="58">
                  <c:v>2.039965083634133E-3</c:v>
                </c:pt>
                <c:pt idx="59">
                  <c:v>1.8964305093542831E-3</c:v>
                </c:pt>
                <c:pt idx="60">
                  <c:v>1.7871517210465472E-3</c:v>
                </c:pt>
                <c:pt idx="61">
                  <c:v>1.8943544011135491E-3</c:v>
                </c:pt>
                <c:pt idx="62">
                  <c:v>2.6902588057659189E-3</c:v>
                </c:pt>
                <c:pt idx="63">
                  <c:v>1.6252152782692806E-3</c:v>
                </c:pt>
                <c:pt idx="64">
                  <c:v>1.2791657819614505E-3</c:v>
                </c:pt>
                <c:pt idx="65">
                  <c:v>1.1673862269091938E-3</c:v>
                </c:pt>
                <c:pt idx="66">
                  <c:v>1.0888715879868829E-3</c:v>
                </c:pt>
                <c:pt idx="67">
                  <c:v>1.0384315945926818E-3</c:v>
                </c:pt>
                <c:pt idx="68">
                  <c:v>1.1464835916672564E-3</c:v>
                </c:pt>
                <c:pt idx="69">
                  <c:v>1.7038714700261873E-3</c:v>
                </c:pt>
                <c:pt idx="70">
                  <c:v>1.0165380895085757E-3</c:v>
                </c:pt>
                <c:pt idx="71">
                  <c:v>8.1449501026258054E-4</c:v>
                </c:pt>
                <c:pt idx="72">
                  <c:v>7.5367447566470854E-4</c:v>
                </c:pt>
                <c:pt idx="73">
                  <c:v>7.1786160851204379E-4</c:v>
                </c:pt>
                <c:pt idx="74">
                  <c:v>7.0328166654870592E-4</c:v>
                </c:pt>
                <c:pt idx="75">
                  <c:v>7.6759383773326731E-4</c:v>
                </c:pt>
                <c:pt idx="76">
                  <c:v>1.0650435274966381E-3</c:v>
                </c:pt>
                <c:pt idx="77">
                  <c:v>6.9587373487154085E-4</c:v>
                </c:pt>
                <c:pt idx="78">
                  <c:v>5.7725245948050106E-4</c:v>
                </c:pt>
                <c:pt idx="79">
                  <c:v>5.453558874183122E-4</c:v>
                </c:pt>
                <c:pt idx="80">
                  <c:v>5.4776228560643589E-4</c:v>
                </c:pt>
                <c:pt idx="81">
                  <c:v>5.3384292353787722E-4</c:v>
                </c:pt>
                <c:pt idx="82">
                  <c:v>6.0561021067780216E-4</c:v>
                </c:pt>
                <c:pt idx="83">
                  <c:v>9.180173166300988E-4</c:v>
                </c:pt>
                <c:pt idx="84">
                  <c:v>5.6559794276547055E-4</c:v>
                </c:pt>
                <c:pt idx="85">
                  <c:v>4.6627503715761909E-4</c:v>
                </c:pt>
                <c:pt idx="86">
                  <c:v>4.3428409653903317E-4</c:v>
                </c:pt>
                <c:pt idx="87">
                  <c:v>4.2225210559841458E-4</c:v>
                </c:pt>
                <c:pt idx="88">
                  <c:v>4.1224903862033171E-4</c:v>
                </c:pt>
                <c:pt idx="89">
                  <c:v>4.6542572015004598E-4</c:v>
                </c:pt>
                <c:pt idx="90">
                  <c:v>6.3929978531153419E-4</c:v>
                </c:pt>
                <c:pt idx="91">
                  <c:v>4.2711208625286054E-4</c:v>
                </c:pt>
                <c:pt idx="92">
                  <c:v>3.5067355557128366E-4</c:v>
                </c:pt>
                <c:pt idx="93">
                  <c:v>3.3826409040507705E-4</c:v>
                </c:pt>
                <c:pt idx="94">
                  <c:v>3.2962936749475073E-4</c:v>
                </c:pt>
                <c:pt idx="95">
                  <c:v>3.0995352348597448E-4</c:v>
                </c:pt>
                <c:pt idx="96">
                  <c:v>3.5331587515039989E-4</c:v>
                </c:pt>
                <c:pt idx="97">
                  <c:v>5.0864651897987586E-4</c:v>
                </c:pt>
                <c:pt idx="98">
                  <c:v>3.2873286620897915E-4</c:v>
                </c:pt>
                <c:pt idx="99">
                  <c:v>2.6847854294948924E-4</c:v>
                </c:pt>
                <c:pt idx="100">
                  <c:v>2.5564441927949607E-4</c:v>
                </c:pt>
                <c:pt idx="101">
                  <c:v>2.4285747988770143E-4</c:v>
                </c:pt>
                <c:pt idx="102">
                  <c:v>2.4196097860192985E-4</c:v>
                </c:pt>
                <c:pt idx="103">
                  <c:v>2.6668554037794607E-4</c:v>
                </c:pt>
                <c:pt idx="104">
                  <c:v>3.5916672564701444E-4</c:v>
                </c:pt>
                <c:pt idx="105">
                  <c:v>2.512562814070352E-4</c:v>
                </c:pt>
                <c:pt idx="106">
                  <c:v>2.1780262816429566E-4</c:v>
                </c:pt>
                <c:pt idx="107">
                  <c:v>2.1322575317904075E-4</c:v>
                </c:pt>
                <c:pt idx="108">
                  <c:v>2.0095784084742964E-4</c:v>
                </c:pt>
                <c:pt idx="109">
                  <c:v>2.0157123646401018E-4</c:v>
                </c:pt>
                <c:pt idx="110">
                  <c:v>2.3115577889447236E-4</c:v>
                </c:pt>
                <c:pt idx="111">
                  <c:v>3.4737065609738834E-4</c:v>
                </c:pt>
                <c:pt idx="112">
                  <c:v>2.2332318871352066E-4</c:v>
                </c:pt>
                <c:pt idx="113">
                  <c:v>1.8930332413239908E-4</c:v>
                </c:pt>
                <c:pt idx="114">
                  <c:v>1.7486493500365677E-4</c:v>
                </c:pt>
                <c:pt idx="115">
                  <c:v>1.6840068889046171E-4</c:v>
                </c:pt>
                <c:pt idx="116">
                  <c:v>1.6835350461226318E-4</c:v>
                </c:pt>
                <c:pt idx="117">
                  <c:v>1.9609786019298369E-4</c:v>
                </c:pt>
                <c:pt idx="118">
                  <c:v>2.7003562413003987E-4</c:v>
                </c:pt>
                <c:pt idx="119">
                  <c:v>1.8557576615471725E-4</c:v>
                </c:pt>
                <c:pt idx="120">
                  <c:v>1.5367919409252836E-4</c:v>
                </c:pt>
                <c:pt idx="121">
                  <c:v>1.5249958713756576E-4</c:v>
                </c:pt>
                <c:pt idx="122">
                  <c:v>1.4867766060348692E-4</c:v>
                </c:pt>
                <c:pt idx="123">
                  <c:v>1.4306273149786492E-4</c:v>
                </c:pt>
                <c:pt idx="124">
                  <c:v>1.6457876235638285E-4</c:v>
                </c:pt>
                <c:pt idx="125">
                  <c:v>2.2936277632292919E-4</c:v>
                </c:pt>
                <c:pt idx="126">
                  <c:v>1.5485880104749097E-4</c:v>
                </c:pt>
                <c:pt idx="127">
                  <c:v>1.317385047302239E-4</c:v>
                </c:pt>
                <c:pt idx="128">
                  <c:v>1.2390591454927217E-4</c:v>
                </c:pt>
                <c:pt idx="129">
                  <c:v>1.1965932951140679E-4</c:v>
                </c:pt>
                <c:pt idx="130">
                  <c:v>1.2263193903791256E-4</c:v>
                </c:pt>
                <c:pt idx="131">
                  <c:v>1.3386179724915657E-4</c:v>
                </c:pt>
                <c:pt idx="132">
                  <c:v>1.8241441951541746E-4</c:v>
                </c:pt>
                <c:pt idx="133">
                  <c:v>1.2966239648948971E-4</c:v>
                </c:pt>
                <c:pt idx="134">
                  <c:v>1.141387689621818E-4</c:v>
                </c:pt>
                <c:pt idx="135">
                  <c:v>1.0979781536791941E-4</c:v>
                </c:pt>
                <c:pt idx="136">
                  <c:v>1.0687239011961214E-4</c:v>
                </c:pt>
                <c:pt idx="137">
                  <c:v>1.0474909760067945E-4</c:v>
                </c:pt>
                <c:pt idx="138">
                  <c:v>1.239530988274707E-4</c:v>
                </c:pt>
                <c:pt idx="139">
                  <c:v>1.7821501875575057E-4</c:v>
                </c:pt>
                <c:pt idx="140">
                  <c:v>1.1989525090239932E-4</c:v>
                </c:pt>
                <c:pt idx="141">
                  <c:v>9.9983485502630525E-5</c:v>
                </c:pt>
                <c:pt idx="142">
                  <c:v>9.7860192983697831E-5</c:v>
                </c:pt>
                <c:pt idx="143">
                  <c:v>9.7010875976124761E-5</c:v>
                </c:pt>
                <c:pt idx="144">
                  <c:v>9.5265057682780092E-5</c:v>
                </c:pt>
                <c:pt idx="145">
                  <c:v>1.0663646872861963E-4</c:v>
                </c:pt>
                <c:pt idx="146">
                  <c:v>1.4023167480595465E-4</c:v>
                </c:pt>
                <c:pt idx="147">
                  <c:v>1.0224833085615873E-4</c:v>
                </c:pt>
                <c:pt idx="148">
                  <c:v>9.1773421096090781E-5</c:v>
                </c:pt>
                <c:pt idx="149">
                  <c:v>8.9414207186165571E-5</c:v>
                </c:pt>
                <c:pt idx="150">
                  <c:v>8.1581617005213865E-5</c:v>
                </c:pt>
                <c:pt idx="151">
                  <c:v>8.3233066742161515E-5</c:v>
                </c:pt>
                <c:pt idx="152">
                  <c:v>9.8567957156675391E-5</c:v>
                </c:pt>
                <c:pt idx="153">
                  <c:v>1.3971264774577112E-4</c:v>
                </c:pt>
                <c:pt idx="154">
                  <c:v>9.4651662066199538E-5</c:v>
                </c:pt>
                <c:pt idx="155">
                  <c:v>7.818434897492156E-5</c:v>
                </c:pt>
                <c:pt idx="156">
                  <c:v>8.0590747163045273E-5</c:v>
                </c:pt>
                <c:pt idx="157">
                  <c:v>7.8373086087715573E-5</c:v>
                </c:pt>
                <c:pt idx="158">
                  <c:v>7.4739896666430739E-5</c:v>
                </c:pt>
                <c:pt idx="159">
                  <c:v>9.4604477788001035E-5</c:v>
                </c:pt>
                <c:pt idx="160">
                  <c:v>1.1673390426309953E-4</c:v>
                </c:pt>
                <c:pt idx="161">
                  <c:v>8.592257059947626E-5</c:v>
                </c:pt>
                <c:pt idx="162">
                  <c:v>7.3937763937056172E-5</c:v>
                </c:pt>
                <c:pt idx="163">
                  <c:v>7.4881449501026261E-5</c:v>
                </c:pt>
                <c:pt idx="164">
                  <c:v>7.2616604147498058E-5</c:v>
                </c:pt>
                <c:pt idx="165">
                  <c:v>7.294689409488758E-5</c:v>
                </c:pt>
                <c:pt idx="166">
                  <c:v>8.7149361832637368E-5</c:v>
                </c:pt>
                <c:pt idx="167">
                  <c:v>1.2687852407577795E-4</c:v>
                </c:pt>
                <c:pt idx="168">
                  <c:v>8.7243730389034374E-5</c:v>
                </c:pt>
                <c:pt idx="169">
                  <c:v>7.3088446929483103E-5</c:v>
                </c:pt>
                <c:pt idx="170">
                  <c:v>7.3324368320475618E-5</c:v>
                </c:pt>
                <c:pt idx="171">
                  <c:v>7.0776417297756383E-5</c:v>
                </c:pt>
                <c:pt idx="172">
                  <c:v>6.8747493335220708E-5</c:v>
                </c:pt>
                <c:pt idx="173">
                  <c:v>7.9788614433670707E-5</c:v>
                </c:pt>
                <c:pt idx="174">
                  <c:v>1.0286172647273928E-4</c:v>
                </c:pt>
                <c:pt idx="175">
                  <c:v>7.7901243305730528E-5</c:v>
                </c:pt>
                <c:pt idx="176">
                  <c:v>6.686012220728053E-5</c:v>
                </c:pt>
                <c:pt idx="177">
                  <c:v>6.5869252365111951E-5</c:v>
                </c:pt>
                <c:pt idx="178">
                  <c:v>6.3840328402576263E-5</c:v>
                </c:pt>
                <c:pt idx="179">
                  <c:v>6.7143227876471562E-5</c:v>
                </c:pt>
              </c:numCache>
            </c:numRef>
          </c:val>
          <c:smooth val="0"/>
          <c:extLst xmlns:c16r2="http://schemas.microsoft.com/office/drawing/2015/06/chart">
            <c:ext xmlns:c16="http://schemas.microsoft.com/office/drawing/2014/chart" uri="{C3380CC4-5D6E-409C-BE32-E72D297353CC}">
              <c16:uniqueId val="{00000000-FF35-43D0-A3DF-30300409308F}"/>
            </c:ext>
          </c:extLst>
        </c:ser>
        <c:ser>
          <c:idx val="1"/>
          <c:order val="1"/>
          <c:tx>
            <c:strRef>
              <c:f>'Sheet1 (4)'!$C$3:$C$4</c:f>
              <c:strCache>
                <c:ptCount val="1"/>
                <c:pt idx="0">
                  <c:v>CALCITRIOL</c:v>
                </c:pt>
              </c:strCache>
            </c:strRef>
          </c:tx>
          <c:marker>
            <c:symbol val="none"/>
          </c:marker>
          <c:cat>
            <c:strRef>
              <c:f>'Sheet1 (4)'!$A$5:$A$185</c:f>
              <c:strCache>
                <c:ptCount val="18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strCache>
            </c:strRef>
          </c:cat>
          <c:val>
            <c:numRef>
              <c:f>'Sheet1 (4)'!$C$5:$C$185</c:f>
              <c:numCache>
                <c:formatCode>0.00%</c:formatCode>
                <c:ptCount val="180"/>
                <c:pt idx="0">
                  <c:v>2.869093142419094E-3</c:v>
                </c:pt>
                <c:pt idx="1">
                  <c:v>1.2866089560535623E-3</c:v>
                </c:pt>
                <c:pt idx="2">
                  <c:v>1.057417726512662E-3</c:v>
                </c:pt>
                <c:pt idx="3">
                  <c:v>1.1722935261603016E-3</c:v>
                </c:pt>
                <c:pt idx="4">
                  <c:v>2.1747950167438483E-3</c:v>
                </c:pt>
                <c:pt idx="5">
                  <c:v>2.4185558598985957E-3</c:v>
                </c:pt>
                <c:pt idx="6">
                  <c:v>3.7135703622678388E-3</c:v>
                </c:pt>
                <c:pt idx="7">
                  <c:v>2.6667996610883725E-3</c:v>
                </c:pt>
                <c:pt idx="8">
                  <c:v>2.5782612398965333E-3</c:v>
                </c:pt>
                <c:pt idx="9">
                  <c:v>2.7110688716842921E-3</c:v>
                </c:pt>
                <c:pt idx="10">
                  <c:v>2.8337898478932337E-3</c:v>
                </c:pt>
                <c:pt idx="11">
                  <c:v>3.023755194627623E-3</c:v>
                </c:pt>
                <c:pt idx="12">
                  <c:v>3.8732757422657769E-3</c:v>
                </c:pt>
                <c:pt idx="13">
                  <c:v>6.6818489512119675E-3</c:v>
                </c:pt>
                <c:pt idx="14">
                  <c:v>4.3294167223300621E-3</c:v>
                </c:pt>
                <c:pt idx="15">
                  <c:v>3.9825478443696292E-3</c:v>
                </c:pt>
                <c:pt idx="16">
                  <c:v>4.1226402829643112E-3</c:v>
                </c:pt>
                <c:pt idx="17">
                  <c:v>4.3372618988913644E-3</c:v>
                </c:pt>
                <c:pt idx="18">
                  <c:v>4.753056256640382E-3</c:v>
                </c:pt>
                <c:pt idx="19">
                  <c:v>6.0738477677110461E-3</c:v>
                </c:pt>
                <c:pt idx="20">
                  <c:v>1.5737984551726612E-2</c:v>
                </c:pt>
                <c:pt idx="21">
                  <c:v>9.0796711301985508E-3</c:v>
                </c:pt>
                <c:pt idx="22">
                  <c:v>8.1780361954031742E-3</c:v>
                </c:pt>
                <c:pt idx="23">
                  <c:v>8.4571003330837814E-3</c:v>
                </c:pt>
                <c:pt idx="24">
                  <c:v>9.1609247445834652E-3</c:v>
                </c:pt>
                <c:pt idx="25">
                  <c:v>9.6876723136994723E-3</c:v>
                </c:pt>
                <c:pt idx="26">
                  <c:v>1.150102883886904E-2</c:v>
                </c:pt>
                <c:pt idx="27">
                  <c:v>2.0820538223941684E-2</c:v>
                </c:pt>
                <c:pt idx="28">
                  <c:v>1.2584783943837502E-2</c:v>
                </c:pt>
                <c:pt idx="29">
                  <c:v>1.0917123554806403E-2</c:v>
                </c:pt>
                <c:pt idx="30">
                  <c:v>1.079047999031681E-2</c:v>
                </c:pt>
                <c:pt idx="31">
                  <c:v>1.0443050742601998E-2</c:v>
                </c:pt>
                <c:pt idx="32">
                  <c:v>1.0664396795581597E-2</c:v>
                </c:pt>
                <c:pt idx="33">
                  <c:v>1.2063640072265283E-2</c:v>
                </c:pt>
                <c:pt idx="34">
                  <c:v>1.7701520171069678E-2</c:v>
                </c:pt>
                <c:pt idx="35">
                  <c:v>1.0873975083719241E-2</c:v>
                </c:pt>
                <c:pt idx="36">
                  <c:v>9.0085041713924511E-3</c:v>
                </c:pt>
                <c:pt idx="37">
                  <c:v>8.784916639395339E-3</c:v>
                </c:pt>
                <c:pt idx="38">
                  <c:v>8.8487987913945139E-3</c:v>
                </c:pt>
                <c:pt idx="39">
                  <c:v>9.3749859907561409E-3</c:v>
                </c:pt>
                <c:pt idx="40">
                  <c:v>1.1385032299712642E-2</c:v>
                </c:pt>
                <c:pt idx="41">
                  <c:v>2.1005460242886666E-2</c:v>
                </c:pt>
                <c:pt idx="42">
                  <c:v>1.2092218929738599E-2</c:v>
                </c:pt>
                <c:pt idx="43">
                  <c:v>1.0635817938108281E-2</c:v>
                </c:pt>
                <c:pt idx="44">
                  <c:v>1.0998377169191319E-2</c:v>
                </c:pt>
                <c:pt idx="45">
                  <c:v>1.169043381584905E-2</c:v>
                </c:pt>
                <c:pt idx="46">
                  <c:v>1.3035881596112379E-2</c:v>
                </c:pt>
                <c:pt idx="47">
                  <c:v>1.7551341076896178E-2</c:v>
                </c:pt>
                <c:pt idx="48">
                  <c:v>3.3083669928765796E-2</c:v>
                </c:pt>
                <c:pt idx="49">
                  <c:v>2.1143871572218212E-2</c:v>
                </c:pt>
                <c:pt idx="50">
                  <c:v>1.787243294615519E-2</c:v>
                </c:pt>
                <c:pt idx="51">
                  <c:v>1.6953426548974075E-2</c:v>
                </c:pt>
                <c:pt idx="52">
                  <c:v>1.5866869595233719E-2</c:v>
                </c:pt>
                <c:pt idx="53">
                  <c:v>1.4824021482334904E-2</c:v>
                </c:pt>
                <c:pt idx="54">
                  <c:v>1.7034119793604613E-2</c:v>
                </c:pt>
                <c:pt idx="55">
                  <c:v>2.8444368732264299E-2</c:v>
                </c:pt>
                <c:pt idx="56">
                  <c:v>1.4945621719035088E-2</c:v>
                </c:pt>
                <c:pt idx="57">
                  <c:v>1.1227568398732219E-2</c:v>
                </c:pt>
                <c:pt idx="58">
                  <c:v>1.0562409500284668E-2</c:v>
                </c:pt>
                <c:pt idx="59">
                  <c:v>9.9432009216961718E-3</c:v>
                </c:pt>
                <c:pt idx="60">
                  <c:v>9.312784948020101E-3</c:v>
                </c:pt>
                <c:pt idx="61">
                  <c:v>9.7862973904701278E-3</c:v>
                </c:pt>
                <c:pt idx="62">
                  <c:v>1.4082091927537467E-2</c:v>
                </c:pt>
                <c:pt idx="63">
                  <c:v>8.1287236570178473E-3</c:v>
                </c:pt>
                <c:pt idx="64">
                  <c:v>6.5759390676343879E-3</c:v>
                </c:pt>
                <c:pt idx="65">
                  <c:v>6.1035473646931194E-3</c:v>
                </c:pt>
                <c:pt idx="66">
                  <c:v>5.7757310583815627E-3</c:v>
                </c:pt>
                <c:pt idx="67">
                  <c:v>5.5700753585245693E-3</c:v>
                </c:pt>
                <c:pt idx="68">
                  <c:v>6.3854133511456199E-3</c:v>
                </c:pt>
                <c:pt idx="69">
                  <c:v>9.9073372574159328E-3</c:v>
                </c:pt>
                <c:pt idx="70">
                  <c:v>5.8754768746609766E-3</c:v>
                </c:pt>
                <c:pt idx="71">
                  <c:v>4.7715484585348798E-3</c:v>
                </c:pt>
                <c:pt idx="72">
                  <c:v>4.533951682678298E-3</c:v>
                </c:pt>
                <c:pt idx="73">
                  <c:v>4.2952341673129597E-3</c:v>
                </c:pt>
                <c:pt idx="74">
                  <c:v>4.3070019321549127E-3</c:v>
                </c:pt>
                <c:pt idx="75">
                  <c:v>4.7597806936929259E-3</c:v>
                </c:pt>
                <c:pt idx="76">
                  <c:v>6.9771638117695576E-3</c:v>
                </c:pt>
                <c:pt idx="77">
                  <c:v>4.6633970959397853E-3</c:v>
                </c:pt>
                <c:pt idx="78">
                  <c:v>3.9971174579834755E-3</c:v>
                </c:pt>
                <c:pt idx="79">
                  <c:v>3.8811209188270787E-3</c:v>
                </c:pt>
                <c:pt idx="80">
                  <c:v>3.8295669014242356E-3</c:v>
                </c:pt>
                <c:pt idx="81">
                  <c:v>4.0688447865439535E-3</c:v>
                </c:pt>
                <c:pt idx="82">
                  <c:v>4.7827558536224545E-3</c:v>
                </c:pt>
                <c:pt idx="83">
                  <c:v>7.8182788130920309E-3</c:v>
                </c:pt>
                <c:pt idx="84">
                  <c:v>4.8270250642183741E-3</c:v>
                </c:pt>
                <c:pt idx="85">
                  <c:v>3.9046564485109856E-3</c:v>
                </c:pt>
                <c:pt idx="86">
                  <c:v>3.9444427010718753E-3</c:v>
                </c:pt>
                <c:pt idx="87">
                  <c:v>3.9758234073170844E-3</c:v>
                </c:pt>
                <c:pt idx="88">
                  <c:v>4.146175812648218E-3</c:v>
                </c:pt>
                <c:pt idx="89">
                  <c:v>4.9222879224627581E-3</c:v>
                </c:pt>
                <c:pt idx="90">
                  <c:v>7.5980534996211904E-3</c:v>
                </c:pt>
                <c:pt idx="91">
                  <c:v>5.09320069754827E-3</c:v>
                </c:pt>
                <c:pt idx="92">
                  <c:v>4.3938592440836161E-3</c:v>
                </c:pt>
                <c:pt idx="93">
                  <c:v>4.3972214626098885E-3</c:v>
                </c:pt>
                <c:pt idx="94">
                  <c:v>4.4868806233104852E-3</c:v>
                </c:pt>
                <c:pt idx="95">
                  <c:v>4.7687466097629857E-3</c:v>
                </c:pt>
                <c:pt idx="96">
                  <c:v>6.1859217185867921E-3</c:v>
                </c:pt>
                <c:pt idx="97">
                  <c:v>1.0894708764631254E-2</c:v>
                </c:pt>
                <c:pt idx="98">
                  <c:v>6.4806762093900039E-3</c:v>
                </c:pt>
                <c:pt idx="99">
                  <c:v>5.4826576768414867E-3</c:v>
                </c:pt>
                <c:pt idx="100">
                  <c:v>5.2484231195111782E-3</c:v>
                </c:pt>
                <c:pt idx="101">
                  <c:v>4.9844889651987963E-3</c:v>
                </c:pt>
                <c:pt idx="102">
                  <c:v>5.0197922597246571E-3</c:v>
                </c:pt>
                <c:pt idx="103">
                  <c:v>5.4254999618948566E-3</c:v>
                </c:pt>
                <c:pt idx="104">
                  <c:v>7.8759968977930393E-3</c:v>
                </c:pt>
                <c:pt idx="105">
                  <c:v>4.8382324593059488E-3</c:v>
                </c:pt>
                <c:pt idx="106">
                  <c:v>3.9040960787566068E-3</c:v>
                </c:pt>
                <c:pt idx="107">
                  <c:v>3.5818834699888375E-3</c:v>
                </c:pt>
                <c:pt idx="108">
                  <c:v>3.44403251041167E-3</c:v>
                </c:pt>
                <c:pt idx="109">
                  <c:v>3.4210573504821419E-3</c:v>
                </c:pt>
                <c:pt idx="110">
                  <c:v>3.8323687501961292E-3</c:v>
                </c:pt>
                <c:pt idx="111">
                  <c:v>5.8782787234328698E-3</c:v>
                </c:pt>
                <c:pt idx="112">
                  <c:v>3.4793358049375299E-3</c:v>
                </c:pt>
                <c:pt idx="113">
                  <c:v>2.8623687053665491E-3</c:v>
                </c:pt>
                <c:pt idx="114">
                  <c:v>2.5950723325278953E-3</c:v>
                </c:pt>
                <c:pt idx="115">
                  <c:v>2.4387291710562297E-3</c:v>
                </c:pt>
                <c:pt idx="116">
                  <c:v>2.4986887347747538E-3</c:v>
                </c:pt>
                <c:pt idx="117">
                  <c:v>2.7189140482455944E-3</c:v>
                </c:pt>
                <c:pt idx="118">
                  <c:v>3.9786252560889777E-3</c:v>
                </c:pt>
                <c:pt idx="119">
                  <c:v>2.6085212066329845E-3</c:v>
                </c:pt>
                <c:pt idx="120">
                  <c:v>2.2280301434098276E-3</c:v>
                </c:pt>
                <c:pt idx="121">
                  <c:v>1.9865107792725952E-3</c:v>
                </c:pt>
                <c:pt idx="122">
                  <c:v>1.9388793501504032E-3</c:v>
                </c:pt>
                <c:pt idx="123">
                  <c:v>1.9018949463614071E-3</c:v>
                </c:pt>
                <c:pt idx="124">
                  <c:v>2.1406124617267459E-3</c:v>
                </c:pt>
                <c:pt idx="125">
                  <c:v>3.2148412808707698E-3</c:v>
                </c:pt>
                <c:pt idx="126">
                  <c:v>1.9444830476941905E-3</c:v>
                </c:pt>
                <c:pt idx="127">
                  <c:v>1.6032178672775444E-3</c:v>
                </c:pt>
                <c:pt idx="128">
                  <c:v>1.52140388313825E-3</c:v>
                </c:pt>
                <c:pt idx="129">
                  <c:v>1.432305092192032E-3</c:v>
                </c:pt>
                <c:pt idx="130">
                  <c:v>1.4356673107183044E-3</c:v>
                </c:pt>
                <c:pt idx="131">
                  <c:v>1.6211496994176637E-3</c:v>
                </c:pt>
                <c:pt idx="132">
                  <c:v>2.2425997570236747E-3</c:v>
                </c:pt>
                <c:pt idx="133">
                  <c:v>1.4564009916303174E-3</c:v>
                </c:pt>
                <c:pt idx="134">
                  <c:v>1.2849278467904261E-3</c:v>
                </c:pt>
                <c:pt idx="135">
                  <c:v>1.2400982664401278E-3</c:v>
                </c:pt>
                <c:pt idx="136">
                  <c:v>1.2255286528262809E-3</c:v>
                </c:pt>
                <c:pt idx="137">
                  <c:v>1.2199249552824936E-3</c:v>
                </c:pt>
                <c:pt idx="138">
                  <c:v>1.3824321840523251E-3</c:v>
                </c:pt>
                <c:pt idx="139">
                  <c:v>2.1041884276921286E-3</c:v>
                </c:pt>
                <c:pt idx="140">
                  <c:v>1.337042233947648E-3</c:v>
                </c:pt>
                <c:pt idx="141">
                  <c:v>1.1594050218095909E-3</c:v>
                </c:pt>
                <c:pt idx="142">
                  <c:v>1.047331070933845E-3</c:v>
                </c:pt>
                <c:pt idx="143">
                  <c:v>1.0249162807586959E-3</c:v>
                </c:pt>
                <c:pt idx="144">
                  <c:v>1.0876776932491135E-3</c:v>
                </c:pt>
                <c:pt idx="145">
                  <c:v>1.173414265669059E-3</c:v>
                </c:pt>
                <c:pt idx="146">
                  <c:v>1.6609359519785536E-3</c:v>
                </c:pt>
                <c:pt idx="147">
                  <c:v>1.1285846853187607E-3</c:v>
                </c:pt>
                <c:pt idx="148">
                  <c:v>9.8961298623283581E-4</c:v>
                </c:pt>
                <c:pt idx="149">
                  <c:v>1.0041825998466829E-3</c:v>
                </c:pt>
                <c:pt idx="150">
                  <c:v>9.0555752307602648E-4</c:v>
                </c:pt>
                <c:pt idx="151">
                  <c:v>9.6607745654892928E-4</c:v>
                </c:pt>
                <c:pt idx="152">
                  <c:v>1.1241017272837308E-3</c:v>
                </c:pt>
                <c:pt idx="153">
                  <c:v>1.5723975307867144E-3</c:v>
                </c:pt>
                <c:pt idx="154">
                  <c:v>1.0209936924780447E-3</c:v>
                </c:pt>
                <c:pt idx="155">
                  <c:v>8.7585792609395387E-4</c:v>
                </c:pt>
                <c:pt idx="156">
                  <c:v>8.3607167353306404E-4</c:v>
                </c:pt>
                <c:pt idx="157">
                  <c:v>7.6938767276199527E-4</c:v>
                </c:pt>
                <c:pt idx="158">
                  <c:v>8.091739253228851E-4</c:v>
                </c:pt>
                <c:pt idx="159">
                  <c:v>8.8762569093590719E-4</c:v>
                </c:pt>
                <c:pt idx="160">
                  <c:v>1.2451415942295364E-3</c:v>
                </c:pt>
                <c:pt idx="161">
                  <c:v>8.6857311928703032E-4</c:v>
                </c:pt>
                <c:pt idx="162">
                  <c:v>7.2231661339418199E-4</c:v>
                </c:pt>
                <c:pt idx="163">
                  <c:v>7.0774699978033511E-4</c:v>
                </c:pt>
                <c:pt idx="164">
                  <c:v>7.0326404174530523E-4</c:v>
                </c:pt>
                <c:pt idx="165">
                  <c:v>7.5425768939376954E-4</c:v>
                </c:pt>
                <c:pt idx="166">
                  <c:v>7.9348357220028064E-4</c:v>
                </c:pt>
                <c:pt idx="167">
                  <c:v>1.2204853250368723E-3</c:v>
                </c:pt>
                <c:pt idx="168">
                  <c:v>8.1813984139294475E-4</c:v>
                </c:pt>
                <c:pt idx="169">
                  <c:v>6.7356444476323262E-4</c:v>
                </c:pt>
                <c:pt idx="170">
                  <c:v>6.2313116686914694E-4</c:v>
                </c:pt>
                <c:pt idx="171">
                  <c:v>6.617966799212793E-4</c:v>
                </c:pt>
                <c:pt idx="172">
                  <c:v>6.6291741943003666E-4</c:v>
                </c:pt>
                <c:pt idx="173">
                  <c:v>7.2848068069234807E-4</c:v>
                </c:pt>
                <c:pt idx="174">
                  <c:v>1.0669440123371005E-3</c:v>
                </c:pt>
                <c:pt idx="175">
                  <c:v>7.043847812540627E-4</c:v>
                </c:pt>
                <c:pt idx="176">
                  <c:v>6.5395150335997702E-4</c:v>
                </c:pt>
                <c:pt idx="177">
                  <c:v>6.3377819220234279E-4</c:v>
                </c:pt>
                <c:pt idx="178">
                  <c:v>6.5058928483370472E-4</c:v>
                </c:pt>
                <c:pt idx="179">
                  <c:v>6.405026292548875E-4</c:v>
                </c:pt>
              </c:numCache>
            </c:numRef>
          </c:val>
          <c:smooth val="0"/>
          <c:extLst xmlns:c16r2="http://schemas.microsoft.com/office/drawing/2015/06/chart">
            <c:ext xmlns:c16="http://schemas.microsoft.com/office/drawing/2014/chart" uri="{C3380CC4-5D6E-409C-BE32-E72D297353CC}">
              <c16:uniqueId val="{00000001-FF35-43D0-A3DF-30300409308F}"/>
            </c:ext>
          </c:extLst>
        </c:ser>
        <c:ser>
          <c:idx val="2"/>
          <c:order val="2"/>
          <c:tx>
            <c:strRef>
              <c:f>'Sheet1 (4)'!$D$3:$D$4</c:f>
              <c:strCache>
                <c:ptCount val="1"/>
                <c:pt idx="0">
                  <c:v>ETIDRONATE DISODIUM (&amp;) CALCIUM CARBONATE</c:v>
                </c:pt>
              </c:strCache>
            </c:strRef>
          </c:tx>
          <c:marker>
            <c:symbol val="none"/>
          </c:marker>
          <c:cat>
            <c:strRef>
              <c:f>'Sheet1 (4)'!$A$5:$A$185</c:f>
              <c:strCache>
                <c:ptCount val="18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strCache>
            </c:strRef>
          </c:cat>
          <c:val>
            <c:numRef>
              <c:f>'Sheet1 (4)'!$D$5:$D$185</c:f>
              <c:numCache>
                <c:formatCode>0.00%</c:formatCode>
                <c:ptCount val="180"/>
                <c:pt idx="0">
                  <c:v>1.821925194856125E-3</c:v>
                </c:pt>
                <c:pt idx="1">
                  <c:v>8.9053742708214184E-4</c:v>
                </c:pt>
                <c:pt idx="2">
                  <c:v>8.2517688197519562E-4</c:v>
                </c:pt>
                <c:pt idx="3">
                  <c:v>7.843265412833543E-4</c:v>
                </c:pt>
                <c:pt idx="4">
                  <c:v>1.0049183810192978E-3</c:v>
                </c:pt>
                <c:pt idx="5">
                  <c:v>1.013088449157666E-3</c:v>
                </c:pt>
                <c:pt idx="6">
                  <c:v>1.4134217879377114E-3</c:v>
                </c:pt>
                <c:pt idx="7">
                  <c:v>1.1192993349564534E-3</c:v>
                </c:pt>
                <c:pt idx="8">
                  <c:v>7.1079592803803982E-4</c:v>
                </c:pt>
                <c:pt idx="9">
                  <c:v>8.4151701825193226E-4</c:v>
                </c:pt>
                <c:pt idx="10">
                  <c:v>8.6602722266703705E-4</c:v>
                </c:pt>
                <c:pt idx="11">
                  <c:v>8.8236735894377358E-4</c:v>
                </c:pt>
                <c:pt idx="12">
                  <c:v>1.1029591986797169E-3</c:v>
                </c:pt>
                <c:pt idx="13">
                  <c:v>1.666693900227128E-3</c:v>
                </c:pt>
                <c:pt idx="14">
                  <c:v>1.1029591986797169E-3</c:v>
                </c:pt>
                <c:pt idx="15">
                  <c:v>8.9053742708214184E-4</c:v>
                </c:pt>
                <c:pt idx="16">
                  <c:v>1.013088449157666E-3</c:v>
                </c:pt>
                <c:pt idx="17">
                  <c:v>9.9674831288092949E-4</c:v>
                </c:pt>
                <c:pt idx="18">
                  <c:v>1.0212585172960343E-3</c:v>
                </c:pt>
                <c:pt idx="19">
                  <c:v>1.339891174692397E-3</c:v>
                </c:pt>
                <c:pt idx="20">
                  <c:v>2.7533129626301084E-3</c:v>
                </c:pt>
                <c:pt idx="21">
                  <c:v>1.5114626055981308E-3</c:v>
                </c:pt>
                <c:pt idx="22">
                  <c:v>1.2418503570319776E-3</c:v>
                </c:pt>
                <c:pt idx="23">
                  <c:v>1.192829948201768E-3</c:v>
                </c:pt>
                <c:pt idx="24">
                  <c:v>1.2255102207552411E-3</c:v>
                </c:pt>
                <c:pt idx="25">
                  <c:v>1.4134217879377114E-3</c:v>
                </c:pt>
                <c:pt idx="26">
                  <c:v>1.5604830144283403E-3</c:v>
                </c:pt>
                <c:pt idx="27">
                  <c:v>3.0964558244415759E-3</c:v>
                </c:pt>
                <c:pt idx="28">
                  <c:v>1.7075442409189693E-3</c:v>
                </c:pt>
                <c:pt idx="29">
                  <c:v>1.486952401183026E-3</c:v>
                </c:pt>
                <c:pt idx="30">
                  <c:v>1.5359728100132356E-3</c:v>
                </c:pt>
                <c:pt idx="31">
                  <c:v>1.2990408340005555E-3</c:v>
                </c:pt>
                <c:pt idx="32">
                  <c:v>1.6585238320887597E-3</c:v>
                </c:pt>
                <c:pt idx="33">
                  <c:v>1.5278027418748673E-3</c:v>
                </c:pt>
                <c:pt idx="34">
                  <c:v>2.7124626219382671E-3</c:v>
                </c:pt>
                <c:pt idx="35">
                  <c:v>1.6258435595352865E-3</c:v>
                </c:pt>
                <c:pt idx="36">
                  <c:v>1.4787823330446575E-3</c:v>
                </c:pt>
                <c:pt idx="37">
                  <c:v>1.1764898119250315E-3</c:v>
                </c:pt>
                <c:pt idx="38">
                  <c:v>1.3480612428307653E-3</c:v>
                </c:pt>
                <c:pt idx="39">
                  <c:v>1.486952401183026E-3</c:v>
                </c:pt>
                <c:pt idx="40">
                  <c:v>1.7157143090573376E-3</c:v>
                </c:pt>
                <c:pt idx="41">
                  <c:v>2.8513537802905276E-3</c:v>
                </c:pt>
                <c:pt idx="42">
                  <c:v>1.7974149904410202E-3</c:v>
                </c:pt>
                <c:pt idx="43">
                  <c:v>1.642183695812023E-3</c:v>
                </c:pt>
                <c:pt idx="44">
                  <c:v>1.6585238320887597E-3</c:v>
                </c:pt>
                <c:pt idx="45">
                  <c:v>1.3889115835226066E-3</c:v>
                </c:pt>
                <c:pt idx="46">
                  <c:v>1.666693900227128E-3</c:v>
                </c:pt>
                <c:pt idx="47">
                  <c:v>1.9199660125165444E-3</c:v>
                </c:pt>
                <c:pt idx="48">
                  <c:v>2.8922041209823689E-3</c:v>
                </c:pt>
                <c:pt idx="49">
                  <c:v>1.9117959443781761E-3</c:v>
                </c:pt>
                <c:pt idx="50">
                  <c:v>1.8300952629944933E-3</c:v>
                </c:pt>
                <c:pt idx="51">
                  <c:v>1.821925194856125E-3</c:v>
                </c:pt>
                <c:pt idx="52">
                  <c:v>1.8872857399630713E-3</c:v>
                </c:pt>
                <c:pt idx="53">
                  <c:v>2.0833673752839099E-3</c:v>
                </c:pt>
                <c:pt idx="54">
                  <c:v>2.9003741891207371E-3</c:v>
                </c:pt>
                <c:pt idx="55">
                  <c:v>4.7631497246687039E-3</c:v>
                </c:pt>
                <c:pt idx="56">
                  <c:v>2.7696530989068449E-3</c:v>
                </c:pt>
                <c:pt idx="57">
                  <c:v>2.5572313273092696E-3</c:v>
                </c:pt>
                <c:pt idx="58">
                  <c:v>2.9085442572591054E-3</c:v>
                </c:pt>
                <c:pt idx="59">
                  <c:v>2.7042925537998988E-3</c:v>
                </c:pt>
                <c:pt idx="60">
                  <c:v>2.7778231670452132E-3</c:v>
                </c:pt>
                <c:pt idx="61">
                  <c:v>3.5294694357750943E-3</c:v>
                </c:pt>
                <c:pt idx="62">
                  <c:v>5.4984558571218485E-3</c:v>
                </c:pt>
                <c:pt idx="63">
                  <c:v>3.64385038971225E-3</c:v>
                </c:pt>
                <c:pt idx="64">
                  <c:v>3.2598571872089412E-3</c:v>
                </c:pt>
                <c:pt idx="65">
                  <c:v>3.366068073007729E-3</c:v>
                </c:pt>
                <c:pt idx="66">
                  <c:v>3.5784898446053039E-3</c:v>
                </c:pt>
                <c:pt idx="67">
                  <c:v>3.7909116162028792E-3</c:v>
                </c:pt>
                <c:pt idx="68">
                  <c:v>4.4281769309956042E-3</c:v>
                </c:pt>
                <c:pt idx="69">
                  <c:v>8.1700681383682743E-3</c:v>
                </c:pt>
                <c:pt idx="70">
                  <c:v>5.1961633360022219E-3</c:v>
                </c:pt>
                <c:pt idx="71">
                  <c:v>4.4200068628572359E-3</c:v>
                </c:pt>
                <c:pt idx="72">
                  <c:v>4.5834082256246021E-3</c:v>
                </c:pt>
                <c:pt idx="73">
                  <c:v>4.8775306786058596E-3</c:v>
                </c:pt>
                <c:pt idx="74">
                  <c:v>5.8089184463798425E-3</c:v>
                </c:pt>
                <c:pt idx="75">
                  <c:v>7.8350953446951754E-3</c:v>
                </c:pt>
                <c:pt idx="76">
                  <c:v>1.2974068203728819E-2</c:v>
                </c:pt>
                <c:pt idx="77">
                  <c:v>8.8400137257144719E-3</c:v>
                </c:pt>
                <c:pt idx="78">
                  <c:v>8.7991633850226306E-3</c:v>
                </c:pt>
                <c:pt idx="79">
                  <c:v>9.3138776777398329E-3</c:v>
                </c:pt>
                <c:pt idx="80">
                  <c:v>9.967483128809294E-3</c:v>
                </c:pt>
                <c:pt idx="81">
                  <c:v>1.1920129413879313E-2</c:v>
                </c:pt>
                <c:pt idx="82">
                  <c:v>1.680583016062354E-2</c:v>
                </c:pt>
                <c:pt idx="83">
                  <c:v>3.2059347374957109E-2</c:v>
                </c:pt>
                <c:pt idx="84">
                  <c:v>1.9583653327668753E-2</c:v>
                </c:pt>
                <c:pt idx="85">
                  <c:v>1.7434925407277896E-2</c:v>
                </c:pt>
                <c:pt idx="86">
                  <c:v>1.8815666922662136E-2</c:v>
                </c:pt>
                <c:pt idx="87">
                  <c:v>2.2083694178009445E-2</c:v>
                </c:pt>
                <c:pt idx="88">
                  <c:v>2.4363143188614194E-2</c:v>
                </c:pt>
                <c:pt idx="89">
                  <c:v>3.2402490236768576E-2</c:v>
                </c:pt>
                <c:pt idx="90">
                  <c:v>5.5311361296753216E-2</c:v>
                </c:pt>
                <c:pt idx="91">
                  <c:v>3.3162306573636821E-2</c:v>
                </c:pt>
                <c:pt idx="92">
                  <c:v>2.5964476543734374E-2</c:v>
                </c:pt>
                <c:pt idx="93">
                  <c:v>2.3619666988022679E-2</c:v>
                </c:pt>
                <c:pt idx="94">
                  <c:v>2.1952973087795553E-2</c:v>
                </c:pt>
                <c:pt idx="95">
                  <c:v>2.06784424582101E-2</c:v>
                </c:pt>
                <c:pt idx="96">
                  <c:v>2.3374564943871631E-2</c:v>
                </c:pt>
                <c:pt idx="97">
                  <c:v>3.6315952875046978E-2</c:v>
                </c:pt>
                <c:pt idx="98">
                  <c:v>2.0098367620385953E-2</c:v>
                </c:pt>
                <c:pt idx="99">
                  <c:v>1.4575401558849E-2</c:v>
                </c:pt>
                <c:pt idx="100">
                  <c:v>1.3545972973414599E-2</c:v>
                </c:pt>
                <c:pt idx="101">
                  <c:v>1.2271442343829148E-2</c:v>
                </c:pt>
                <c:pt idx="102">
                  <c:v>1.2663605614470825E-2</c:v>
                </c:pt>
                <c:pt idx="103">
                  <c:v>1.3006748476282292E-2</c:v>
                </c:pt>
                <c:pt idx="104">
                  <c:v>1.8635925423618034E-2</c:v>
                </c:pt>
                <c:pt idx="105">
                  <c:v>1.1487115802545793E-2</c:v>
                </c:pt>
                <c:pt idx="106">
                  <c:v>8.8808640664063132E-3</c:v>
                </c:pt>
                <c:pt idx="107">
                  <c:v>8.1373878658148012E-3</c:v>
                </c:pt>
                <c:pt idx="108">
                  <c:v>7.6880341182045458E-3</c:v>
                </c:pt>
                <c:pt idx="109">
                  <c:v>7.0344286671350838E-3</c:v>
                </c:pt>
                <c:pt idx="110">
                  <c:v>8.6439320903936336E-3</c:v>
                </c:pt>
                <c:pt idx="111">
                  <c:v>1.3186489975326393E-2</c:v>
                </c:pt>
                <c:pt idx="112">
                  <c:v>8.0883674569845916E-3</c:v>
                </c:pt>
                <c:pt idx="113">
                  <c:v>5.8170885145182108E-3</c:v>
                </c:pt>
                <c:pt idx="114">
                  <c:v>4.9919116325430153E-3</c:v>
                </c:pt>
                <c:pt idx="115">
                  <c:v>4.9674014281279105E-3</c:v>
                </c:pt>
                <c:pt idx="116">
                  <c:v>5.1716531315871171E-3</c:v>
                </c:pt>
                <c:pt idx="117">
                  <c:v>5.3922449713230611E-3</c:v>
                </c:pt>
                <c:pt idx="118">
                  <c:v>8.3743198418274808E-3</c:v>
                </c:pt>
                <c:pt idx="119">
                  <c:v>5.9478096047321039E-3</c:v>
                </c:pt>
                <c:pt idx="120">
                  <c:v>4.3546463177502898E-3</c:v>
                </c:pt>
                <c:pt idx="121">
                  <c:v>3.4641088906681482E-3</c:v>
                </c:pt>
                <c:pt idx="122">
                  <c:v>3.7827415480645109E-3</c:v>
                </c:pt>
                <c:pt idx="123">
                  <c:v>3.4722789588065165E-3</c:v>
                </c:pt>
                <c:pt idx="124">
                  <c:v>4.2239252275363976E-3</c:v>
                </c:pt>
                <c:pt idx="125">
                  <c:v>5.9069592640402617E-3</c:v>
                </c:pt>
                <c:pt idx="126">
                  <c:v>3.7173810029575648E-3</c:v>
                </c:pt>
                <c:pt idx="127">
                  <c:v>3.161816369548522E-3</c:v>
                </c:pt>
                <c:pt idx="128">
                  <c:v>2.8840340528440006E-3</c:v>
                </c:pt>
                <c:pt idx="129">
                  <c:v>2.7859932351835814E-3</c:v>
                </c:pt>
                <c:pt idx="130">
                  <c:v>2.4265102370953774E-3</c:v>
                </c:pt>
                <c:pt idx="131">
                  <c:v>2.802333371460318E-3</c:v>
                </c:pt>
                <c:pt idx="132">
                  <c:v>3.8644422294481936E-3</c:v>
                </c:pt>
                <c:pt idx="133">
                  <c:v>2.6634422131080575E-3</c:v>
                </c:pt>
                <c:pt idx="134">
                  <c:v>2.2957891468814852E-3</c:v>
                </c:pt>
                <c:pt idx="135">
                  <c:v>2.0343469664537003E-3</c:v>
                </c:pt>
                <c:pt idx="136">
                  <c:v>2.0016666939002272E-3</c:v>
                </c:pt>
                <c:pt idx="137">
                  <c:v>2.0016666939002272E-3</c:v>
                </c:pt>
                <c:pt idx="138">
                  <c:v>2.3284694194349582E-3</c:v>
                </c:pt>
                <c:pt idx="139">
                  <c:v>3.7990816843412475E-3</c:v>
                </c:pt>
                <c:pt idx="140">
                  <c:v>2.3693197601267996E-3</c:v>
                </c:pt>
                <c:pt idx="141">
                  <c:v>1.6830340365038645E-3</c:v>
                </c:pt>
                <c:pt idx="142">
                  <c:v>1.5604830144283403E-3</c:v>
                </c:pt>
                <c:pt idx="143">
                  <c:v>1.9036258762398079E-3</c:v>
                </c:pt>
                <c:pt idx="144">
                  <c:v>1.699374172780601E-3</c:v>
                </c:pt>
                <c:pt idx="145">
                  <c:v>2.0098367620385955E-3</c:v>
                </c:pt>
                <c:pt idx="146">
                  <c:v>2.8840340528440006E-3</c:v>
                </c:pt>
                <c:pt idx="147">
                  <c:v>1.9689864213467542E-3</c:v>
                </c:pt>
                <c:pt idx="148">
                  <c:v>1.5523129462899721E-3</c:v>
                </c:pt>
                <c:pt idx="149">
                  <c:v>1.6176734913969182E-3</c:v>
                </c:pt>
                <c:pt idx="150">
                  <c:v>1.4951224693213942E-3</c:v>
                </c:pt>
                <c:pt idx="151">
                  <c:v>1.5441428781516038E-3</c:v>
                </c:pt>
                <c:pt idx="152">
                  <c:v>1.666693900227128E-3</c:v>
                </c:pt>
                <c:pt idx="153">
                  <c:v>2.4020000326802726E-3</c:v>
                </c:pt>
                <c:pt idx="154">
                  <c:v>1.7402245134724424E-3</c:v>
                </c:pt>
                <c:pt idx="155">
                  <c:v>1.3317211065540287E-3</c:v>
                </c:pt>
                <c:pt idx="156">
                  <c:v>1.3562313109691335E-3</c:v>
                </c:pt>
                <c:pt idx="157">
                  <c:v>1.0702789261262439E-3</c:v>
                </c:pt>
                <c:pt idx="158">
                  <c:v>9.8040817660419296E-4</c:v>
                </c:pt>
                <c:pt idx="159">
                  <c:v>1.2255102207552411E-3</c:v>
                </c:pt>
                <c:pt idx="160">
                  <c:v>1.8709456036863348E-3</c:v>
                </c:pt>
                <c:pt idx="161">
                  <c:v>1.2663605614470824E-3</c:v>
                </c:pt>
                <c:pt idx="162">
                  <c:v>1.0539387898495073E-3</c:v>
                </c:pt>
                <c:pt idx="163">
                  <c:v>9.477279040507198E-4</c:v>
                </c:pt>
                <c:pt idx="164">
                  <c:v>9.9674831288092949E-4</c:v>
                </c:pt>
                <c:pt idx="165">
                  <c:v>9.477279040507198E-4</c:v>
                </c:pt>
                <c:pt idx="166">
                  <c:v>1.3644013791075018E-3</c:v>
                </c:pt>
                <c:pt idx="167">
                  <c:v>2.0670272390071734E-3</c:v>
                </c:pt>
                <c:pt idx="168">
                  <c:v>1.192829948201768E-3</c:v>
                </c:pt>
                <c:pt idx="169">
                  <c:v>8.2517688197519562E-4</c:v>
                </c:pt>
                <c:pt idx="170">
                  <c:v>9.5589797218908806E-4</c:v>
                </c:pt>
                <c:pt idx="171">
                  <c:v>9.8040817660419296E-4</c:v>
                </c:pt>
                <c:pt idx="172">
                  <c:v>8.5785715452866879E-4</c:v>
                </c:pt>
                <c:pt idx="173">
                  <c:v>1.0049183810192978E-3</c:v>
                </c:pt>
                <c:pt idx="174">
                  <c:v>1.7320544453340741E-3</c:v>
                </c:pt>
                <c:pt idx="175">
                  <c:v>1.1438095393715585E-3</c:v>
                </c:pt>
                <c:pt idx="176">
                  <c:v>9.0687756335887837E-4</c:v>
                </c:pt>
                <c:pt idx="177">
                  <c:v>1.013088449157666E-3</c:v>
                </c:pt>
                <c:pt idx="178">
                  <c:v>8.7419729080540532E-4</c:v>
                </c:pt>
                <c:pt idx="179">
                  <c:v>8.33346950113564E-4</c:v>
                </c:pt>
              </c:numCache>
            </c:numRef>
          </c:val>
          <c:smooth val="0"/>
          <c:extLst xmlns:c16r2="http://schemas.microsoft.com/office/drawing/2015/06/chart">
            <c:ext xmlns:c16="http://schemas.microsoft.com/office/drawing/2014/chart" uri="{C3380CC4-5D6E-409C-BE32-E72D297353CC}">
              <c16:uniqueId val="{00000002-FF35-43D0-A3DF-30300409308F}"/>
            </c:ext>
          </c:extLst>
        </c:ser>
        <c:ser>
          <c:idx val="3"/>
          <c:order val="3"/>
          <c:tx>
            <c:strRef>
              <c:f>'Sheet1 (4)'!$E$3:$E$4</c:f>
              <c:strCache>
                <c:ptCount val="1"/>
                <c:pt idx="0">
                  <c:v>RALOXIFENE</c:v>
                </c:pt>
              </c:strCache>
            </c:strRef>
          </c:tx>
          <c:marker>
            <c:symbol val="none"/>
          </c:marker>
          <c:cat>
            <c:strRef>
              <c:f>'Sheet1 (4)'!$A$5:$A$185</c:f>
              <c:strCache>
                <c:ptCount val="18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strCache>
            </c:strRef>
          </c:cat>
          <c:val>
            <c:numRef>
              <c:f>'Sheet1 (4)'!$E$5:$E$185</c:f>
              <c:numCache>
                <c:formatCode>0.00%</c:formatCode>
                <c:ptCount val="180"/>
                <c:pt idx="0">
                  <c:v>2.2452190599636461E-3</c:v>
                </c:pt>
                <c:pt idx="1">
                  <c:v>1.0952365280527383E-3</c:v>
                </c:pt>
                <c:pt idx="2">
                  <c:v>1.0936542736059705E-3</c:v>
                </c:pt>
                <c:pt idx="3">
                  <c:v>1.2056778884371377E-3</c:v>
                </c:pt>
                <c:pt idx="4">
                  <c:v>1.4309909216568863E-3</c:v>
                </c:pt>
                <c:pt idx="5">
                  <c:v>1.8195926137830817E-3</c:v>
                </c:pt>
                <c:pt idx="6">
                  <c:v>2.9654612841323929E-3</c:v>
                </c:pt>
                <c:pt idx="7">
                  <c:v>2.3876219601727568E-3</c:v>
                </c:pt>
                <c:pt idx="8">
                  <c:v>2.3116737467278976E-3</c:v>
                </c:pt>
                <c:pt idx="9">
                  <c:v>2.6132514442818592E-3</c:v>
                </c:pt>
                <c:pt idx="10">
                  <c:v>2.9664106368004536E-3</c:v>
                </c:pt>
                <c:pt idx="11">
                  <c:v>3.4262137790312046E-3</c:v>
                </c:pt>
                <c:pt idx="12">
                  <c:v>4.7084727826919087E-3</c:v>
                </c:pt>
                <c:pt idx="13">
                  <c:v>9.1207475329488658E-3</c:v>
                </c:pt>
                <c:pt idx="14">
                  <c:v>6.1688936370586775E-3</c:v>
                </c:pt>
                <c:pt idx="15">
                  <c:v>5.8986445775507206E-3</c:v>
                </c:pt>
                <c:pt idx="16">
                  <c:v>6.3961053756145473E-3</c:v>
                </c:pt>
                <c:pt idx="17">
                  <c:v>7.2571682455456372E-3</c:v>
                </c:pt>
                <c:pt idx="18">
                  <c:v>8.3261393497820295E-3</c:v>
                </c:pt>
                <c:pt idx="19">
                  <c:v>1.1790643686425016E-2</c:v>
                </c:pt>
                <c:pt idx="20">
                  <c:v>5.5280172959398084E-2</c:v>
                </c:pt>
                <c:pt idx="21">
                  <c:v>2.9727080094985901E-2</c:v>
                </c:pt>
                <c:pt idx="22">
                  <c:v>2.7538822195105898E-2</c:v>
                </c:pt>
                <c:pt idx="23">
                  <c:v>3.1143514275732521E-2</c:v>
                </c:pt>
                <c:pt idx="24">
                  <c:v>3.632887854868027E-2</c:v>
                </c:pt>
                <c:pt idx="25">
                  <c:v>4.3984774914811418E-2</c:v>
                </c:pt>
                <c:pt idx="26">
                  <c:v>6.6461965134706813E-2</c:v>
                </c:pt>
                <c:pt idx="27">
                  <c:v>0.14517912386140969</c:v>
                </c:pt>
                <c:pt idx="28">
                  <c:v>7.328053244760839E-2</c:v>
                </c:pt>
                <c:pt idx="29">
                  <c:v>5.2624200645053493E-2</c:v>
                </c:pt>
                <c:pt idx="30">
                  <c:v>4.392338344227683E-2</c:v>
                </c:pt>
                <c:pt idx="31">
                  <c:v>3.6002617681756735E-2</c:v>
                </c:pt>
                <c:pt idx="32">
                  <c:v>2.9549867596947894E-2</c:v>
                </c:pt>
                <c:pt idx="33">
                  <c:v>2.7933752905019163E-2</c:v>
                </c:pt>
                <c:pt idx="34">
                  <c:v>3.7657972283965307E-2</c:v>
                </c:pt>
                <c:pt idx="35">
                  <c:v>1.8658260887176398E-2</c:v>
                </c:pt>
                <c:pt idx="36">
                  <c:v>1.3239988759664411E-2</c:v>
                </c:pt>
                <c:pt idx="37">
                  <c:v>1.1299195455258907E-2</c:v>
                </c:pt>
                <c:pt idx="38">
                  <c:v>9.8536477926917561E-3</c:v>
                </c:pt>
                <c:pt idx="39">
                  <c:v>8.7925879606892045E-3</c:v>
                </c:pt>
                <c:pt idx="40">
                  <c:v>9.059039609524918E-3</c:v>
                </c:pt>
                <c:pt idx="41">
                  <c:v>1.3544414515222553E-2</c:v>
                </c:pt>
                <c:pt idx="42">
                  <c:v>7.0451461496787394E-3</c:v>
                </c:pt>
                <c:pt idx="43">
                  <c:v>5.2189080672192323E-3</c:v>
                </c:pt>
                <c:pt idx="44">
                  <c:v>4.6081578507668241E-3</c:v>
                </c:pt>
                <c:pt idx="45">
                  <c:v>4.1999362035007063E-3</c:v>
                </c:pt>
                <c:pt idx="46">
                  <c:v>3.872093082130398E-3</c:v>
                </c:pt>
                <c:pt idx="47">
                  <c:v>3.9736738176128971E-3</c:v>
                </c:pt>
                <c:pt idx="48">
                  <c:v>5.4815623053827032E-3</c:v>
                </c:pt>
                <c:pt idx="49">
                  <c:v>3.30026632506848E-3</c:v>
                </c:pt>
                <c:pt idx="50">
                  <c:v>2.6157830513966877E-3</c:v>
                </c:pt>
                <c:pt idx="51">
                  <c:v>2.5113542579100062E-3</c:v>
                </c:pt>
                <c:pt idx="52">
                  <c:v>2.3604071836883489E-3</c:v>
                </c:pt>
                <c:pt idx="53">
                  <c:v>2.218953636147299E-3</c:v>
                </c:pt>
                <c:pt idx="54">
                  <c:v>2.5797076500103794E-3</c:v>
                </c:pt>
                <c:pt idx="55">
                  <c:v>4.0337994865900775E-3</c:v>
                </c:pt>
                <c:pt idx="56">
                  <c:v>2.283826068464783E-3</c:v>
                </c:pt>
                <c:pt idx="57">
                  <c:v>1.8138964977747174E-3</c:v>
                </c:pt>
                <c:pt idx="58">
                  <c:v>1.6638987762211206E-3</c:v>
                </c:pt>
                <c:pt idx="59">
                  <c:v>1.5575712773983181E-3</c:v>
                </c:pt>
                <c:pt idx="60">
                  <c:v>1.4610537561454762E-3</c:v>
                </c:pt>
                <c:pt idx="61">
                  <c:v>1.5287742464671424E-3</c:v>
                </c:pt>
                <c:pt idx="62">
                  <c:v>2.0411082363305873E-3</c:v>
                </c:pt>
                <c:pt idx="63">
                  <c:v>1.2670693609717321E-3</c:v>
                </c:pt>
                <c:pt idx="64">
                  <c:v>1.0332121537394369E-3</c:v>
                </c:pt>
                <c:pt idx="65">
                  <c:v>9.506184716181526E-4</c:v>
                </c:pt>
                <c:pt idx="66">
                  <c:v>8.5821481192690748E-4</c:v>
                </c:pt>
                <c:pt idx="67">
                  <c:v>8.1486104008546701E-4</c:v>
                </c:pt>
                <c:pt idx="68">
                  <c:v>9.0125213287899422E-4</c:v>
                </c:pt>
                <c:pt idx="69">
                  <c:v>1.2474494058318101E-3</c:v>
                </c:pt>
                <c:pt idx="70">
                  <c:v>7.8796271449041281E-4</c:v>
                </c:pt>
                <c:pt idx="71">
                  <c:v>6.0663635489081175E-4</c:v>
                </c:pt>
                <c:pt idx="72">
                  <c:v>5.8416834174670768E-4</c:v>
                </c:pt>
                <c:pt idx="73">
                  <c:v>5.8575059619347556E-4</c:v>
                </c:pt>
                <c:pt idx="74">
                  <c:v>5.4682713680298523E-4</c:v>
                </c:pt>
                <c:pt idx="75">
                  <c:v>5.9872508265697234E-4</c:v>
                </c:pt>
                <c:pt idx="76">
                  <c:v>7.9682333939231308E-4</c:v>
                </c:pt>
                <c:pt idx="77">
                  <c:v>5.5094099836458185E-4</c:v>
                </c:pt>
                <c:pt idx="78">
                  <c:v>4.2974030774216087E-4</c:v>
                </c:pt>
                <c:pt idx="79">
                  <c:v>4.2562644618056436E-4</c:v>
                </c:pt>
                <c:pt idx="80">
                  <c:v>3.8860169212619558E-4</c:v>
                </c:pt>
                <c:pt idx="81">
                  <c:v>3.9208265190908491E-4</c:v>
                </c:pt>
                <c:pt idx="82">
                  <c:v>4.7182827602618697E-4</c:v>
                </c:pt>
                <c:pt idx="83">
                  <c:v>6.803694121101958E-4</c:v>
                </c:pt>
                <c:pt idx="84">
                  <c:v>4.3448707108246457E-4</c:v>
                </c:pt>
                <c:pt idx="85">
                  <c:v>3.4239986228057297E-4</c:v>
                </c:pt>
                <c:pt idx="86">
                  <c:v>3.2024830002582241E-4</c:v>
                </c:pt>
                <c:pt idx="87">
                  <c:v>3.1138767512392215E-4</c:v>
                </c:pt>
                <c:pt idx="88">
                  <c:v>3.1455218401745796E-4</c:v>
                </c:pt>
                <c:pt idx="89">
                  <c:v>3.3860245160833002E-4</c:v>
                </c:pt>
                <c:pt idx="90">
                  <c:v>4.6265120023493314E-4</c:v>
                </c:pt>
                <c:pt idx="91">
                  <c:v>3.2056475091517598E-4</c:v>
                </c:pt>
                <c:pt idx="92">
                  <c:v>2.4524943924902404E-4</c:v>
                </c:pt>
                <c:pt idx="93">
                  <c:v>2.433507339129026E-4</c:v>
                </c:pt>
                <c:pt idx="94">
                  <c:v>2.5094555525738849E-4</c:v>
                </c:pt>
                <c:pt idx="95">
                  <c:v>2.2752818944522362E-4</c:v>
                </c:pt>
                <c:pt idx="96">
                  <c:v>2.5790747482316726E-4</c:v>
                </c:pt>
                <c:pt idx="97">
                  <c:v>3.6012111208437339E-4</c:v>
                </c:pt>
                <c:pt idx="98">
                  <c:v>2.5379361326157069E-4</c:v>
                </c:pt>
                <c:pt idx="99">
                  <c:v>1.9461729695245135E-4</c:v>
                </c:pt>
                <c:pt idx="100">
                  <c:v>1.8227571226766176E-4</c:v>
                </c:pt>
                <c:pt idx="101">
                  <c:v>1.8575667205055114E-4</c:v>
                </c:pt>
                <c:pt idx="102">
                  <c:v>1.7879475248477238E-4</c:v>
                </c:pt>
                <c:pt idx="103">
                  <c:v>1.9525019873115851E-4</c:v>
                </c:pt>
                <c:pt idx="104">
                  <c:v>2.386039705725989E-4</c:v>
                </c:pt>
                <c:pt idx="105">
                  <c:v>1.7309863647640796E-4</c:v>
                </c:pt>
                <c:pt idx="106">
                  <c:v>1.5949124823420405E-4</c:v>
                </c:pt>
                <c:pt idx="107">
                  <c:v>1.4714966354941443E-4</c:v>
                </c:pt>
                <c:pt idx="108">
                  <c:v>1.4525095821329295E-4</c:v>
                </c:pt>
                <c:pt idx="109">
                  <c:v>1.2689680663078535E-4</c:v>
                </c:pt>
                <c:pt idx="110">
                  <c:v>1.6803542224675069E-4</c:v>
                </c:pt>
                <c:pt idx="111">
                  <c:v>2.4176847946613469E-4</c:v>
                </c:pt>
                <c:pt idx="112">
                  <c:v>1.3892194042622137E-4</c:v>
                </c:pt>
                <c:pt idx="113">
                  <c:v>1.2879551196690682E-4</c:v>
                </c:pt>
                <c:pt idx="114">
                  <c:v>1.2278294506918883E-4</c:v>
                </c:pt>
                <c:pt idx="115">
                  <c:v>1.2847906107755325E-4</c:v>
                </c:pt>
                <c:pt idx="116">
                  <c:v>1.230993959585424E-4</c:v>
                </c:pt>
                <c:pt idx="117">
                  <c:v>1.2879551196690682E-4</c:v>
                </c:pt>
                <c:pt idx="118">
                  <c:v>1.6550381513192203E-4</c:v>
                </c:pt>
                <c:pt idx="119">
                  <c:v>1.275297084094925E-4</c:v>
                </c:pt>
                <c:pt idx="120">
                  <c:v>1.0949200771633849E-4</c:v>
                </c:pt>
                <c:pt idx="121">
                  <c:v>1.0411234259732763E-4</c:v>
                </c:pt>
                <c:pt idx="122">
                  <c:v>9.9682030146377526E-5</c:v>
                </c:pt>
                <c:pt idx="123">
                  <c:v>1.0347944081862047E-4</c:v>
                </c:pt>
                <c:pt idx="124">
                  <c:v>1.1645392728211724E-4</c:v>
                </c:pt>
                <c:pt idx="125">
                  <c:v>1.5442803400454676E-4</c:v>
                </c:pt>
                <c:pt idx="126">
                  <c:v>1.0189718637185258E-4</c:v>
                </c:pt>
                <c:pt idx="127">
                  <c:v>9.3036561469952354E-5</c:v>
                </c:pt>
                <c:pt idx="128">
                  <c:v>9.0188503465770143E-5</c:v>
                </c:pt>
                <c:pt idx="129">
                  <c:v>8.0694976785162761E-5</c:v>
                </c:pt>
                <c:pt idx="130">
                  <c:v>8.3226583899991392E-5</c:v>
                </c:pt>
                <c:pt idx="131">
                  <c:v>9.7466873920902473E-5</c:v>
                </c:pt>
                <c:pt idx="132">
                  <c:v>1.230993959585424E-4</c:v>
                </c:pt>
                <c:pt idx="133">
                  <c:v>8.6391092793527182E-5</c:v>
                </c:pt>
                <c:pt idx="134">
                  <c:v>8.0062075006455603E-5</c:v>
                </c:pt>
                <c:pt idx="135">
                  <c:v>7.1834351883262536E-5</c:v>
                </c:pt>
                <c:pt idx="136">
                  <c:v>6.8669842989726732E-5</c:v>
                </c:pt>
                <c:pt idx="137">
                  <c:v>6.8036941211019575E-5</c:v>
                </c:pt>
                <c:pt idx="138">
                  <c:v>7.6897566112919799E-5</c:v>
                </c:pt>
                <c:pt idx="139">
                  <c:v>1.2341584684789599E-4</c:v>
                </c:pt>
                <c:pt idx="140">
                  <c:v>8.1644329453223498E-5</c:v>
                </c:pt>
                <c:pt idx="141">
                  <c:v>6.7720490321665996E-5</c:v>
                </c:pt>
                <c:pt idx="142">
                  <c:v>6.2340825202655153E-5</c:v>
                </c:pt>
                <c:pt idx="143">
                  <c:v>6.4555981428130206E-5</c:v>
                </c:pt>
                <c:pt idx="144">
                  <c:v>6.8036941211019575E-5</c:v>
                </c:pt>
                <c:pt idx="145">
                  <c:v>6.7720490321665996E-5</c:v>
                </c:pt>
                <c:pt idx="146">
                  <c:v>9.6833972142195302E-5</c:v>
                </c:pt>
                <c:pt idx="147">
                  <c:v>6.4555981428130206E-5</c:v>
                </c:pt>
                <c:pt idx="148">
                  <c:v>5.3163749411401349E-5</c:v>
                </c:pt>
                <c:pt idx="149">
                  <c:v>5.8543414530412198E-5</c:v>
                </c:pt>
                <c:pt idx="150">
                  <c:v>5.9176316309119356E-5</c:v>
                </c:pt>
                <c:pt idx="151">
                  <c:v>5.2530847632694184E-5</c:v>
                </c:pt>
                <c:pt idx="152">
                  <c:v>6.2024374313301574E-5</c:v>
                </c:pt>
                <c:pt idx="153">
                  <c:v>9.430236502736667E-5</c:v>
                </c:pt>
                <c:pt idx="154">
                  <c:v>6.5505334096190943E-5</c:v>
                </c:pt>
                <c:pt idx="155">
                  <c:v>5.0632142296572711E-5</c:v>
                </c:pt>
                <c:pt idx="156">
                  <c:v>4.9049887849804816E-5</c:v>
                </c:pt>
                <c:pt idx="157">
                  <c:v>5.0632142296572711E-5</c:v>
                </c:pt>
                <c:pt idx="158">
                  <c:v>4.6201829845622598E-5</c:v>
                </c:pt>
                <c:pt idx="159">
                  <c:v>5.8859865419765777E-5</c:v>
                </c:pt>
                <c:pt idx="160">
                  <c:v>7.7846918780980536E-5</c:v>
                </c:pt>
                <c:pt idx="161">
                  <c:v>5.6644709194290718E-5</c:v>
                </c:pt>
                <c:pt idx="162">
                  <c:v>5.2214396743340605E-5</c:v>
                </c:pt>
                <c:pt idx="163">
                  <c:v>4.6834731624329756E-5</c:v>
                </c:pt>
                <c:pt idx="164">
                  <c:v>5.1581494964633447E-5</c:v>
                </c:pt>
                <c:pt idx="165">
                  <c:v>4.556892806691544E-5</c:v>
                </c:pt>
                <c:pt idx="166">
                  <c:v>6.4555981428130206E-5</c:v>
                </c:pt>
                <c:pt idx="167">
                  <c:v>8.3543034789344971E-5</c:v>
                </c:pt>
                <c:pt idx="168">
                  <c:v>5.8543414530412198E-5</c:v>
                </c:pt>
                <c:pt idx="169">
                  <c:v>5.0632142296572711E-5</c:v>
                </c:pt>
                <c:pt idx="170">
                  <c:v>4.9366338739158395E-5</c:v>
                </c:pt>
                <c:pt idx="171">
                  <c:v>5.0632142296572711E-5</c:v>
                </c:pt>
                <c:pt idx="172">
                  <c:v>5.8543414530412198E-5</c:v>
                </c:pt>
                <c:pt idx="173">
                  <c:v>5.7594061862351455E-5</c:v>
                </c:pt>
                <c:pt idx="174">
                  <c:v>7.4049508108737589E-5</c:v>
                </c:pt>
                <c:pt idx="175">
                  <c:v>5.5378905636876402E-5</c:v>
                </c:pt>
                <c:pt idx="176">
                  <c:v>4.9366338739158395E-5</c:v>
                </c:pt>
                <c:pt idx="177">
                  <c:v>5.1265044075279869E-5</c:v>
                </c:pt>
                <c:pt idx="178">
                  <c:v>4.6834731624329756E-5</c:v>
                </c:pt>
                <c:pt idx="179">
                  <c:v>4.7467633403036914E-5</c:v>
                </c:pt>
              </c:numCache>
            </c:numRef>
          </c:val>
          <c:smooth val="0"/>
          <c:extLst xmlns:c16r2="http://schemas.microsoft.com/office/drawing/2015/06/chart">
            <c:ext xmlns:c16="http://schemas.microsoft.com/office/drawing/2014/chart" uri="{C3380CC4-5D6E-409C-BE32-E72D297353CC}">
              <c16:uniqueId val="{00000003-FF35-43D0-A3DF-30300409308F}"/>
            </c:ext>
          </c:extLst>
        </c:ser>
        <c:ser>
          <c:idx val="4"/>
          <c:order val="4"/>
          <c:tx>
            <c:strRef>
              <c:f>'Sheet1 (4)'!$F$3:$F$4</c:f>
              <c:strCache>
                <c:ptCount val="1"/>
                <c:pt idx="0">
                  <c:v>RISEDRONATE (incl. combination products)</c:v>
                </c:pt>
              </c:strCache>
            </c:strRef>
          </c:tx>
          <c:marker>
            <c:symbol val="none"/>
          </c:marker>
          <c:cat>
            <c:strRef>
              <c:f>'Sheet1 (4)'!$A$5:$A$185</c:f>
              <c:strCache>
                <c:ptCount val="18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strCache>
            </c:strRef>
          </c:cat>
          <c:val>
            <c:numRef>
              <c:f>'Sheet1 (4)'!$F$5:$F$185</c:f>
              <c:numCache>
                <c:formatCode>0.00%</c:formatCode>
                <c:ptCount val="180"/>
                <c:pt idx="0">
                  <c:v>1.9382030911004131E-3</c:v>
                </c:pt>
                <c:pt idx="1">
                  <c:v>1.3130768812446545E-3</c:v>
                </c:pt>
                <c:pt idx="2">
                  <c:v>1.3363508343065674E-3</c:v>
                </c:pt>
                <c:pt idx="3">
                  <c:v>1.4191026674155911E-3</c:v>
                </c:pt>
                <c:pt idx="4">
                  <c:v>1.6056745852615791E-3</c:v>
                </c:pt>
                <c:pt idx="5">
                  <c:v>2.0305383166466951E-3</c:v>
                </c:pt>
                <c:pt idx="6">
                  <c:v>3.2029827168080912E-3</c:v>
                </c:pt>
                <c:pt idx="7">
                  <c:v>2.4124288994044228E-3</c:v>
                </c:pt>
                <c:pt idx="8">
                  <c:v>2.2946140193622557E-3</c:v>
                </c:pt>
                <c:pt idx="9">
                  <c:v>2.5333621849222051E-3</c:v>
                </c:pt>
                <c:pt idx="10">
                  <c:v>2.8196470193177611E-3</c:v>
                </c:pt>
                <c:pt idx="11">
                  <c:v>3.1954529084645316E-3</c:v>
                </c:pt>
                <c:pt idx="12">
                  <c:v>4.2301550570078743E-3</c:v>
                </c:pt>
                <c:pt idx="13">
                  <c:v>7.8230905756082134E-3</c:v>
                </c:pt>
                <c:pt idx="14">
                  <c:v>5.4305890477796765E-3</c:v>
                </c:pt>
                <c:pt idx="15">
                  <c:v>5.2735278939468324E-3</c:v>
                </c:pt>
                <c:pt idx="16">
                  <c:v>5.8842029564765671E-3</c:v>
                </c:pt>
                <c:pt idx="17">
                  <c:v>6.7290626643580322E-3</c:v>
                </c:pt>
                <c:pt idx="18">
                  <c:v>7.8107690710460236E-3</c:v>
                </c:pt>
                <c:pt idx="19">
                  <c:v>1.0915864279387835E-2</c:v>
                </c:pt>
                <c:pt idx="20">
                  <c:v>5.9679511581643849E-2</c:v>
                </c:pt>
                <c:pt idx="21">
                  <c:v>3.1921975973826691E-2</c:v>
                </c:pt>
                <c:pt idx="22">
                  <c:v>2.9070764606402087E-2</c:v>
                </c:pt>
                <c:pt idx="23">
                  <c:v>3.2174186524000885E-2</c:v>
                </c:pt>
                <c:pt idx="24">
                  <c:v>3.6698536517098562E-2</c:v>
                </c:pt>
                <c:pt idx="25">
                  <c:v>4.3158199371831442E-2</c:v>
                </c:pt>
                <c:pt idx="26">
                  <c:v>6.2663141093776922E-2</c:v>
                </c:pt>
                <c:pt idx="27">
                  <c:v>0.13353651139415923</c:v>
                </c:pt>
                <c:pt idx="28">
                  <c:v>6.6471550824875297E-2</c:v>
                </c:pt>
                <c:pt idx="29">
                  <c:v>4.8400162917671435E-2</c:v>
                </c:pt>
                <c:pt idx="30">
                  <c:v>4.0982312936552995E-2</c:v>
                </c:pt>
                <c:pt idx="31">
                  <c:v>3.4295082540770301E-2</c:v>
                </c:pt>
                <c:pt idx="32">
                  <c:v>2.9003832976681552E-2</c:v>
                </c:pt>
                <c:pt idx="33">
                  <c:v>2.8149694111043375E-2</c:v>
                </c:pt>
                <c:pt idx="34">
                  <c:v>3.8438987065842853E-2</c:v>
                </c:pt>
                <c:pt idx="35">
                  <c:v>1.9230674157431561E-2</c:v>
                </c:pt>
                <c:pt idx="36">
                  <c:v>1.3905654543801998E-2</c:v>
                </c:pt>
                <c:pt idx="37">
                  <c:v>1.1820658219337232E-2</c:v>
                </c:pt>
                <c:pt idx="38">
                  <c:v>1.0391135514112877E-2</c:v>
                </c:pt>
                <c:pt idx="39">
                  <c:v>9.2950540187689973E-3</c:v>
                </c:pt>
                <c:pt idx="40">
                  <c:v>9.6319178688056388E-3</c:v>
                </c:pt>
                <c:pt idx="41">
                  <c:v>1.4421408386000794E-2</c:v>
                </c:pt>
                <c:pt idx="42">
                  <c:v>7.5395438533375873E-3</c:v>
                </c:pt>
                <c:pt idx="43">
                  <c:v>5.708355311119892E-3</c:v>
                </c:pt>
                <c:pt idx="44">
                  <c:v>5.1104581051731688E-3</c:v>
                </c:pt>
                <c:pt idx="45">
                  <c:v>4.6164570426335469E-3</c:v>
                </c:pt>
                <c:pt idx="46">
                  <c:v>4.265370221281292E-3</c:v>
                </c:pt>
                <c:pt idx="47">
                  <c:v>4.5503620582845192E-3</c:v>
                </c:pt>
                <c:pt idx="48">
                  <c:v>6.2053987204649923E-3</c:v>
                </c:pt>
                <c:pt idx="49">
                  <c:v>3.8617268588643909E-3</c:v>
                </c:pt>
                <c:pt idx="50">
                  <c:v>3.1117883713138641E-3</c:v>
                </c:pt>
                <c:pt idx="51">
                  <c:v>2.9424817715889683E-3</c:v>
                </c:pt>
                <c:pt idx="52">
                  <c:v>2.7823782709506459E-3</c:v>
                </c:pt>
                <c:pt idx="53">
                  <c:v>2.7027448433172381E-3</c:v>
                </c:pt>
                <c:pt idx="54">
                  <c:v>3.0780943804431865E-3</c:v>
                </c:pt>
                <c:pt idx="55">
                  <c:v>4.8775664572137658E-3</c:v>
                </c:pt>
                <c:pt idx="56">
                  <c:v>2.8433773244004958E-3</c:v>
                </c:pt>
                <c:pt idx="57">
                  <c:v>2.2501196973321279E-3</c:v>
                </c:pt>
                <c:pt idx="58">
                  <c:v>2.1365641028176317E-3</c:v>
                </c:pt>
                <c:pt idx="59">
                  <c:v>2.0056671315119056E-3</c:v>
                </c:pt>
                <c:pt idx="60">
                  <c:v>1.9174390741530203E-3</c:v>
                </c:pt>
                <c:pt idx="61">
                  <c:v>2.0354060715354612E-3</c:v>
                </c:pt>
                <c:pt idx="62">
                  <c:v>2.72830055648326E-3</c:v>
                </c:pt>
                <c:pt idx="63">
                  <c:v>1.6765612658292354E-3</c:v>
                </c:pt>
                <c:pt idx="64">
                  <c:v>1.3595487286983433E-3</c:v>
                </c:pt>
                <c:pt idx="65">
                  <c:v>1.2599118708189123E-3</c:v>
                </c:pt>
                <c:pt idx="66">
                  <c:v>1.1506155618320861E-3</c:v>
                </c:pt>
                <c:pt idx="67">
                  <c:v>1.0899207430627837E-3</c:v>
                </c:pt>
                <c:pt idx="68">
                  <c:v>1.1979240546572815E-3</c:v>
                </c:pt>
                <c:pt idx="69">
                  <c:v>1.695347757353067E-3</c:v>
                </c:pt>
                <c:pt idx="70">
                  <c:v>1.0439813063000537E-3</c:v>
                </c:pt>
                <c:pt idx="71">
                  <c:v>8.5702909510338083E-4</c:v>
                </c:pt>
                <c:pt idx="72">
                  <c:v>7.9359616420914762E-4</c:v>
                </c:pt>
                <c:pt idx="73">
                  <c:v>7.5906552796696318E-4</c:v>
                </c:pt>
                <c:pt idx="74">
                  <c:v>7.3153228937737993E-4</c:v>
                </c:pt>
                <c:pt idx="75">
                  <c:v>7.8926082001134037E-4</c:v>
                </c:pt>
                <c:pt idx="76">
                  <c:v>1.0701454888271714E-3</c:v>
                </c:pt>
                <c:pt idx="77">
                  <c:v>7.2445883305464174E-4</c:v>
                </c:pt>
                <c:pt idx="78">
                  <c:v>6.1432587869630873E-4</c:v>
                </c:pt>
                <c:pt idx="79">
                  <c:v>5.8542358404426007E-4</c:v>
                </c:pt>
                <c:pt idx="80">
                  <c:v>5.6412715640590839E-4</c:v>
                </c:pt>
                <c:pt idx="81">
                  <c:v>5.5515223332974588E-4</c:v>
                </c:pt>
                <c:pt idx="82">
                  <c:v>6.3790406643876954E-4</c:v>
                </c:pt>
                <c:pt idx="83">
                  <c:v>9.5362360617733306E-4</c:v>
                </c:pt>
                <c:pt idx="84">
                  <c:v>6.0238466748480438E-4</c:v>
                </c:pt>
                <c:pt idx="85">
                  <c:v>5.0069422551167518E-4</c:v>
                </c:pt>
                <c:pt idx="86">
                  <c:v>4.7232434155058527E-4</c:v>
                </c:pt>
                <c:pt idx="87">
                  <c:v>4.5642807949195852E-4</c:v>
                </c:pt>
                <c:pt idx="88">
                  <c:v>4.433459882283996E-4</c:v>
                </c:pt>
                <c:pt idx="89">
                  <c:v>5.0358445497688002E-4</c:v>
                </c:pt>
                <c:pt idx="90">
                  <c:v>6.9228601558670323E-4</c:v>
                </c:pt>
                <c:pt idx="91">
                  <c:v>4.62817007783464E-4</c:v>
                </c:pt>
                <c:pt idx="92">
                  <c:v>3.8744286567772649E-4</c:v>
                </c:pt>
                <c:pt idx="93">
                  <c:v>3.6188715251170446E-4</c:v>
                </c:pt>
                <c:pt idx="94">
                  <c:v>3.5055441066129592E-4</c:v>
                </c:pt>
                <c:pt idx="95">
                  <c:v>3.3770049540814796E-4</c:v>
                </c:pt>
                <c:pt idx="96">
                  <c:v>3.8660622030621983E-4</c:v>
                </c:pt>
                <c:pt idx="97">
                  <c:v>5.412334966946803E-4</c:v>
                </c:pt>
                <c:pt idx="98">
                  <c:v>3.5466157884869232E-4</c:v>
                </c:pt>
                <c:pt idx="99">
                  <c:v>2.8985959189199365E-4</c:v>
                </c:pt>
                <c:pt idx="100">
                  <c:v>2.7137733504870986E-4</c:v>
                </c:pt>
                <c:pt idx="101">
                  <c:v>2.6825892957309407E-4</c:v>
                </c:pt>
                <c:pt idx="102">
                  <c:v>2.5844736112542495E-4</c:v>
                </c:pt>
                <c:pt idx="103">
                  <c:v>2.8772994912815847E-4</c:v>
                </c:pt>
                <c:pt idx="104">
                  <c:v>3.8204270009800157E-4</c:v>
                </c:pt>
                <c:pt idx="105">
                  <c:v>2.6841104691336802E-4</c:v>
                </c:pt>
                <c:pt idx="106">
                  <c:v>2.42931392417483E-4</c:v>
                </c:pt>
                <c:pt idx="107">
                  <c:v>2.2315613818187072E-4</c:v>
                </c:pt>
                <c:pt idx="108">
                  <c:v>2.2026590871666586E-4</c:v>
                </c:pt>
                <c:pt idx="109">
                  <c:v>2.1425727377584521E-4</c:v>
                </c:pt>
                <c:pt idx="110">
                  <c:v>2.4407227246953756E-4</c:v>
                </c:pt>
                <c:pt idx="111">
                  <c:v>3.6021386176869114E-4</c:v>
                </c:pt>
                <c:pt idx="112">
                  <c:v>2.3601005343501871E-4</c:v>
                </c:pt>
                <c:pt idx="113">
                  <c:v>1.9630742762352023E-4</c:v>
                </c:pt>
                <c:pt idx="114">
                  <c:v>1.920481420958499E-4</c:v>
                </c:pt>
                <c:pt idx="115">
                  <c:v>1.9220025943612383E-4</c:v>
                </c:pt>
                <c:pt idx="116">
                  <c:v>1.845943924224268E-4</c:v>
                </c:pt>
                <c:pt idx="117">
                  <c:v>2.0779228681420275E-4</c:v>
                </c:pt>
                <c:pt idx="118">
                  <c:v>2.8354672227062512E-4</c:v>
                </c:pt>
                <c:pt idx="119">
                  <c:v>2.0855287351557243E-4</c:v>
                </c:pt>
                <c:pt idx="120">
                  <c:v>1.7828152280105827E-4</c:v>
                </c:pt>
                <c:pt idx="121">
                  <c:v>1.6801360233256729E-4</c:v>
                </c:pt>
                <c:pt idx="122">
                  <c:v>1.6230920207229452E-4</c:v>
                </c:pt>
                <c:pt idx="123">
                  <c:v>1.6717695696106063E-4</c:v>
                </c:pt>
                <c:pt idx="124">
                  <c:v>1.7896605083229101E-4</c:v>
                </c:pt>
                <c:pt idx="125">
                  <c:v>2.4863579267775577E-4</c:v>
                </c:pt>
                <c:pt idx="126">
                  <c:v>1.6748119164160851E-4</c:v>
                </c:pt>
                <c:pt idx="127">
                  <c:v>1.4397906256928469E-4</c:v>
                </c:pt>
                <c:pt idx="128">
                  <c:v>1.3363508343065673E-4</c:v>
                </c:pt>
                <c:pt idx="129">
                  <c:v>1.2968003258353428E-4</c:v>
                </c:pt>
                <c:pt idx="130">
                  <c:v>1.3310267273969795E-4</c:v>
                </c:pt>
                <c:pt idx="131">
                  <c:v>1.50900401551749E-4</c:v>
                </c:pt>
                <c:pt idx="132">
                  <c:v>1.9509048890132871E-4</c:v>
                </c:pt>
                <c:pt idx="133">
                  <c:v>1.4169730246517558E-4</c:v>
                </c:pt>
                <c:pt idx="134">
                  <c:v>1.2382351498298758E-4</c:v>
                </c:pt>
                <c:pt idx="135">
                  <c:v>1.2123752019833058E-4</c:v>
                </c:pt>
                <c:pt idx="136">
                  <c:v>1.1325135983394871E-4</c:v>
                </c:pt>
                <c:pt idx="137">
                  <c:v>1.1667399999011238E-4</c:v>
                </c:pt>
                <c:pt idx="138">
                  <c:v>1.3036456061476701E-4</c:v>
                </c:pt>
                <c:pt idx="139">
                  <c:v>1.9676377964434206E-4</c:v>
                </c:pt>
                <c:pt idx="140">
                  <c:v>1.2815885918079488E-4</c:v>
                </c:pt>
                <c:pt idx="141">
                  <c:v>1.0982871967778505E-4</c:v>
                </c:pt>
                <c:pt idx="142">
                  <c:v>1.0701454888271715E-4</c:v>
                </c:pt>
                <c:pt idx="143">
                  <c:v>9.9941092559978912E-5</c:v>
                </c:pt>
                <c:pt idx="144">
                  <c:v>1.0237497000436197E-4</c:v>
                </c:pt>
                <c:pt idx="145">
                  <c:v>1.2260657626079606E-4</c:v>
                </c:pt>
                <c:pt idx="146">
                  <c:v>1.6253737808270545E-4</c:v>
                </c:pt>
                <c:pt idx="147">
                  <c:v>1.1370771185477054E-4</c:v>
                </c:pt>
                <c:pt idx="148">
                  <c:v>9.8419919157239505E-5</c:v>
                </c:pt>
                <c:pt idx="149">
                  <c:v>1.0085379660162256E-4</c:v>
                </c:pt>
                <c:pt idx="150">
                  <c:v>9.7887508466280724E-5</c:v>
                </c:pt>
                <c:pt idx="151">
                  <c:v>9.8191743146828602E-5</c:v>
                </c:pt>
                <c:pt idx="152">
                  <c:v>1.0876389829586746E-4</c:v>
                </c:pt>
                <c:pt idx="153">
                  <c:v>1.5599633245092599E-4</c:v>
                </c:pt>
                <c:pt idx="154">
                  <c:v>1.0556943415011472E-4</c:v>
                </c:pt>
                <c:pt idx="155">
                  <c:v>8.5794179914502444E-5</c:v>
                </c:pt>
                <c:pt idx="156">
                  <c:v>8.9673172091487931E-5</c:v>
                </c:pt>
                <c:pt idx="157">
                  <c:v>8.7163235976967911E-5</c:v>
                </c:pt>
                <c:pt idx="158">
                  <c:v>8.7999881348474585E-5</c:v>
                </c:pt>
                <c:pt idx="159">
                  <c:v>9.4769102990664933E-5</c:v>
                </c:pt>
                <c:pt idx="160">
                  <c:v>1.3059273662517794E-4</c:v>
                </c:pt>
                <c:pt idx="161">
                  <c:v>9.2411284216418866E-5</c:v>
                </c:pt>
                <c:pt idx="162">
                  <c:v>8.2751833109023643E-5</c:v>
                </c:pt>
                <c:pt idx="163">
                  <c:v>7.6058670136970258E-5</c:v>
                </c:pt>
                <c:pt idx="164">
                  <c:v>7.8112254230668459E-5</c:v>
                </c:pt>
                <c:pt idx="165">
                  <c:v>7.9633427633407853E-5</c:v>
                </c:pt>
                <c:pt idx="166">
                  <c:v>9.1726756185186133E-5</c:v>
                </c:pt>
                <c:pt idx="167">
                  <c:v>1.2998426726408216E-4</c:v>
                </c:pt>
                <c:pt idx="168">
                  <c:v>9.5073337671212825E-5</c:v>
                </c:pt>
                <c:pt idx="169">
                  <c:v>8.6859001296420033E-5</c:v>
                </c:pt>
                <c:pt idx="170">
                  <c:v>7.9177075612586035E-5</c:v>
                </c:pt>
                <c:pt idx="171">
                  <c:v>7.5374142105737524E-5</c:v>
                </c:pt>
                <c:pt idx="172">
                  <c:v>7.4157203383545995E-5</c:v>
                </c:pt>
                <c:pt idx="173">
                  <c:v>8.7239294647104888E-5</c:v>
                </c:pt>
                <c:pt idx="174">
                  <c:v>1.1188230377148325E-4</c:v>
                </c:pt>
                <c:pt idx="175">
                  <c:v>8.1687011727106054E-5</c:v>
                </c:pt>
                <c:pt idx="176">
                  <c:v>7.1114856578067195E-5</c:v>
                </c:pt>
                <c:pt idx="177">
                  <c:v>6.9365507164916872E-5</c:v>
                </c:pt>
                <c:pt idx="178">
                  <c:v>7.0126093866286582E-5</c:v>
                </c:pt>
                <c:pt idx="179">
                  <c:v>7.3624792692587214E-5</c:v>
                </c:pt>
              </c:numCache>
            </c:numRef>
          </c:val>
          <c:smooth val="0"/>
          <c:extLst xmlns:c16r2="http://schemas.microsoft.com/office/drawing/2015/06/chart">
            <c:ext xmlns:c16="http://schemas.microsoft.com/office/drawing/2014/chart" uri="{C3380CC4-5D6E-409C-BE32-E72D297353CC}">
              <c16:uniqueId val="{00000004-FF35-43D0-A3DF-30300409308F}"/>
            </c:ext>
          </c:extLst>
        </c:ser>
        <c:ser>
          <c:idx val="5"/>
          <c:order val="5"/>
          <c:tx>
            <c:strRef>
              <c:f>'Sheet1 (4)'!$G$3:$G$4</c:f>
              <c:strCache>
                <c:ptCount val="1"/>
                <c:pt idx="0">
                  <c:v>STRONTIUM</c:v>
                </c:pt>
              </c:strCache>
            </c:strRef>
          </c:tx>
          <c:marker>
            <c:symbol val="none"/>
          </c:marker>
          <c:cat>
            <c:strRef>
              <c:f>'Sheet1 (4)'!$A$5:$A$185</c:f>
              <c:strCache>
                <c:ptCount val="18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strCache>
            </c:strRef>
          </c:cat>
          <c:val>
            <c:numRef>
              <c:f>'Sheet1 (4)'!$G$5:$G$185</c:f>
              <c:numCache>
                <c:formatCode>0.00%</c:formatCode>
                <c:ptCount val="180"/>
                <c:pt idx="0">
                  <c:v>2.6571802028900631E-3</c:v>
                </c:pt>
                <c:pt idx="1">
                  <c:v>1.1225827081004171E-3</c:v>
                </c:pt>
                <c:pt idx="2">
                  <c:v>1.0469416067889034E-3</c:v>
                </c:pt>
                <c:pt idx="3">
                  <c:v>1.0274582928147258E-3</c:v>
                </c:pt>
                <c:pt idx="4">
                  <c:v>1.1145601670522261E-3</c:v>
                </c:pt>
                <c:pt idx="5">
                  <c:v>1.3873265626907145E-3</c:v>
                </c:pt>
                <c:pt idx="6">
                  <c:v>2.1546253100855374E-3</c:v>
                </c:pt>
                <c:pt idx="7">
                  <c:v>1.5964856685899754E-3</c:v>
                </c:pt>
                <c:pt idx="8">
                  <c:v>1.5368896493748434E-3</c:v>
                </c:pt>
                <c:pt idx="9">
                  <c:v>1.7695433397723775E-3</c:v>
                </c:pt>
                <c:pt idx="10">
                  <c:v>1.9225446583343026E-3</c:v>
                </c:pt>
                <c:pt idx="11">
                  <c:v>2.1867154742783008E-3</c:v>
                </c:pt>
                <c:pt idx="12">
                  <c:v>2.7448551157738628E-3</c:v>
                </c:pt>
                <c:pt idx="13">
                  <c:v>5.155055662108908E-3</c:v>
                </c:pt>
                <c:pt idx="14">
                  <c:v>3.5373675636058573E-3</c:v>
                </c:pt>
                <c:pt idx="15">
                  <c:v>3.4227598343459882E-3</c:v>
                </c:pt>
                <c:pt idx="16">
                  <c:v>3.8892132924336549E-3</c:v>
                </c:pt>
                <c:pt idx="17">
                  <c:v>4.5207018806555331E-3</c:v>
                </c:pt>
                <c:pt idx="18">
                  <c:v>5.3980240481398302E-3</c:v>
                </c:pt>
                <c:pt idx="19">
                  <c:v>7.6787178604112239E-3</c:v>
                </c:pt>
                <c:pt idx="20">
                  <c:v>4.6106689481245307E-2</c:v>
                </c:pt>
                <c:pt idx="21">
                  <c:v>2.3900868898499385E-2</c:v>
                </c:pt>
                <c:pt idx="22">
                  <c:v>2.226885483383885E-2</c:v>
                </c:pt>
                <c:pt idx="23">
                  <c:v>2.5425151697655642E-2</c:v>
                </c:pt>
                <c:pt idx="24">
                  <c:v>2.9467939347297523E-2</c:v>
                </c:pt>
                <c:pt idx="25">
                  <c:v>3.4840176656353881E-2</c:v>
                </c:pt>
                <c:pt idx="26">
                  <c:v>5.0383276898577314E-2</c:v>
                </c:pt>
                <c:pt idx="27">
                  <c:v>0.11047955885192853</c:v>
                </c:pt>
                <c:pt idx="28">
                  <c:v>5.9165667191761077E-2</c:v>
                </c:pt>
                <c:pt idx="29">
                  <c:v>4.6976562146327713E-2</c:v>
                </c:pt>
                <c:pt idx="30">
                  <c:v>4.1988833768938208E-2</c:v>
                </c:pt>
                <c:pt idx="31">
                  <c:v>3.6414313817738179E-2</c:v>
                </c:pt>
                <c:pt idx="32">
                  <c:v>3.1315988981612912E-2</c:v>
                </c:pt>
                <c:pt idx="33">
                  <c:v>3.0932053088592346E-2</c:v>
                </c:pt>
                <c:pt idx="34">
                  <c:v>4.4401899508504754E-2</c:v>
                </c:pt>
                <c:pt idx="35">
                  <c:v>2.2756510721839592E-2</c:v>
                </c:pt>
                <c:pt idx="36">
                  <c:v>1.6714391235259297E-2</c:v>
                </c:pt>
                <c:pt idx="37">
                  <c:v>1.488353276033289E-2</c:v>
                </c:pt>
                <c:pt idx="38">
                  <c:v>1.3282462782572519E-2</c:v>
                </c:pt>
                <c:pt idx="39">
                  <c:v>1.2123778639755244E-2</c:v>
                </c:pt>
                <c:pt idx="40">
                  <c:v>1.267905308801931E-2</c:v>
                </c:pt>
                <c:pt idx="41">
                  <c:v>1.983630578029813E-2</c:v>
                </c:pt>
                <c:pt idx="42">
                  <c:v>1.0405235739503508E-2</c:v>
                </c:pt>
                <c:pt idx="43">
                  <c:v>8.0786988355281662E-3</c:v>
                </c:pt>
                <c:pt idx="44">
                  <c:v>7.354951025252094E-3</c:v>
                </c:pt>
                <c:pt idx="45">
                  <c:v>6.7332040940173048E-3</c:v>
                </c:pt>
                <c:pt idx="46">
                  <c:v>6.393392176761793E-3</c:v>
                </c:pt>
                <c:pt idx="47">
                  <c:v>6.7429457510043934E-3</c:v>
                </c:pt>
                <c:pt idx="48">
                  <c:v>9.845376982069047E-3</c:v>
                </c:pt>
                <c:pt idx="49">
                  <c:v>5.9922651243522517E-3</c:v>
                </c:pt>
                <c:pt idx="50">
                  <c:v>4.8685363389592354E-3</c:v>
                </c:pt>
                <c:pt idx="51">
                  <c:v>4.6673997741081656E-3</c:v>
                </c:pt>
                <c:pt idx="52">
                  <c:v>4.3997907262863711E-3</c:v>
                </c:pt>
                <c:pt idx="53">
                  <c:v>4.2072497411297918E-3</c:v>
                </c:pt>
                <c:pt idx="54">
                  <c:v>4.9218289330650745E-3</c:v>
                </c:pt>
                <c:pt idx="55">
                  <c:v>8.0093611593259461E-3</c:v>
                </c:pt>
                <c:pt idx="56">
                  <c:v>4.5585224313112903E-3</c:v>
                </c:pt>
                <c:pt idx="57">
                  <c:v>3.7190208144827494E-3</c:v>
                </c:pt>
                <c:pt idx="58">
                  <c:v>3.5001200515963997E-3</c:v>
                </c:pt>
                <c:pt idx="59">
                  <c:v>3.4565691144776496E-3</c:v>
                </c:pt>
                <c:pt idx="60">
                  <c:v>3.161454211633487E-3</c:v>
                </c:pt>
                <c:pt idx="61">
                  <c:v>3.4749063511592287E-3</c:v>
                </c:pt>
                <c:pt idx="62">
                  <c:v>4.9516269426726411E-3</c:v>
                </c:pt>
                <c:pt idx="63">
                  <c:v>2.9775088061713968E-3</c:v>
                </c:pt>
                <c:pt idx="64">
                  <c:v>2.3414359087791238E-3</c:v>
                </c:pt>
                <c:pt idx="65">
                  <c:v>2.1964571312653898E-3</c:v>
                </c:pt>
                <c:pt idx="66">
                  <c:v>2.0904449817000107E-3</c:v>
                </c:pt>
                <c:pt idx="67">
                  <c:v>1.9981857596458163E-3</c:v>
                </c:pt>
                <c:pt idx="68">
                  <c:v>2.1827042037542055E-3</c:v>
                </c:pt>
                <c:pt idx="69">
                  <c:v>3.2772080181859547E-3</c:v>
                </c:pt>
                <c:pt idx="70">
                  <c:v>2.0004779142310134E-3</c:v>
                </c:pt>
                <c:pt idx="71">
                  <c:v>1.5896092048343833E-3</c:v>
                </c:pt>
                <c:pt idx="72">
                  <c:v>1.5196984899858632E-3</c:v>
                </c:pt>
                <c:pt idx="73">
                  <c:v>1.4899004803782972E-3</c:v>
                </c:pt>
                <c:pt idx="74">
                  <c:v>1.3878996013370138E-3</c:v>
                </c:pt>
                <c:pt idx="75">
                  <c:v>1.5368896493748434E-3</c:v>
                </c:pt>
                <c:pt idx="76">
                  <c:v>2.2589183437120184E-3</c:v>
                </c:pt>
                <c:pt idx="77">
                  <c:v>1.4537990456614384E-3</c:v>
                </c:pt>
                <c:pt idx="78">
                  <c:v>1.2102576209842167E-3</c:v>
                </c:pt>
                <c:pt idx="79">
                  <c:v>1.1025263554799399E-3</c:v>
                </c:pt>
                <c:pt idx="80">
                  <c:v>1.1157062443448249E-3</c:v>
                </c:pt>
                <c:pt idx="81">
                  <c:v>1.1139871284059268E-3</c:v>
                </c:pt>
                <c:pt idx="82">
                  <c:v>1.2641232537363553E-3</c:v>
                </c:pt>
                <c:pt idx="83">
                  <c:v>1.9752642137938425E-3</c:v>
                </c:pt>
                <c:pt idx="84">
                  <c:v>1.2142688915083122E-3</c:v>
                </c:pt>
                <c:pt idx="85">
                  <c:v>1.0137053653035415E-3</c:v>
                </c:pt>
                <c:pt idx="86">
                  <c:v>9.7072746683109061E-4</c:v>
                </c:pt>
                <c:pt idx="87">
                  <c:v>9.3233387752903439E-4</c:v>
                </c:pt>
                <c:pt idx="88">
                  <c:v>8.6414227861941241E-4</c:v>
                </c:pt>
                <c:pt idx="89">
                  <c:v>1.0297504473999232E-3</c:v>
                </c:pt>
                <c:pt idx="90">
                  <c:v>1.5082377170598763E-3</c:v>
                </c:pt>
                <c:pt idx="91">
                  <c:v>9.5009807556431416E-4</c:v>
                </c:pt>
                <c:pt idx="92">
                  <c:v>7.7704040438191196E-4</c:v>
                </c:pt>
                <c:pt idx="93">
                  <c:v>7.6500659280962565E-4</c:v>
                </c:pt>
                <c:pt idx="94">
                  <c:v>6.9280372337590819E-4</c:v>
                </c:pt>
                <c:pt idx="95">
                  <c:v>6.9566891660740487E-4</c:v>
                </c:pt>
                <c:pt idx="96">
                  <c:v>7.7646736573561256E-4</c:v>
                </c:pt>
                <c:pt idx="97">
                  <c:v>1.1317513264412066E-3</c:v>
                </c:pt>
                <c:pt idx="98">
                  <c:v>7.1687134652048071E-4</c:v>
                </c:pt>
                <c:pt idx="99">
                  <c:v>6.0512881049210835E-4</c:v>
                </c:pt>
                <c:pt idx="100">
                  <c:v>5.455327912769765E-4</c:v>
                </c:pt>
                <c:pt idx="101">
                  <c:v>5.5699356420296341E-4</c:v>
                </c:pt>
                <c:pt idx="102">
                  <c:v>5.4839798450847328E-4</c:v>
                </c:pt>
                <c:pt idx="103">
                  <c:v>5.6845433712895033E-4</c:v>
                </c:pt>
                <c:pt idx="104">
                  <c:v>8.5898493080271824E-4</c:v>
                </c:pt>
                <c:pt idx="105">
                  <c:v>5.856454965179307E-4</c:v>
                </c:pt>
                <c:pt idx="106">
                  <c:v>5.065661633286211E-4</c:v>
                </c:pt>
                <c:pt idx="107">
                  <c:v>4.7218384455066035E-4</c:v>
                </c:pt>
                <c:pt idx="108">
                  <c:v>4.3550937118750228E-4</c:v>
                </c:pt>
                <c:pt idx="109">
                  <c:v>4.7390296048955839E-4</c:v>
                </c:pt>
                <c:pt idx="110">
                  <c:v>5.4897102315477257E-4</c:v>
                </c:pt>
                <c:pt idx="111">
                  <c:v>8.1486095503766867E-4</c:v>
                </c:pt>
                <c:pt idx="112">
                  <c:v>5.581396414955621E-4</c:v>
                </c:pt>
                <c:pt idx="113">
                  <c:v>4.3493633254120293E-4</c:v>
                </c:pt>
                <c:pt idx="114">
                  <c:v>3.9023931812985402E-4</c:v>
                </c:pt>
                <c:pt idx="115">
                  <c:v>3.7476727467977168E-4</c:v>
                </c:pt>
                <c:pt idx="116">
                  <c:v>4.0399224564103826E-4</c:v>
                </c:pt>
                <c:pt idx="117">
                  <c:v>4.6129611027097278E-4</c:v>
                </c:pt>
                <c:pt idx="118">
                  <c:v>6.4008416791636849E-4</c:v>
                </c:pt>
                <c:pt idx="119">
                  <c:v>4.5556572380797933E-4</c:v>
                </c:pt>
                <c:pt idx="120">
                  <c:v>3.6101434716858739E-4</c:v>
                </c:pt>
                <c:pt idx="121">
                  <c:v>3.8794716354465664E-4</c:v>
                </c:pt>
                <c:pt idx="122">
                  <c:v>3.6846384957047888E-4</c:v>
                </c:pt>
                <c:pt idx="123">
                  <c:v>3.4382318777960707E-4</c:v>
                </c:pt>
                <c:pt idx="124">
                  <c:v>4.0170009105584088E-4</c:v>
                </c:pt>
                <c:pt idx="125">
                  <c:v>5.6730825983635164E-4</c:v>
                </c:pt>
                <c:pt idx="126">
                  <c:v>3.787785452038671E-4</c:v>
                </c:pt>
                <c:pt idx="127">
                  <c:v>2.9282274825896535E-4</c:v>
                </c:pt>
                <c:pt idx="128">
                  <c:v>2.9626098013676142E-4</c:v>
                </c:pt>
                <c:pt idx="129">
                  <c:v>3.0600263712385025E-4</c:v>
                </c:pt>
                <c:pt idx="130">
                  <c:v>2.7448551157738629E-4</c:v>
                </c:pt>
                <c:pt idx="131">
                  <c:v>3.0084528930715619E-4</c:v>
                </c:pt>
                <c:pt idx="132">
                  <c:v>4.5098141463758456E-4</c:v>
                </c:pt>
                <c:pt idx="133">
                  <c:v>3.1459821681834043E-4</c:v>
                </c:pt>
                <c:pt idx="134">
                  <c:v>2.6187866135880068E-4</c:v>
                </c:pt>
                <c:pt idx="135">
                  <c:v>2.6245170000510003E-4</c:v>
                </c:pt>
                <c:pt idx="136">
                  <c:v>2.4411446332352099E-4</c:v>
                </c:pt>
                <c:pt idx="137">
                  <c:v>2.5213700437171186E-4</c:v>
                </c:pt>
                <c:pt idx="138">
                  <c:v>2.7448551157738629E-4</c:v>
                </c:pt>
                <c:pt idx="139">
                  <c:v>4.3092506201710751E-4</c:v>
                </c:pt>
                <c:pt idx="140">
                  <c:v>2.733394342847876E-4</c:v>
                </c:pt>
                <c:pt idx="141">
                  <c:v>2.1947380153264918E-4</c:v>
                </c:pt>
                <c:pt idx="142">
                  <c:v>2.3551888362903083E-4</c:v>
                </c:pt>
                <c:pt idx="143">
                  <c:v>2.2921545851973803E-4</c:v>
                </c:pt>
                <c:pt idx="144">
                  <c:v>2.3150761310493541E-4</c:v>
                </c:pt>
                <c:pt idx="145">
                  <c:v>2.6015954541990264E-4</c:v>
                </c:pt>
                <c:pt idx="146">
                  <c:v>3.6101434716858739E-4</c:v>
                </c:pt>
                <c:pt idx="147">
                  <c:v>2.527100430180112E-4</c:v>
                </c:pt>
                <c:pt idx="148">
                  <c:v>2.1259733777705703E-4</c:v>
                </c:pt>
                <c:pt idx="149">
                  <c:v>2.263502652882413E-4</c:v>
                </c:pt>
                <c:pt idx="150">
                  <c:v>2.0858606725296161E-4</c:v>
                </c:pt>
                <c:pt idx="151">
                  <c:v>2.034287194362675E-4</c:v>
                </c:pt>
                <c:pt idx="152">
                  <c:v>2.3723799956792887E-4</c:v>
                </c:pt>
                <c:pt idx="153">
                  <c:v>3.3866583996291296E-4</c:v>
                </c:pt>
                <c:pt idx="154">
                  <c:v>2.326536903975341E-4</c:v>
                </c:pt>
                <c:pt idx="155">
                  <c:v>1.8279932816949108E-4</c:v>
                </c:pt>
                <c:pt idx="156">
                  <c:v>2.022826421436688E-4</c:v>
                </c:pt>
                <c:pt idx="157">
                  <c:v>1.5987778231751727E-4</c:v>
                </c:pt>
                <c:pt idx="158">
                  <c:v>1.8279932816949108E-4</c:v>
                </c:pt>
                <c:pt idx="159">
                  <c:v>2.0400175808256684E-4</c:v>
                </c:pt>
                <c:pt idx="160">
                  <c:v>2.7276639563848825E-4</c:v>
                </c:pt>
                <c:pt idx="161">
                  <c:v>1.9655225568067537E-4</c:v>
                </c:pt>
                <c:pt idx="162">
                  <c:v>1.6961943930460615E-4</c:v>
                </c:pt>
                <c:pt idx="163">
                  <c:v>1.6045082096381662E-4</c:v>
                </c:pt>
                <c:pt idx="164">
                  <c:v>1.690464006583068E-4</c:v>
                </c:pt>
                <c:pt idx="165">
                  <c:v>1.6847336201200746E-4</c:v>
                </c:pt>
                <c:pt idx="166">
                  <c:v>1.7363070982870157E-4</c:v>
                </c:pt>
                <c:pt idx="167">
                  <c:v>2.7849678210148171E-4</c:v>
                </c:pt>
                <c:pt idx="168">
                  <c:v>1.8738363733988584E-4</c:v>
                </c:pt>
                <c:pt idx="169">
                  <c:v>1.6790032336570811E-4</c:v>
                </c:pt>
                <c:pt idx="170">
                  <c:v>1.398214296970402E-4</c:v>
                </c:pt>
                <c:pt idx="171">
                  <c:v>1.4383270022113562E-4</c:v>
                </c:pt>
                <c:pt idx="172">
                  <c:v>1.5128220262302709E-4</c:v>
                </c:pt>
                <c:pt idx="173">
                  <c:v>1.8910275327878388E-4</c:v>
                </c:pt>
                <c:pt idx="174">
                  <c:v>2.3609192227533018E-4</c:v>
                </c:pt>
                <c:pt idx="175">
                  <c:v>1.6045082096381662E-4</c:v>
                </c:pt>
                <c:pt idx="176">
                  <c:v>1.4841700939153039E-4</c:v>
                </c:pt>
                <c:pt idx="177">
                  <c:v>1.4784397074523104E-4</c:v>
                </c:pt>
                <c:pt idx="178">
                  <c:v>1.4669789345263235E-4</c:v>
                </c:pt>
                <c:pt idx="179">
                  <c:v>1.4899004803782973E-4</c:v>
                </c:pt>
              </c:numCache>
            </c:numRef>
          </c:val>
          <c:smooth val="0"/>
          <c:extLst xmlns:c16r2="http://schemas.microsoft.com/office/drawing/2015/06/chart">
            <c:ext xmlns:c16="http://schemas.microsoft.com/office/drawing/2014/chart" uri="{C3380CC4-5D6E-409C-BE32-E72D297353CC}">
              <c16:uniqueId val="{00000005-FF35-43D0-A3DF-30300409308F}"/>
            </c:ext>
          </c:extLst>
        </c:ser>
        <c:dLbls>
          <c:showLegendKey val="0"/>
          <c:showVal val="0"/>
          <c:showCatName val="0"/>
          <c:showSerName val="0"/>
          <c:showPercent val="0"/>
          <c:showBubbleSize val="0"/>
        </c:dLbls>
        <c:marker val="1"/>
        <c:smooth val="0"/>
        <c:axId val="118331648"/>
        <c:axId val="118349824"/>
      </c:lineChart>
      <c:catAx>
        <c:axId val="118331648"/>
        <c:scaling>
          <c:orientation val="minMax"/>
        </c:scaling>
        <c:delete val="0"/>
        <c:axPos val="b"/>
        <c:numFmt formatCode="General" sourceLinked="0"/>
        <c:majorTickMark val="none"/>
        <c:minorTickMark val="none"/>
        <c:tickLblPos val="nextTo"/>
        <c:crossAx val="118349824"/>
        <c:crosses val="autoZero"/>
        <c:auto val="1"/>
        <c:lblAlgn val="ctr"/>
        <c:lblOffset val="100"/>
        <c:noMultiLvlLbl val="0"/>
      </c:catAx>
      <c:valAx>
        <c:axId val="118349824"/>
        <c:scaling>
          <c:orientation val="minMax"/>
        </c:scaling>
        <c:delete val="0"/>
        <c:axPos val="l"/>
        <c:majorGridlines/>
        <c:title>
          <c:tx>
            <c:rich>
              <a:bodyPr rot="-5400000" vert="horz"/>
              <a:lstStyle/>
              <a:p>
                <a:pPr>
                  <a:defRPr b="0"/>
                </a:pPr>
                <a:r>
                  <a:rPr lang="en-AU" b="0"/>
                  <a:t>% prescriptions</a:t>
                </a:r>
              </a:p>
            </c:rich>
          </c:tx>
          <c:layout/>
          <c:overlay val="0"/>
        </c:title>
        <c:numFmt formatCode="0%" sourceLinked="0"/>
        <c:majorTickMark val="none"/>
        <c:minorTickMark val="none"/>
        <c:tickLblPos val="nextTo"/>
        <c:crossAx val="118331648"/>
        <c:crosses val="autoZero"/>
        <c:crossBetween val="between"/>
      </c:valAx>
    </c:plotArea>
    <c:legend>
      <c:legendPos val="b"/>
      <c:layout/>
      <c:overlay val="0"/>
      <c:txPr>
        <a:bodyPr/>
        <a:lstStyle/>
        <a:p>
          <a:pPr>
            <a:defRPr sz="800"/>
          </a:pPr>
          <a:endParaRPr lang="en-US"/>
        </a:p>
      </c:txPr>
    </c:legend>
    <c:plotVisOnly val="1"/>
    <c:dispBlanksAs val="gap"/>
    <c:showDLblsOverMax val="0"/>
  </c:chart>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SCRPT_SUM2 - DUSC database v3, incld AMFAC.xlsx]Sheet1 (12)!PivotTable4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spPr>
          <a:ln w="25400">
            <a:noFill/>
          </a:ln>
        </c:spPr>
        <c:marker>
          <c:symbol val="none"/>
        </c:marker>
      </c:pivotFmt>
      <c:pivotFmt>
        <c:idx val="46"/>
        <c:spPr>
          <a:ln w="25400">
            <a:noFill/>
          </a:ln>
        </c:spPr>
        <c:marker>
          <c:symbol val="none"/>
        </c:marker>
      </c:pivotFmt>
      <c:pivotFmt>
        <c:idx val="47"/>
        <c:spPr>
          <a:ln w="25400">
            <a:noFill/>
          </a:ln>
        </c:spPr>
        <c:marker>
          <c:symbol val="none"/>
        </c:marker>
      </c:pivotFmt>
      <c:pivotFmt>
        <c:idx val="48"/>
        <c:spPr>
          <a:ln w="25400">
            <a:noFill/>
          </a:ln>
        </c:spPr>
        <c:marker>
          <c:symbol val="none"/>
        </c:marker>
      </c:pivotFmt>
      <c:pivotFmt>
        <c:idx val="49"/>
        <c:marker>
          <c:symbol val="none"/>
        </c:marker>
      </c:pivotFmt>
      <c:pivotFmt>
        <c:idx val="50"/>
        <c:marker>
          <c:symbol val="none"/>
        </c:marker>
      </c:pivotFmt>
      <c:pivotFmt>
        <c:idx val="51"/>
        <c:spPr>
          <a:ln w="25400">
            <a:noFill/>
          </a:ln>
        </c:spPr>
        <c:marker>
          <c:symbol val="none"/>
        </c:marker>
      </c:pivotFmt>
      <c:pivotFmt>
        <c:idx val="52"/>
        <c:spPr>
          <a:ln w="25400">
            <a:noFill/>
          </a:ln>
        </c:spPr>
        <c:marker>
          <c:symbol val="none"/>
        </c:marker>
      </c:pivotFmt>
      <c:pivotFmt>
        <c:idx val="53"/>
        <c:spPr>
          <a:ln w="25400">
            <a:noFill/>
          </a:ln>
        </c:spPr>
        <c:marker>
          <c:symbol val="none"/>
        </c:marker>
      </c:pivotFmt>
      <c:pivotFmt>
        <c:idx val="54"/>
        <c:spPr>
          <a:ln w="25400">
            <a:noFill/>
          </a:ln>
        </c:spPr>
        <c:marker>
          <c:symbol val="none"/>
        </c:marker>
      </c:pivotFmt>
      <c:pivotFmt>
        <c:idx val="55"/>
        <c:marker>
          <c:symbol val="none"/>
        </c:marker>
      </c:pivotFmt>
      <c:pivotFmt>
        <c:idx val="56"/>
        <c:marker>
          <c:symbol val="none"/>
        </c:marker>
      </c:pivotFmt>
      <c:pivotFmt>
        <c:idx val="57"/>
        <c:marker>
          <c:symbol val="none"/>
        </c:marker>
      </c:pivotFmt>
      <c:pivotFmt>
        <c:idx val="58"/>
        <c:spPr>
          <a:ln w="25400">
            <a:noFill/>
          </a:ln>
        </c:spPr>
        <c:marker>
          <c:symbol val="none"/>
        </c:marker>
      </c:pivotFmt>
      <c:pivotFmt>
        <c:idx val="59"/>
        <c:spPr>
          <a:ln w="25400">
            <a:noFill/>
          </a:ln>
        </c:spPr>
        <c:marker>
          <c:symbol val="none"/>
        </c:marker>
      </c:pivotFmt>
      <c:pivotFmt>
        <c:idx val="60"/>
        <c:spPr>
          <a:ln w="25400">
            <a:noFill/>
          </a:ln>
        </c:spPr>
        <c:marker>
          <c:symbol val="none"/>
        </c:marker>
      </c:pivotFmt>
      <c:pivotFmt>
        <c:idx val="61"/>
        <c:spPr>
          <a:ln w="25400">
            <a:noFill/>
          </a:ln>
        </c:spPr>
        <c:marker>
          <c:symbol val="none"/>
        </c:marker>
      </c:pivotFmt>
      <c:pivotFmt>
        <c:idx val="62"/>
        <c:spPr>
          <a:ln w="25400">
            <a:noFill/>
          </a:ln>
        </c:spPr>
        <c:marker>
          <c:symbol val="none"/>
        </c:marker>
      </c:pivotFmt>
      <c:pivotFmt>
        <c:idx val="63"/>
        <c:spPr>
          <a:ln w="25400">
            <a:noFill/>
          </a:ln>
        </c:spPr>
        <c:marker>
          <c:symbol val="none"/>
        </c:marker>
      </c:pivotFmt>
      <c:pivotFmt>
        <c:idx val="64"/>
        <c:spPr>
          <a:ln w="25400">
            <a:noFill/>
          </a:ln>
        </c:spPr>
        <c:marker>
          <c:symbol val="none"/>
        </c:marker>
      </c:pivotFmt>
      <c:pivotFmt>
        <c:idx val="65"/>
        <c:spPr>
          <a:ln w="25400">
            <a:noFill/>
          </a:ln>
        </c:spPr>
        <c:marker>
          <c:symbol val="none"/>
        </c:marker>
      </c:pivotFmt>
      <c:pivotFmt>
        <c:idx val="66"/>
        <c:marker>
          <c:symbol val="none"/>
        </c:marker>
      </c:pivotFmt>
      <c:pivotFmt>
        <c:idx val="67"/>
        <c:spPr>
          <a:ln w="25400">
            <a:noFill/>
          </a:ln>
        </c:spPr>
        <c:marker>
          <c:symbol val="none"/>
        </c:marker>
      </c:pivotFmt>
      <c:pivotFmt>
        <c:idx val="68"/>
        <c:spPr>
          <a:ln w="25400">
            <a:noFill/>
          </a:ln>
        </c:spPr>
        <c:marker>
          <c:symbol val="none"/>
        </c:marker>
      </c:pivotFmt>
      <c:pivotFmt>
        <c:idx val="69"/>
        <c:spPr>
          <a:ln w="25400">
            <a:noFill/>
          </a:ln>
        </c:spPr>
        <c:marker>
          <c:symbol val="none"/>
        </c:marker>
      </c:pivotFmt>
      <c:pivotFmt>
        <c:idx val="70"/>
      </c:pivotFmt>
      <c:pivotFmt>
        <c:idx val="71"/>
      </c:pivotFmt>
    </c:pivotFmts>
    <c:plotArea>
      <c:layout/>
      <c:lineChart>
        <c:grouping val="standard"/>
        <c:varyColors val="0"/>
        <c:ser>
          <c:idx val="0"/>
          <c:order val="0"/>
          <c:tx>
            <c:strRef>
              <c:f>'Sheet1 (12)'!$B$3</c:f>
              <c:strCache>
                <c:ptCount val="1"/>
                <c:pt idx="0">
                  <c:v>Total</c:v>
                </c:pt>
              </c:strCache>
            </c:strRef>
          </c:tx>
          <c:cat>
            <c:strRef>
              <c:f>'Sheet1 (12)'!$A$4:$A$29</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(12)'!$B$4:$B$29</c:f>
              <c:numCache>
                <c:formatCode>General</c:formatCode>
                <c:ptCount val="25"/>
                <c:pt idx="0">
                  <c:v>696724.7699999999</c:v>
                </c:pt>
                <c:pt idx="1">
                  <c:v>2123196.9199999995</c:v>
                </c:pt>
                <c:pt idx="2">
                  <c:v>4416670.4400000013</c:v>
                </c:pt>
                <c:pt idx="3">
                  <c:v>7005044.790000001</c:v>
                </c:pt>
                <c:pt idx="4">
                  <c:v>10274847.780000001</c:v>
                </c:pt>
                <c:pt idx="5">
                  <c:v>14932430.160000006</c:v>
                </c:pt>
                <c:pt idx="6">
                  <c:v>28359078.119999982</c:v>
                </c:pt>
                <c:pt idx="7">
                  <c:v>39407698.100000016</c:v>
                </c:pt>
                <c:pt idx="8">
                  <c:v>50251100.289999992</c:v>
                </c:pt>
                <c:pt idx="9">
                  <c:v>66244866.230000056</c:v>
                </c:pt>
                <c:pt idx="10">
                  <c:v>88893161.66000016</c:v>
                </c:pt>
                <c:pt idx="11">
                  <c:v>119782303.58999993</c:v>
                </c:pt>
                <c:pt idx="12">
                  <c:v>145381057.48999995</c:v>
                </c:pt>
                <c:pt idx="13">
                  <c:v>167778503.03000006</c:v>
                </c:pt>
                <c:pt idx="14">
                  <c:v>181668830.74999976</c:v>
                </c:pt>
                <c:pt idx="15">
                  <c:v>180298735.36000019</c:v>
                </c:pt>
                <c:pt idx="16">
                  <c:v>183607636.79000014</c:v>
                </c:pt>
                <c:pt idx="17">
                  <c:v>169446744.37000012</c:v>
                </c:pt>
                <c:pt idx="18">
                  <c:v>171618103.82999995</c:v>
                </c:pt>
                <c:pt idx="19">
                  <c:v>176525619.6400001</c:v>
                </c:pt>
                <c:pt idx="20">
                  <c:v>165485340.82000005</c:v>
                </c:pt>
                <c:pt idx="21">
                  <c:v>161687535.19000015</c:v>
                </c:pt>
                <c:pt idx="22">
                  <c:v>165689740.26999998</c:v>
                </c:pt>
                <c:pt idx="23">
                  <c:v>171969177.10999972</c:v>
                </c:pt>
                <c:pt idx="24">
                  <c:v>176356824.33999974</c:v>
                </c:pt>
              </c:numCache>
            </c:numRef>
          </c:val>
          <c:smooth val="0"/>
        </c:ser>
        <c:dLbls>
          <c:showLegendKey val="0"/>
          <c:showVal val="0"/>
          <c:showCatName val="0"/>
          <c:showSerName val="0"/>
          <c:showPercent val="0"/>
          <c:showBubbleSize val="0"/>
        </c:dLbls>
        <c:marker val="1"/>
        <c:smooth val="0"/>
        <c:axId val="118279168"/>
        <c:axId val="118280960"/>
      </c:lineChart>
      <c:catAx>
        <c:axId val="118279168"/>
        <c:scaling>
          <c:orientation val="minMax"/>
        </c:scaling>
        <c:delete val="0"/>
        <c:axPos val="b"/>
        <c:majorTickMark val="none"/>
        <c:minorTickMark val="none"/>
        <c:tickLblPos val="nextTo"/>
        <c:crossAx val="118280960"/>
        <c:crosses val="autoZero"/>
        <c:auto val="1"/>
        <c:lblAlgn val="ctr"/>
        <c:lblOffset val="100"/>
        <c:noMultiLvlLbl val="0"/>
      </c:catAx>
      <c:valAx>
        <c:axId val="118280960"/>
        <c:scaling>
          <c:orientation val="minMax"/>
        </c:scaling>
        <c:delete val="0"/>
        <c:axPos val="l"/>
        <c:majorGridlines/>
        <c:title>
          <c:tx>
            <c:rich>
              <a:bodyPr/>
              <a:lstStyle/>
              <a:p>
                <a:pPr>
                  <a:defRPr b="0"/>
                </a:pPr>
                <a:r>
                  <a:rPr lang="en-US" b="0"/>
                  <a:t>Government expenditure</a:t>
                </a:r>
              </a:p>
            </c:rich>
          </c:tx>
          <c:layout/>
          <c:overlay val="0"/>
        </c:title>
        <c:numFmt formatCode="&quot;$&quot;#,##0" sourceLinked="0"/>
        <c:majorTickMark val="none"/>
        <c:minorTickMark val="none"/>
        <c:tickLblPos val="nextTo"/>
        <c:crossAx val="118279168"/>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SCRPT_SUM2 - DUSC database v3, incld AMFAC.xlsx]Sheet1 (10)!PivotTable4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spPr>
          <a:ln w="25400">
            <a:noFill/>
          </a:ln>
        </c:spPr>
        <c:marker>
          <c:symbol val="none"/>
        </c:marker>
      </c:pivotFmt>
      <c:pivotFmt>
        <c:idx val="46"/>
        <c:spPr>
          <a:ln w="25400">
            <a:noFill/>
          </a:ln>
        </c:spPr>
        <c:marker>
          <c:symbol val="none"/>
        </c:marker>
      </c:pivotFmt>
      <c:pivotFmt>
        <c:idx val="47"/>
        <c:spPr>
          <a:ln w="25400">
            <a:noFill/>
          </a:ln>
        </c:spPr>
        <c:marker>
          <c:symbol val="none"/>
        </c:marker>
      </c:pivotFmt>
      <c:pivotFmt>
        <c:idx val="48"/>
        <c:spPr>
          <a:ln w="25400">
            <a:noFill/>
          </a:ln>
        </c:spPr>
        <c:marker>
          <c:symbol val="none"/>
        </c:marker>
      </c:pivotFmt>
      <c:pivotFmt>
        <c:idx val="49"/>
        <c:marker>
          <c:symbol val="none"/>
        </c:marker>
      </c:pivotFmt>
      <c:pivotFmt>
        <c:idx val="50"/>
        <c:marker>
          <c:symbol val="none"/>
        </c:marker>
      </c:pivotFmt>
      <c:pivotFmt>
        <c:idx val="51"/>
        <c:spPr>
          <a:ln w="25400">
            <a:noFill/>
          </a:ln>
        </c:spPr>
        <c:marker>
          <c:symbol val="none"/>
        </c:marker>
      </c:pivotFmt>
      <c:pivotFmt>
        <c:idx val="52"/>
        <c:spPr>
          <a:ln w="25400">
            <a:noFill/>
          </a:ln>
        </c:spPr>
        <c:marker>
          <c:symbol val="none"/>
        </c:marker>
      </c:pivotFmt>
      <c:pivotFmt>
        <c:idx val="53"/>
        <c:spPr>
          <a:ln w="25400">
            <a:noFill/>
          </a:ln>
        </c:spPr>
        <c:marker>
          <c:symbol val="none"/>
        </c:marker>
      </c:pivotFmt>
      <c:pivotFmt>
        <c:idx val="54"/>
        <c:spPr>
          <a:ln w="25400">
            <a:noFill/>
          </a:ln>
        </c:spPr>
        <c:marker>
          <c:symbol val="none"/>
        </c:marker>
      </c:pivotFmt>
      <c:pivotFmt>
        <c:idx val="55"/>
        <c:marker>
          <c:symbol val="none"/>
        </c:marker>
      </c:pivotFmt>
      <c:pivotFmt>
        <c:idx val="56"/>
        <c:marker>
          <c:symbol val="none"/>
        </c:marker>
      </c:pivotFmt>
      <c:pivotFmt>
        <c:idx val="57"/>
        <c:marker>
          <c:symbol val="none"/>
        </c:marker>
      </c:pivotFmt>
      <c:pivotFmt>
        <c:idx val="58"/>
        <c:spPr>
          <a:ln w="25400">
            <a:noFill/>
          </a:ln>
        </c:spPr>
        <c:marker>
          <c:symbol val="none"/>
        </c:marker>
      </c:pivotFmt>
      <c:pivotFmt>
        <c:idx val="59"/>
        <c:spPr>
          <a:ln w="25400">
            <a:noFill/>
          </a:ln>
        </c:spPr>
        <c:marker>
          <c:symbol val="none"/>
        </c:marker>
      </c:pivotFmt>
      <c:pivotFmt>
        <c:idx val="60"/>
        <c:spPr>
          <a:ln w="25400">
            <a:noFill/>
          </a:ln>
        </c:spPr>
        <c:marker>
          <c:symbol val="none"/>
        </c:marker>
      </c:pivotFmt>
      <c:pivotFmt>
        <c:idx val="61"/>
        <c:spPr>
          <a:ln w="25400">
            <a:noFill/>
          </a:ln>
        </c:spPr>
        <c:marker>
          <c:symbol val="none"/>
        </c:marker>
      </c:pivotFmt>
      <c:pivotFmt>
        <c:idx val="62"/>
        <c:spPr>
          <a:ln w="25400">
            <a:noFill/>
          </a:ln>
        </c:spPr>
        <c:marker>
          <c:symbol val="none"/>
        </c:marker>
      </c:pivotFmt>
      <c:pivotFmt>
        <c:idx val="63"/>
        <c:spPr>
          <a:ln w="25400">
            <a:noFill/>
          </a:ln>
        </c:spPr>
        <c:marker>
          <c:symbol val="none"/>
        </c:marker>
      </c:pivotFmt>
      <c:pivotFmt>
        <c:idx val="64"/>
        <c:spPr>
          <a:ln w="25400">
            <a:noFill/>
          </a:ln>
        </c:spPr>
        <c:marker>
          <c:symbol val="none"/>
        </c:marker>
      </c:pivotFmt>
      <c:pivotFmt>
        <c:idx val="65"/>
        <c:spPr>
          <a:ln w="25400">
            <a:noFill/>
          </a:ln>
        </c:spPr>
        <c:marker>
          <c:symbol val="none"/>
        </c:marker>
      </c:pivotFmt>
      <c:pivotFmt>
        <c:idx val="66"/>
        <c:marker>
          <c:symbol val="none"/>
        </c:marker>
      </c:pivotFmt>
      <c:pivotFmt>
        <c:idx val="67"/>
        <c:spPr>
          <a:ln w="25400">
            <a:noFill/>
          </a:ln>
        </c:spPr>
        <c:marker>
          <c:symbol val="none"/>
        </c:marker>
      </c:pivotFmt>
      <c:pivotFmt>
        <c:idx val="68"/>
        <c:spPr>
          <a:ln w="25400">
            <a:noFill/>
          </a:ln>
        </c:spPr>
        <c:marker>
          <c:symbol val="none"/>
        </c:marker>
      </c:pivotFmt>
      <c:pivotFmt>
        <c:idx val="69"/>
        <c:spPr>
          <a:ln w="25400">
            <a:noFill/>
          </a:ln>
        </c:spPr>
        <c:marker>
          <c:symbol val="none"/>
        </c:marker>
      </c:pivotFmt>
      <c:pivotFmt>
        <c:idx val="70"/>
        <c:spPr>
          <a:ln w="25400">
            <a:noFill/>
          </a:ln>
        </c:spPr>
        <c:marker>
          <c:symbol val="none"/>
        </c:marker>
      </c:pivotFmt>
      <c:pivotFmt>
        <c:idx val="71"/>
        <c:spPr>
          <a:ln w="25400">
            <a:noFill/>
          </a:ln>
        </c:spPr>
        <c:marker>
          <c:symbol val="none"/>
        </c:marker>
      </c:pivotFmt>
      <c:pivotFmt>
        <c:idx val="72"/>
        <c:spPr>
          <a:ln w="25400">
            <a:noFill/>
          </a:ln>
        </c:spPr>
        <c:marker>
          <c:symbol val="none"/>
        </c:marker>
      </c:pivotFmt>
      <c:pivotFmt>
        <c:idx val="73"/>
        <c:spPr>
          <a:ln w="25400">
            <a:noFill/>
          </a:ln>
        </c:spPr>
        <c:marker>
          <c:symbol val="none"/>
        </c:marker>
      </c:pivotFmt>
      <c:pivotFmt>
        <c:idx val="74"/>
        <c:spPr>
          <a:ln w="25400">
            <a:noFill/>
          </a:ln>
        </c:spPr>
        <c:marker>
          <c:symbol val="none"/>
        </c:marker>
      </c:pivotFmt>
      <c:pivotFmt>
        <c:idx val="75"/>
        <c:spPr>
          <a:ln w="25400">
            <a:noFill/>
          </a:ln>
        </c:spPr>
        <c:marker>
          <c:symbol val="none"/>
        </c:marker>
      </c:pivotFmt>
      <c:pivotFmt>
        <c:idx val="76"/>
        <c:spPr>
          <a:ln w="25400">
            <a:noFill/>
          </a:ln>
        </c:spPr>
        <c:marker>
          <c:symbol val="none"/>
        </c:marker>
      </c:pivotFmt>
      <c:pivotFmt>
        <c:idx val="77"/>
        <c:spPr>
          <a:ln w="25400">
            <a:noFill/>
          </a:ln>
        </c:spPr>
        <c:marker>
          <c:symbol val="none"/>
        </c:marker>
      </c:pivotFmt>
      <c:pivotFmt>
        <c:idx val="78"/>
        <c:spPr>
          <a:ln w="25400">
            <a:noFill/>
          </a:ln>
        </c:spPr>
        <c:marker>
          <c:symbol val="none"/>
        </c:marker>
      </c:pivotFmt>
      <c:pivotFmt>
        <c:idx val="79"/>
        <c:spPr>
          <a:ln w="25400">
            <a:noFill/>
          </a:ln>
        </c:spPr>
        <c:marker>
          <c:symbol val="none"/>
        </c:marker>
      </c:pivotFmt>
      <c:pivotFmt>
        <c:idx val="80"/>
        <c:spPr>
          <a:ln w="25400">
            <a:noFill/>
          </a:ln>
        </c:spPr>
        <c:marker>
          <c:symbol val="none"/>
        </c:marker>
      </c:pivotFmt>
      <c:pivotFmt>
        <c:idx val="81"/>
        <c:spPr>
          <a:ln w="25400">
            <a:noFill/>
          </a:ln>
        </c:spPr>
        <c:marker>
          <c:symbol val="none"/>
        </c:marker>
      </c:pivotFmt>
      <c:pivotFmt>
        <c:idx val="82"/>
        <c:spPr>
          <a:ln w="25400">
            <a:noFill/>
          </a:ln>
        </c:spPr>
        <c:marker>
          <c:symbol val="none"/>
        </c:marker>
      </c:pivotFmt>
      <c:pivotFmt>
        <c:idx val="83"/>
        <c:spPr>
          <a:ln w="25400">
            <a:noFill/>
          </a:ln>
        </c:spPr>
        <c:marker>
          <c:symbol val="none"/>
        </c:marker>
      </c:pivotFmt>
      <c:pivotFmt>
        <c:idx val="84"/>
        <c:spPr>
          <a:ln w="25400">
            <a:noFill/>
          </a:ln>
        </c:spPr>
        <c:marker>
          <c:symbol val="none"/>
        </c:marker>
      </c:pivotFmt>
      <c:pivotFmt>
        <c:idx val="85"/>
        <c:spPr>
          <a:ln w="25400">
            <a:noFill/>
          </a:ln>
        </c:spPr>
        <c:marker>
          <c:symbol val="none"/>
        </c:marker>
      </c:pivotFmt>
      <c:pivotFmt>
        <c:idx val="86"/>
        <c:spPr>
          <a:ln w="25400">
            <a:noFill/>
          </a:ln>
        </c:spPr>
        <c:marker>
          <c:symbol val="none"/>
        </c:marker>
      </c:pivotFmt>
      <c:pivotFmt>
        <c:idx val="87"/>
        <c:spPr>
          <a:ln w="25400">
            <a:noFill/>
          </a:ln>
        </c:spPr>
        <c:marker>
          <c:symbol val="none"/>
        </c:marker>
      </c:pivotFmt>
      <c:pivotFmt>
        <c:idx val="88"/>
        <c:spPr>
          <a:ln w="25400">
            <a:noFill/>
          </a:ln>
        </c:spPr>
        <c:marker>
          <c:symbol val="none"/>
        </c:marker>
      </c:pivotFmt>
      <c:pivotFmt>
        <c:idx val="89"/>
        <c:spPr>
          <a:ln w="25400">
            <a:noFill/>
          </a:ln>
        </c:spPr>
        <c:marker>
          <c:symbol val="none"/>
        </c:marker>
      </c:pivotFmt>
      <c:pivotFmt>
        <c:idx val="90"/>
        <c:spPr>
          <a:ln w="25400">
            <a:noFill/>
          </a:ln>
        </c:spPr>
        <c:marker>
          <c:symbol val="none"/>
        </c:marker>
      </c:pivotFmt>
      <c:pivotFmt>
        <c:idx val="91"/>
        <c:spPr>
          <a:ln w="25400">
            <a:noFill/>
          </a:ln>
        </c:spPr>
        <c:marker>
          <c:symbol val="none"/>
        </c:marker>
      </c:pivotFmt>
      <c:pivotFmt>
        <c:idx val="92"/>
        <c:spPr>
          <a:ln w="25400">
            <a:noFill/>
          </a:ln>
        </c:spPr>
        <c:marker>
          <c:symbol val="none"/>
        </c:marker>
      </c:pivotFmt>
      <c:pivotFmt>
        <c:idx val="93"/>
        <c:spPr>
          <a:ln w="25400">
            <a:noFill/>
          </a:ln>
        </c:spPr>
        <c:marker>
          <c:symbol val="none"/>
        </c:marker>
      </c:pivotFmt>
      <c:pivotFmt>
        <c:idx val="94"/>
        <c:spPr>
          <a:ln w="25400">
            <a:noFill/>
          </a:ln>
        </c:spPr>
        <c:marker>
          <c:symbol val="none"/>
        </c:marker>
      </c:pivotFmt>
      <c:pivotFmt>
        <c:idx val="95"/>
        <c:spPr>
          <a:ln w="25400">
            <a:noFill/>
          </a:ln>
        </c:spPr>
        <c:marker>
          <c:symbol val="none"/>
        </c:marker>
      </c:pivotFmt>
      <c:pivotFmt>
        <c:idx val="96"/>
        <c:spPr>
          <a:ln w="25400">
            <a:noFill/>
          </a:ln>
        </c:spPr>
        <c:marker>
          <c:symbol val="none"/>
        </c:marker>
      </c:pivotFmt>
      <c:pivotFmt>
        <c:idx val="97"/>
        <c:spPr>
          <a:ln w="25400">
            <a:noFill/>
          </a:ln>
        </c:spPr>
        <c:marker>
          <c:symbol val="none"/>
        </c:marker>
      </c:pivotFmt>
      <c:pivotFmt>
        <c:idx val="98"/>
        <c:spPr>
          <a:ln w="25400">
            <a:noFill/>
          </a:ln>
        </c:spPr>
        <c:marker>
          <c:symbol val="none"/>
        </c:marker>
      </c:pivotFmt>
      <c:pivotFmt>
        <c:idx val="99"/>
        <c:spPr>
          <a:ln w="25400">
            <a:noFill/>
          </a:ln>
        </c:spPr>
        <c:marker>
          <c:symbol val="none"/>
        </c:marker>
      </c:pivotFmt>
      <c:pivotFmt>
        <c:idx val="100"/>
        <c:spPr>
          <a:ln w="25400">
            <a:noFill/>
          </a:ln>
        </c:spPr>
        <c:marker>
          <c:symbol val="none"/>
        </c:marker>
      </c:pivotFmt>
      <c:pivotFmt>
        <c:idx val="101"/>
        <c:spPr>
          <a:ln w="25400">
            <a:noFill/>
          </a:ln>
        </c:spPr>
        <c:marker>
          <c:symbol val="none"/>
        </c:marker>
      </c:pivotFmt>
      <c:pivotFmt>
        <c:idx val="102"/>
        <c:spPr>
          <a:ln w="25400">
            <a:noFill/>
          </a:ln>
        </c:spPr>
        <c:marker>
          <c:symbol val="none"/>
        </c:marker>
      </c:pivotFmt>
      <c:pivotFmt>
        <c:idx val="103"/>
        <c:spPr>
          <a:ln w="25400">
            <a:noFill/>
          </a:ln>
        </c:spPr>
        <c:marker>
          <c:symbol val="none"/>
        </c:marker>
      </c:pivotFmt>
      <c:pivotFmt>
        <c:idx val="104"/>
        <c:spPr>
          <a:ln w="25400">
            <a:noFill/>
          </a:ln>
        </c:spPr>
        <c:marker>
          <c:symbol val="none"/>
        </c:marker>
      </c:pivotFmt>
      <c:pivotFmt>
        <c:idx val="105"/>
        <c:spPr>
          <a:ln w="25400">
            <a:noFill/>
          </a:ln>
        </c:spPr>
        <c:marker>
          <c:symbol val="none"/>
        </c:marker>
      </c:pivotFmt>
      <c:pivotFmt>
        <c:idx val="106"/>
        <c:spPr>
          <a:ln w="25400">
            <a:noFill/>
          </a:ln>
        </c:spPr>
        <c:marker>
          <c:symbol val="none"/>
        </c:marker>
      </c:pivotFmt>
      <c:pivotFmt>
        <c:idx val="107"/>
        <c:spPr>
          <a:ln w="25400">
            <a:noFill/>
          </a:ln>
        </c:spPr>
        <c:marker>
          <c:symbol val="none"/>
        </c:marker>
      </c:pivotFmt>
      <c:pivotFmt>
        <c:idx val="108"/>
        <c:spPr>
          <a:ln w="25400">
            <a:noFill/>
          </a:ln>
        </c:spPr>
        <c:marker>
          <c:symbol val="none"/>
        </c:marker>
      </c:pivotFmt>
      <c:pivotFmt>
        <c:idx val="109"/>
        <c:spPr>
          <a:ln w="25400">
            <a:noFill/>
          </a:ln>
        </c:spPr>
        <c:marker>
          <c:symbol val="none"/>
        </c:marker>
      </c:pivotFmt>
      <c:pivotFmt>
        <c:idx val="110"/>
        <c:spPr>
          <a:ln w="25400">
            <a:noFill/>
          </a:ln>
        </c:spPr>
        <c:marker>
          <c:symbol val="none"/>
        </c:marker>
      </c:pivotFmt>
      <c:pivotFmt>
        <c:idx val="111"/>
        <c:spPr>
          <a:ln w="25400">
            <a:noFill/>
          </a:ln>
        </c:spPr>
        <c:marker>
          <c:symbol val="none"/>
        </c:marker>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s>
    <c:plotArea>
      <c:layout/>
      <c:lineChart>
        <c:grouping val="standard"/>
        <c:varyColors val="0"/>
        <c:ser>
          <c:idx val="0"/>
          <c:order val="0"/>
          <c:tx>
            <c:strRef>
              <c:f>'Sheet1 (10)'!$B$3:$B$4</c:f>
              <c:strCache>
                <c:ptCount val="1"/>
                <c:pt idx="0">
                  <c:v>ALENDRONATE (incl. combination products)</c:v>
                </c:pt>
              </c:strCache>
            </c:strRef>
          </c:tx>
          <c:cat>
            <c:strRef>
              <c:f>'Sheet1 (10)'!$A$5:$A$30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(10)'!$B$5:$B$30</c:f>
              <c:numCache>
                <c:formatCode>General</c:formatCode>
                <c:ptCount val="25"/>
                <c:pt idx="5">
                  <c:v>157528.53</c:v>
                </c:pt>
                <c:pt idx="6">
                  <c:v>9998027.1300000045</c:v>
                </c:pt>
                <c:pt idx="7">
                  <c:v>16911933.130000003</c:v>
                </c:pt>
                <c:pt idx="8">
                  <c:v>22723191.210000005</c:v>
                </c:pt>
                <c:pt idx="9">
                  <c:v>29595483.719999995</c:v>
                </c:pt>
                <c:pt idx="10">
                  <c:v>44095230.249999993</c:v>
                </c:pt>
                <c:pt idx="11">
                  <c:v>73990877.670000002</c:v>
                </c:pt>
                <c:pt idx="12">
                  <c:v>93271980.25</c:v>
                </c:pt>
                <c:pt idx="13">
                  <c:v>105356733.10999997</c:v>
                </c:pt>
                <c:pt idx="14">
                  <c:v>112791128.43000005</c:v>
                </c:pt>
                <c:pt idx="15">
                  <c:v>108623035.65000001</c:v>
                </c:pt>
                <c:pt idx="16">
                  <c:v>104364301.91000007</c:v>
                </c:pt>
                <c:pt idx="17">
                  <c:v>83121912.649999887</c:v>
                </c:pt>
                <c:pt idx="18">
                  <c:v>74423938.829999954</c:v>
                </c:pt>
                <c:pt idx="19">
                  <c:v>66242003.169999965</c:v>
                </c:pt>
                <c:pt idx="20">
                  <c:v>55444347.380000025</c:v>
                </c:pt>
                <c:pt idx="21">
                  <c:v>46322478.769999988</c:v>
                </c:pt>
                <c:pt idx="22">
                  <c:v>40635807.329999983</c:v>
                </c:pt>
                <c:pt idx="23">
                  <c:v>36088272.039999992</c:v>
                </c:pt>
                <c:pt idx="24">
                  <c:v>29454090.620000005</c:v>
                </c:pt>
              </c:numCache>
            </c:numRef>
          </c:val>
          <c:smooth val="0"/>
        </c:ser>
        <c:ser>
          <c:idx val="1"/>
          <c:order val="1"/>
          <c:tx>
            <c:strRef>
              <c:f>'Sheet1 (10)'!$C$3:$C$4</c:f>
              <c:strCache>
                <c:ptCount val="1"/>
                <c:pt idx="0">
                  <c:v>CALCITRIOL</c:v>
                </c:pt>
              </c:strCache>
            </c:strRef>
          </c:tx>
          <c:cat>
            <c:strRef>
              <c:f>'Sheet1 (10)'!$A$5:$A$30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(10)'!$C$5:$C$30</c:f>
              <c:numCache>
                <c:formatCode>General</c:formatCode>
                <c:ptCount val="25"/>
                <c:pt idx="0">
                  <c:v>696724.7699999999</c:v>
                </c:pt>
                <c:pt idx="1">
                  <c:v>2123196.9199999995</c:v>
                </c:pt>
                <c:pt idx="2">
                  <c:v>4416670.4400000013</c:v>
                </c:pt>
                <c:pt idx="3">
                  <c:v>7005044.790000001</c:v>
                </c:pt>
                <c:pt idx="4">
                  <c:v>10274847.780000001</c:v>
                </c:pt>
                <c:pt idx="5">
                  <c:v>14544861.880000006</c:v>
                </c:pt>
                <c:pt idx="6">
                  <c:v>17070327.629999995</c:v>
                </c:pt>
                <c:pt idx="7">
                  <c:v>20449475.830000013</c:v>
                </c:pt>
                <c:pt idx="8">
                  <c:v>24326159.730000008</c:v>
                </c:pt>
                <c:pt idx="9">
                  <c:v>24844696.16</c:v>
                </c:pt>
                <c:pt idx="10">
                  <c:v>22103271.339999996</c:v>
                </c:pt>
                <c:pt idx="11">
                  <c:v>17089863.889999993</c:v>
                </c:pt>
                <c:pt idx="12">
                  <c:v>13125826.249999993</c:v>
                </c:pt>
                <c:pt idx="13">
                  <c:v>11374201.429999996</c:v>
                </c:pt>
                <c:pt idx="14">
                  <c:v>9403009.6800000016</c:v>
                </c:pt>
                <c:pt idx="15">
                  <c:v>7856222.1299999999</c:v>
                </c:pt>
                <c:pt idx="16">
                  <c:v>7268643.1399999978</c:v>
                </c:pt>
                <c:pt idx="17">
                  <c:v>6438595.2299999995</c:v>
                </c:pt>
                <c:pt idx="18">
                  <c:v>5329609.92</c:v>
                </c:pt>
                <c:pt idx="19">
                  <c:v>5215060.7300000023</c:v>
                </c:pt>
                <c:pt idx="20">
                  <c:v>4757801.0500000017</c:v>
                </c:pt>
                <c:pt idx="21">
                  <c:v>4039025.4199999985</c:v>
                </c:pt>
                <c:pt idx="22">
                  <c:v>3594877.0199999986</c:v>
                </c:pt>
                <c:pt idx="23">
                  <c:v>3175147.0400000005</c:v>
                </c:pt>
                <c:pt idx="24">
                  <c:v>2796161.4000000004</c:v>
                </c:pt>
              </c:numCache>
            </c:numRef>
          </c:val>
          <c:smooth val="0"/>
        </c:ser>
        <c:ser>
          <c:idx val="2"/>
          <c:order val="2"/>
          <c:tx>
            <c:strRef>
              <c:f>'Sheet1 (10)'!$D$3:$D$4</c:f>
              <c:strCache>
                <c:ptCount val="1"/>
                <c:pt idx="0">
                  <c:v>DENOSUMAB</c:v>
                </c:pt>
              </c:strCache>
            </c:strRef>
          </c:tx>
          <c:cat>
            <c:strRef>
              <c:f>'Sheet1 (10)'!$A$5:$A$30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(10)'!$D$5:$D$30</c:f>
              <c:numCache>
                <c:formatCode>General</c:formatCode>
                <c:ptCount val="25"/>
                <c:pt idx="19">
                  <c:v>35811.300000000003</c:v>
                </c:pt>
                <c:pt idx="20">
                  <c:v>3638062.8800000008</c:v>
                </c:pt>
                <c:pt idx="21">
                  <c:v>12294802.150000004</c:v>
                </c:pt>
                <c:pt idx="22">
                  <c:v>26458470.899999999</c:v>
                </c:pt>
                <c:pt idx="23">
                  <c:v>52526952.899999999</c:v>
                </c:pt>
                <c:pt idx="24">
                  <c:v>82068041.619999975</c:v>
                </c:pt>
              </c:numCache>
            </c:numRef>
          </c:val>
          <c:smooth val="0"/>
        </c:ser>
        <c:ser>
          <c:idx val="3"/>
          <c:order val="3"/>
          <c:tx>
            <c:strRef>
              <c:f>'Sheet1 (10)'!$E$3:$E$4</c:f>
              <c:strCache>
                <c:ptCount val="1"/>
                <c:pt idx="0">
                  <c:v>ETIDRONATE DISODIUM (&amp;) CALCIUM CARBONATE</c:v>
                </c:pt>
              </c:strCache>
            </c:strRef>
          </c:tx>
          <c:cat>
            <c:strRef>
              <c:f>'Sheet1 (10)'!$A$5:$A$30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(10)'!$E$5:$E$30</c:f>
              <c:numCache>
                <c:formatCode>General</c:formatCode>
                <c:ptCount val="25"/>
                <c:pt idx="5">
                  <c:v>230039.74999999997</c:v>
                </c:pt>
                <c:pt idx="6">
                  <c:v>1290723.3600000001</c:v>
                </c:pt>
                <c:pt idx="7">
                  <c:v>2046289.14</c:v>
                </c:pt>
                <c:pt idx="8">
                  <c:v>2806777.1199999996</c:v>
                </c:pt>
                <c:pt idx="9">
                  <c:v>3859084.5699999994</c:v>
                </c:pt>
                <c:pt idx="10">
                  <c:v>3784383.3699999982</c:v>
                </c:pt>
                <c:pt idx="11">
                  <c:v>3007402.34</c:v>
                </c:pt>
                <c:pt idx="12">
                  <c:v>2367050.9000000004</c:v>
                </c:pt>
                <c:pt idx="13">
                  <c:v>1912648.15</c:v>
                </c:pt>
                <c:pt idx="14">
                  <c:v>1442240.6300000006</c:v>
                </c:pt>
                <c:pt idx="15">
                  <c:v>1081616.49</c:v>
                </c:pt>
                <c:pt idx="16">
                  <c:v>852708.95000000019</c:v>
                </c:pt>
                <c:pt idx="17">
                  <c:v>704283.7300000001</c:v>
                </c:pt>
                <c:pt idx="18">
                  <c:v>563254.79000000027</c:v>
                </c:pt>
                <c:pt idx="19">
                  <c:v>459261.12000000005</c:v>
                </c:pt>
                <c:pt idx="20">
                  <c:v>379429.66000000032</c:v>
                </c:pt>
                <c:pt idx="21">
                  <c:v>200258.75999999995</c:v>
                </c:pt>
              </c:numCache>
            </c:numRef>
          </c:val>
          <c:smooth val="0"/>
        </c:ser>
        <c:ser>
          <c:idx val="4"/>
          <c:order val="4"/>
          <c:tx>
            <c:strRef>
              <c:f>'Sheet1 (10)'!$F$3:$F$4</c:f>
              <c:strCache>
                <c:ptCount val="1"/>
                <c:pt idx="0">
                  <c:v>RALOXIFENE</c:v>
                </c:pt>
              </c:strCache>
            </c:strRef>
          </c:tx>
          <c:cat>
            <c:strRef>
              <c:f>'Sheet1 (10)'!$A$5:$A$30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(10)'!$F$5:$F$30</c:f>
              <c:numCache>
                <c:formatCode>General</c:formatCode>
                <c:ptCount val="25"/>
                <c:pt idx="8">
                  <c:v>394972.23</c:v>
                </c:pt>
                <c:pt idx="9">
                  <c:v>7945601.7800000003</c:v>
                </c:pt>
                <c:pt idx="10">
                  <c:v>15142251.789999999</c:v>
                </c:pt>
                <c:pt idx="11">
                  <c:v>18301966.519999996</c:v>
                </c:pt>
                <c:pt idx="12">
                  <c:v>19641521.970000003</c:v>
                </c:pt>
                <c:pt idx="13">
                  <c:v>19582449.529999997</c:v>
                </c:pt>
                <c:pt idx="14">
                  <c:v>18577776.309999999</c:v>
                </c:pt>
                <c:pt idx="15">
                  <c:v>17031021.520000003</c:v>
                </c:pt>
                <c:pt idx="16">
                  <c:v>15874232.830000004</c:v>
                </c:pt>
                <c:pt idx="17">
                  <c:v>15007217.959999995</c:v>
                </c:pt>
                <c:pt idx="18">
                  <c:v>13275691.940000003</c:v>
                </c:pt>
                <c:pt idx="19">
                  <c:v>11990508.350000001</c:v>
                </c:pt>
                <c:pt idx="20">
                  <c:v>10724737.399999995</c:v>
                </c:pt>
                <c:pt idx="21">
                  <c:v>9451400.3199999966</c:v>
                </c:pt>
                <c:pt idx="22">
                  <c:v>8317928.370000002</c:v>
                </c:pt>
                <c:pt idx="23">
                  <c:v>7175369.2499999981</c:v>
                </c:pt>
                <c:pt idx="24">
                  <c:v>5158539.3400000017</c:v>
                </c:pt>
              </c:numCache>
            </c:numRef>
          </c:val>
          <c:smooth val="0"/>
        </c:ser>
        <c:ser>
          <c:idx val="5"/>
          <c:order val="5"/>
          <c:tx>
            <c:strRef>
              <c:f>'Sheet1 (10)'!$G$3:$G$4</c:f>
              <c:strCache>
                <c:ptCount val="1"/>
                <c:pt idx="0">
                  <c:v>RISEDRONATE (incl. combination products)</c:v>
                </c:pt>
              </c:strCache>
            </c:strRef>
          </c:tx>
          <c:cat>
            <c:strRef>
              <c:f>'Sheet1 (10)'!$A$5:$A$30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(10)'!$G$5:$G$30</c:f>
              <c:numCache>
                <c:formatCode>General</c:formatCode>
                <c:ptCount val="25"/>
                <c:pt idx="10">
                  <c:v>3768024.9099999992</c:v>
                </c:pt>
                <c:pt idx="11">
                  <c:v>7392193.1699999971</c:v>
                </c:pt>
                <c:pt idx="12">
                  <c:v>16974678.120000005</c:v>
                </c:pt>
                <c:pt idx="13">
                  <c:v>29552470.810000006</c:v>
                </c:pt>
                <c:pt idx="14">
                  <c:v>39454675.699999996</c:v>
                </c:pt>
                <c:pt idx="15">
                  <c:v>45706839.570000008</c:v>
                </c:pt>
                <c:pt idx="16">
                  <c:v>53148110.160000011</c:v>
                </c:pt>
                <c:pt idx="17">
                  <c:v>57069216.719999969</c:v>
                </c:pt>
                <c:pt idx="18">
                  <c:v>60134444.180000007</c:v>
                </c:pt>
                <c:pt idx="19">
                  <c:v>64525736.169999994</c:v>
                </c:pt>
                <c:pt idx="20">
                  <c:v>57272039.600000076</c:v>
                </c:pt>
                <c:pt idx="21">
                  <c:v>53981974.229999915</c:v>
                </c:pt>
                <c:pt idx="22">
                  <c:v>51772650.660000034</c:v>
                </c:pt>
                <c:pt idx="23">
                  <c:v>46550858.669999979</c:v>
                </c:pt>
                <c:pt idx="24">
                  <c:v>38405106.830000021</c:v>
                </c:pt>
              </c:numCache>
            </c:numRef>
          </c:val>
          <c:smooth val="0"/>
        </c:ser>
        <c:ser>
          <c:idx val="6"/>
          <c:order val="6"/>
          <c:tx>
            <c:strRef>
              <c:f>'Sheet1 (10)'!$H$3:$H$4</c:f>
              <c:strCache>
                <c:ptCount val="1"/>
                <c:pt idx="0">
                  <c:v>STRONTIUM</c:v>
                </c:pt>
              </c:strCache>
            </c:strRef>
          </c:tx>
          <c:cat>
            <c:strRef>
              <c:f>'Sheet1 (10)'!$A$5:$A$30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(10)'!$H$5:$H$30</c:f>
              <c:numCache>
                <c:formatCode>General</c:formatCode>
                <c:ptCount val="25"/>
                <c:pt idx="15">
                  <c:v>0</c:v>
                </c:pt>
                <c:pt idx="16">
                  <c:v>2099639.8000000003</c:v>
                </c:pt>
                <c:pt idx="17">
                  <c:v>6950923.9700000007</c:v>
                </c:pt>
                <c:pt idx="18">
                  <c:v>10487778.259999998</c:v>
                </c:pt>
                <c:pt idx="19">
                  <c:v>13008618.529999999</c:v>
                </c:pt>
                <c:pt idx="20">
                  <c:v>14599857.249999996</c:v>
                </c:pt>
                <c:pt idx="21">
                  <c:v>15274100.610000001</c:v>
                </c:pt>
                <c:pt idx="22">
                  <c:v>13422105.219999997</c:v>
                </c:pt>
                <c:pt idx="23">
                  <c:v>7983950.1599999992</c:v>
                </c:pt>
                <c:pt idx="24">
                  <c:v>3345215.9399999995</c:v>
                </c:pt>
              </c:numCache>
            </c:numRef>
          </c:val>
          <c:smooth val="0"/>
        </c:ser>
        <c:ser>
          <c:idx val="7"/>
          <c:order val="7"/>
          <c:tx>
            <c:strRef>
              <c:f>'Sheet1 (10)'!$I$3:$I$4</c:f>
              <c:strCache>
                <c:ptCount val="1"/>
                <c:pt idx="0">
                  <c:v>TERIPARATIDE</c:v>
                </c:pt>
              </c:strCache>
            </c:strRef>
          </c:tx>
          <c:cat>
            <c:strRef>
              <c:f>'Sheet1 (10)'!$A$5:$A$30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(10)'!$I$5:$I$30</c:f>
              <c:numCache>
                <c:formatCode>General</c:formatCode>
                <c:ptCount val="25"/>
                <c:pt idx="18">
                  <c:v>582717.68999999983</c:v>
                </c:pt>
                <c:pt idx="19">
                  <c:v>2362886.0200000019</c:v>
                </c:pt>
                <c:pt idx="20">
                  <c:v>2769149.7699999982</c:v>
                </c:pt>
                <c:pt idx="21">
                  <c:v>2910360.2600000002</c:v>
                </c:pt>
                <c:pt idx="22">
                  <c:v>3487121.5099999993</c:v>
                </c:pt>
                <c:pt idx="23">
                  <c:v>3690708.450000002</c:v>
                </c:pt>
                <c:pt idx="24">
                  <c:v>3700944.8600000003</c:v>
                </c:pt>
              </c:numCache>
            </c:numRef>
          </c:val>
          <c:smooth val="0"/>
        </c:ser>
        <c:ser>
          <c:idx val="8"/>
          <c:order val="8"/>
          <c:tx>
            <c:strRef>
              <c:f>'Sheet1 (10)'!$J$3:$J$4</c:f>
              <c:strCache>
                <c:ptCount val="1"/>
                <c:pt idx="0">
                  <c:v>ZOLEDRONIC ACID</c:v>
                </c:pt>
              </c:strCache>
            </c:strRef>
          </c:tx>
          <c:cat>
            <c:strRef>
              <c:f>'Sheet1 (10)'!$A$5:$A$30</c:f>
              <c:strCach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strCache>
            </c:strRef>
          </c:cat>
          <c:val>
            <c:numRef>
              <c:f>'Sheet1 (10)'!$J$5:$J$30</c:f>
              <c:numCache>
                <c:formatCode>General</c:formatCode>
                <c:ptCount val="25"/>
                <c:pt idx="17">
                  <c:v>154594.10999999999</c:v>
                </c:pt>
                <c:pt idx="18">
                  <c:v>6820668.2199999979</c:v>
                </c:pt>
                <c:pt idx="19">
                  <c:v>12685734.250000002</c:v>
                </c:pt>
                <c:pt idx="20">
                  <c:v>15899915.83</c:v>
                </c:pt>
                <c:pt idx="21">
                  <c:v>17213134.669999998</c:v>
                </c:pt>
                <c:pt idx="22">
                  <c:v>18000779.260000002</c:v>
                </c:pt>
                <c:pt idx="23">
                  <c:v>14777918.600000003</c:v>
                </c:pt>
                <c:pt idx="24">
                  <c:v>11428723.73</c:v>
                </c:pt>
              </c:numCache>
            </c:numRef>
          </c:val>
          <c:smooth val="0"/>
        </c:ser>
        <c:dLbls>
          <c:showLegendKey val="0"/>
          <c:showVal val="0"/>
          <c:showCatName val="0"/>
          <c:showSerName val="0"/>
          <c:showPercent val="0"/>
          <c:showBubbleSize val="0"/>
        </c:dLbls>
        <c:marker val="1"/>
        <c:smooth val="0"/>
        <c:axId val="118848896"/>
        <c:axId val="118850688"/>
      </c:lineChart>
      <c:catAx>
        <c:axId val="118848896"/>
        <c:scaling>
          <c:orientation val="minMax"/>
        </c:scaling>
        <c:delete val="0"/>
        <c:axPos val="b"/>
        <c:majorTickMark val="none"/>
        <c:minorTickMark val="none"/>
        <c:tickLblPos val="nextTo"/>
        <c:crossAx val="118850688"/>
        <c:crosses val="autoZero"/>
        <c:auto val="1"/>
        <c:lblAlgn val="ctr"/>
        <c:lblOffset val="100"/>
        <c:noMultiLvlLbl val="0"/>
      </c:catAx>
      <c:valAx>
        <c:axId val="118850688"/>
        <c:scaling>
          <c:orientation val="minMax"/>
        </c:scaling>
        <c:delete val="0"/>
        <c:axPos val="l"/>
        <c:majorGridlines/>
        <c:title>
          <c:tx>
            <c:rich>
              <a:bodyPr rot="-5400000" vert="horz"/>
              <a:lstStyle/>
              <a:p>
                <a:pPr>
                  <a:defRPr b="0"/>
                </a:pPr>
                <a:r>
                  <a:rPr lang="en-AU" b="0"/>
                  <a:t>Government expenditure</a:t>
                </a:r>
              </a:p>
            </c:rich>
          </c:tx>
          <c:layout/>
          <c:overlay val="0"/>
        </c:title>
        <c:numFmt formatCode="&quot;$&quot;#,##0" sourceLinked="0"/>
        <c:majorTickMark val="none"/>
        <c:minorTickMark val="none"/>
        <c:tickLblPos val="nextTo"/>
        <c:crossAx val="118848896"/>
        <c:crosses val="autoZero"/>
        <c:crossBetween val="between"/>
      </c:valAx>
    </c:plotArea>
    <c:legend>
      <c:legendPos val="b"/>
      <c:layout/>
      <c:overlay val="0"/>
      <c:txPr>
        <a:bodyPr/>
        <a:lstStyle/>
        <a:p>
          <a:pPr>
            <a:defRPr sz="8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MBS_Data Bone Densitometry items v4, per capita by year and indication.xlsx]Sheet1 (3)!PivotTable4</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s>
    <c:plotArea>
      <c:layout/>
      <c:lineChart>
        <c:grouping val="standard"/>
        <c:varyColors val="0"/>
        <c:ser>
          <c:idx val="0"/>
          <c:order val="0"/>
          <c:tx>
            <c:strRef>
              <c:f>'Sheet1 (3)'!$B$1:$B$2</c:f>
              <c:strCache>
                <c:ptCount val="1"/>
                <c:pt idx="0">
                  <c:v>All Items</c:v>
                </c:pt>
              </c:strCache>
            </c:strRef>
          </c:tx>
          <c:cat>
            <c:strRef>
              <c:f>'Sheet1 (3)'!$A$3:$A$24</c:f>
              <c:strCach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strCache>
            </c:strRef>
          </c:cat>
          <c:val>
            <c:numRef>
              <c:f>'Sheet1 (3)'!$B$3:$B$24</c:f>
              <c:numCache>
                <c:formatCode>General</c:formatCode>
                <c:ptCount val="21"/>
                <c:pt idx="0">
                  <c:v>4659</c:v>
                </c:pt>
                <c:pt idx="1">
                  <c:v>45944</c:v>
                </c:pt>
                <c:pt idx="2">
                  <c:v>64508</c:v>
                </c:pt>
                <c:pt idx="3">
                  <c:v>81798</c:v>
                </c:pt>
                <c:pt idx="4">
                  <c:v>100020</c:v>
                </c:pt>
                <c:pt idx="5">
                  <c:v>110737</c:v>
                </c:pt>
                <c:pt idx="6">
                  <c:v>133056</c:v>
                </c:pt>
                <c:pt idx="7">
                  <c:v>159691</c:v>
                </c:pt>
                <c:pt idx="8">
                  <c:v>152939</c:v>
                </c:pt>
                <c:pt idx="9">
                  <c:v>159383</c:v>
                </c:pt>
                <c:pt idx="10">
                  <c:v>173131</c:v>
                </c:pt>
                <c:pt idx="11">
                  <c:v>172308</c:v>
                </c:pt>
                <c:pt idx="12">
                  <c:v>237416</c:v>
                </c:pt>
                <c:pt idx="13">
                  <c:v>261208</c:v>
                </c:pt>
                <c:pt idx="14">
                  <c:v>260231</c:v>
                </c:pt>
                <c:pt idx="15">
                  <c:v>280467</c:v>
                </c:pt>
                <c:pt idx="16">
                  <c:v>311384</c:v>
                </c:pt>
                <c:pt idx="17">
                  <c:v>334438</c:v>
                </c:pt>
                <c:pt idx="18">
                  <c:v>352999</c:v>
                </c:pt>
                <c:pt idx="19">
                  <c:v>378512</c:v>
                </c:pt>
                <c:pt idx="20">
                  <c:v>417837</c:v>
                </c:pt>
              </c:numCache>
            </c:numRef>
          </c:val>
          <c:smooth val="0"/>
          <c:extLst xmlns:c16r2="http://schemas.microsoft.com/office/drawing/2015/06/chart">
            <c:ext xmlns:c16="http://schemas.microsoft.com/office/drawing/2014/chart" uri="{C3380CC4-5D6E-409C-BE32-E72D297353CC}">
              <c16:uniqueId val="{00000000-8F69-4CBB-AC2E-5D7116D2BA69}"/>
            </c:ext>
          </c:extLst>
        </c:ser>
        <c:ser>
          <c:idx val="1"/>
          <c:order val="1"/>
          <c:tx>
            <c:strRef>
              <c:f>'Sheet1 (3)'!$C$1:$C$2</c:f>
              <c:strCache>
                <c:ptCount val="1"/>
                <c:pt idx="0">
                  <c:v>1 or more fractures after minimal trauma, or monitoring of low BMD </c:v>
                </c:pt>
              </c:strCache>
            </c:strRef>
          </c:tx>
          <c:cat>
            <c:strRef>
              <c:f>'Sheet1 (3)'!$A$3:$A$24</c:f>
              <c:strCach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strCache>
            </c:strRef>
          </c:cat>
          <c:val>
            <c:numRef>
              <c:f>'Sheet1 (3)'!$C$3:$C$24</c:f>
              <c:numCache>
                <c:formatCode>General</c:formatCode>
                <c:ptCount val="21"/>
                <c:pt idx="0">
                  <c:v>2618</c:v>
                </c:pt>
                <c:pt idx="1">
                  <c:v>24296</c:v>
                </c:pt>
                <c:pt idx="2">
                  <c:v>34081</c:v>
                </c:pt>
                <c:pt idx="3">
                  <c:v>43610</c:v>
                </c:pt>
                <c:pt idx="4">
                  <c:v>54245</c:v>
                </c:pt>
                <c:pt idx="5">
                  <c:v>60125</c:v>
                </c:pt>
                <c:pt idx="6">
                  <c:v>71827</c:v>
                </c:pt>
                <c:pt idx="7">
                  <c:v>85939</c:v>
                </c:pt>
                <c:pt idx="8">
                  <c:v>85834</c:v>
                </c:pt>
                <c:pt idx="9">
                  <c:v>91344</c:v>
                </c:pt>
                <c:pt idx="10">
                  <c:v>101843</c:v>
                </c:pt>
                <c:pt idx="11">
                  <c:v>102591</c:v>
                </c:pt>
                <c:pt idx="12">
                  <c:v>102596</c:v>
                </c:pt>
                <c:pt idx="13">
                  <c:v>97280</c:v>
                </c:pt>
                <c:pt idx="14">
                  <c:v>97070</c:v>
                </c:pt>
                <c:pt idx="15">
                  <c:v>98309</c:v>
                </c:pt>
                <c:pt idx="16">
                  <c:v>99603</c:v>
                </c:pt>
                <c:pt idx="17">
                  <c:v>98680</c:v>
                </c:pt>
                <c:pt idx="18">
                  <c:v>100978</c:v>
                </c:pt>
                <c:pt idx="19">
                  <c:v>104085</c:v>
                </c:pt>
                <c:pt idx="20">
                  <c:v>108199</c:v>
                </c:pt>
              </c:numCache>
            </c:numRef>
          </c:val>
          <c:smooth val="0"/>
          <c:extLst xmlns:c16r2="http://schemas.microsoft.com/office/drawing/2015/06/chart">
            <c:ext xmlns:c16="http://schemas.microsoft.com/office/drawing/2014/chart" uri="{C3380CC4-5D6E-409C-BE32-E72D297353CC}">
              <c16:uniqueId val="{00000001-8F69-4CBB-AC2E-5D7116D2BA69}"/>
            </c:ext>
          </c:extLst>
        </c:ser>
        <c:ser>
          <c:idx val="2"/>
          <c:order val="2"/>
          <c:tx>
            <c:strRef>
              <c:f>'Sheet1 (3)'!$D$1:$D$2</c:f>
              <c:strCache>
                <c:ptCount val="1"/>
                <c:pt idx="0">
                  <c:v>diagnosis and monitoring of bone loss associated with various conditions </c:v>
                </c:pt>
              </c:strCache>
            </c:strRef>
          </c:tx>
          <c:cat>
            <c:strRef>
              <c:f>'Sheet1 (3)'!$A$3:$A$24</c:f>
              <c:strCach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strCache>
            </c:strRef>
          </c:cat>
          <c:val>
            <c:numRef>
              <c:f>'Sheet1 (3)'!$D$3:$D$24</c:f>
              <c:numCache>
                <c:formatCode>General</c:formatCode>
                <c:ptCount val="21"/>
                <c:pt idx="0">
                  <c:v>2041</c:v>
                </c:pt>
                <c:pt idx="1">
                  <c:v>21648</c:v>
                </c:pt>
                <c:pt idx="2">
                  <c:v>30427</c:v>
                </c:pt>
                <c:pt idx="3">
                  <c:v>38188</c:v>
                </c:pt>
                <c:pt idx="4">
                  <c:v>45775</c:v>
                </c:pt>
                <c:pt idx="5">
                  <c:v>50612</c:v>
                </c:pt>
                <c:pt idx="6">
                  <c:v>61229</c:v>
                </c:pt>
                <c:pt idx="7">
                  <c:v>73752</c:v>
                </c:pt>
                <c:pt idx="8">
                  <c:v>67105</c:v>
                </c:pt>
                <c:pt idx="9">
                  <c:v>68039</c:v>
                </c:pt>
                <c:pt idx="10">
                  <c:v>71288</c:v>
                </c:pt>
                <c:pt idx="11">
                  <c:v>69717</c:v>
                </c:pt>
                <c:pt idx="12">
                  <c:v>74137</c:v>
                </c:pt>
                <c:pt idx="13">
                  <c:v>78300</c:v>
                </c:pt>
                <c:pt idx="14">
                  <c:v>83980</c:v>
                </c:pt>
                <c:pt idx="15">
                  <c:v>87132</c:v>
                </c:pt>
                <c:pt idx="16">
                  <c:v>89663</c:v>
                </c:pt>
                <c:pt idx="17">
                  <c:v>92895</c:v>
                </c:pt>
                <c:pt idx="18">
                  <c:v>93462</c:v>
                </c:pt>
                <c:pt idx="19">
                  <c:v>98186</c:v>
                </c:pt>
                <c:pt idx="20">
                  <c:v>102037</c:v>
                </c:pt>
              </c:numCache>
            </c:numRef>
          </c:val>
          <c:smooth val="0"/>
          <c:extLst xmlns:c16r2="http://schemas.microsoft.com/office/drawing/2015/06/chart">
            <c:ext xmlns:c16="http://schemas.microsoft.com/office/drawing/2014/chart" uri="{C3380CC4-5D6E-409C-BE32-E72D297353CC}">
              <c16:uniqueId val="{00000002-8F69-4CBB-AC2E-5D7116D2BA69}"/>
            </c:ext>
          </c:extLst>
        </c:ser>
        <c:ser>
          <c:idx val="3"/>
          <c:order val="3"/>
          <c:tx>
            <c:strRef>
              <c:f>'Sheet1 (3)'!$E$1:$E$2</c:f>
              <c:strCache>
                <c:ptCount val="1"/>
                <c:pt idx="0">
                  <c:v>for a person aged 70 years or over</c:v>
                </c:pt>
              </c:strCache>
            </c:strRef>
          </c:tx>
          <c:cat>
            <c:strRef>
              <c:f>'Sheet1 (3)'!$A$3:$A$24</c:f>
              <c:strCach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strCache>
            </c:strRef>
          </c:cat>
          <c:val>
            <c:numRef>
              <c:f>'Sheet1 (3)'!$E$3:$E$24</c:f>
              <c:numCache>
                <c:formatCode>General</c:formatCode>
                <c:ptCount val="21"/>
                <c:pt idx="12">
                  <c:v>60683</c:v>
                </c:pt>
                <c:pt idx="13">
                  <c:v>85628</c:v>
                </c:pt>
                <c:pt idx="14">
                  <c:v>79181</c:v>
                </c:pt>
                <c:pt idx="15">
                  <c:v>95026</c:v>
                </c:pt>
                <c:pt idx="16">
                  <c:v>122118</c:v>
                </c:pt>
                <c:pt idx="17">
                  <c:v>142863</c:v>
                </c:pt>
                <c:pt idx="18">
                  <c:v>158559</c:v>
                </c:pt>
                <c:pt idx="19">
                  <c:v>176241</c:v>
                </c:pt>
                <c:pt idx="20">
                  <c:v>207601</c:v>
                </c:pt>
              </c:numCache>
            </c:numRef>
          </c:val>
          <c:smooth val="0"/>
          <c:extLst xmlns:c16r2="http://schemas.microsoft.com/office/drawing/2015/06/chart">
            <c:ext xmlns:c16="http://schemas.microsoft.com/office/drawing/2014/chart" uri="{C3380CC4-5D6E-409C-BE32-E72D297353CC}">
              <c16:uniqueId val="{00000003-8F69-4CBB-AC2E-5D7116D2BA69}"/>
            </c:ext>
          </c:extLst>
        </c:ser>
        <c:dLbls>
          <c:showLegendKey val="0"/>
          <c:showVal val="0"/>
          <c:showCatName val="0"/>
          <c:showSerName val="0"/>
          <c:showPercent val="0"/>
          <c:showBubbleSize val="0"/>
        </c:dLbls>
        <c:marker val="1"/>
        <c:smooth val="0"/>
        <c:axId val="118921472"/>
        <c:axId val="118923264"/>
      </c:lineChart>
      <c:catAx>
        <c:axId val="118921472"/>
        <c:scaling>
          <c:orientation val="minMax"/>
        </c:scaling>
        <c:delete val="0"/>
        <c:axPos val="b"/>
        <c:numFmt formatCode="General" sourceLinked="0"/>
        <c:majorTickMark val="out"/>
        <c:minorTickMark val="none"/>
        <c:tickLblPos val="nextTo"/>
        <c:crossAx val="118923264"/>
        <c:crosses val="autoZero"/>
        <c:auto val="1"/>
        <c:lblAlgn val="ctr"/>
        <c:lblOffset val="100"/>
        <c:noMultiLvlLbl val="0"/>
      </c:catAx>
      <c:valAx>
        <c:axId val="118923264"/>
        <c:scaling>
          <c:orientation val="minMax"/>
        </c:scaling>
        <c:delete val="0"/>
        <c:axPos val="l"/>
        <c:majorGridlines/>
        <c:title>
          <c:tx>
            <c:rich>
              <a:bodyPr rot="-5400000" vert="horz"/>
              <a:lstStyle/>
              <a:p>
                <a:pPr>
                  <a:defRPr/>
                </a:pPr>
                <a:r>
                  <a:rPr lang="en-AU"/>
                  <a:t>Services</a:t>
                </a:r>
              </a:p>
            </c:rich>
          </c:tx>
          <c:layout>
            <c:manualLayout>
              <c:xMode val="edge"/>
              <c:yMode val="edge"/>
              <c:x val="1.7848164818667214E-2"/>
              <c:y val="0.26288730079171313"/>
            </c:manualLayout>
          </c:layout>
          <c:overlay val="0"/>
        </c:title>
        <c:numFmt formatCode="#,##0" sourceLinked="0"/>
        <c:majorTickMark val="out"/>
        <c:minorTickMark val="none"/>
        <c:tickLblPos val="nextTo"/>
        <c:crossAx val="118921472"/>
        <c:crosses val="autoZero"/>
        <c:crossBetween val="between"/>
      </c:valAx>
    </c:plotArea>
    <c:legend>
      <c:legendPos val="b"/>
      <c:layout/>
      <c:overlay val="0"/>
      <c:txPr>
        <a:bodyPr/>
        <a:lstStyle/>
        <a:p>
          <a:pPr>
            <a:defRPr sz="900"/>
          </a:pPr>
          <a:endParaRPr lang="en-US"/>
        </a:p>
      </c:txPr>
    </c:legend>
    <c:plotVisOnly val="1"/>
    <c:dispBlanksAs val="gap"/>
    <c:showDLblsOverMax val="0"/>
  </c:chart>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[D941_AGSTD_PATS - national raw and age adj rates - adj for time age distr change.xlsx]Sheet1 (7)!PivotTable4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marker>
          <c:symbol val="none"/>
        </c:marker>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s>
    <c:plotArea>
      <c:layout/>
      <c:lineChart>
        <c:grouping val="standard"/>
        <c:varyColors val="0"/>
        <c:ser>
          <c:idx val="0"/>
          <c:order val="0"/>
          <c:tx>
            <c:strRef>
              <c:f>'Sheet1 (7)'!$B$3:$B$5</c:f>
              <c:strCache>
                <c:ptCount val="1"/>
                <c:pt idx="0">
                  <c:v>Initiating  - Patients per 1,000 population - raw</c:v>
                </c:pt>
              </c:strCache>
            </c:strRef>
          </c:tx>
          <c:cat>
            <c:strRef>
              <c:f>'Sheet1 (7)'!$A$6:$A$19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(7)'!$B$6:$B$19</c:f>
              <c:numCache>
                <c:formatCode>General</c:formatCode>
                <c:ptCount val="13"/>
                <c:pt idx="2">
                  <c:v>4.1022768476000007</c:v>
                </c:pt>
                <c:pt idx="3">
                  <c:v>3.4434070253</c:v>
                </c:pt>
                <c:pt idx="4">
                  <c:v>3.7444985316999997</c:v>
                </c:pt>
                <c:pt idx="5">
                  <c:v>3.3450202051999995</c:v>
                </c:pt>
                <c:pt idx="6">
                  <c:v>3.1106435272999997</c:v>
                </c:pt>
                <c:pt idx="7">
                  <c:v>2.9374425545</c:v>
                </c:pt>
                <c:pt idx="8">
                  <c:v>2.9692895584999999</c:v>
                </c:pt>
                <c:pt idx="9">
                  <c:v>2.9731276323000002</c:v>
                </c:pt>
                <c:pt idx="10">
                  <c:v>2.8465196687000001</c:v>
                </c:pt>
                <c:pt idx="11">
                  <c:v>2.8597619491000001</c:v>
                </c:pt>
                <c:pt idx="12">
                  <c:v>3.0325244683000001</c:v>
                </c:pt>
              </c:numCache>
            </c:numRef>
          </c:val>
          <c:smooth val="0"/>
          <c:extLst xmlns:c16r2="http://schemas.microsoft.com/office/drawing/2015/06/chart">
            <c:ext xmlns:c16="http://schemas.microsoft.com/office/drawing/2014/chart" uri="{C3380CC4-5D6E-409C-BE32-E72D297353CC}">
              <c16:uniqueId val="{00000000-F27E-412F-9B1B-2498A7D4A677}"/>
            </c:ext>
          </c:extLst>
        </c:ser>
        <c:ser>
          <c:idx val="1"/>
          <c:order val="1"/>
          <c:tx>
            <c:strRef>
              <c:f>'Sheet1 (7)'!$C$3:$C$5</c:f>
              <c:strCache>
                <c:ptCount val="1"/>
                <c:pt idx="0">
                  <c:v>Initiating  - Patients per 1,000 population - age adjusted</c:v>
                </c:pt>
              </c:strCache>
            </c:strRef>
          </c:tx>
          <c:cat>
            <c:strRef>
              <c:f>'Sheet1 (7)'!$A$6:$A$19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(7)'!$C$6:$C$19</c:f>
              <c:numCache>
                <c:formatCode>General</c:formatCode>
                <c:ptCount val="13"/>
                <c:pt idx="2">
                  <c:v>4.3395388247</c:v>
                </c:pt>
                <c:pt idx="3">
                  <c:v>3.6045534407000002</c:v>
                </c:pt>
                <c:pt idx="4">
                  <c:v>3.8714530693000002</c:v>
                </c:pt>
                <c:pt idx="5">
                  <c:v>3.4431451039000005</c:v>
                </c:pt>
                <c:pt idx="6">
                  <c:v>3.1866625082</c:v>
                </c:pt>
                <c:pt idx="7">
                  <c:v>2.9741386131000001</c:v>
                </c:pt>
                <c:pt idx="8">
                  <c:v>2.9675885756999998</c:v>
                </c:pt>
                <c:pt idx="9">
                  <c:v>2.9422342945</c:v>
                </c:pt>
                <c:pt idx="10">
                  <c:v>2.7881268569</c:v>
                </c:pt>
                <c:pt idx="11">
                  <c:v>2.7645447260000005</c:v>
                </c:pt>
                <c:pt idx="12">
                  <c:v>2.8904202530999998</c:v>
                </c:pt>
              </c:numCache>
            </c:numRef>
          </c:val>
          <c:smooth val="0"/>
          <c:extLst xmlns:c16r2="http://schemas.microsoft.com/office/drawing/2015/06/chart">
            <c:ext xmlns:c16="http://schemas.microsoft.com/office/drawing/2014/chart" uri="{C3380CC4-5D6E-409C-BE32-E72D297353CC}">
              <c16:uniqueId val="{00000001-F27E-412F-9B1B-2498A7D4A677}"/>
            </c:ext>
          </c:extLst>
        </c:ser>
        <c:ser>
          <c:idx val="2"/>
          <c:order val="2"/>
          <c:tx>
            <c:strRef>
              <c:f>'Sheet1 (7)'!$D$3:$D$5</c:f>
              <c:strCache>
                <c:ptCount val="1"/>
                <c:pt idx="0">
                  <c:v>Prevalent - Patients per 1,000 population - raw</c:v>
                </c:pt>
              </c:strCache>
            </c:strRef>
          </c:tx>
          <c:cat>
            <c:strRef>
              <c:f>'Sheet1 (7)'!$A$6:$A$19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(7)'!$D$6:$D$19</c:f>
              <c:numCache>
                <c:formatCode>General</c:formatCode>
                <c:ptCount val="13"/>
                <c:pt idx="0">
                  <c:v>16.058781170300001</c:v>
                </c:pt>
                <c:pt idx="1">
                  <c:v>17.6871477959</c:v>
                </c:pt>
                <c:pt idx="2">
                  <c:v>19.380434323399999</c:v>
                </c:pt>
                <c:pt idx="3">
                  <c:v>20.175623977299999</c:v>
                </c:pt>
                <c:pt idx="4">
                  <c:v>21.171788118800002</c:v>
                </c:pt>
                <c:pt idx="5">
                  <c:v>20.8230437297</c:v>
                </c:pt>
                <c:pt idx="6">
                  <c:v>20.367189167300001</c:v>
                </c:pt>
                <c:pt idx="7">
                  <c:v>20.105166407600002</c:v>
                </c:pt>
                <c:pt idx="8">
                  <c:v>19.943085110300004</c:v>
                </c:pt>
                <c:pt idx="9">
                  <c:v>19.8423952847</c:v>
                </c:pt>
                <c:pt idx="10">
                  <c:v>19.5932899411</c:v>
                </c:pt>
                <c:pt idx="11">
                  <c:v>19.434932317099999</c:v>
                </c:pt>
                <c:pt idx="12">
                  <c:v>19.822356085499997</c:v>
                </c:pt>
              </c:numCache>
            </c:numRef>
          </c:val>
          <c:smooth val="0"/>
          <c:extLst xmlns:c16r2="http://schemas.microsoft.com/office/drawing/2015/06/chart">
            <c:ext xmlns:c16="http://schemas.microsoft.com/office/drawing/2014/chart" uri="{C3380CC4-5D6E-409C-BE32-E72D297353CC}">
              <c16:uniqueId val="{00000002-F27E-412F-9B1B-2498A7D4A677}"/>
            </c:ext>
          </c:extLst>
        </c:ser>
        <c:ser>
          <c:idx val="3"/>
          <c:order val="3"/>
          <c:tx>
            <c:strRef>
              <c:f>'Sheet1 (7)'!$E$3:$E$5</c:f>
              <c:strCache>
                <c:ptCount val="1"/>
                <c:pt idx="0">
                  <c:v>Prevalent - Patients per 1,000 population - age adjusted</c:v>
                </c:pt>
              </c:strCache>
            </c:strRef>
          </c:tx>
          <c:cat>
            <c:strRef>
              <c:f>'Sheet1 (7)'!$A$6:$A$19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(7)'!$E$6:$E$19</c:f>
              <c:numCache>
                <c:formatCode>General</c:formatCode>
                <c:ptCount val="13"/>
                <c:pt idx="0">
                  <c:v>17.414571244000001</c:v>
                </c:pt>
                <c:pt idx="1">
                  <c:v>18.971659656</c:v>
                </c:pt>
                <c:pt idx="2">
                  <c:v>20.540222207199999</c:v>
                </c:pt>
                <c:pt idx="3">
                  <c:v>21.174570297999999</c:v>
                </c:pt>
                <c:pt idx="4">
                  <c:v>21.9761632584</c:v>
                </c:pt>
                <c:pt idx="5">
                  <c:v>21.494873912400003</c:v>
                </c:pt>
                <c:pt idx="6">
                  <c:v>20.906762167399997</c:v>
                </c:pt>
                <c:pt idx="7">
                  <c:v>20.382323559</c:v>
                </c:pt>
                <c:pt idx="8">
                  <c:v>19.937713585400001</c:v>
                </c:pt>
                <c:pt idx="9">
                  <c:v>19.624078525299996</c:v>
                </c:pt>
                <c:pt idx="10">
                  <c:v>19.167093964999999</c:v>
                </c:pt>
                <c:pt idx="11">
                  <c:v>18.749281359399998</c:v>
                </c:pt>
                <c:pt idx="12">
                  <c:v>18.844692774600002</c:v>
                </c:pt>
              </c:numCache>
            </c:numRef>
          </c:val>
          <c:smooth val="0"/>
          <c:extLst xmlns:c16r2="http://schemas.microsoft.com/office/drawing/2015/06/chart">
            <c:ext xmlns:c16="http://schemas.microsoft.com/office/drawing/2014/chart" uri="{C3380CC4-5D6E-409C-BE32-E72D297353CC}">
              <c16:uniqueId val="{00000003-F27E-412F-9B1B-2498A7D4A677}"/>
            </c:ext>
          </c:extLst>
        </c:ser>
        <c:dLbls>
          <c:showLegendKey val="0"/>
          <c:showVal val="0"/>
          <c:showCatName val="0"/>
          <c:showSerName val="0"/>
          <c:showPercent val="0"/>
          <c:showBubbleSize val="0"/>
        </c:dLbls>
        <c:marker val="1"/>
        <c:smooth val="0"/>
        <c:axId val="128389888"/>
        <c:axId val="128391424"/>
      </c:lineChart>
      <c:catAx>
        <c:axId val="128389888"/>
        <c:scaling>
          <c:orientation val="minMax"/>
        </c:scaling>
        <c:delete val="0"/>
        <c:axPos val="b"/>
        <c:numFmt formatCode="General" sourceLinked="0"/>
        <c:majorTickMark val="none"/>
        <c:minorTickMark val="none"/>
        <c:tickLblPos val="nextTo"/>
        <c:crossAx val="128391424"/>
        <c:crosses val="autoZero"/>
        <c:auto val="1"/>
        <c:lblAlgn val="ctr"/>
        <c:lblOffset val="100"/>
        <c:noMultiLvlLbl val="0"/>
      </c:catAx>
      <c:valAx>
        <c:axId val="128391424"/>
        <c:scaling>
          <c:orientation val="minMax"/>
        </c:scaling>
        <c:delete val="0"/>
        <c:axPos val="l"/>
        <c:majorGridlines/>
        <c:title>
          <c:tx>
            <c:rich>
              <a:bodyPr rot="-5400000" vert="horz"/>
              <a:lstStyle/>
              <a:p>
                <a:pPr>
                  <a:defRPr b="0"/>
                </a:pPr>
                <a:r>
                  <a:rPr lang="en-AU" b="0"/>
                  <a:t>Patients per 1,000</a:t>
                </a:r>
                <a:r>
                  <a:rPr lang="en-AU" b="0" baseline="0"/>
                  <a:t> population</a:t>
                </a:r>
                <a:endParaRPr lang="en-AU" b="0"/>
              </a:p>
            </c:rich>
          </c:tx>
          <c:layout/>
          <c:overlay val="0"/>
        </c:title>
        <c:numFmt formatCode="General" sourceLinked="1"/>
        <c:majorTickMark val="none"/>
        <c:minorTickMark val="none"/>
        <c:tickLblPos val="nextTo"/>
        <c:spPr>
          <a:ln w="9525">
            <a:noFill/>
          </a:ln>
        </c:spPr>
        <c:crossAx val="128389888"/>
        <c:crosses val="autoZero"/>
        <c:crossBetween val="between"/>
      </c:valAx>
      <c:spPr>
        <a:ln>
          <a:solidFill>
            <a:schemeClr val="tx1"/>
          </a:solidFill>
        </a:ln>
      </c:spPr>
    </c:plotArea>
    <c:legend>
      <c:legendPos val="b"/>
      <c:layout/>
      <c:overlay val="0"/>
      <c:txPr>
        <a:bodyPr/>
        <a:lstStyle/>
        <a:p>
          <a:pPr>
            <a:defRPr sz="700"/>
          </a:pPr>
          <a:endParaRPr lang="en-US"/>
        </a:p>
      </c:txPr>
    </c:legend>
    <c:plotVisOnly val="1"/>
    <c:dispBlanksAs val="gap"/>
    <c:showDLblsOverMax val="0"/>
  </c:chart>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PAT_CNT_BY_DRUG_N_SUPP_Y, therapy, id=age, sex, MoA, drg_grp.xlsx]Sheet1 (5)!PivotTable1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marker>
          <c:symbol val="none"/>
        </c:marker>
      </c:pivotFmt>
      <c:pivotFmt>
        <c:idx val="10"/>
      </c:pivotFmt>
      <c:pivotFmt>
        <c:idx val="11"/>
        <c:marker>
          <c:symbol val="none"/>
        </c:marker>
      </c:pivotFmt>
      <c:pivotFmt>
        <c:idx val="12"/>
      </c:pivotFmt>
      <c:pivotFmt>
        <c:idx val="13"/>
        <c:marker>
          <c:symbol val="none"/>
        </c:marker>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s>
    <c:plotArea>
      <c:layout/>
      <c:lineChart>
        <c:grouping val="standard"/>
        <c:varyColors val="0"/>
        <c:ser>
          <c:idx val="0"/>
          <c:order val="0"/>
          <c:tx>
            <c:strRef>
              <c:f>'Sheet1 (5)'!$B$4:$B$5</c:f>
              <c:strCache>
                <c:ptCount val="1"/>
                <c:pt idx="0">
                  <c:v>ALENDRONATE (incl. combination products)</c:v>
                </c:pt>
              </c:strCache>
            </c:strRef>
          </c:tx>
          <c:cat>
            <c:strRef>
              <c:f>'Sheet1 (5)'!$A$6:$A$17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(5)'!$B$6:$B$17</c:f>
              <c:numCache>
                <c:formatCode>General</c:formatCode>
                <c:ptCount val="11"/>
                <c:pt idx="0">
                  <c:v>50624</c:v>
                </c:pt>
                <c:pt idx="1">
                  <c:v>36745</c:v>
                </c:pt>
                <c:pt idx="2">
                  <c:v>39077</c:v>
                </c:pt>
                <c:pt idx="3">
                  <c:v>28635</c:v>
                </c:pt>
                <c:pt idx="4">
                  <c:v>22590</c:v>
                </c:pt>
                <c:pt idx="5">
                  <c:v>20522</c:v>
                </c:pt>
                <c:pt idx="6">
                  <c:v>20052</c:v>
                </c:pt>
                <c:pt idx="7">
                  <c:v>19976</c:v>
                </c:pt>
                <c:pt idx="8">
                  <c:v>17680</c:v>
                </c:pt>
                <c:pt idx="9">
                  <c:v>14027</c:v>
                </c:pt>
                <c:pt idx="10">
                  <c:v>12552</c:v>
                </c:pt>
              </c:numCache>
            </c:numRef>
          </c:val>
          <c:smooth val="0"/>
          <c:extLst xmlns:c16r2="http://schemas.microsoft.com/office/drawing/2015/06/chart">
            <c:ext xmlns:c16="http://schemas.microsoft.com/office/drawing/2014/chart" uri="{C3380CC4-5D6E-409C-BE32-E72D297353CC}">
              <c16:uniqueId val="{00000000-086E-45D4-920E-0CAA89452FC0}"/>
            </c:ext>
          </c:extLst>
        </c:ser>
        <c:ser>
          <c:idx val="1"/>
          <c:order val="1"/>
          <c:tx>
            <c:strRef>
              <c:f>'Sheet1 (5)'!$C$4:$C$5</c:f>
              <c:strCache>
                <c:ptCount val="1"/>
                <c:pt idx="0">
                  <c:v>CALCITRIOL</c:v>
                </c:pt>
              </c:strCache>
            </c:strRef>
          </c:tx>
          <c:cat>
            <c:strRef>
              <c:f>'Sheet1 (5)'!$A$6:$A$17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(5)'!$C$6:$C$17</c:f>
              <c:numCache>
                <c:formatCode>General</c:formatCode>
                <c:ptCount val="11"/>
                <c:pt idx="0">
                  <c:v>5285</c:v>
                </c:pt>
                <c:pt idx="1">
                  <c:v>5488</c:v>
                </c:pt>
                <c:pt idx="2">
                  <c:v>5614</c:v>
                </c:pt>
                <c:pt idx="3">
                  <c:v>6289</c:v>
                </c:pt>
                <c:pt idx="4">
                  <c:v>5965</c:v>
                </c:pt>
                <c:pt idx="5">
                  <c:v>5667</c:v>
                </c:pt>
                <c:pt idx="6">
                  <c:v>5096</c:v>
                </c:pt>
                <c:pt idx="7">
                  <c:v>5213</c:v>
                </c:pt>
                <c:pt idx="8">
                  <c:v>5089</c:v>
                </c:pt>
                <c:pt idx="9">
                  <c:v>4996</c:v>
                </c:pt>
                <c:pt idx="10">
                  <c:v>5143</c:v>
                </c:pt>
              </c:numCache>
            </c:numRef>
          </c:val>
          <c:smooth val="0"/>
          <c:extLst xmlns:c16r2="http://schemas.microsoft.com/office/drawing/2015/06/chart">
            <c:ext xmlns:c16="http://schemas.microsoft.com/office/drawing/2014/chart" uri="{C3380CC4-5D6E-409C-BE32-E72D297353CC}">
              <c16:uniqueId val="{00000001-086E-45D4-920E-0CAA89452FC0}"/>
            </c:ext>
          </c:extLst>
        </c:ser>
        <c:ser>
          <c:idx val="2"/>
          <c:order val="2"/>
          <c:tx>
            <c:strRef>
              <c:f>'Sheet1 (5)'!$D$4:$D$5</c:f>
              <c:strCache>
                <c:ptCount val="1"/>
                <c:pt idx="0">
                  <c:v>DENOSUMAB</c:v>
                </c:pt>
              </c:strCache>
            </c:strRef>
          </c:tx>
          <c:cat>
            <c:strRef>
              <c:f>'Sheet1 (5)'!$A$6:$A$17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(5)'!$D$6:$D$17</c:f>
              <c:numCache>
                <c:formatCode>General</c:formatCode>
                <c:ptCount val="11"/>
                <c:pt idx="5">
                  <c:v>27</c:v>
                </c:pt>
                <c:pt idx="6">
                  <c:v>2307</c:v>
                </c:pt>
                <c:pt idx="7">
                  <c:v>6327</c:v>
                </c:pt>
                <c:pt idx="8">
                  <c:v>11933</c:v>
                </c:pt>
                <c:pt idx="9">
                  <c:v>24745</c:v>
                </c:pt>
                <c:pt idx="10">
                  <c:v>35260</c:v>
                </c:pt>
              </c:numCache>
            </c:numRef>
          </c:val>
          <c:smooth val="0"/>
          <c:extLst xmlns:c16r2="http://schemas.microsoft.com/office/drawing/2015/06/chart">
            <c:ext xmlns:c16="http://schemas.microsoft.com/office/drawing/2014/chart" uri="{C3380CC4-5D6E-409C-BE32-E72D297353CC}">
              <c16:uniqueId val="{00000002-086E-45D4-920E-0CAA89452FC0}"/>
            </c:ext>
          </c:extLst>
        </c:ser>
        <c:ser>
          <c:idx val="3"/>
          <c:order val="3"/>
          <c:tx>
            <c:strRef>
              <c:f>'Sheet1 (5)'!$E$4:$E$5</c:f>
              <c:strCache>
                <c:ptCount val="1"/>
                <c:pt idx="0">
                  <c:v>ETIDRONATE DISODIUM (&amp;) CALCIUM CARBONATE</c:v>
                </c:pt>
              </c:strCache>
            </c:strRef>
          </c:tx>
          <c:cat>
            <c:strRef>
              <c:f>'Sheet1 (5)'!$A$6:$A$17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(5)'!$E$6:$E$17</c:f>
              <c:numCache>
                <c:formatCode>General</c:formatCode>
                <c:ptCount val="11"/>
                <c:pt idx="0">
                  <c:v>294</c:v>
                </c:pt>
                <c:pt idx="1">
                  <c:v>159</c:v>
                </c:pt>
                <c:pt idx="2">
                  <c:v>103</c:v>
                </c:pt>
                <c:pt idx="3">
                  <c:v>123</c:v>
                </c:pt>
                <c:pt idx="4">
                  <c:v>88</c:v>
                </c:pt>
                <c:pt idx="5">
                  <c:v>47</c:v>
                </c:pt>
                <c:pt idx="6">
                  <c:v>43</c:v>
                </c:pt>
                <c:pt idx="7">
                  <c:v>16</c:v>
                </c:pt>
              </c:numCache>
            </c:numRef>
          </c:val>
          <c:smooth val="0"/>
          <c:extLst xmlns:c16r2="http://schemas.microsoft.com/office/drawing/2015/06/chart">
            <c:ext xmlns:c16="http://schemas.microsoft.com/office/drawing/2014/chart" uri="{C3380CC4-5D6E-409C-BE32-E72D297353CC}">
              <c16:uniqueId val="{00000003-086E-45D4-920E-0CAA89452FC0}"/>
            </c:ext>
          </c:extLst>
        </c:ser>
        <c:ser>
          <c:idx val="4"/>
          <c:order val="4"/>
          <c:tx>
            <c:strRef>
              <c:f>'Sheet1 (5)'!$F$4:$F$5</c:f>
              <c:strCache>
                <c:ptCount val="1"/>
                <c:pt idx="0">
                  <c:v>RALOXIFENE</c:v>
                </c:pt>
              </c:strCache>
            </c:strRef>
          </c:tx>
          <c:cat>
            <c:strRef>
              <c:f>'Sheet1 (5)'!$A$6:$A$17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(5)'!$F$6:$F$17</c:f>
              <c:numCache>
                <c:formatCode>General</c:formatCode>
                <c:ptCount val="11"/>
                <c:pt idx="0">
                  <c:v>2577</c:v>
                </c:pt>
                <c:pt idx="1">
                  <c:v>2452</c:v>
                </c:pt>
                <c:pt idx="2">
                  <c:v>1889</c:v>
                </c:pt>
                <c:pt idx="3">
                  <c:v>1589</c:v>
                </c:pt>
                <c:pt idx="4">
                  <c:v>1177</c:v>
                </c:pt>
                <c:pt idx="5">
                  <c:v>1053</c:v>
                </c:pt>
                <c:pt idx="6">
                  <c:v>834</c:v>
                </c:pt>
                <c:pt idx="7">
                  <c:v>724</c:v>
                </c:pt>
                <c:pt idx="8">
                  <c:v>706</c:v>
                </c:pt>
                <c:pt idx="9">
                  <c:v>626</c:v>
                </c:pt>
                <c:pt idx="10">
                  <c:v>493</c:v>
                </c:pt>
              </c:numCache>
            </c:numRef>
          </c:val>
          <c:smooth val="0"/>
          <c:extLst xmlns:c16r2="http://schemas.microsoft.com/office/drawing/2015/06/chart">
            <c:ext xmlns:c16="http://schemas.microsoft.com/office/drawing/2014/chart" uri="{C3380CC4-5D6E-409C-BE32-E72D297353CC}">
              <c16:uniqueId val="{00000004-086E-45D4-920E-0CAA89452FC0}"/>
            </c:ext>
          </c:extLst>
        </c:ser>
        <c:ser>
          <c:idx val="5"/>
          <c:order val="5"/>
          <c:tx>
            <c:strRef>
              <c:f>'Sheet1 (5)'!$G$4:$G$5</c:f>
              <c:strCache>
                <c:ptCount val="1"/>
                <c:pt idx="0">
                  <c:v>RISEDRONATE (incl. combination products)</c:v>
                </c:pt>
              </c:strCache>
            </c:strRef>
          </c:tx>
          <c:cat>
            <c:strRef>
              <c:f>'Sheet1 (5)'!$A$6:$A$17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(5)'!$G$6:$G$17</c:f>
              <c:numCache>
                <c:formatCode>General</c:formatCode>
                <c:ptCount val="11"/>
                <c:pt idx="0">
                  <c:v>23991</c:v>
                </c:pt>
                <c:pt idx="1">
                  <c:v>25577</c:v>
                </c:pt>
                <c:pt idx="2">
                  <c:v>25784</c:v>
                </c:pt>
                <c:pt idx="3">
                  <c:v>25532</c:v>
                </c:pt>
                <c:pt idx="4">
                  <c:v>25621</c:v>
                </c:pt>
                <c:pt idx="5">
                  <c:v>24057</c:v>
                </c:pt>
                <c:pt idx="6">
                  <c:v>23506</c:v>
                </c:pt>
                <c:pt idx="7">
                  <c:v>22341</c:v>
                </c:pt>
                <c:pt idx="8">
                  <c:v>19406</c:v>
                </c:pt>
                <c:pt idx="9">
                  <c:v>16746</c:v>
                </c:pt>
                <c:pt idx="10">
                  <c:v>14865</c:v>
                </c:pt>
              </c:numCache>
            </c:numRef>
          </c:val>
          <c:smooth val="0"/>
          <c:extLst xmlns:c16r2="http://schemas.microsoft.com/office/drawing/2015/06/chart">
            <c:ext xmlns:c16="http://schemas.microsoft.com/office/drawing/2014/chart" uri="{C3380CC4-5D6E-409C-BE32-E72D297353CC}">
              <c16:uniqueId val="{00000005-086E-45D4-920E-0CAA89452FC0}"/>
            </c:ext>
          </c:extLst>
        </c:ser>
        <c:ser>
          <c:idx val="6"/>
          <c:order val="6"/>
          <c:tx>
            <c:strRef>
              <c:f>'Sheet1 (5)'!$H$4:$H$5</c:f>
              <c:strCache>
                <c:ptCount val="1"/>
                <c:pt idx="0">
                  <c:v>STRONTIUM</c:v>
                </c:pt>
              </c:strCache>
            </c:strRef>
          </c:tx>
          <c:cat>
            <c:strRef>
              <c:f>'Sheet1 (5)'!$A$6:$A$17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(5)'!$H$6:$H$17</c:f>
              <c:numCache>
                <c:formatCode>General</c:formatCode>
                <c:ptCount val="11"/>
                <c:pt idx="2">
                  <c:v>5522</c:v>
                </c:pt>
                <c:pt idx="3">
                  <c:v>8850</c:v>
                </c:pt>
                <c:pt idx="4">
                  <c:v>9349</c:v>
                </c:pt>
                <c:pt idx="5">
                  <c:v>8943</c:v>
                </c:pt>
                <c:pt idx="6">
                  <c:v>9495</c:v>
                </c:pt>
                <c:pt idx="7">
                  <c:v>7621</c:v>
                </c:pt>
                <c:pt idx="8">
                  <c:v>5474</c:v>
                </c:pt>
                <c:pt idx="9">
                  <c:v>1466</c:v>
                </c:pt>
                <c:pt idx="10">
                  <c:v>293</c:v>
                </c:pt>
              </c:numCache>
            </c:numRef>
          </c:val>
          <c:smooth val="0"/>
          <c:extLst xmlns:c16r2="http://schemas.microsoft.com/office/drawing/2015/06/chart">
            <c:ext xmlns:c16="http://schemas.microsoft.com/office/drawing/2014/chart" uri="{C3380CC4-5D6E-409C-BE32-E72D297353CC}">
              <c16:uniqueId val="{00000006-086E-45D4-920E-0CAA89452FC0}"/>
            </c:ext>
          </c:extLst>
        </c:ser>
        <c:ser>
          <c:idx val="7"/>
          <c:order val="7"/>
          <c:tx>
            <c:strRef>
              <c:f>'Sheet1 (5)'!$I$4:$I$5</c:f>
              <c:strCache>
                <c:ptCount val="1"/>
                <c:pt idx="0">
                  <c:v>TERIPARATIDE</c:v>
                </c:pt>
              </c:strCache>
            </c:strRef>
          </c:tx>
          <c:cat>
            <c:strRef>
              <c:f>'Sheet1 (5)'!$A$6:$A$17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(5)'!$I$6:$I$17</c:f>
              <c:numCache>
                <c:formatCode>General</c:formatCode>
                <c:ptCount val="11"/>
                <c:pt idx="4">
                  <c:v>17</c:v>
                </c:pt>
                <c:pt idx="5">
                  <c:v>9</c:v>
                </c:pt>
                <c:pt idx="6">
                  <c:v>11</c:v>
                </c:pt>
                <c:pt idx="7">
                  <c:v>11</c:v>
                </c:pt>
                <c:pt idx="8">
                  <c:v>18</c:v>
                </c:pt>
                <c:pt idx="9">
                  <c:v>16</c:v>
                </c:pt>
                <c:pt idx="10">
                  <c:v>25</c:v>
                </c:pt>
              </c:numCache>
            </c:numRef>
          </c:val>
          <c:smooth val="0"/>
          <c:extLst xmlns:c16r2="http://schemas.microsoft.com/office/drawing/2015/06/chart">
            <c:ext xmlns:c16="http://schemas.microsoft.com/office/drawing/2014/chart" uri="{C3380CC4-5D6E-409C-BE32-E72D297353CC}">
              <c16:uniqueId val="{00000007-086E-45D4-920E-0CAA89452FC0}"/>
            </c:ext>
          </c:extLst>
        </c:ser>
        <c:ser>
          <c:idx val="8"/>
          <c:order val="8"/>
          <c:tx>
            <c:strRef>
              <c:f>'Sheet1 (5)'!$J$4:$J$5</c:f>
              <c:strCache>
                <c:ptCount val="1"/>
                <c:pt idx="0">
                  <c:v>ZOLEDRONIC ACID</c:v>
                </c:pt>
              </c:strCache>
            </c:strRef>
          </c:tx>
          <c:cat>
            <c:strRef>
              <c:f>'Sheet1 (5)'!$A$6:$A$17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(5)'!$J$6:$J$17</c:f>
              <c:numCache>
                <c:formatCode>General</c:formatCode>
                <c:ptCount val="11"/>
                <c:pt idx="3">
                  <c:v>61</c:v>
                </c:pt>
                <c:pt idx="4">
                  <c:v>2668</c:v>
                </c:pt>
                <c:pt idx="5">
                  <c:v>4392</c:v>
                </c:pt>
                <c:pt idx="6">
                  <c:v>4990</c:v>
                </c:pt>
                <c:pt idx="7">
                  <c:v>5345</c:v>
                </c:pt>
                <c:pt idx="8">
                  <c:v>5498</c:v>
                </c:pt>
                <c:pt idx="9">
                  <c:v>4470</c:v>
                </c:pt>
                <c:pt idx="10">
                  <c:v>3501</c:v>
                </c:pt>
              </c:numCache>
            </c:numRef>
          </c:val>
          <c:smooth val="0"/>
          <c:extLst xmlns:c16r2="http://schemas.microsoft.com/office/drawing/2015/06/chart">
            <c:ext xmlns:c16="http://schemas.microsoft.com/office/drawing/2014/chart" uri="{C3380CC4-5D6E-409C-BE32-E72D297353CC}">
              <c16:uniqueId val="{00000008-086E-45D4-920E-0CAA89452FC0}"/>
            </c:ext>
          </c:extLst>
        </c:ser>
        <c:dLbls>
          <c:showLegendKey val="0"/>
          <c:showVal val="0"/>
          <c:showCatName val="0"/>
          <c:showSerName val="0"/>
          <c:showPercent val="0"/>
          <c:showBubbleSize val="0"/>
        </c:dLbls>
        <c:marker val="1"/>
        <c:smooth val="0"/>
        <c:axId val="128631168"/>
        <c:axId val="128632704"/>
      </c:lineChart>
      <c:catAx>
        <c:axId val="128631168"/>
        <c:scaling>
          <c:orientation val="minMax"/>
        </c:scaling>
        <c:delete val="0"/>
        <c:axPos val="b"/>
        <c:numFmt formatCode="General" sourceLinked="0"/>
        <c:majorTickMark val="none"/>
        <c:minorTickMark val="none"/>
        <c:tickLblPos val="nextTo"/>
        <c:crossAx val="128632704"/>
        <c:crosses val="autoZero"/>
        <c:auto val="1"/>
        <c:lblAlgn val="ctr"/>
        <c:lblOffset val="100"/>
        <c:noMultiLvlLbl val="0"/>
      </c:catAx>
      <c:valAx>
        <c:axId val="128632704"/>
        <c:scaling>
          <c:orientation val="minMax"/>
        </c:scaling>
        <c:delete val="0"/>
        <c:axPos val="l"/>
        <c:majorGridlines/>
        <c:title>
          <c:tx>
            <c:rich>
              <a:bodyPr rot="-5400000" vert="horz"/>
              <a:lstStyle/>
              <a:p>
                <a:pPr>
                  <a:defRPr b="0"/>
                </a:pPr>
                <a:r>
                  <a:rPr lang="en-AU" b="0"/>
                  <a:t>Patients</a:t>
                </a:r>
              </a:p>
            </c:rich>
          </c:tx>
          <c:layout>
            <c:manualLayout>
              <c:xMode val="edge"/>
              <c:yMode val="edge"/>
              <c:x val="1.7867113344500279E-2"/>
              <c:y val="0.26727395958221273"/>
            </c:manualLayout>
          </c:layout>
          <c:overlay val="0"/>
        </c:title>
        <c:numFmt formatCode="#,##0" sourceLinked="0"/>
        <c:majorTickMark val="none"/>
        <c:minorTickMark val="none"/>
        <c:tickLblPos val="nextTo"/>
        <c:crossAx val="128631168"/>
        <c:crosses val="autoZero"/>
        <c:crossBetween val="between"/>
      </c:valAx>
    </c:plotArea>
    <c:legend>
      <c:legendPos val="b"/>
      <c:layout/>
      <c:overlay val="0"/>
      <c:txPr>
        <a:bodyPr/>
        <a:lstStyle/>
        <a:p>
          <a:pPr>
            <a:defRPr sz="800"/>
          </a:pPr>
          <a:endParaRPr lang="en-US"/>
        </a:p>
      </c:txPr>
    </c:legend>
    <c:plotVisOnly val="1"/>
    <c:dispBlanksAs val="gap"/>
    <c:showDLblsOverMax val="0"/>
  </c:chart>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[D941 - PAT_CNT_BY_DRUG_N_SUPP_Y, therapy, id=age, sex, MoA, drg_grp.xlsx]Sheet1 (6)!PivotTable1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marker>
          <c:symbol val="none"/>
        </c:marker>
      </c:pivotFmt>
      <c:pivotFmt>
        <c:idx val="10"/>
      </c:pivotFmt>
      <c:pivotFmt>
        <c:idx val="11"/>
        <c:marker>
          <c:symbol val="none"/>
        </c:marker>
      </c:pivotFmt>
      <c:pivotFmt>
        <c:idx val="12"/>
      </c:pivotFmt>
      <c:pivotFmt>
        <c:idx val="13"/>
        <c:marker>
          <c:symbol val="none"/>
        </c:marker>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s>
    <c:plotArea>
      <c:layout/>
      <c:lineChart>
        <c:grouping val="standard"/>
        <c:varyColors val="0"/>
        <c:ser>
          <c:idx val="0"/>
          <c:order val="0"/>
          <c:tx>
            <c:strRef>
              <c:f>'Sheet1 (6)'!$B$4:$B$5</c:f>
              <c:strCache>
                <c:ptCount val="1"/>
                <c:pt idx="0">
                  <c:v>Injection</c:v>
                </c:pt>
              </c:strCache>
            </c:strRef>
          </c:tx>
          <c:cat>
            <c:strRef>
              <c:f>'Sheet1 (6)'!$A$6:$A$17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(6)'!$B$6:$B$17</c:f>
              <c:numCache>
                <c:formatCode>General</c:formatCode>
                <c:ptCount val="11"/>
                <c:pt idx="4">
                  <c:v>17</c:v>
                </c:pt>
                <c:pt idx="5">
                  <c:v>36</c:v>
                </c:pt>
                <c:pt idx="6">
                  <c:v>2318</c:v>
                </c:pt>
                <c:pt idx="7">
                  <c:v>6338</c:v>
                </c:pt>
                <c:pt idx="8">
                  <c:v>11951</c:v>
                </c:pt>
                <c:pt idx="9">
                  <c:v>24761</c:v>
                </c:pt>
                <c:pt idx="10">
                  <c:v>35285</c:v>
                </c:pt>
              </c:numCache>
            </c:numRef>
          </c:val>
          <c:smooth val="0"/>
          <c:extLst xmlns:c16r2="http://schemas.microsoft.com/office/drawing/2015/06/chart">
            <c:ext xmlns:c16="http://schemas.microsoft.com/office/drawing/2014/chart" uri="{C3380CC4-5D6E-409C-BE32-E72D297353CC}">
              <c16:uniqueId val="{00000000-2079-4A3A-BAEA-35772C7E44FE}"/>
            </c:ext>
          </c:extLst>
        </c:ser>
        <c:ser>
          <c:idx val="1"/>
          <c:order val="1"/>
          <c:tx>
            <c:strRef>
              <c:f>'Sheet1 (6)'!$C$4:$C$5</c:f>
              <c:strCache>
                <c:ptCount val="1"/>
                <c:pt idx="0">
                  <c:v>Oral</c:v>
                </c:pt>
              </c:strCache>
            </c:strRef>
          </c:tx>
          <c:cat>
            <c:strRef>
              <c:f>'Sheet1 (6)'!$A$6:$A$17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(6)'!$C$6:$C$17</c:f>
              <c:numCache>
                <c:formatCode>General</c:formatCode>
                <c:ptCount val="11"/>
                <c:pt idx="0">
                  <c:v>82771</c:v>
                </c:pt>
                <c:pt idx="1">
                  <c:v>70421</c:v>
                </c:pt>
                <c:pt idx="2">
                  <c:v>77989</c:v>
                </c:pt>
                <c:pt idx="3">
                  <c:v>71018</c:v>
                </c:pt>
                <c:pt idx="4">
                  <c:v>64790</c:v>
                </c:pt>
                <c:pt idx="5">
                  <c:v>60289</c:v>
                </c:pt>
                <c:pt idx="6">
                  <c:v>59026</c:v>
                </c:pt>
                <c:pt idx="7">
                  <c:v>55891</c:v>
                </c:pt>
                <c:pt idx="8">
                  <c:v>48355</c:v>
                </c:pt>
                <c:pt idx="9">
                  <c:v>37861</c:v>
                </c:pt>
                <c:pt idx="10">
                  <c:v>33346</c:v>
                </c:pt>
              </c:numCache>
            </c:numRef>
          </c:val>
          <c:smooth val="0"/>
          <c:extLst xmlns:c16r2="http://schemas.microsoft.com/office/drawing/2015/06/chart">
            <c:ext xmlns:c16="http://schemas.microsoft.com/office/drawing/2014/chart" uri="{C3380CC4-5D6E-409C-BE32-E72D297353CC}">
              <c16:uniqueId val="{00000001-2079-4A3A-BAEA-35772C7E44FE}"/>
            </c:ext>
          </c:extLst>
        </c:ser>
        <c:ser>
          <c:idx val="2"/>
          <c:order val="2"/>
          <c:tx>
            <c:strRef>
              <c:f>'Sheet1 (6)'!$D$4:$D$5</c:f>
              <c:strCache>
                <c:ptCount val="1"/>
                <c:pt idx="0">
                  <c:v>IV Infusion</c:v>
                </c:pt>
              </c:strCache>
            </c:strRef>
          </c:tx>
          <c:cat>
            <c:strRef>
              <c:f>'Sheet1 (6)'!$A$6:$A$17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(6)'!$D$6:$D$17</c:f>
              <c:numCache>
                <c:formatCode>General</c:formatCode>
                <c:ptCount val="11"/>
                <c:pt idx="3">
                  <c:v>61</c:v>
                </c:pt>
                <c:pt idx="4">
                  <c:v>2668</c:v>
                </c:pt>
                <c:pt idx="5">
                  <c:v>4392</c:v>
                </c:pt>
                <c:pt idx="6">
                  <c:v>4990</c:v>
                </c:pt>
                <c:pt idx="7">
                  <c:v>5345</c:v>
                </c:pt>
                <c:pt idx="8">
                  <c:v>5498</c:v>
                </c:pt>
                <c:pt idx="9">
                  <c:v>4470</c:v>
                </c:pt>
                <c:pt idx="10">
                  <c:v>3501</c:v>
                </c:pt>
              </c:numCache>
            </c:numRef>
          </c:val>
          <c:smooth val="0"/>
          <c:extLst xmlns:c16r2="http://schemas.microsoft.com/office/drawing/2015/06/chart">
            <c:ext xmlns:c16="http://schemas.microsoft.com/office/drawing/2014/chart" uri="{C3380CC4-5D6E-409C-BE32-E72D297353CC}">
              <c16:uniqueId val="{00000002-2079-4A3A-BAEA-35772C7E44FE}"/>
            </c:ext>
          </c:extLst>
        </c:ser>
        <c:dLbls>
          <c:showLegendKey val="0"/>
          <c:showVal val="0"/>
          <c:showCatName val="0"/>
          <c:showSerName val="0"/>
          <c:showPercent val="0"/>
          <c:showBubbleSize val="0"/>
        </c:dLbls>
        <c:marker val="1"/>
        <c:smooth val="0"/>
        <c:axId val="130966272"/>
        <c:axId val="130967808"/>
      </c:lineChart>
      <c:catAx>
        <c:axId val="130966272"/>
        <c:scaling>
          <c:orientation val="minMax"/>
        </c:scaling>
        <c:delete val="0"/>
        <c:axPos val="b"/>
        <c:numFmt formatCode="General" sourceLinked="0"/>
        <c:majorTickMark val="none"/>
        <c:minorTickMark val="none"/>
        <c:tickLblPos val="nextTo"/>
        <c:crossAx val="130967808"/>
        <c:crosses val="autoZero"/>
        <c:auto val="1"/>
        <c:lblAlgn val="ctr"/>
        <c:lblOffset val="100"/>
        <c:noMultiLvlLbl val="0"/>
      </c:catAx>
      <c:valAx>
        <c:axId val="130967808"/>
        <c:scaling>
          <c:orientation val="minMax"/>
        </c:scaling>
        <c:delete val="0"/>
        <c:axPos val="l"/>
        <c:majorGridlines/>
        <c:title>
          <c:tx>
            <c:rich>
              <a:bodyPr rot="-5400000" vert="horz"/>
              <a:lstStyle/>
              <a:p>
                <a:pPr>
                  <a:defRPr b="0"/>
                </a:pPr>
                <a:r>
                  <a:rPr lang="en-AU" b="0"/>
                  <a:t>Patients</a:t>
                </a:r>
              </a:p>
            </c:rich>
          </c:tx>
          <c:layout>
            <c:manualLayout>
              <c:xMode val="edge"/>
              <c:yMode val="edge"/>
              <c:x val="1.7867113344500279E-2"/>
              <c:y val="0.37215957573204583"/>
            </c:manualLayout>
          </c:layout>
          <c:overlay val="0"/>
        </c:title>
        <c:numFmt formatCode="#,##0" sourceLinked="0"/>
        <c:majorTickMark val="none"/>
        <c:minorTickMark val="none"/>
        <c:tickLblPos val="nextTo"/>
        <c:crossAx val="130966272"/>
        <c:crosses val="autoZero"/>
        <c:crossBetween val="between"/>
      </c:valAx>
    </c:plotArea>
    <c:legend>
      <c:legendPos val="b"/>
      <c:layout/>
      <c:overlay val="0"/>
      <c:txPr>
        <a:bodyPr/>
        <a:lstStyle/>
        <a:p>
          <a:pPr>
            <a:defRPr sz="800"/>
          </a:pPr>
          <a:endParaRPr lang="en-US"/>
        </a:p>
      </c:txPr>
    </c:legend>
    <c:plotVisOnly val="1"/>
    <c:dispBlanksAs val="gap"/>
    <c:showDLblsOverMax val="0"/>
  </c:chart>
  <c:externalData r:id="rId2">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PAT_CNT_BY_DRG_GR_SUPP_Y_SUM.xlsx]Sheet1 (3)!PivotTable1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marker>
          <c:symbol val="none"/>
        </c:marker>
      </c:pivotFmt>
      <c:pivotFmt>
        <c:idx val="10"/>
      </c:pivotFmt>
      <c:pivotFmt>
        <c:idx val="11"/>
        <c:marker>
          <c:symbol val="none"/>
        </c:marker>
      </c:pivotFmt>
      <c:pivotFmt>
        <c:idx val="12"/>
      </c:pivotFmt>
      <c:pivotFmt>
        <c:idx val="13"/>
        <c:marker>
          <c:symbol val="none"/>
        </c:marker>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s>
    <c:plotArea>
      <c:layout/>
      <c:lineChart>
        <c:grouping val="standard"/>
        <c:varyColors val="0"/>
        <c:ser>
          <c:idx val="0"/>
          <c:order val="0"/>
          <c:tx>
            <c:strRef>
              <c:f>'Sheet1 (3)'!$B$4:$B$5</c:f>
              <c:strCache>
                <c:ptCount val="1"/>
                <c:pt idx="0">
                  <c:v>ALENDRONATE (incl. combination products)</c:v>
                </c:pt>
              </c:strCache>
            </c:strRef>
          </c:tx>
          <c:cat>
            <c:strRef>
              <c:f>'Sheet1 (3)'!$A$6:$A$17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(3)'!$B$6:$B$17</c:f>
              <c:numCache>
                <c:formatCode>General</c:formatCode>
                <c:ptCount val="11"/>
                <c:pt idx="0">
                  <c:v>55640</c:v>
                </c:pt>
                <c:pt idx="1">
                  <c:v>40717</c:v>
                </c:pt>
                <c:pt idx="2">
                  <c:v>43243</c:v>
                </c:pt>
                <c:pt idx="3">
                  <c:v>32725</c:v>
                </c:pt>
                <c:pt idx="4">
                  <c:v>26435</c:v>
                </c:pt>
                <c:pt idx="5">
                  <c:v>24705</c:v>
                </c:pt>
                <c:pt idx="6">
                  <c:v>24339</c:v>
                </c:pt>
                <c:pt idx="7">
                  <c:v>24276</c:v>
                </c:pt>
                <c:pt idx="8">
                  <c:v>21469</c:v>
                </c:pt>
                <c:pt idx="9">
                  <c:v>17159</c:v>
                </c:pt>
                <c:pt idx="10">
                  <c:v>14936</c:v>
                </c:pt>
              </c:numCache>
            </c:numRef>
          </c:val>
          <c:smooth val="0"/>
          <c:extLst xmlns:c16r2="http://schemas.microsoft.com/office/drawing/2015/06/chart">
            <c:ext xmlns:c16="http://schemas.microsoft.com/office/drawing/2014/chart" uri="{C3380CC4-5D6E-409C-BE32-E72D297353CC}">
              <c16:uniqueId val="{00000000-0C0B-40CC-9E8A-381CFB5E570C}"/>
            </c:ext>
          </c:extLst>
        </c:ser>
        <c:ser>
          <c:idx val="1"/>
          <c:order val="1"/>
          <c:tx>
            <c:strRef>
              <c:f>'Sheet1 (3)'!$C$4:$C$5</c:f>
              <c:strCache>
                <c:ptCount val="1"/>
                <c:pt idx="0">
                  <c:v>CALCITRIOL</c:v>
                </c:pt>
              </c:strCache>
            </c:strRef>
          </c:tx>
          <c:cat>
            <c:strRef>
              <c:f>'Sheet1 (3)'!$A$6:$A$17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(3)'!$C$6:$C$17</c:f>
              <c:numCache>
                <c:formatCode>General</c:formatCode>
                <c:ptCount val="11"/>
                <c:pt idx="0">
                  <c:v>6847</c:v>
                </c:pt>
                <c:pt idx="1">
                  <c:v>6865</c:v>
                </c:pt>
                <c:pt idx="2">
                  <c:v>6871</c:v>
                </c:pt>
                <c:pt idx="3">
                  <c:v>7784</c:v>
                </c:pt>
                <c:pt idx="4">
                  <c:v>7233</c:v>
                </c:pt>
                <c:pt idx="5">
                  <c:v>6868</c:v>
                </c:pt>
                <c:pt idx="6">
                  <c:v>6117</c:v>
                </c:pt>
                <c:pt idx="7">
                  <c:v>6268</c:v>
                </c:pt>
                <c:pt idx="8">
                  <c:v>6114</c:v>
                </c:pt>
                <c:pt idx="9">
                  <c:v>6059</c:v>
                </c:pt>
                <c:pt idx="10">
                  <c:v>6309</c:v>
                </c:pt>
              </c:numCache>
            </c:numRef>
          </c:val>
          <c:smooth val="0"/>
          <c:extLst xmlns:c16r2="http://schemas.microsoft.com/office/drawing/2015/06/chart">
            <c:ext xmlns:c16="http://schemas.microsoft.com/office/drawing/2014/chart" uri="{C3380CC4-5D6E-409C-BE32-E72D297353CC}">
              <c16:uniqueId val="{00000001-0C0B-40CC-9E8A-381CFB5E570C}"/>
            </c:ext>
          </c:extLst>
        </c:ser>
        <c:ser>
          <c:idx val="2"/>
          <c:order val="2"/>
          <c:tx>
            <c:strRef>
              <c:f>'Sheet1 (3)'!$D$4:$D$5</c:f>
              <c:strCache>
                <c:ptCount val="1"/>
                <c:pt idx="0">
                  <c:v>DENOSUMAB</c:v>
                </c:pt>
              </c:strCache>
            </c:strRef>
          </c:tx>
          <c:cat>
            <c:strRef>
              <c:f>'Sheet1 (3)'!$A$6:$A$17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(3)'!$D$6:$D$17</c:f>
              <c:numCache>
                <c:formatCode>General</c:formatCode>
                <c:ptCount val="11"/>
                <c:pt idx="5">
                  <c:v>129</c:v>
                </c:pt>
                <c:pt idx="6">
                  <c:v>10411</c:v>
                </c:pt>
                <c:pt idx="7">
                  <c:v>23297</c:v>
                </c:pt>
                <c:pt idx="8">
                  <c:v>38158</c:v>
                </c:pt>
                <c:pt idx="9">
                  <c:v>69193</c:v>
                </c:pt>
                <c:pt idx="10">
                  <c:v>82563</c:v>
                </c:pt>
              </c:numCache>
            </c:numRef>
          </c:val>
          <c:smooth val="0"/>
          <c:extLst xmlns:c16r2="http://schemas.microsoft.com/office/drawing/2015/06/chart">
            <c:ext xmlns:c16="http://schemas.microsoft.com/office/drawing/2014/chart" uri="{C3380CC4-5D6E-409C-BE32-E72D297353CC}">
              <c16:uniqueId val="{00000002-0C0B-40CC-9E8A-381CFB5E570C}"/>
            </c:ext>
          </c:extLst>
        </c:ser>
        <c:ser>
          <c:idx val="3"/>
          <c:order val="3"/>
          <c:tx>
            <c:strRef>
              <c:f>'Sheet1 (3)'!$E$4:$E$5</c:f>
              <c:strCache>
                <c:ptCount val="1"/>
                <c:pt idx="0">
                  <c:v>ETIDRONATE DISODIUM (&amp;) CALCIUM CARBONATE</c:v>
                </c:pt>
              </c:strCache>
            </c:strRef>
          </c:tx>
          <c:cat>
            <c:strRef>
              <c:f>'Sheet1 (3)'!$A$6:$A$17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(3)'!$E$6:$E$17</c:f>
              <c:numCache>
                <c:formatCode>General</c:formatCode>
                <c:ptCount val="11"/>
                <c:pt idx="0">
                  <c:v>697</c:v>
                </c:pt>
                <c:pt idx="1">
                  <c:v>426</c:v>
                </c:pt>
                <c:pt idx="2">
                  <c:v>262</c:v>
                </c:pt>
                <c:pt idx="3">
                  <c:v>266</c:v>
                </c:pt>
                <c:pt idx="4">
                  <c:v>171</c:v>
                </c:pt>
                <c:pt idx="5">
                  <c:v>98</c:v>
                </c:pt>
                <c:pt idx="6">
                  <c:v>83</c:v>
                </c:pt>
                <c:pt idx="7">
                  <c:v>30</c:v>
                </c:pt>
              </c:numCache>
            </c:numRef>
          </c:val>
          <c:smooth val="0"/>
          <c:extLst xmlns:c16r2="http://schemas.microsoft.com/office/drawing/2015/06/chart">
            <c:ext xmlns:c16="http://schemas.microsoft.com/office/drawing/2014/chart" uri="{C3380CC4-5D6E-409C-BE32-E72D297353CC}">
              <c16:uniqueId val="{00000003-0C0B-40CC-9E8A-381CFB5E570C}"/>
            </c:ext>
          </c:extLst>
        </c:ser>
        <c:ser>
          <c:idx val="4"/>
          <c:order val="4"/>
          <c:tx>
            <c:strRef>
              <c:f>'Sheet1 (3)'!$F$4:$F$5</c:f>
              <c:strCache>
                <c:ptCount val="1"/>
                <c:pt idx="0">
                  <c:v>RALOXIFENE</c:v>
                </c:pt>
              </c:strCache>
            </c:strRef>
          </c:tx>
          <c:cat>
            <c:strRef>
              <c:f>'Sheet1 (3)'!$A$6:$A$17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(3)'!$F$6:$F$17</c:f>
              <c:numCache>
                <c:formatCode>General</c:formatCode>
                <c:ptCount val="11"/>
                <c:pt idx="0">
                  <c:v>5443</c:v>
                </c:pt>
                <c:pt idx="1">
                  <c:v>5733</c:v>
                </c:pt>
                <c:pt idx="2">
                  <c:v>4012</c:v>
                </c:pt>
                <c:pt idx="3">
                  <c:v>3744</c:v>
                </c:pt>
                <c:pt idx="4">
                  <c:v>2655</c:v>
                </c:pt>
                <c:pt idx="5">
                  <c:v>2311</c:v>
                </c:pt>
                <c:pt idx="6">
                  <c:v>1831</c:v>
                </c:pt>
                <c:pt idx="7">
                  <c:v>1460</c:v>
                </c:pt>
                <c:pt idx="8">
                  <c:v>1427</c:v>
                </c:pt>
                <c:pt idx="9">
                  <c:v>1168</c:v>
                </c:pt>
                <c:pt idx="10">
                  <c:v>889</c:v>
                </c:pt>
              </c:numCache>
            </c:numRef>
          </c:val>
          <c:smooth val="0"/>
          <c:extLst xmlns:c16r2="http://schemas.microsoft.com/office/drawing/2015/06/chart">
            <c:ext xmlns:c16="http://schemas.microsoft.com/office/drawing/2014/chart" uri="{C3380CC4-5D6E-409C-BE32-E72D297353CC}">
              <c16:uniqueId val="{00000004-0C0B-40CC-9E8A-381CFB5E570C}"/>
            </c:ext>
          </c:extLst>
        </c:ser>
        <c:ser>
          <c:idx val="5"/>
          <c:order val="5"/>
          <c:tx>
            <c:strRef>
              <c:f>'Sheet1 (3)'!$G$4:$G$5</c:f>
              <c:strCache>
                <c:ptCount val="1"/>
                <c:pt idx="0">
                  <c:v>RISEDRONATE (incl. combination products)</c:v>
                </c:pt>
              </c:strCache>
            </c:strRef>
          </c:tx>
          <c:cat>
            <c:strRef>
              <c:f>'Sheet1 (3)'!$A$6:$A$17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(3)'!$G$6:$G$17</c:f>
              <c:numCache>
                <c:formatCode>General</c:formatCode>
                <c:ptCount val="11"/>
                <c:pt idx="0">
                  <c:v>30873</c:v>
                </c:pt>
                <c:pt idx="1">
                  <c:v>36182</c:v>
                </c:pt>
                <c:pt idx="2">
                  <c:v>33832</c:v>
                </c:pt>
                <c:pt idx="3">
                  <c:v>36102</c:v>
                </c:pt>
                <c:pt idx="4">
                  <c:v>36552</c:v>
                </c:pt>
                <c:pt idx="5">
                  <c:v>33915</c:v>
                </c:pt>
                <c:pt idx="6">
                  <c:v>33200</c:v>
                </c:pt>
                <c:pt idx="7">
                  <c:v>30988</c:v>
                </c:pt>
                <c:pt idx="8">
                  <c:v>26896</c:v>
                </c:pt>
                <c:pt idx="9">
                  <c:v>22664</c:v>
                </c:pt>
                <c:pt idx="10">
                  <c:v>19128</c:v>
                </c:pt>
              </c:numCache>
            </c:numRef>
          </c:val>
          <c:smooth val="0"/>
          <c:extLst xmlns:c16r2="http://schemas.microsoft.com/office/drawing/2015/06/chart">
            <c:ext xmlns:c16="http://schemas.microsoft.com/office/drawing/2014/chart" uri="{C3380CC4-5D6E-409C-BE32-E72D297353CC}">
              <c16:uniqueId val="{00000005-0C0B-40CC-9E8A-381CFB5E570C}"/>
            </c:ext>
          </c:extLst>
        </c:ser>
        <c:ser>
          <c:idx val="6"/>
          <c:order val="6"/>
          <c:tx>
            <c:strRef>
              <c:f>'Sheet1 (3)'!$H$4:$H$5</c:f>
              <c:strCache>
                <c:ptCount val="1"/>
                <c:pt idx="0">
                  <c:v>STRONTIUM</c:v>
                </c:pt>
              </c:strCache>
            </c:strRef>
          </c:tx>
          <c:cat>
            <c:strRef>
              <c:f>'Sheet1 (3)'!$A$6:$A$17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(3)'!$H$6:$H$17</c:f>
              <c:numCache>
                <c:formatCode>General</c:formatCode>
                <c:ptCount val="11"/>
                <c:pt idx="2">
                  <c:v>14773</c:v>
                </c:pt>
                <c:pt idx="3">
                  <c:v>22468</c:v>
                </c:pt>
                <c:pt idx="4">
                  <c:v>22156</c:v>
                </c:pt>
                <c:pt idx="5">
                  <c:v>20189</c:v>
                </c:pt>
                <c:pt idx="6">
                  <c:v>19469</c:v>
                </c:pt>
                <c:pt idx="7">
                  <c:v>16158</c:v>
                </c:pt>
                <c:pt idx="8">
                  <c:v>11163</c:v>
                </c:pt>
                <c:pt idx="9">
                  <c:v>2763</c:v>
                </c:pt>
                <c:pt idx="10">
                  <c:v>648</c:v>
                </c:pt>
              </c:numCache>
            </c:numRef>
          </c:val>
          <c:smooth val="0"/>
          <c:extLst xmlns:c16r2="http://schemas.microsoft.com/office/drawing/2015/06/chart">
            <c:ext xmlns:c16="http://schemas.microsoft.com/office/drawing/2014/chart" uri="{C3380CC4-5D6E-409C-BE32-E72D297353CC}">
              <c16:uniqueId val="{00000006-0C0B-40CC-9E8A-381CFB5E570C}"/>
            </c:ext>
          </c:extLst>
        </c:ser>
        <c:ser>
          <c:idx val="7"/>
          <c:order val="7"/>
          <c:tx>
            <c:strRef>
              <c:f>'Sheet1 (3)'!$I$4:$I$5</c:f>
              <c:strCache>
                <c:ptCount val="1"/>
                <c:pt idx="0">
                  <c:v>TERIPARATIDE</c:v>
                </c:pt>
              </c:strCache>
            </c:strRef>
          </c:tx>
          <c:cat>
            <c:strRef>
              <c:f>'Sheet1 (3)'!$A$6:$A$17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(3)'!$I$6:$I$17</c:f>
              <c:numCache>
                <c:formatCode>General</c:formatCode>
                <c:ptCount val="11"/>
                <c:pt idx="4">
                  <c:v>327</c:v>
                </c:pt>
                <c:pt idx="5">
                  <c:v>445</c:v>
                </c:pt>
                <c:pt idx="6">
                  <c:v>424</c:v>
                </c:pt>
                <c:pt idx="7">
                  <c:v>504</c:v>
                </c:pt>
                <c:pt idx="8">
                  <c:v>602</c:v>
                </c:pt>
                <c:pt idx="9">
                  <c:v>601</c:v>
                </c:pt>
                <c:pt idx="10">
                  <c:v>604</c:v>
                </c:pt>
              </c:numCache>
            </c:numRef>
          </c:val>
          <c:smooth val="0"/>
          <c:extLst xmlns:c16r2="http://schemas.microsoft.com/office/drawing/2015/06/chart">
            <c:ext xmlns:c16="http://schemas.microsoft.com/office/drawing/2014/chart" uri="{C3380CC4-5D6E-409C-BE32-E72D297353CC}">
              <c16:uniqueId val="{00000007-0C0B-40CC-9E8A-381CFB5E570C}"/>
            </c:ext>
          </c:extLst>
        </c:ser>
        <c:ser>
          <c:idx val="8"/>
          <c:order val="8"/>
          <c:tx>
            <c:strRef>
              <c:f>'Sheet1 (3)'!$J$4:$J$5</c:f>
              <c:strCache>
                <c:ptCount val="1"/>
                <c:pt idx="0">
                  <c:v>ZOLEDRONIC ACID</c:v>
                </c:pt>
              </c:strCache>
            </c:strRef>
          </c:tx>
          <c:cat>
            <c:strRef>
              <c:f>'Sheet1 (3)'!$A$6:$A$17</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(3)'!$J$6:$J$17</c:f>
              <c:numCache>
                <c:formatCode>General</c:formatCode>
                <c:ptCount val="11"/>
                <c:pt idx="3">
                  <c:v>279</c:v>
                </c:pt>
                <c:pt idx="4">
                  <c:v>12184</c:v>
                </c:pt>
                <c:pt idx="5">
                  <c:v>14635</c:v>
                </c:pt>
                <c:pt idx="6">
                  <c:v>13055</c:v>
                </c:pt>
                <c:pt idx="7">
                  <c:v>11908</c:v>
                </c:pt>
                <c:pt idx="8">
                  <c:v>11393</c:v>
                </c:pt>
                <c:pt idx="9">
                  <c:v>8549</c:v>
                </c:pt>
                <c:pt idx="10">
                  <c:v>6140</c:v>
                </c:pt>
              </c:numCache>
            </c:numRef>
          </c:val>
          <c:smooth val="0"/>
          <c:extLst xmlns:c16r2="http://schemas.microsoft.com/office/drawing/2015/06/chart">
            <c:ext xmlns:c16="http://schemas.microsoft.com/office/drawing/2014/chart" uri="{C3380CC4-5D6E-409C-BE32-E72D297353CC}">
              <c16:uniqueId val="{00000008-0C0B-40CC-9E8A-381CFB5E570C}"/>
            </c:ext>
          </c:extLst>
        </c:ser>
        <c:dLbls>
          <c:showLegendKey val="0"/>
          <c:showVal val="0"/>
          <c:showCatName val="0"/>
          <c:showSerName val="0"/>
          <c:showPercent val="0"/>
          <c:showBubbleSize val="0"/>
        </c:dLbls>
        <c:marker val="1"/>
        <c:smooth val="0"/>
        <c:axId val="97497472"/>
        <c:axId val="97499008"/>
      </c:lineChart>
      <c:catAx>
        <c:axId val="97497472"/>
        <c:scaling>
          <c:orientation val="minMax"/>
        </c:scaling>
        <c:delete val="0"/>
        <c:axPos val="b"/>
        <c:numFmt formatCode="General" sourceLinked="0"/>
        <c:majorTickMark val="none"/>
        <c:minorTickMark val="none"/>
        <c:tickLblPos val="nextTo"/>
        <c:crossAx val="97499008"/>
        <c:crosses val="autoZero"/>
        <c:auto val="1"/>
        <c:lblAlgn val="ctr"/>
        <c:lblOffset val="100"/>
        <c:noMultiLvlLbl val="0"/>
      </c:catAx>
      <c:valAx>
        <c:axId val="97499008"/>
        <c:scaling>
          <c:orientation val="minMax"/>
        </c:scaling>
        <c:delete val="0"/>
        <c:axPos val="l"/>
        <c:majorGridlines/>
        <c:title>
          <c:tx>
            <c:rich>
              <a:bodyPr rot="-5400000" vert="horz"/>
              <a:lstStyle/>
              <a:p>
                <a:pPr>
                  <a:defRPr b="0"/>
                </a:pPr>
                <a:r>
                  <a:rPr lang="en-AU" b="0"/>
                  <a:t>Patients</a:t>
                </a:r>
              </a:p>
            </c:rich>
          </c:tx>
          <c:layout>
            <c:manualLayout>
              <c:xMode val="edge"/>
              <c:yMode val="edge"/>
              <c:x val="1.5628243981324161E-2"/>
              <c:y val="0.26701441103599666"/>
            </c:manualLayout>
          </c:layout>
          <c:overlay val="0"/>
        </c:title>
        <c:numFmt formatCode="#,##0" sourceLinked="0"/>
        <c:majorTickMark val="none"/>
        <c:minorTickMark val="none"/>
        <c:tickLblPos val="nextTo"/>
        <c:crossAx val="97497472"/>
        <c:crosses val="autoZero"/>
        <c:crossBetween val="between"/>
      </c:valAx>
    </c:plotArea>
    <c:legend>
      <c:legendPos val="b"/>
      <c:layout/>
      <c:overlay val="0"/>
      <c:txPr>
        <a:bodyPr/>
        <a:lstStyle/>
        <a:p>
          <a:pPr>
            <a:defRPr sz="800"/>
          </a:pPr>
          <a:endParaRPr lang="en-US"/>
        </a:p>
      </c:txPr>
    </c:legend>
    <c:plotVisOnly val="1"/>
    <c:dispBlanksAs val="gap"/>
    <c:showDLblsOverMax val="0"/>
  </c:chart>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PAT_CNT_BY_DRG_GR_SUPP_Y_SUM.xlsx]Sheet1 (5)!PivotTable1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marker>
          <c:symbol val="none"/>
        </c:marker>
      </c:pivotFmt>
      <c:pivotFmt>
        <c:idx val="10"/>
      </c:pivotFmt>
      <c:pivotFmt>
        <c:idx val="11"/>
        <c:marker>
          <c:symbol val="none"/>
        </c:marker>
      </c:pivotFmt>
      <c:pivotFmt>
        <c:idx val="12"/>
      </c:pivotFmt>
      <c:pivotFmt>
        <c:idx val="13"/>
        <c:marker>
          <c:symbol val="none"/>
        </c:marker>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s>
    <c:plotArea>
      <c:layout/>
      <c:lineChart>
        <c:grouping val="standard"/>
        <c:varyColors val="0"/>
        <c:ser>
          <c:idx val="0"/>
          <c:order val="0"/>
          <c:tx>
            <c:strRef>
              <c:f>'Sheet1 (5)'!$B$4:$B$5</c:f>
              <c:strCache>
                <c:ptCount val="1"/>
                <c:pt idx="0">
                  <c:v>ALENDRONATE (incl. combination products)</c:v>
                </c:pt>
              </c:strCache>
            </c:strRef>
          </c:tx>
          <c:cat>
            <c:strRef>
              <c:f>'Sheet1 (5)'!$A$6:$A$19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(5)'!$B$6:$B$19</c:f>
              <c:numCache>
                <c:formatCode>General</c:formatCode>
                <c:ptCount val="13"/>
                <c:pt idx="0">
                  <c:v>196781</c:v>
                </c:pt>
                <c:pt idx="1">
                  <c:v>214712</c:v>
                </c:pt>
                <c:pt idx="2">
                  <c:v>239016</c:v>
                </c:pt>
                <c:pt idx="3">
                  <c:v>243988</c:v>
                </c:pt>
                <c:pt idx="4">
                  <c:v>246763</c:v>
                </c:pt>
                <c:pt idx="5">
                  <c:v>226369</c:v>
                </c:pt>
                <c:pt idx="6">
                  <c:v>202089</c:v>
                </c:pt>
                <c:pt idx="7">
                  <c:v>183829</c:v>
                </c:pt>
                <c:pt idx="8">
                  <c:v>168615</c:v>
                </c:pt>
                <c:pt idx="9">
                  <c:v>156884</c:v>
                </c:pt>
                <c:pt idx="10">
                  <c:v>142875</c:v>
                </c:pt>
                <c:pt idx="11">
                  <c:v>125234</c:v>
                </c:pt>
                <c:pt idx="12">
                  <c:v>108276</c:v>
                </c:pt>
              </c:numCache>
            </c:numRef>
          </c:val>
          <c:smooth val="0"/>
          <c:extLst xmlns:c16r2="http://schemas.microsoft.com/office/drawing/2015/06/chart">
            <c:ext xmlns:c16="http://schemas.microsoft.com/office/drawing/2014/chart" uri="{C3380CC4-5D6E-409C-BE32-E72D297353CC}">
              <c16:uniqueId val="{00000000-9745-4185-86F7-0A80729FBA3A}"/>
            </c:ext>
          </c:extLst>
        </c:ser>
        <c:ser>
          <c:idx val="1"/>
          <c:order val="1"/>
          <c:tx>
            <c:strRef>
              <c:f>'Sheet1 (5)'!$C$4:$C$5</c:f>
              <c:strCache>
                <c:ptCount val="1"/>
                <c:pt idx="0">
                  <c:v>CALCITRIOL</c:v>
                </c:pt>
              </c:strCache>
            </c:strRef>
          </c:tx>
          <c:cat>
            <c:strRef>
              <c:f>'Sheet1 (5)'!$A$6:$A$19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(5)'!$C$6:$C$19</c:f>
              <c:numCache>
                <c:formatCode>General</c:formatCode>
                <c:ptCount val="13"/>
                <c:pt idx="0">
                  <c:v>50582</c:v>
                </c:pt>
                <c:pt idx="1">
                  <c:v>44118</c:v>
                </c:pt>
                <c:pt idx="2">
                  <c:v>40265</c:v>
                </c:pt>
                <c:pt idx="3">
                  <c:v>38394</c:v>
                </c:pt>
                <c:pt idx="4">
                  <c:v>37009</c:v>
                </c:pt>
                <c:pt idx="5">
                  <c:v>37400</c:v>
                </c:pt>
                <c:pt idx="6">
                  <c:v>37018</c:v>
                </c:pt>
                <c:pt idx="7">
                  <c:v>36521</c:v>
                </c:pt>
                <c:pt idx="8">
                  <c:v>35088</c:v>
                </c:pt>
                <c:pt idx="9">
                  <c:v>34512</c:v>
                </c:pt>
                <c:pt idx="10">
                  <c:v>33792</c:v>
                </c:pt>
                <c:pt idx="11">
                  <c:v>33267</c:v>
                </c:pt>
                <c:pt idx="12">
                  <c:v>33198</c:v>
                </c:pt>
              </c:numCache>
            </c:numRef>
          </c:val>
          <c:smooth val="0"/>
          <c:extLst xmlns:c16r2="http://schemas.microsoft.com/office/drawing/2015/06/chart">
            <c:ext xmlns:c16="http://schemas.microsoft.com/office/drawing/2014/chart" uri="{C3380CC4-5D6E-409C-BE32-E72D297353CC}">
              <c16:uniqueId val="{00000001-9745-4185-86F7-0A80729FBA3A}"/>
            </c:ext>
          </c:extLst>
        </c:ser>
        <c:ser>
          <c:idx val="2"/>
          <c:order val="2"/>
          <c:tx>
            <c:strRef>
              <c:f>'Sheet1 (5)'!$D$4:$D$5</c:f>
              <c:strCache>
                <c:ptCount val="1"/>
                <c:pt idx="0">
                  <c:v>DENOSUMAB</c:v>
                </c:pt>
              </c:strCache>
            </c:strRef>
          </c:tx>
          <c:cat>
            <c:strRef>
              <c:f>'Sheet1 (5)'!$A$6:$A$19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(5)'!$D$6:$D$19</c:f>
              <c:numCache>
                <c:formatCode>General</c:formatCode>
                <c:ptCount val="13"/>
                <c:pt idx="7">
                  <c:v>129</c:v>
                </c:pt>
                <c:pt idx="8">
                  <c:v>10514</c:v>
                </c:pt>
                <c:pt idx="9">
                  <c:v>31816</c:v>
                </c:pt>
                <c:pt idx="10">
                  <c:v>64690</c:v>
                </c:pt>
                <c:pt idx="11">
                  <c:v>124931</c:v>
                </c:pt>
                <c:pt idx="12">
                  <c:v>191439</c:v>
                </c:pt>
              </c:numCache>
            </c:numRef>
          </c:val>
          <c:smooth val="0"/>
          <c:extLst xmlns:c16r2="http://schemas.microsoft.com/office/drawing/2015/06/chart">
            <c:ext xmlns:c16="http://schemas.microsoft.com/office/drawing/2014/chart" uri="{C3380CC4-5D6E-409C-BE32-E72D297353CC}">
              <c16:uniqueId val="{00000002-9745-4185-86F7-0A80729FBA3A}"/>
            </c:ext>
          </c:extLst>
        </c:ser>
        <c:ser>
          <c:idx val="3"/>
          <c:order val="3"/>
          <c:tx>
            <c:strRef>
              <c:f>'Sheet1 (5)'!$E$4:$E$5</c:f>
              <c:strCache>
                <c:ptCount val="1"/>
                <c:pt idx="0">
                  <c:v>ETIDRONATE DISODIUM (&amp;) CALCIUM CARBONATE</c:v>
                </c:pt>
              </c:strCache>
            </c:strRef>
          </c:tx>
          <c:cat>
            <c:strRef>
              <c:f>'Sheet1 (5)'!$A$6:$A$19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(5)'!$E$6:$E$19</c:f>
              <c:numCache>
                <c:formatCode>General</c:formatCode>
                <c:ptCount val="13"/>
                <c:pt idx="0">
                  <c:v>10309</c:v>
                </c:pt>
                <c:pt idx="1">
                  <c:v>8013</c:v>
                </c:pt>
                <c:pt idx="2">
                  <c:v>6510</c:v>
                </c:pt>
                <c:pt idx="3">
                  <c:v>5246</c:v>
                </c:pt>
                <c:pt idx="4">
                  <c:v>4243</c:v>
                </c:pt>
                <c:pt idx="5">
                  <c:v>3431</c:v>
                </c:pt>
                <c:pt idx="6">
                  <c:v>2732</c:v>
                </c:pt>
                <c:pt idx="7">
                  <c:v>2191</c:v>
                </c:pt>
                <c:pt idx="8">
                  <c:v>1777</c:v>
                </c:pt>
                <c:pt idx="9">
                  <c:v>1382</c:v>
                </c:pt>
              </c:numCache>
            </c:numRef>
          </c:val>
          <c:smooth val="0"/>
          <c:extLst xmlns:c16r2="http://schemas.microsoft.com/office/drawing/2015/06/chart">
            <c:ext xmlns:c16="http://schemas.microsoft.com/office/drawing/2014/chart" uri="{C3380CC4-5D6E-409C-BE32-E72D297353CC}">
              <c16:uniqueId val="{00000003-9745-4185-86F7-0A80729FBA3A}"/>
            </c:ext>
          </c:extLst>
        </c:ser>
        <c:ser>
          <c:idx val="4"/>
          <c:order val="4"/>
          <c:tx>
            <c:strRef>
              <c:f>'Sheet1 (5)'!$F$4:$F$5</c:f>
              <c:strCache>
                <c:ptCount val="1"/>
                <c:pt idx="0">
                  <c:v>RALOXIFENE</c:v>
                </c:pt>
              </c:strCache>
            </c:strRef>
          </c:tx>
          <c:cat>
            <c:strRef>
              <c:f>'Sheet1 (5)'!$A$6:$A$19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(5)'!$F$6:$F$19</c:f>
              <c:numCache>
                <c:formatCode>General</c:formatCode>
                <c:ptCount val="13"/>
                <c:pt idx="0">
                  <c:v>37379</c:v>
                </c:pt>
                <c:pt idx="1">
                  <c:v>35449</c:v>
                </c:pt>
                <c:pt idx="2">
                  <c:v>34192</c:v>
                </c:pt>
                <c:pt idx="3">
                  <c:v>34007</c:v>
                </c:pt>
                <c:pt idx="4">
                  <c:v>31311</c:v>
                </c:pt>
                <c:pt idx="5">
                  <c:v>29154</c:v>
                </c:pt>
                <c:pt idx="6">
                  <c:v>26267</c:v>
                </c:pt>
                <c:pt idx="7">
                  <c:v>23525</c:v>
                </c:pt>
                <c:pt idx="8">
                  <c:v>21048</c:v>
                </c:pt>
                <c:pt idx="9">
                  <c:v>18566</c:v>
                </c:pt>
                <c:pt idx="10">
                  <c:v>16461</c:v>
                </c:pt>
                <c:pt idx="11">
                  <c:v>14500</c:v>
                </c:pt>
                <c:pt idx="12">
                  <c:v>12416</c:v>
                </c:pt>
              </c:numCache>
            </c:numRef>
          </c:val>
          <c:smooth val="0"/>
          <c:extLst xmlns:c16r2="http://schemas.microsoft.com/office/drawing/2015/06/chart">
            <c:ext xmlns:c16="http://schemas.microsoft.com/office/drawing/2014/chart" uri="{C3380CC4-5D6E-409C-BE32-E72D297353CC}">
              <c16:uniqueId val="{00000004-9745-4185-86F7-0A80729FBA3A}"/>
            </c:ext>
          </c:extLst>
        </c:ser>
        <c:ser>
          <c:idx val="5"/>
          <c:order val="5"/>
          <c:tx>
            <c:strRef>
              <c:f>'Sheet1 (5)'!$G$4:$G$5</c:f>
              <c:strCache>
                <c:ptCount val="1"/>
                <c:pt idx="0">
                  <c:v>RISEDRONATE (incl. combination products)</c:v>
                </c:pt>
              </c:strCache>
            </c:strRef>
          </c:tx>
          <c:cat>
            <c:strRef>
              <c:f>'Sheet1 (5)'!$A$6:$A$19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(5)'!$G$6:$G$19</c:f>
              <c:numCache>
                <c:formatCode>General</c:formatCode>
                <c:ptCount val="13"/>
                <c:pt idx="0">
                  <c:v>45559</c:v>
                </c:pt>
                <c:pt idx="1">
                  <c:v>70427</c:v>
                </c:pt>
                <c:pt idx="2">
                  <c:v>89415</c:v>
                </c:pt>
                <c:pt idx="3">
                  <c:v>111169</c:v>
                </c:pt>
                <c:pt idx="4">
                  <c:v>128183</c:v>
                </c:pt>
                <c:pt idx="5">
                  <c:v>140381</c:v>
                </c:pt>
                <c:pt idx="6">
                  <c:v>149763</c:v>
                </c:pt>
                <c:pt idx="7">
                  <c:v>154821</c:v>
                </c:pt>
                <c:pt idx="8">
                  <c:v>158102</c:v>
                </c:pt>
                <c:pt idx="9">
                  <c:v>157143</c:v>
                </c:pt>
                <c:pt idx="10">
                  <c:v>149754</c:v>
                </c:pt>
                <c:pt idx="11">
                  <c:v>138916</c:v>
                </c:pt>
                <c:pt idx="12">
                  <c:v>124557</c:v>
                </c:pt>
              </c:numCache>
            </c:numRef>
          </c:val>
          <c:smooth val="0"/>
          <c:extLst xmlns:c16r2="http://schemas.microsoft.com/office/drawing/2015/06/chart">
            <c:ext xmlns:c16="http://schemas.microsoft.com/office/drawing/2014/chart" uri="{C3380CC4-5D6E-409C-BE32-E72D297353CC}">
              <c16:uniqueId val="{00000005-9745-4185-86F7-0A80729FBA3A}"/>
            </c:ext>
          </c:extLst>
        </c:ser>
        <c:ser>
          <c:idx val="6"/>
          <c:order val="6"/>
          <c:tx>
            <c:strRef>
              <c:f>'Sheet1 (5)'!$H$4:$H$5</c:f>
              <c:strCache>
                <c:ptCount val="1"/>
                <c:pt idx="0">
                  <c:v>STRONTIUM</c:v>
                </c:pt>
              </c:strCache>
            </c:strRef>
          </c:tx>
          <c:cat>
            <c:strRef>
              <c:f>'Sheet1 (5)'!$A$6:$A$19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(5)'!$H$6:$H$19</c:f>
              <c:numCache>
                <c:formatCode>General</c:formatCode>
                <c:ptCount val="13"/>
                <c:pt idx="4">
                  <c:v>14773</c:v>
                </c:pt>
                <c:pt idx="5">
                  <c:v>31386</c:v>
                </c:pt>
                <c:pt idx="6">
                  <c:v>41385</c:v>
                </c:pt>
                <c:pt idx="7">
                  <c:v>47501</c:v>
                </c:pt>
                <c:pt idx="8">
                  <c:v>51748</c:v>
                </c:pt>
                <c:pt idx="9">
                  <c:v>52055</c:v>
                </c:pt>
                <c:pt idx="10">
                  <c:v>46351</c:v>
                </c:pt>
                <c:pt idx="11">
                  <c:v>29313</c:v>
                </c:pt>
                <c:pt idx="12">
                  <c:v>12524</c:v>
                </c:pt>
              </c:numCache>
            </c:numRef>
          </c:val>
          <c:smooth val="0"/>
          <c:extLst xmlns:c16r2="http://schemas.microsoft.com/office/drawing/2015/06/chart">
            <c:ext xmlns:c16="http://schemas.microsoft.com/office/drawing/2014/chart" uri="{C3380CC4-5D6E-409C-BE32-E72D297353CC}">
              <c16:uniqueId val="{00000006-9745-4185-86F7-0A80729FBA3A}"/>
            </c:ext>
          </c:extLst>
        </c:ser>
        <c:ser>
          <c:idx val="7"/>
          <c:order val="7"/>
          <c:tx>
            <c:strRef>
              <c:f>'Sheet1 (5)'!$I$4:$I$5</c:f>
              <c:strCache>
                <c:ptCount val="1"/>
                <c:pt idx="0">
                  <c:v>TERIPARATIDE</c:v>
                </c:pt>
              </c:strCache>
            </c:strRef>
          </c:tx>
          <c:cat>
            <c:strRef>
              <c:f>'Sheet1 (5)'!$A$6:$A$19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(5)'!$I$6:$I$19</c:f>
              <c:numCache>
                <c:formatCode>General</c:formatCode>
                <c:ptCount val="13"/>
                <c:pt idx="6">
                  <c:v>327</c:v>
                </c:pt>
                <c:pt idx="7">
                  <c:v>728</c:v>
                </c:pt>
                <c:pt idx="8">
                  <c:v>962</c:v>
                </c:pt>
                <c:pt idx="9">
                  <c:v>1020</c:v>
                </c:pt>
                <c:pt idx="10">
                  <c:v>1194</c:v>
                </c:pt>
                <c:pt idx="11">
                  <c:v>1294</c:v>
                </c:pt>
                <c:pt idx="12">
                  <c:v>1310</c:v>
                </c:pt>
              </c:numCache>
            </c:numRef>
          </c:val>
          <c:smooth val="0"/>
          <c:extLst xmlns:c16r2="http://schemas.microsoft.com/office/drawing/2015/06/chart">
            <c:ext xmlns:c16="http://schemas.microsoft.com/office/drawing/2014/chart" uri="{C3380CC4-5D6E-409C-BE32-E72D297353CC}">
              <c16:uniqueId val="{00000007-9745-4185-86F7-0A80729FBA3A}"/>
            </c:ext>
          </c:extLst>
        </c:ser>
        <c:ser>
          <c:idx val="8"/>
          <c:order val="8"/>
          <c:tx>
            <c:strRef>
              <c:f>'Sheet1 (5)'!$J$4:$J$5</c:f>
              <c:strCache>
                <c:ptCount val="1"/>
                <c:pt idx="0">
                  <c:v>ZOLEDRONIC ACID</c:v>
                </c:pt>
              </c:strCache>
            </c:strRef>
          </c:tx>
          <c:cat>
            <c:strRef>
              <c:f>'Sheet1 (5)'!$A$6:$A$19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(5)'!$J$6:$J$19</c:f>
              <c:numCache>
                <c:formatCode>General</c:formatCode>
                <c:ptCount val="13"/>
                <c:pt idx="5">
                  <c:v>279</c:v>
                </c:pt>
                <c:pt idx="6">
                  <c:v>12260</c:v>
                </c:pt>
                <c:pt idx="7">
                  <c:v>21860</c:v>
                </c:pt>
                <c:pt idx="8">
                  <c:v>27208</c:v>
                </c:pt>
                <c:pt idx="9">
                  <c:v>29319</c:v>
                </c:pt>
                <c:pt idx="10">
                  <c:v>30672</c:v>
                </c:pt>
                <c:pt idx="11">
                  <c:v>25122</c:v>
                </c:pt>
                <c:pt idx="12">
                  <c:v>19820</c:v>
                </c:pt>
              </c:numCache>
            </c:numRef>
          </c:val>
          <c:smooth val="0"/>
          <c:extLst xmlns:c16r2="http://schemas.microsoft.com/office/drawing/2015/06/chart">
            <c:ext xmlns:c16="http://schemas.microsoft.com/office/drawing/2014/chart" uri="{C3380CC4-5D6E-409C-BE32-E72D297353CC}">
              <c16:uniqueId val="{00000008-9745-4185-86F7-0A80729FBA3A}"/>
            </c:ext>
          </c:extLst>
        </c:ser>
        <c:dLbls>
          <c:showLegendKey val="0"/>
          <c:showVal val="0"/>
          <c:showCatName val="0"/>
          <c:showSerName val="0"/>
          <c:showPercent val="0"/>
          <c:showBubbleSize val="0"/>
        </c:dLbls>
        <c:marker val="1"/>
        <c:smooth val="0"/>
        <c:axId val="115052928"/>
        <c:axId val="115054464"/>
      </c:lineChart>
      <c:catAx>
        <c:axId val="115052928"/>
        <c:scaling>
          <c:orientation val="minMax"/>
        </c:scaling>
        <c:delete val="0"/>
        <c:axPos val="b"/>
        <c:numFmt formatCode="General" sourceLinked="0"/>
        <c:majorTickMark val="none"/>
        <c:minorTickMark val="none"/>
        <c:tickLblPos val="nextTo"/>
        <c:crossAx val="115054464"/>
        <c:crosses val="autoZero"/>
        <c:auto val="1"/>
        <c:lblAlgn val="ctr"/>
        <c:lblOffset val="100"/>
        <c:noMultiLvlLbl val="0"/>
      </c:catAx>
      <c:valAx>
        <c:axId val="115054464"/>
        <c:scaling>
          <c:orientation val="minMax"/>
          <c:max val="250000"/>
        </c:scaling>
        <c:delete val="0"/>
        <c:axPos val="l"/>
        <c:majorGridlines/>
        <c:title>
          <c:tx>
            <c:rich>
              <a:bodyPr rot="-5400000" vert="horz"/>
              <a:lstStyle/>
              <a:p>
                <a:pPr>
                  <a:defRPr b="0"/>
                </a:pPr>
                <a:r>
                  <a:rPr lang="en-AU" b="0"/>
                  <a:t>Patients</a:t>
                </a:r>
              </a:p>
            </c:rich>
          </c:tx>
          <c:layout>
            <c:manualLayout>
              <c:xMode val="edge"/>
              <c:yMode val="edge"/>
              <c:x val="1.7867113344500279E-2"/>
              <c:y val="0.26722813857079797"/>
            </c:manualLayout>
          </c:layout>
          <c:overlay val="0"/>
        </c:title>
        <c:numFmt formatCode="#,##0" sourceLinked="0"/>
        <c:majorTickMark val="none"/>
        <c:minorTickMark val="none"/>
        <c:tickLblPos val="nextTo"/>
        <c:spPr>
          <a:ln w="9525">
            <a:solidFill>
              <a:schemeClr val="bg1">
                <a:lumMod val="50000"/>
              </a:schemeClr>
            </a:solidFill>
          </a:ln>
        </c:spPr>
        <c:crossAx val="115052928"/>
        <c:crosses val="autoZero"/>
        <c:crossBetween val="between"/>
      </c:valAx>
    </c:plotArea>
    <c:legend>
      <c:legendPos val="b"/>
      <c:layout/>
      <c:overlay val="0"/>
      <c:txPr>
        <a:bodyPr/>
        <a:lstStyle/>
        <a:p>
          <a:pPr>
            <a:defRPr sz="800"/>
          </a:pPr>
          <a:endParaRPr lang="en-US"/>
        </a:p>
      </c:txPr>
    </c:legend>
    <c:plotVisOnly val="1"/>
    <c:dispBlanksAs val="gap"/>
    <c:showDLblsOverMax val="0"/>
  </c:chart>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[D941 - PAT_CNT_BY_DRUG_N_SUPP_Y, therapy, id=age, sex, MoA, drg_grp, SLAC.xlsx]Sheet1 (17)!PivotTable1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pivotFmt>
      <c:pivotFmt>
        <c:idx val="9"/>
        <c:marker>
          <c:symbol val="none"/>
        </c:marker>
      </c:pivotFmt>
      <c:pivotFmt>
        <c:idx val="10"/>
      </c:pivotFmt>
      <c:pivotFmt>
        <c:idx val="11"/>
        <c:marker>
          <c:symbol val="none"/>
        </c:marker>
      </c:pivotFmt>
      <c:pivotFmt>
        <c:idx val="12"/>
      </c:pivotFmt>
      <c:pivotFmt>
        <c:idx val="13"/>
        <c:marker>
          <c:symbol val="none"/>
        </c:marker>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s>
    <c:plotArea>
      <c:layout>
        <c:manualLayout>
          <c:layoutTarget val="inner"/>
          <c:xMode val="edge"/>
          <c:yMode val="edge"/>
          <c:x val="0.13105027607844655"/>
          <c:y val="3.8074484516595918E-2"/>
          <c:w val="0.7177421666512791"/>
          <c:h val="0.87607824086256569"/>
        </c:manualLayout>
      </c:layout>
      <c:lineChart>
        <c:grouping val="standard"/>
        <c:varyColors val="0"/>
        <c:ser>
          <c:idx val="0"/>
          <c:order val="0"/>
          <c:tx>
            <c:strRef>
              <c:f>'Sheet1 (17)'!$B$4:$B$5</c:f>
              <c:strCache>
                <c:ptCount val="1"/>
                <c:pt idx="0">
                  <c:v>Female</c:v>
                </c:pt>
              </c:strCache>
            </c:strRef>
          </c:tx>
          <c:cat>
            <c:strRef>
              <c:f>'Sheet1 (17)'!$A$6:$A$19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(17)'!$B$6:$B$19</c:f>
              <c:numCache>
                <c:formatCode>General</c:formatCode>
                <c:ptCount val="13"/>
                <c:pt idx="0">
                  <c:v>265852</c:v>
                </c:pt>
                <c:pt idx="1">
                  <c:v>293411</c:v>
                </c:pt>
                <c:pt idx="2">
                  <c:v>321719</c:v>
                </c:pt>
                <c:pt idx="3">
                  <c:v>336639</c:v>
                </c:pt>
                <c:pt idx="4">
                  <c:v>356757</c:v>
                </c:pt>
                <c:pt idx="5">
                  <c:v>355673</c:v>
                </c:pt>
                <c:pt idx="6">
                  <c:v>353108</c:v>
                </c:pt>
                <c:pt idx="7">
                  <c:v>351826</c:v>
                </c:pt>
                <c:pt idx="8">
                  <c:v>352784</c:v>
                </c:pt>
                <c:pt idx="9">
                  <c:v>356375</c:v>
                </c:pt>
                <c:pt idx="10">
                  <c:v>357560</c:v>
                </c:pt>
                <c:pt idx="11">
                  <c:v>359175</c:v>
                </c:pt>
                <c:pt idx="12">
                  <c:v>371648</c:v>
                </c:pt>
              </c:numCache>
            </c:numRef>
          </c:val>
          <c:smooth val="0"/>
        </c:ser>
        <c:ser>
          <c:idx val="1"/>
          <c:order val="1"/>
          <c:tx>
            <c:strRef>
              <c:f>'Sheet1 (17)'!$C$4:$C$5</c:f>
              <c:strCache>
                <c:ptCount val="1"/>
                <c:pt idx="0">
                  <c:v>Male</c:v>
                </c:pt>
              </c:strCache>
            </c:strRef>
          </c:tx>
          <c:cat>
            <c:strRef>
              <c:f>'Sheet1 (17)'!$A$6:$A$19</c:f>
              <c:strCach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strCache>
            </c:strRef>
          </c:cat>
          <c:val>
            <c:numRef>
              <c:f>'Sheet1 (17)'!$C$6:$C$19</c:f>
              <c:numCache>
                <c:formatCode>General</c:formatCode>
                <c:ptCount val="13"/>
                <c:pt idx="0">
                  <c:v>50704</c:v>
                </c:pt>
                <c:pt idx="1">
                  <c:v>59029</c:v>
                </c:pt>
                <c:pt idx="2">
                  <c:v>69143</c:v>
                </c:pt>
                <c:pt idx="3">
                  <c:v>75691</c:v>
                </c:pt>
                <c:pt idx="4">
                  <c:v>83814</c:v>
                </c:pt>
                <c:pt idx="5">
                  <c:v>86585</c:v>
                </c:pt>
                <c:pt idx="6">
                  <c:v>88473</c:v>
                </c:pt>
                <c:pt idx="7">
                  <c:v>90957</c:v>
                </c:pt>
                <c:pt idx="8">
                  <c:v>92626</c:v>
                </c:pt>
                <c:pt idx="9">
                  <c:v>94533</c:v>
                </c:pt>
                <c:pt idx="10">
                  <c:v>95302</c:v>
                </c:pt>
                <c:pt idx="11">
                  <c:v>96709</c:v>
                </c:pt>
                <c:pt idx="12">
                  <c:v>99767</c:v>
                </c:pt>
              </c:numCache>
            </c:numRef>
          </c:val>
          <c:smooth val="0"/>
        </c:ser>
        <c:dLbls>
          <c:showLegendKey val="0"/>
          <c:showVal val="0"/>
          <c:showCatName val="0"/>
          <c:showSerName val="0"/>
          <c:showPercent val="0"/>
          <c:showBubbleSize val="0"/>
        </c:dLbls>
        <c:marker val="1"/>
        <c:smooth val="0"/>
        <c:axId val="115079424"/>
        <c:axId val="115097600"/>
      </c:lineChart>
      <c:catAx>
        <c:axId val="115079424"/>
        <c:scaling>
          <c:orientation val="minMax"/>
        </c:scaling>
        <c:delete val="0"/>
        <c:axPos val="b"/>
        <c:majorTickMark val="none"/>
        <c:minorTickMark val="none"/>
        <c:tickLblPos val="nextTo"/>
        <c:crossAx val="115097600"/>
        <c:crosses val="autoZero"/>
        <c:auto val="1"/>
        <c:lblAlgn val="ctr"/>
        <c:lblOffset val="100"/>
        <c:noMultiLvlLbl val="0"/>
      </c:catAx>
      <c:valAx>
        <c:axId val="115097600"/>
        <c:scaling>
          <c:orientation val="minMax"/>
        </c:scaling>
        <c:delete val="0"/>
        <c:axPos val="l"/>
        <c:majorGridlines/>
        <c:title>
          <c:tx>
            <c:rich>
              <a:bodyPr rot="-5400000" vert="horz"/>
              <a:lstStyle/>
              <a:p>
                <a:pPr>
                  <a:defRPr b="0"/>
                </a:pPr>
                <a:r>
                  <a:rPr lang="en-AU" b="0"/>
                  <a:t>Patients</a:t>
                </a:r>
              </a:p>
            </c:rich>
          </c:tx>
          <c:layout/>
          <c:overlay val="0"/>
        </c:title>
        <c:numFmt formatCode="#,##0" sourceLinked="0"/>
        <c:majorTickMark val="none"/>
        <c:minorTickMark val="none"/>
        <c:tickLblPos val="nextTo"/>
        <c:crossAx val="115079424"/>
        <c:crosses val="autoZero"/>
        <c:crossBetween val="between"/>
      </c:valAx>
    </c:plotArea>
    <c:legend>
      <c:legendPos val="r"/>
      <c:layout/>
      <c:overlay val="0"/>
      <c:txPr>
        <a:bodyPr/>
        <a:lstStyle/>
        <a:p>
          <a:pPr>
            <a:defRPr sz="8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[D941_AGSTD_PATS - raw and age adj rates - adj for time and state age distr change v2.xlsx]Sheet1!PivotTable4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marker>
          <c:symbol val="none"/>
        </c:marker>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s>
    <c:plotArea>
      <c:layout/>
      <c:lineChart>
        <c:grouping val="standard"/>
        <c:varyColors val="0"/>
        <c:ser>
          <c:idx val="0"/>
          <c:order val="0"/>
          <c:tx>
            <c:strRef>
              <c:f>Sheet1!$B$3:$B$4</c:f>
              <c:strCache>
                <c:ptCount val="1"/>
                <c:pt idx="0">
                  <c:v>ACT</c:v>
                </c:pt>
              </c:strCache>
            </c:strRef>
          </c:tx>
          <c:cat>
            <c:strRef>
              <c:f>Sheet1!$A$5:$A$16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Sheet1!$B$5:$B$16</c:f>
              <c:numCache>
                <c:formatCode>General</c:formatCode>
                <c:ptCount val="11"/>
                <c:pt idx="0">
                  <c:v>4.7193866005</c:v>
                </c:pt>
                <c:pt idx="1">
                  <c:v>3.7234836053999998</c:v>
                </c:pt>
                <c:pt idx="2">
                  <c:v>3.9691341449999999</c:v>
                </c:pt>
                <c:pt idx="3">
                  <c:v>3.2609194873999998</c:v>
                </c:pt>
                <c:pt idx="4">
                  <c:v>3.3259579746000005</c:v>
                </c:pt>
                <c:pt idx="5">
                  <c:v>3.1069807554</c:v>
                </c:pt>
                <c:pt idx="6">
                  <c:v>3.1278448848</c:v>
                </c:pt>
                <c:pt idx="7">
                  <c:v>3.4090030731000001</c:v>
                </c:pt>
                <c:pt idx="8">
                  <c:v>3.0295552277000004</c:v>
                </c:pt>
                <c:pt idx="9">
                  <c:v>3.1530105412</c:v>
                </c:pt>
                <c:pt idx="10">
                  <c:v>3.2682914353999997</c:v>
                </c:pt>
              </c:numCache>
            </c:numRef>
          </c:val>
          <c:smooth val="0"/>
          <c:extLst xmlns:c16r2="http://schemas.microsoft.com/office/drawing/2015/06/chart">
            <c:ext xmlns:c16="http://schemas.microsoft.com/office/drawing/2014/chart" uri="{C3380CC4-5D6E-409C-BE32-E72D297353CC}">
              <c16:uniqueId val="{00000000-F29F-472A-8FD7-760A9CCCF685}"/>
            </c:ext>
          </c:extLst>
        </c:ser>
        <c:ser>
          <c:idx val="1"/>
          <c:order val="1"/>
          <c:tx>
            <c:strRef>
              <c:f>Sheet1!$C$3:$C$4</c:f>
              <c:strCache>
                <c:ptCount val="1"/>
                <c:pt idx="0">
                  <c:v>NSW</c:v>
                </c:pt>
              </c:strCache>
            </c:strRef>
          </c:tx>
          <c:cat>
            <c:strRef>
              <c:f>Sheet1!$A$5:$A$16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Sheet1!$C$5:$C$16</c:f>
              <c:numCache>
                <c:formatCode>General</c:formatCode>
                <c:ptCount val="11"/>
                <c:pt idx="0">
                  <c:v>4.6846010714999995</c:v>
                </c:pt>
                <c:pt idx="1">
                  <c:v>4.0084891935</c:v>
                </c:pt>
                <c:pt idx="2">
                  <c:v>4.3641087502999998</c:v>
                </c:pt>
                <c:pt idx="3">
                  <c:v>3.9043929245000002</c:v>
                </c:pt>
                <c:pt idx="4">
                  <c:v>3.5970911945999999</c:v>
                </c:pt>
                <c:pt idx="5">
                  <c:v>3.3534463596000004</c:v>
                </c:pt>
                <c:pt idx="6">
                  <c:v>3.3638432428999994</c:v>
                </c:pt>
                <c:pt idx="7">
                  <c:v>3.3946050073</c:v>
                </c:pt>
                <c:pt idx="8">
                  <c:v>3.0863785010999996</c:v>
                </c:pt>
                <c:pt idx="9">
                  <c:v>3.0991221306000001</c:v>
                </c:pt>
                <c:pt idx="10">
                  <c:v>3.2153273165999998</c:v>
                </c:pt>
              </c:numCache>
            </c:numRef>
          </c:val>
          <c:smooth val="0"/>
          <c:extLst xmlns:c16r2="http://schemas.microsoft.com/office/drawing/2015/06/chart">
            <c:ext xmlns:c16="http://schemas.microsoft.com/office/drawing/2014/chart" uri="{C3380CC4-5D6E-409C-BE32-E72D297353CC}">
              <c16:uniqueId val="{00000001-F29F-472A-8FD7-760A9CCCF685}"/>
            </c:ext>
          </c:extLst>
        </c:ser>
        <c:ser>
          <c:idx val="2"/>
          <c:order val="2"/>
          <c:tx>
            <c:strRef>
              <c:f>Sheet1!$D$3:$D$4</c:f>
              <c:strCache>
                <c:ptCount val="1"/>
                <c:pt idx="0">
                  <c:v>NT</c:v>
                </c:pt>
              </c:strCache>
            </c:strRef>
          </c:tx>
          <c:cat>
            <c:strRef>
              <c:f>Sheet1!$A$5:$A$16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Sheet1!$D$5:$D$16</c:f>
              <c:numCache>
                <c:formatCode>General</c:formatCode>
                <c:ptCount val="11"/>
                <c:pt idx="0">
                  <c:v>1.287001287</c:v>
                </c:pt>
                <c:pt idx="1">
                  <c:v>1.4493654841000001</c:v>
                </c:pt>
                <c:pt idx="2">
                  <c:v>1.4222355296000002</c:v>
                </c:pt>
                <c:pt idx="3">
                  <c:v>1.3189372094</c:v>
                </c:pt>
                <c:pt idx="4">
                  <c:v>1.4246085643999999</c:v>
                </c:pt>
                <c:pt idx="5">
                  <c:v>1.3056080216999999</c:v>
                </c:pt>
                <c:pt idx="6">
                  <c:v>1.4786503640999999</c:v>
                </c:pt>
                <c:pt idx="7">
                  <c:v>1.5346721438999997</c:v>
                </c:pt>
                <c:pt idx="8">
                  <c:v>1.5006039518000001</c:v>
                </c:pt>
                <c:pt idx="9">
                  <c:v>1.3929522367999998</c:v>
                </c:pt>
                <c:pt idx="10">
                  <c:v>1.7055075213999999</c:v>
                </c:pt>
              </c:numCache>
            </c:numRef>
          </c:val>
          <c:smooth val="0"/>
          <c:extLst xmlns:c16r2="http://schemas.microsoft.com/office/drawing/2015/06/chart">
            <c:ext xmlns:c16="http://schemas.microsoft.com/office/drawing/2014/chart" uri="{C3380CC4-5D6E-409C-BE32-E72D297353CC}">
              <c16:uniqueId val="{00000002-F29F-472A-8FD7-760A9CCCF685}"/>
            </c:ext>
          </c:extLst>
        </c:ser>
        <c:ser>
          <c:idx val="3"/>
          <c:order val="3"/>
          <c:tx>
            <c:strRef>
              <c:f>Sheet1!$E$3:$E$4</c:f>
              <c:strCache>
                <c:ptCount val="1"/>
                <c:pt idx="0">
                  <c:v>QLD</c:v>
                </c:pt>
              </c:strCache>
            </c:strRef>
          </c:tx>
          <c:cat>
            <c:strRef>
              <c:f>Sheet1!$A$5:$A$16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Sheet1!$E$5:$E$16</c:f>
              <c:numCache>
                <c:formatCode>General</c:formatCode>
                <c:ptCount val="11"/>
                <c:pt idx="0">
                  <c:v>4.042879739</c:v>
                </c:pt>
                <c:pt idx="1">
                  <c:v>3.2801961681000003</c:v>
                </c:pt>
                <c:pt idx="2">
                  <c:v>3.6835158589999999</c:v>
                </c:pt>
                <c:pt idx="3">
                  <c:v>3.1527394801000002</c:v>
                </c:pt>
                <c:pt idx="4">
                  <c:v>2.9160701733000001</c:v>
                </c:pt>
                <c:pt idx="5">
                  <c:v>2.7767788545999998</c:v>
                </c:pt>
                <c:pt idx="6">
                  <c:v>2.9358167860000002</c:v>
                </c:pt>
                <c:pt idx="7">
                  <c:v>2.8989504631999998</c:v>
                </c:pt>
                <c:pt idx="8">
                  <c:v>2.9217267469000001</c:v>
                </c:pt>
                <c:pt idx="9">
                  <c:v>2.9254702139999997</c:v>
                </c:pt>
                <c:pt idx="10">
                  <c:v>3.2208679106999996</c:v>
                </c:pt>
              </c:numCache>
            </c:numRef>
          </c:val>
          <c:smooth val="0"/>
          <c:extLst xmlns:c16r2="http://schemas.microsoft.com/office/drawing/2015/06/chart">
            <c:ext xmlns:c16="http://schemas.microsoft.com/office/drawing/2014/chart" uri="{C3380CC4-5D6E-409C-BE32-E72D297353CC}">
              <c16:uniqueId val="{00000003-F29F-472A-8FD7-760A9CCCF685}"/>
            </c:ext>
          </c:extLst>
        </c:ser>
        <c:ser>
          <c:idx val="4"/>
          <c:order val="4"/>
          <c:tx>
            <c:strRef>
              <c:f>Sheet1!$F$3:$F$4</c:f>
              <c:strCache>
                <c:ptCount val="1"/>
                <c:pt idx="0">
                  <c:v>SA</c:v>
                </c:pt>
              </c:strCache>
            </c:strRef>
          </c:tx>
          <c:cat>
            <c:strRef>
              <c:f>Sheet1!$A$5:$A$16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Sheet1!$F$5:$F$16</c:f>
              <c:numCache>
                <c:formatCode>General</c:formatCode>
                <c:ptCount val="11"/>
                <c:pt idx="0">
                  <c:v>4.7959324255000002</c:v>
                </c:pt>
                <c:pt idx="1">
                  <c:v>4.0173162626999996</c:v>
                </c:pt>
                <c:pt idx="2">
                  <c:v>3.8870025130000001</c:v>
                </c:pt>
                <c:pt idx="3">
                  <c:v>3.4532138621000001</c:v>
                </c:pt>
                <c:pt idx="4">
                  <c:v>3.4601237364999999</c:v>
                </c:pt>
                <c:pt idx="5">
                  <c:v>3.4019081657000001</c:v>
                </c:pt>
                <c:pt idx="6">
                  <c:v>3.2379572264000003</c:v>
                </c:pt>
                <c:pt idx="7">
                  <c:v>3.2179271573000001</c:v>
                </c:pt>
                <c:pt idx="8">
                  <c:v>3.2006724644000002</c:v>
                </c:pt>
                <c:pt idx="9">
                  <c:v>3.0013942037999999</c:v>
                </c:pt>
                <c:pt idx="10">
                  <c:v>3.2777718919999996</c:v>
                </c:pt>
              </c:numCache>
            </c:numRef>
          </c:val>
          <c:smooth val="0"/>
          <c:extLst xmlns:c16r2="http://schemas.microsoft.com/office/drawing/2015/06/chart">
            <c:ext xmlns:c16="http://schemas.microsoft.com/office/drawing/2014/chart" uri="{C3380CC4-5D6E-409C-BE32-E72D297353CC}">
              <c16:uniqueId val="{00000004-F29F-472A-8FD7-760A9CCCF685}"/>
            </c:ext>
          </c:extLst>
        </c:ser>
        <c:ser>
          <c:idx val="5"/>
          <c:order val="5"/>
          <c:tx>
            <c:strRef>
              <c:f>Sheet1!$G$3:$G$4</c:f>
              <c:strCache>
                <c:ptCount val="1"/>
                <c:pt idx="0">
                  <c:v>TAS</c:v>
                </c:pt>
              </c:strCache>
            </c:strRef>
          </c:tx>
          <c:cat>
            <c:strRef>
              <c:f>Sheet1!$A$5:$A$16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Sheet1!$G$5:$G$16</c:f>
              <c:numCache>
                <c:formatCode>General</c:formatCode>
                <c:ptCount val="11"/>
                <c:pt idx="0">
                  <c:v>3.0398887705000002</c:v>
                </c:pt>
                <c:pt idx="1">
                  <c:v>2.5873591360999999</c:v>
                </c:pt>
                <c:pt idx="2">
                  <c:v>2.9558328029000003</c:v>
                </c:pt>
                <c:pt idx="3">
                  <c:v>3.3455817459999997</c:v>
                </c:pt>
                <c:pt idx="4">
                  <c:v>2.9324699169999997</c:v>
                </c:pt>
                <c:pt idx="5">
                  <c:v>2.7179093127000002</c:v>
                </c:pt>
                <c:pt idx="6">
                  <c:v>2.5905064293</c:v>
                </c:pt>
                <c:pt idx="7">
                  <c:v>2.6908491602000004</c:v>
                </c:pt>
                <c:pt idx="8">
                  <c:v>3.2023108092000001</c:v>
                </c:pt>
                <c:pt idx="9">
                  <c:v>3.3551831458999999</c:v>
                </c:pt>
                <c:pt idx="10">
                  <c:v>3.6946933055000004</c:v>
                </c:pt>
              </c:numCache>
            </c:numRef>
          </c:val>
          <c:smooth val="0"/>
          <c:extLst xmlns:c16r2="http://schemas.microsoft.com/office/drawing/2015/06/chart">
            <c:ext xmlns:c16="http://schemas.microsoft.com/office/drawing/2014/chart" uri="{C3380CC4-5D6E-409C-BE32-E72D297353CC}">
              <c16:uniqueId val="{00000005-F29F-472A-8FD7-760A9CCCF685}"/>
            </c:ext>
          </c:extLst>
        </c:ser>
        <c:ser>
          <c:idx val="6"/>
          <c:order val="6"/>
          <c:tx>
            <c:strRef>
              <c:f>Sheet1!$H$3:$H$4</c:f>
              <c:strCache>
                <c:ptCount val="1"/>
                <c:pt idx="0">
                  <c:v>VIC</c:v>
                </c:pt>
              </c:strCache>
            </c:strRef>
          </c:tx>
          <c:cat>
            <c:strRef>
              <c:f>Sheet1!$A$5:$A$16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Sheet1!$H$5:$H$16</c:f>
              <c:numCache>
                <c:formatCode>General</c:formatCode>
                <c:ptCount val="11"/>
                <c:pt idx="0">
                  <c:v>3.8158070378</c:v>
                </c:pt>
                <c:pt idx="1">
                  <c:v>3.2310097907999999</c:v>
                </c:pt>
                <c:pt idx="2">
                  <c:v>3.5509696087</c:v>
                </c:pt>
                <c:pt idx="3">
                  <c:v>3.2212313621000002</c:v>
                </c:pt>
                <c:pt idx="4">
                  <c:v>2.9309742078000003</c:v>
                </c:pt>
                <c:pt idx="5">
                  <c:v>2.7358951975999997</c:v>
                </c:pt>
                <c:pt idx="6">
                  <c:v>2.7458473257000002</c:v>
                </c:pt>
                <c:pt idx="7">
                  <c:v>2.7898697580999996</c:v>
                </c:pt>
                <c:pt idx="8">
                  <c:v>2.6747849717000003</c:v>
                </c:pt>
                <c:pt idx="9">
                  <c:v>2.7054988686999994</c:v>
                </c:pt>
                <c:pt idx="10">
                  <c:v>2.8434884569000003</c:v>
                </c:pt>
              </c:numCache>
            </c:numRef>
          </c:val>
          <c:smooth val="0"/>
          <c:extLst xmlns:c16r2="http://schemas.microsoft.com/office/drawing/2015/06/chart">
            <c:ext xmlns:c16="http://schemas.microsoft.com/office/drawing/2014/chart" uri="{C3380CC4-5D6E-409C-BE32-E72D297353CC}">
              <c16:uniqueId val="{00000006-F29F-472A-8FD7-760A9CCCF685}"/>
            </c:ext>
          </c:extLst>
        </c:ser>
        <c:ser>
          <c:idx val="7"/>
          <c:order val="7"/>
          <c:tx>
            <c:strRef>
              <c:f>Sheet1!$I$3:$I$4</c:f>
              <c:strCache>
                <c:ptCount val="1"/>
                <c:pt idx="0">
                  <c:v>WA</c:v>
                </c:pt>
              </c:strCache>
            </c:strRef>
          </c:tx>
          <c:cat>
            <c:strRef>
              <c:f>Sheet1!$A$5:$A$16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Sheet1!$I$5:$I$16</c:f>
              <c:numCache>
                <c:formatCode>General</c:formatCode>
                <c:ptCount val="11"/>
                <c:pt idx="0">
                  <c:v>2.8893097527</c:v>
                </c:pt>
                <c:pt idx="1">
                  <c:v>2.3320219976000001</c:v>
                </c:pt>
                <c:pt idx="2">
                  <c:v>2.5857742533000003</c:v>
                </c:pt>
                <c:pt idx="3">
                  <c:v>2.3626651931999998</c:v>
                </c:pt>
                <c:pt idx="4">
                  <c:v>2.2975114386000004</c:v>
                </c:pt>
                <c:pt idx="5">
                  <c:v>2.2712143335000001</c:v>
                </c:pt>
                <c:pt idx="6">
                  <c:v>2.3561565372</c:v>
                </c:pt>
                <c:pt idx="7">
                  <c:v>2.2342138659999997</c:v>
                </c:pt>
                <c:pt idx="8">
                  <c:v>2.1841569507999998</c:v>
                </c:pt>
                <c:pt idx="9">
                  <c:v>2.2881872285</c:v>
                </c:pt>
                <c:pt idx="10">
                  <c:v>2.3786353612000002</c:v>
                </c:pt>
              </c:numCache>
            </c:numRef>
          </c:val>
          <c:smooth val="0"/>
          <c:extLst xmlns:c16r2="http://schemas.microsoft.com/office/drawing/2015/06/chart">
            <c:ext xmlns:c16="http://schemas.microsoft.com/office/drawing/2014/chart" uri="{C3380CC4-5D6E-409C-BE32-E72D297353CC}">
              <c16:uniqueId val="{00000007-F29F-472A-8FD7-760A9CCCF685}"/>
            </c:ext>
          </c:extLst>
        </c:ser>
        <c:dLbls>
          <c:showLegendKey val="0"/>
          <c:showVal val="0"/>
          <c:showCatName val="0"/>
          <c:showSerName val="0"/>
          <c:showPercent val="0"/>
          <c:showBubbleSize val="0"/>
        </c:dLbls>
        <c:marker val="1"/>
        <c:smooth val="0"/>
        <c:axId val="115434624"/>
        <c:axId val="115436160"/>
      </c:lineChart>
      <c:catAx>
        <c:axId val="115434624"/>
        <c:scaling>
          <c:orientation val="minMax"/>
        </c:scaling>
        <c:delete val="0"/>
        <c:axPos val="b"/>
        <c:numFmt formatCode="General" sourceLinked="0"/>
        <c:majorTickMark val="none"/>
        <c:minorTickMark val="none"/>
        <c:tickLblPos val="nextTo"/>
        <c:crossAx val="115436160"/>
        <c:crosses val="autoZero"/>
        <c:auto val="1"/>
        <c:lblAlgn val="ctr"/>
        <c:lblOffset val="100"/>
        <c:noMultiLvlLbl val="0"/>
      </c:catAx>
      <c:valAx>
        <c:axId val="115436160"/>
        <c:scaling>
          <c:orientation val="minMax"/>
          <c:max val="7"/>
        </c:scaling>
        <c:delete val="0"/>
        <c:axPos val="l"/>
        <c:majorGridlines/>
        <c:title>
          <c:tx>
            <c:rich>
              <a:bodyPr rot="-5400000" vert="horz"/>
              <a:lstStyle/>
              <a:p>
                <a:pPr>
                  <a:defRPr/>
                </a:pPr>
                <a:r>
                  <a:rPr lang="en-AU"/>
                  <a:t>Patients per 1,000</a:t>
                </a:r>
                <a:r>
                  <a:rPr lang="en-AU" baseline="0"/>
                  <a:t> population</a:t>
                </a:r>
                <a:endParaRPr lang="en-AU"/>
              </a:p>
            </c:rich>
          </c:tx>
          <c:layout>
            <c:manualLayout>
              <c:xMode val="edge"/>
              <c:yMode val="edge"/>
              <c:x val="1.8562091933145047E-2"/>
              <c:y val="0.24564571139837466"/>
            </c:manualLayout>
          </c:layout>
          <c:overlay val="0"/>
        </c:title>
        <c:numFmt formatCode="General" sourceLinked="1"/>
        <c:majorTickMark val="none"/>
        <c:minorTickMark val="none"/>
        <c:tickLblPos val="nextTo"/>
        <c:crossAx val="115434624"/>
        <c:crosses val="autoZero"/>
        <c:crossBetween val="between"/>
      </c:valAx>
    </c:plotArea>
    <c:legend>
      <c:legendPos val="r"/>
      <c:layout/>
      <c:overlay val="0"/>
    </c:legend>
    <c:plotVisOnly val="1"/>
    <c:dispBlanksAs val="gap"/>
    <c:showDLblsOverMax val="0"/>
  </c:chart>
  <c:externalData r:id="rId2">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[D941_AGSTD_PATS - raw and age adj rates - adj for time and state age distr change v2.xlsx]Sheet1 (2)!PivotTable4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marker>
          <c:symbol val="none"/>
        </c:marker>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s>
    <c:plotArea>
      <c:layout/>
      <c:lineChart>
        <c:grouping val="standard"/>
        <c:varyColors val="0"/>
        <c:ser>
          <c:idx val="0"/>
          <c:order val="0"/>
          <c:tx>
            <c:strRef>
              <c:f>'Sheet1 (2)'!$B$3:$B$4</c:f>
              <c:strCache>
                <c:ptCount val="1"/>
                <c:pt idx="0">
                  <c:v>ACT</c:v>
                </c:pt>
              </c:strCache>
            </c:strRef>
          </c:tx>
          <c:cat>
            <c:strRef>
              <c:f>'Sheet1 (2)'!$A$5:$A$16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(2)'!$B$5:$B$16</c:f>
              <c:numCache>
                <c:formatCode>General</c:formatCode>
                <c:ptCount val="11"/>
                <c:pt idx="0">
                  <c:v>6.5171929024999997</c:v>
                </c:pt>
                <c:pt idx="1">
                  <c:v>5.0678249743999997</c:v>
                </c:pt>
                <c:pt idx="2">
                  <c:v>5.3556844252999998</c:v>
                </c:pt>
                <c:pt idx="3">
                  <c:v>4.3426163797999999</c:v>
                </c:pt>
                <c:pt idx="4">
                  <c:v>4.3568285248</c:v>
                </c:pt>
                <c:pt idx="5">
                  <c:v>3.9816372939</c:v>
                </c:pt>
                <c:pt idx="6">
                  <c:v>3.9406878042</c:v>
                </c:pt>
                <c:pt idx="7">
                  <c:v>4.2350475466999997</c:v>
                </c:pt>
                <c:pt idx="8">
                  <c:v>3.6621341899999997</c:v>
                </c:pt>
                <c:pt idx="9">
                  <c:v>3.7368280815999997</c:v>
                </c:pt>
                <c:pt idx="10">
                  <c:v>3.7722682066000002</c:v>
                </c:pt>
              </c:numCache>
            </c:numRef>
          </c:val>
          <c:smooth val="0"/>
          <c:extLst xmlns:c16r2="http://schemas.microsoft.com/office/drawing/2015/06/chart">
            <c:ext xmlns:c16="http://schemas.microsoft.com/office/drawing/2014/chart" uri="{C3380CC4-5D6E-409C-BE32-E72D297353CC}">
              <c16:uniqueId val="{00000000-E62A-43A5-954F-DC3F0A410124}"/>
            </c:ext>
          </c:extLst>
        </c:ser>
        <c:ser>
          <c:idx val="1"/>
          <c:order val="1"/>
          <c:tx>
            <c:strRef>
              <c:f>'Sheet1 (2)'!$C$3:$C$4</c:f>
              <c:strCache>
                <c:ptCount val="1"/>
                <c:pt idx="0">
                  <c:v>NSW</c:v>
                </c:pt>
              </c:strCache>
            </c:strRef>
          </c:tx>
          <c:cat>
            <c:strRef>
              <c:f>'Sheet1 (2)'!$A$5:$A$16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(2)'!$C$5:$C$16</c:f>
              <c:numCache>
                <c:formatCode>General</c:formatCode>
                <c:ptCount val="11"/>
                <c:pt idx="0">
                  <c:v>4.8193520571999997</c:v>
                </c:pt>
                <c:pt idx="1">
                  <c:v>4.0877073074000005</c:v>
                </c:pt>
                <c:pt idx="2">
                  <c:v>4.3703682286000003</c:v>
                </c:pt>
                <c:pt idx="3">
                  <c:v>3.8875777669000002</c:v>
                </c:pt>
                <c:pt idx="4">
                  <c:v>3.5564467539000004</c:v>
                </c:pt>
                <c:pt idx="5">
                  <c:v>3.2733788723000004</c:v>
                </c:pt>
                <c:pt idx="6">
                  <c:v>3.2344814826000001</c:v>
                </c:pt>
                <c:pt idx="7">
                  <c:v>3.2268824106999996</c:v>
                </c:pt>
                <c:pt idx="8">
                  <c:v>2.9014712236999998</c:v>
                </c:pt>
                <c:pt idx="9">
                  <c:v>2.8808067529000003</c:v>
                </c:pt>
                <c:pt idx="10">
                  <c:v>2.9569033565999998</c:v>
                </c:pt>
              </c:numCache>
            </c:numRef>
          </c:val>
          <c:smooth val="0"/>
          <c:extLst xmlns:c16r2="http://schemas.microsoft.com/office/drawing/2015/06/chart">
            <c:ext xmlns:c16="http://schemas.microsoft.com/office/drawing/2014/chart" uri="{C3380CC4-5D6E-409C-BE32-E72D297353CC}">
              <c16:uniqueId val="{00000001-E62A-43A5-954F-DC3F0A410124}"/>
            </c:ext>
          </c:extLst>
        </c:ser>
        <c:ser>
          <c:idx val="2"/>
          <c:order val="2"/>
          <c:tx>
            <c:strRef>
              <c:f>'Sheet1 (2)'!$D$3:$D$4</c:f>
              <c:strCache>
                <c:ptCount val="1"/>
                <c:pt idx="0">
                  <c:v>NT</c:v>
                </c:pt>
              </c:strCache>
            </c:strRef>
          </c:tx>
          <c:cat>
            <c:strRef>
              <c:f>'Sheet1 (2)'!$A$5:$A$16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(2)'!$D$5:$D$16</c:f>
              <c:numCache>
                <c:formatCode>General</c:formatCode>
                <c:ptCount val="11"/>
                <c:pt idx="0">
                  <c:v>2.8110558713999998</c:v>
                </c:pt>
                <c:pt idx="1">
                  <c:v>3.1204663538000004</c:v>
                </c:pt>
                <c:pt idx="2">
                  <c:v>3.0805680026000002</c:v>
                </c:pt>
                <c:pt idx="3">
                  <c:v>2.7238313624999999</c:v>
                </c:pt>
                <c:pt idx="4">
                  <c:v>2.9847525614000001</c:v>
                </c:pt>
                <c:pt idx="5">
                  <c:v>2.6433586727000002</c:v>
                </c:pt>
                <c:pt idx="6">
                  <c:v>3.0118993542000001</c:v>
                </c:pt>
                <c:pt idx="7">
                  <c:v>2.8797686223000003</c:v>
                </c:pt>
                <c:pt idx="8">
                  <c:v>2.7659360501000001</c:v>
                </c:pt>
                <c:pt idx="9">
                  <c:v>2.2463618071</c:v>
                </c:pt>
                <c:pt idx="10">
                  <c:v>2.8225801097999996</c:v>
                </c:pt>
              </c:numCache>
            </c:numRef>
          </c:val>
          <c:smooth val="0"/>
          <c:extLst xmlns:c16r2="http://schemas.microsoft.com/office/drawing/2015/06/chart">
            <c:ext xmlns:c16="http://schemas.microsoft.com/office/drawing/2014/chart" uri="{C3380CC4-5D6E-409C-BE32-E72D297353CC}">
              <c16:uniqueId val="{00000002-E62A-43A5-954F-DC3F0A410124}"/>
            </c:ext>
          </c:extLst>
        </c:ser>
        <c:ser>
          <c:idx val="3"/>
          <c:order val="3"/>
          <c:tx>
            <c:strRef>
              <c:f>'Sheet1 (2)'!$E$3:$E$4</c:f>
              <c:strCache>
                <c:ptCount val="1"/>
                <c:pt idx="0">
                  <c:v>QLD</c:v>
                </c:pt>
              </c:strCache>
            </c:strRef>
          </c:tx>
          <c:cat>
            <c:strRef>
              <c:f>'Sheet1 (2)'!$A$5:$A$16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(2)'!$E$5:$E$16</c:f>
              <c:numCache>
                <c:formatCode>General</c:formatCode>
                <c:ptCount val="11"/>
                <c:pt idx="0">
                  <c:v>4.5178936209999998</c:v>
                </c:pt>
                <c:pt idx="1">
                  <c:v>3.6243122873</c:v>
                </c:pt>
                <c:pt idx="2">
                  <c:v>4.0598903888000004</c:v>
                </c:pt>
                <c:pt idx="3">
                  <c:v>3.4601265953999998</c:v>
                </c:pt>
                <c:pt idx="4">
                  <c:v>3.1864634623000003</c:v>
                </c:pt>
                <c:pt idx="5">
                  <c:v>2.9926871164999995</c:v>
                </c:pt>
                <c:pt idx="6">
                  <c:v>3.1221934965</c:v>
                </c:pt>
                <c:pt idx="7">
                  <c:v>3.0481922125000001</c:v>
                </c:pt>
                <c:pt idx="8">
                  <c:v>3.0323696479</c:v>
                </c:pt>
                <c:pt idx="9">
                  <c:v>2.9734240519999999</c:v>
                </c:pt>
                <c:pt idx="10">
                  <c:v>3.2085546384999999</c:v>
                </c:pt>
              </c:numCache>
            </c:numRef>
          </c:val>
          <c:smooth val="0"/>
          <c:extLst xmlns:c16r2="http://schemas.microsoft.com/office/drawing/2015/06/chart">
            <c:ext xmlns:c16="http://schemas.microsoft.com/office/drawing/2014/chart" uri="{C3380CC4-5D6E-409C-BE32-E72D297353CC}">
              <c16:uniqueId val="{00000003-E62A-43A5-954F-DC3F0A410124}"/>
            </c:ext>
          </c:extLst>
        </c:ser>
        <c:ser>
          <c:idx val="4"/>
          <c:order val="4"/>
          <c:tx>
            <c:strRef>
              <c:f>'Sheet1 (2)'!$F$3:$F$4</c:f>
              <c:strCache>
                <c:ptCount val="1"/>
                <c:pt idx="0">
                  <c:v>SA</c:v>
                </c:pt>
              </c:strCache>
            </c:strRef>
          </c:tx>
          <c:cat>
            <c:strRef>
              <c:f>'Sheet1 (2)'!$A$5:$A$16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(2)'!$F$5:$F$16</c:f>
              <c:numCache>
                <c:formatCode>General</c:formatCode>
                <c:ptCount val="11"/>
                <c:pt idx="0">
                  <c:v>4.4556999197999998</c:v>
                </c:pt>
                <c:pt idx="1">
                  <c:v>3.6865081790000005</c:v>
                </c:pt>
                <c:pt idx="2">
                  <c:v>3.5110490669999996</c:v>
                </c:pt>
                <c:pt idx="3">
                  <c:v>3.0973915877000002</c:v>
                </c:pt>
                <c:pt idx="4">
                  <c:v>3.0987745006999998</c:v>
                </c:pt>
                <c:pt idx="5">
                  <c:v>3.0234428922000003</c:v>
                </c:pt>
                <c:pt idx="6">
                  <c:v>2.8459779435999999</c:v>
                </c:pt>
                <c:pt idx="7">
                  <c:v>2.7872524345</c:v>
                </c:pt>
                <c:pt idx="8">
                  <c:v>2.7476981142999999</c:v>
                </c:pt>
                <c:pt idx="9">
                  <c:v>2.5384817370000001</c:v>
                </c:pt>
                <c:pt idx="10">
                  <c:v>2.7419316772000002</c:v>
                </c:pt>
              </c:numCache>
            </c:numRef>
          </c:val>
          <c:smooth val="0"/>
          <c:extLst xmlns:c16r2="http://schemas.microsoft.com/office/drawing/2015/06/chart">
            <c:ext xmlns:c16="http://schemas.microsoft.com/office/drawing/2014/chart" uri="{C3380CC4-5D6E-409C-BE32-E72D297353CC}">
              <c16:uniqueId val="{00000004-E62A-43A5-954F-DC3F0A410124}"/>
            </c:ext>
          </c:extLst>
        </c:ser>
        <c:ser>
          <c:idx val="5"/>
          <c:order val="5"/>
          <c:tx>
            <c:strRef>
              <c:f>'Sheet1 (2)'!$G$3:$G$4</c:f>
              <c:strCache>
                <c:ptCount val="1"/>
                <c:pt idx="0">
                  <c:v>TAS</c:v>
                </c:pt>
              </c:strCache>
            </c:strRef>
          </c:tx>
          <c:cat>
            <c:strRef>
              <c:f>'Sheet1 (2)'!$A$5:$A$16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(2)'!$G$5:$G$16</c:f>
              <c:numCache>
                <c:formatCode>General</c:formatCode>
                <c:ptCount val="11"/>
                <c:pt idx="0">
                  <c:v>2.9152561315999996</c:v>
                </c:pt>
                <c:pt idx="1">
                  <c:v>2.4521301909000002</c:v>
                </c:pt>
                <c:pt idx="2">
                  <c:v>2.7532033940999998</c:v>
                </c:pt>
                <c:pt idx="3">
                  <c:v>3.0718831925000001</c:v>
                </c:pt>
                <c:pt idx="4">
                  <c:v>2.6633140804000002</c:v>
                </c:pt>
                <c:pt idx="5">
                  <c:v>2.4373080588999998</c:v>
                </c:pt>
                <c:pt idx="6">
                  <c:v>2.2841067315000001</c:v>
                </c:pt>
                <c:pt idx="7">
                  <c:v>2.3173030821000005</c:v>
                </c:pt>
                <c:pt idx="8">
                  <c:v>2.6964672938999996</c:v>
                </c:pt>
                <c:pt idx="9">
                  <c:v>2.7699380525000001</c:v>
                </c:pt>
                <c:pt idx="10">
                  <c:v>2.9814734978999997</c:v>
                </c:pt>
              </c:numCache>
            </c:numRef>
          </c:val>
          <c:smooth val="0"/>
          <c:extLst xmlns:c16r2="http://schemas.microsoft.com/office/drawing/2015/06/chart">
            <c:ext xmlns:c16="http://schemas.microsoft.com/office/drawing/2014/chart" uri="{C3380CC4-5D6E-409C-BE32-E72D297353CC}">
              <c16:uniqueId val="{00000005-E62A-43A5-954F-DC3F0A410124}"/>
            </c:ext>
          </c:extLst>
        </c:ser>
        <c:ser>
          <c:idx val="6"/>
          <c:order val="6"/>
          <c:tx>
            <c:strRef>
              <c:f>'Sheet1 (2)'!$H$3:$H$4</c:f>
              <c:strCache>
                <c:ptCount val="1"/>
                <c:pt idx="0">
                  <c:v>VIC</c:v>
                </c:pt>
              </c:strCache>
            </c:strRef>
          </c:tx>
          <c:cat>
            <c:strRef>
              <c:f>'Sheet1 (2)'!$A$5:$A$16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(2)'!$H$5:$H$16</c:f>
              <c:numCache>
                <c:formatCode>General</c:formatCode>
                <c:ptCount val="11"/>
                <c:pt idx="0">
                  <c:v>3.9574842225000002</c:v>
                </c:pt>
                <c:pt idx="1">
                  <c:v>3.3202259443999993</c:v>
                </c:pt>
                <c:pt idx="2">
                  <c:v>3.5976747875000004</c:v>
                </c:pt>
                <c:pt idx="3">
                  <c:v>3.2455038370000002</c:v>
                </c:pt>
                <c:pt idx="4">
                  <c:v>2.9528147681000005</c:v>
                </c:pt>
                <c:pt idx="5">
                  <c:v>2.7280321406999999</c:v>
                </c:pt>
                <c:pt idx="6">
                  <c:v>2.7056390540000002</c:v>
                </c:pt>
                <c:pt idx="7">
                  <c:v>2.7229062559000003</c:v>
                </c:pt>
                <c:pt idx="8">
                  <c:v>2.5896956684999997</c:v>
                </c:pt>
                <c:pt idx="9">
                  <c:v>2.5971279399</c:v>
                </c:pt>
                <c:pt idx="10">
                  <c:v>2.7027735463999996</c:v>
                </c:pt>
              </c:numCache>
            </c:numRef>
          </c:val>
          <c:smooth val="0"/>
          <c:extLst xmlns:c16r2="http://schemas.microsoft.com/office/drawing/2015/06/chart">
            <c:ext xmlns:c16="http://schemas.microsoft.com/office/drawing/2014/chart" uri="{C3380CC4-5D6E-409C-BE32-E72D297353CC}">
              <c16:uniqueId val="{00000006-E62A-43A5-954F-DC3F0A410124}"/>
            </c:ext>
          </c:extLst>
        </c:ser>
        <c:ser>
          <c:idx val="7"/>
          <c:order val="7"/>
          <c:tx>
            <c:strRef>
              <c:f>'Sheet1 (2)'!$I$3:$I$4</c:f>
              <c:strCache>
                <c:ptCount val="1"/>
                <c:pt idx="0">
                  <c:v>WA</c:v>
                </c:pt>
              </c:strCache>
            </c:strRef>
          </c:tx>
          <c:cat>
            <c:strRef>
              <c:f>'Sheet1 (2)'!$A$5:$A$16</c:f>
              <c:strCache>
                <c:ptCount val="11"/>
                <c:pt idx="0">
                  <c:v>2005</c:v>
                </c:pt>
                <c:pt idx="1">
                  <c:v>2006</c:v>
                </c:pt>
                <c:pt idx="2">
                  <c:v>2007</c:v>
                </c:pt>
                <c:pt idx="3">
                  <c:v>2008</c:v>
                </c:pt>
                <c:pt idx="4">
                  <c:v>2009</c:v>
                </c:pt>
                <c:pt idx="5">
                  <c:v>2010</c:v>
                </c:pt>
                <c:pt idx="6">
                  <c:v>2011</c:v>
                </c:pt>
                <c:pt idx="7">
                  <c:v>2012</c:v>
                </c:pt>
                <c:pt idx="8">
                  <c:v>2013</c:v>
                </c:pt>
                <c:pt idx="9">
                  <c:v>2014</c:v>
                </c:pt>
                <c:pt idx="10">
                  <c:v>2015</c:v>
                </c:pt>
              </c:strCache>
            </c:strRef>
          </c:cat>
          <c:val>
            <c:numRef>
              <c:f>'Sheet1 (2)'!$I$5:$I$16</c:f>
              <c:numCache>
                <c:formatCode>General</c:formatCode>
                <c:ptCount val="11"/>
                <c:pt idx="0">
                  <c:v>3.3480292366000004</c:v>
                </c:pt>
                <c:pt idx="1">
                  <c:v>2.6777453335999999</c:v>
                </c:pt>
                <c:pt idx="2">
                  <c:v>2.9421905977999998</c:v>
                </c:pt>
                <c:pt idx="3">
                  <c:v>2.6874640547000004</c:v>
                </c:pt>
                <c:pt idx="4">
                  <c:v>2.6096442356999998</c:v>
                </c:pt>
                <c:pt idx="5">
                  <c:v>2.5497471712999999</c:v>
                </c:pt>
                <c:pt idx="6">
                  <c:v>2.6267709251000002</c:v>
                </c:pt>
                <c:pt idx="7">
                  <c:v>2.4910110447000005</c:v>
                </c:pt>
                <c:pt idx="8">
                  <c:v>2.4242328188999998</c:v>
                </c:pt>
                <c:pt idx="9">
                  <c:v>2.5001976938999997</c:v>
                </c:pt>
                <c:pt idx="10">
                  <c:v>2.5386995117</c:v>
                </c:pt>
              </c:numCache>
            </c:numRef>
          </c:val>
          <c:smooth val="0"/>
          <c:extLst xmlns:c16r2="http://schemas.microsoft.com/office/drawing/2015/06/chart">
            <c:ext xmlns:c16="http://schemas.microsoft.com/office/drawing/2014/chart" uri="{C3380CC4-5D6E-409C-BE32-E72D297353CC}">
              <c16:uniqueId val="{00000007-E62A-43A5-954F-DC3F0A410124}"/>
            </c:ext>
          </c:extLst>
        </c:ser>
        <c:dLbls>
          <c:showLegendKey val="0"/>
          <c:showVal val="0"/>
          <c:showCatName val="0"/>
          <c:showSerName val="0"/>
          <c:showPercent val="0"/>
          <c:showBubbleSize val="0"/>
        </c:dLbls>
        <c:marker val="1"/>
        <c:smooth val="0"/>
        <c:axId val="115502464"/>
        <c:axId val="115504256"/>
      </c:lineChart>
      <c:catAx>
        <c:axId val="115502464"/>
        <c:scaling>
          <c:orientation val="minMax"/>
        </c:scaling>
        <c:delete val="0"/>
        <c:axPos val="b"/>
        <c:numFmt formatCode="General" sourceLinked="0"/>
        <c:majorTickMark val="none"/>
        <c:minorTickMark val="none"/>
        <c:tickLblPos val="nextTo"/>
        <c:crossAx val="115504256"/>
        <c:crosses val="autoZero"/>
        <c:auto val="1"/>
        <c:lblAlgn val="ctr"/>
        <c:lblOffset val="100"/>
        <c:noMultiLvlLbl val="0"/>
      </c:catAx>
      <c:valAx>
        <c:axId val="115504256"/>
        <c:scaling>
          <c:orientation val="minMax"/>
        </c:scaling>
        <c:delete val="0"/>
        <c:axPos val="l"/>
        <c:majorGridlines/>
        <c:title>
          <c:tx>
            <c:rich>
              <a:bodyPr rot="-5400000" vert="horz"/>
              <a:lstStyle/>
              <a:p>
                <a:pPr>
                  <a:defRPr/>
                </a:pPr>
                <a:r>
                  <a:rPr lang="en-AU"/>
                  <a:t>Patients per 1,000 population (age adjusted)</a:t>
                </a:r>
              </a:p>
            </c:rich>
          </c:tx>
          <c:layout>
            <c:manualLayout>
              <c:xMode val="edge"/>
              <c:yMode val="edge"/>
              <c:x val="1.8431982537510716E-2"/>
              <c:y val="0.13853558910231761"/>
            </c:manualLayout>
          </c:layout>
          <c:overlay val="0"/>
        </c:title>
        <c:numFmt formatCode="General" sourceLinked="1"/>
        <c:majorTickMark val="none"/>
        <c:minorTickMark val="none"/>
        <c:tickLblPos val="nextTo"/>
        <c:crossAx val="115502464"/>
        <c:crosses val="autoZero"/>
        <c:crossBetween val="between"/>
      </c:valAx>
    </c:plotArea>
    <c:legend>
      <c:legendPos val="r"/>
      <c:layout/>
      <c:overlay val="0"/>
    </c:legend>
    <c:plotVisOnly val="1"/>
    <c:dispBlanksAs val="gap"/>
    <c:showDLblsOverMax val="0"/>
  </c:chart>
  <c:externalData r:id="rId2">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0.67506</cdr:x>
      <cdr:y>0.03641</cdr:y>
    </cdr:from>
    <cdr:to>
      <cdr:x>0.67729</cdr:x>
      <cdr:y>0.72571</cdr:y>
    </cdr:to>
    <cdr:cxnSp macro="">
      <cdr:nvCxnSpPr>
        <cdr:cNvPr id="3" name="Straight Connector 2" title="Figure 1: Patients initiating and prevalent to osteoporosis therapy by year of initiation"/>
        <cdr:cNvCxnSpPr/>
      </cdr:nvCxnSpPr>
      <cdr:spPr>
        <a:xfrm xmlns:a="http://schemas.openxmlformats.org/drawingml/2006/main" flipH="1">
          <a:off x="3839532" y="134846"/>
          <a:ext cx="12683" cy="2552698"/>
        </a:xfrm>
        <a:prstGeom xmlns:a="http://schemas.openxmlformats.org/drawingml/2006/main" prst="line">
          <a:avLst/>
        </a:prstGeom>
        <a:ln xmlns:a="http://schemas.openxmlformats.org/drawingml/2006/main" w="1270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DE07A-1556-4BAC-824C-93BCBD507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12717</Words>
  <Characters>72489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2017-02-19T22:28:00Z</dcterms:created>
  <dcterms:modified xsi:type="dcterms:W3CDTF">2017-02-21T22:22:00Z</dcterms:modified>
</cp:coreProperties>
</file>