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324" w:rsidRDefault="00736A98" w:rsidP="00F73113">
      <w:pPr>
        <w:pStyle w:val="Title"/>
      </w:pPr>
      <w:bookmarkStart w:id="0" w:name="_GoBack"/>
      <w:bookmarkEnd w:id="0"/>
      <w:r>
        <w:t>M</w:t>
      </w:r>
      <w:r w:rsidRPr="00736A98">
        <w:t>ifepristone and misoprostol</w:t>
      </w:r>
      <w:r w:rsidR="001C4016">
        <w:t xml:space="preserve">: </w:t>
      </w:r>
      <w:r w:rsidR="00E81CAE">
        <w:t xml:space="preserve">predicted versus actual </w:t>
      </w:r>
      <w:r w:rsidR="001C4016">
        <w:t>a</w:t>
      </w:r>
      <w:r w:rsidR="00E81CAE">
        <w:t>nalysis</w:t>
      </w:r>
    </w:p>
    <w:p w:rsidR="00736041" w:rsidRDefault="009053D3" w:rsidP="00F73113">
      <w:pPr>
        <w:pStyle w:val="Title2"/>
      </w:pPr>
      <w:r>
        <w:t>D</w:t>
      </w:r>
      <w:r w:rsidR="00832324" w:rsidRPr="0063631C">
        <w:t xml:space="preserve">rug utilisation sub-committee </w:t>
      </w:r>
      <w:r w:rsidR="00832324">
        <w:t>(DUSC)</w:t>
      </w:r>
    </w:p>
    <w:p w:rsidR="009053D3" w:rsidRPr="00F73113" w:rsidRDefault="00E81CAE" w:rsidP="00F73113">
      <w:pPr>
        <w:pStyle w:val="Meetingdate"/>
      </w:pPr>
      <w:r>
        <w:t>September</w:t>
      </w:r>
      <w:r w:rsidR="00736A98">
        <w:t xml:space="preserve"> 2016</w:t>
      </w:r>
    </w:p>
    <w:p w:rsidR="005C6661" w:rsidRPr="00CF5E22" w:rsidRDefault="005C6661" w:rsidP="00CF5E22">
      <w:pPr>
        <w:pStyle w:val="Heading2"/>
      </w:pPr>
      <w:r w:rsidRPr="00CF5E22">
        <w:t>Abstract</w:t>
      </w:r>
    </w:p>
    <w:p w:rsidR="005C6661" w:rsidRPr="00CF5E22" w:rsidRDefault="005C6661" w:rsidP="00CF5E22">
      <w:pPr>
        <w:pStyle w:val="Heading3"/>
      </w:pPr>
      <w:r w:rsidRPr="00CF5E22">
        <w:t>Purpose</w:t>
      </w:r>
    </w:p>
    <w:p w:rsidR="005A1C92" w:rsidRDefault="005A1C92" w:rsidP="005A1C92">
      <w:r>
        <w:t xml:space="preserve">To </w:t>
      </w:r>
      <w:r w:rsidR="009450F7">
        <w:t xml:space="preserve">compare the predicted and actual use of </w:t>
      </w:r>
      <w:r w:rsidR="009450F7" w:rsidRPr="009450F7">
        <w:t>mifepristone and misopr</w:t>
      </w:r>
      <w:r w:rsidR="009450F7">
        <w:t>o</w:t>
      </w:r>
      <w:r w:rsidR="009450F7" w:rsidRPr="009450F7">
        <w:t>stol</w:t>
      </w:r>
      <w:r w:rsidR="009450F7">
        <w:t xml:space="preserve"> supplied through the PBS for medical termination of pregnancy (MTOP).  </w:t>
      </w:r>
    </w:p>
    <w:p w:rsidR="002D144A" w:rsidRDefault="009450F7" w:rsidP="00CF5E22">
      <w:pPr>
        <w:pStyle w:val="Heading3"/>
      </w:pPr>
      <w:r>
        <w:t>L</w:t>
      </w:r>
      <w:r w:rsidR="002D144A">
        <w:t>isting on the P</w:t>
      </w:r>
      <w:r w:rsidR="00A95FA5">
        <w:t xml:space="preserve">harmaceutical </w:t>
      </w:r>
      <w:r w:rsidR="002D144A">
        <w:t>B</w:t>
      </w:r>
      <w:r w:rsidR="00A95FA5">
        <w:t xml:space="preserve">enefits </w:t>
      </w:r>
      <w:r w:rsidR="002D144A">
        <w:t>S</w:t>
      </w:r>
      <w:r w:rsidR="00A95FA5">
        <w:t>cheme (PBS)</w:t>
      </w:r>
    </w:p>
    <w:p w:rsidR="007C6EF3" w:rsidRDefault="005A1C92" w:rsidP="005A1C92">
      <w:r>
        <w:t xml:space="preserve">Mifepristone and </w:t>
      </w:r>
      <w:r w:rsidRPr="00B55D2D">
        <w:t>misoprostol</w:t>
      </w:r>
      <w:r>
        <w:t xml:space="preserve"> were PBS listed for the termination of an intra-uterine pregnancy on 1 August 2013.</w:t>
      </w:r>
    </w:p>
    <w:p w:rsidR="005A1C92" w:rsidRDefault="007C6EF3" w:rsidP="005A1C92">
      <w:r>
        <w:t xml:space="preserve">When recommending this listing the Pharmaceutical Benefits Advisory Committee (PBAC) considered that mifepristone and misoprostol for </w:t>
      </w:r>
      <w:r w:rsidRPr="007C6EF3">
        <w:t>MTOP allows choice for women who have decided to undergo a termination and its availability through the PBS was considered unlikely to result in an increase in overall terminations of pregnancy.</w:t>
      </w:r>
    </w:p>
    <w:p w:rsidR="005C6661" w:rsidRDefault="005C6661" w:rsidP="00CF5E22">
      <w:pPr>
        <w:pStyle w:val="Heading3"/>
      </w:pPr>
      <w:r>
        <w:t>Data Source / methodology</w:t>
      </w:r>
    </w:p>
    <w:p w:rsidR="005316E2" w:rsidRDefault="009450F7" w:rsidP="005C6661">
      <w:pPr>
        <w:pStyle w:val="NoSpacing"/>
        <w:rPr>
          <w:highlight w:val="yellow"/>
        </w:rPr>
      </w:pPr>
      <w:r>
        <w:t>T</w:t>
      </w:r>
      <w:r w:rsidR="005316E2">
        <w:t xml:space="preserve">he number of MTOPs </w:t>
      </w:r>
      <w:r>
        <w:t xml:space="preserve">based on </w:t>
      </w:r>
      <w:r w:rsidR="006C3A13">
        <w:t xml:space="preserve">PBS </w:t>
      </w:r>
      <w:r>
        <w:t xml:space="preserve">claims of mifepristone and misoprostol </w:t>
      </w:r>
      <w:r w:rsidR="005316E2">
        <w:t xml:space="preserve">was sourced from the </w:t>
      </w:r>
      <w:r w:rsidR="005316E2" w:rsidRPr="00B421D5">
        <w:t xml:space="preserve">Department of Human Services (DHS) date of </w:t>
      </w:r>
      <w:r w:rsidR="005316E2" w:rsidRPr="0044607C">
        <w:t xml:space="preserve">supply data. </w:t>
      </w:r>
      <w:r>
        <w:t>T</w:t>
      </w:r>
      <w:r w:rsidR="005316E2" w:rsidRPr="0044607C">
        <w:t xml:space="preserve">he number of surgical terminations of pregnancy (STOPs) in the private sector was </w:t>
      </w:r>
      <w:r>
        <w:t>estimated</w:t>
      </w:r>
      <w:r w:rsidR="005316E2" w:rsidRPr="005316E2">
        <w:t xml:space="preserve"> from publicly available DHS Medicare statistics data</w:t>
      </w:r>
      <w:r w:rsidR="005316E2">
        <w:t xml:space="preserve">. </w:t>
      </w:r>
      <w:r>
        <w:t>T</w:t>
      </w:r>
      <w:r w:rsidR="005316E2">
        <w:t xml:space="preserve">he number of STOPs in the public sector was </w:t>
      </w:r>
      <w:r>
        <w:t>estimated</w:t>
      </w:r>
      <w:r w:rsidR="005316E2">
        <w:t xml:space="preserve"> from</w:t>
      </w:r>
      <w:r w:rsidR="005316E2" w:rsidRPr="009640C0">
        <w:t xml:space="preserve"> </w:t>
      </w:r>
      <w:r w:rsidR="005316E2" w:rsidRPr="006E45BC">
        <w:t xml:space="preserve">Activity Based Funding (ABF) Cost Weights that </w:t>
      </w:r>
      <w:r w:rsidR="005316E2">
        <w:t>estimate the number of hospital separations.</w:t>
      </w:r>
    </w:p>
    <w:p w:rsidR="005C6661" w:rsidRDefault="005C6661" w:rsidP="00CF5E22">
      <w:pPr>
        <w:pStyle w:val="Heading3"/>
      </w:pPr>
      <w:r>
        <w:t>Key Findings</w:t>
      </w:r>
    </w:p>
    <w:p w:rsidR="001A382F" w:rsidRDefault="006C3A13" w:rsidP="001F4BB4">
      <w:pPr>
        <w:pStyle w:val="ListParagraph"/>
        <w:numPr>
          <w:ilvl w:val="0"/>
          <w:numId w:val="4"/>
        </w:numPr>
      </w:pPr>
      <w:r>
        <w:t>The proportion of TOP</w:t>
      </w:r>
      <w:r w:rsidR="00655760">
        <w:t>s</w:t>
      </w:r>
      <w:r>
        <w:t xml:space="preserve"> undertaken by </w:t>
      </w:r>
      <w:r w:rsidR="00F90FFB">
        <w:t xml:space="preserve">the </w:t>
      </w:r>
      <w:r>
        <w:t xml:space="preserve">medical method has been lower than </w:t>
      </w:r>
      <w:r w:rsidR="001F4BB4">
        <w:t>predicted</w:t>
      </w:r>
      <w:r>
        <w:t>.</w:t>
      </w:r>
    </w:p>
    <w:p w:rsidR="001A382F" w:rsidRPr="00807043" w:rsidRDefault="001A382F" w:rsidP="001A382F">
      <w:pPr>
        <w:pStyle w:val="ListParagraph"/>
        <w:numPr>
          <w:ilvl w:val="0"/>
          <w:numId w:val="4"/>
        </w:numPr>
      </w:pPr>
      <w:r w:rsidRPr="00807043">
        <w:t>Data available to date suggest</w:t>
      </w:r>
      <w:r w:rsidR="00545D23" w:rsidRPr="00807043">
        <w:t>s</w:t>
      </w:r>
      <w:r w:rsidRPr="00807043">
        <w:t xml:space="preserve"> the introduction of mifepristone and misoprostol on the PBS has not increased the number of TOPs in Australia per year. </w:t>
      </w:r>
    </w:p>
    <w:p w:rsidR="00206405" w:rsidRPr="00CE045A" w:rsidRDefault="00206405" w:rsidP="001A382F">
      <w:pPr>
        <w:ind w:left="360"/>
      </w:pPr>
    </w:p>
    <w:p w:rsidR="00BB0D1A" w:rsidRDefault="00BB0D1A">
      <w:pPr>
        <w:spacing w:line="276" w:lineRule="auto"/>
        <w:rPr>
          <w:rFonts w:eastAsiaTheme="majorEastAsia" w:cstheme="majorBidi"/>
          <w:b/>
          <w:bCs/>
          <w:sz w:val="32"/>
          <w:szCs w:val="26"/>
        </w:rPr>
      </w:pPr>
      <w:r>
        <w:br w:type="page"/>
      </w:r>
    </w:p>
    <w:p w:rsidR="00E677DD" w:rsidRPr="00CF5E22" w:rsidRDefault="00E677DD" w:rsidP="00CF5E22">
      <w:pPr>
        <w:pStyle w:val="Heading1"/>
      </w:pPr>
      <w:r w:rsidRPr="00CF5E22">
        <w:lastRenderedPageBreak/>
        <w:t xml:space="preserve">Purpose of </w:t>
      </w:r>
      <w:r w:rsidR="00D151EB" w:rsidRPr="00CF5E22">
        <w:t>analysis</w:t>
      </w:r>
    </w:p>
    <w:p w:rsidR="006C3A13" w:rsidRDefault="006C3A13" w:rsidP="006C3A13">
      <w:r>
        <w:t xml:space="preserve">To compare the predicted and actual use of </w:t>
      </w:r>
      <w:r w:rsidRPr="009450F7">
        <w:t>mifepristone and misopr</w:t>
      </w:r>
      <w:r>
        <w:t>o</w:t>
      </w:r>
      <w:r w:rsidRPr="009450F7">
        <w:t>stol</w:t>
      </w:r>
      <w:r>
        <w:t xml:space="preserve"> supplied through the PBS for medical termination of pregnancy (MTOP).  </w:t>
      </w:r>
    </w:p>
    <w:p w:rsidR="006537D9" w:rsidRDefault="00736041" w:rsidP="00CF5E22">
      <w:pPr>
        <w:pStyle w:val="Heading1"/>
      </w:pPr>
      <w:r w:rsidRPr="005E22C2">
        <w:t>Background</w:t>
      </w:r>
    </w:p>
    <w:p w:rsidR="006B709B" w:rsidRDefault="000F64A1" w:rsidP="00CF5E22">
      <w:pPr>
        <w:pStyle w:val="Heading2"/>
      </w:pPr>
      <w:r>
        <w:t>Pharmacology, d</w:t>
      </w:r>
      <w:r w:rsidR="006B709B">
        <w:t>osage and administration</w:t>
      </w:r>
    </w:p>
    <w:p w:rsidR="007C6EF3" w:rsidRDefault="007C6EF3" w:rsidP="007C6EF3">
      <w:r>
        <w:t>Mifepristone acts by blocking the effects of progesterone, a hormone needed for pregnancy to continue. Mifepristone can therefore be used to terminate a pregnancy. It is given in combination with misoprostol, a prostaglandin analogue that induces contractions of the smooth muscle and relaxation of the cervix.  These properties help open the cervix and push out the contents of the uterus. It is necessary to take the mifepristone tablet first and then 36-48 hours later take the misoprostol tablets.</w:t>
      </w:r>
      <w:r w:rsidRPr="007C6EF3">
        <w:rPr>
          <w:rStyle w:val="FootnoteReference"/>
        </w:rPr>
        <w:footnoteReference w:id="1"/>
      </w:r>
    </w:p>
    <w:p w:rsidR="007C6EF3" w:rsidRDefault="007C6EF3" w:rsidP="007C6EF3">
      <w:r>
        <w:t>Mifepristone can also be used for preparation for the action of registered prostaglandin analogues that are indicated for the termination of pregnancy for medical reasons beyond the first trimester</w:t>
      </w:r>
      <w:r w:rsidR="00655760">
        <w:t>.</w:t>
      </w:r>
      <w:r w:rsidR="009242D4">
        <w:rPr>
          <w:rStyle w:val="FootnoteReference"/>
        </w:rPr>
        <w:footnoteReference w:id="2"/>
      </w:r>
      <w:r>
        <w:t xml:space="preserve"> Misoprostol can also be used for treatment and prevention of some gastric and duodenal ulcers</w:t>
      </w:r>
      <w:r w:rsidR="00655760">
        <w:t>.</w:t>
      </w:r>
      <w:r w:rsidR="009242D4">
        <w:rPr>
          <w:rStyle w:val="FootnoteReference"/>
        </w:rPr>
        <w:footnoteReference w:id="3"/>
      </w:r>
      <w:r>
        <w:t xml:space="preserve"> </w:t>
      </w:r>
      <w:r w:rsidR="000F64A1">
        <w:t>Use</w:t>
      </w:r>
      <w:r>
        <w:t xml:space="preserve"> for these indications</w:t>
      </w:r>
      <w:r w:rsidR="000F64A1">
        <w:t xml:space="preserve"> is</w:t>
      </w:r>
      <w:r>
        <w:t xml:space="preserve"> beyond the scope of this review.</w:t>
      </w:r>
    </w:p>
    <w:p w:rsidR="00F17D4B" w:rsidRPr="002F61CA" w:rsidRDefault="00F17D4B" w:rsidP="00F17D4B">
      <w:r w:rsidRPr="002F61CA">
        <w:t xml:space="preserve">The current Product Information (PI) and Consumer Medicine Information (CMI) are available from </w:t>
      </w:r>
      <w:r w:rsidRPr="00CA71F6">
        <w:t>the TGA (Product Information)</w:t>
      </w:r>
      <w:r>
        <w:t xml:space="preserve"> and </w:t>
      </w:r>
      <w:r w:rsidRPr="00CA71F6">
        <w:t>the TGA (Consumer Medicines Information)</w:t>
      </w:r>
      <w:r>
        <w:t>.</w:t>
      </w:r>
    </w:p>
    <w:p w:rsidR="00DF0B13" w:rsidRPr="007247B9" w:rsidRDefault="00DF0B13" w:rsidP="00CF5E22">
      <w:pPr>
        <w:pStyle w:val="Heading2"/>
      </w:pPr>
      <w:r w:rsidRPr="007247B9">
        <w:t>PBS listing details</w:t>
      </w:r>
      <w:r w:rsidR="00D151EB">
        <w:t xml:space="preserve"> (as at </w:t>
      </w:r>
      <w:r w:rsidR="00077717">
        <w:t>August</w:t>
      </w:r>
      <w:r w:rsidR="00B55D2D">
        <w:t xml:space="preserve"> 2016)</w:t>
      </w:r>
    </w:p>
    <w:p w:rsidR="001420B3" w:rsidRPr="001420B3" w:rsidRDefault="001420B3" w:rsidP="00CF5E22">
      <w:pPr>
        <w:pStyle w:val="Tabletitle"/>
      </w:pPr>
      <w:r w:rsidRPr="001420B3">
        <w:t xml:space="preserve">Table </w:t>
      </w:r>
      <w:r w:rsidR="000F64A1">
        <w:t>1</w:t>
      </w:r>
      <w:r w:rsidRPr="001420B3">
        <w:t xml:space="preserve">: </w:t>
      </w:r>
      <w:r w:rsidR="009663B6">
        <w:t>PB</w:t>
      </w:r>
      <w:r w:rsidR="00B55D2D">
        <w:t>S listing of mifepristone and misoprostol</w:t>
      </w:r>
    </w:p>
    <w:tbl>
      <w:tblPr>
        <w:tblStyle w:val="TableGrid"/>
        <w:tblW w:w="9064" w:type="dxa"/>
        <w:tblLayout w:type="fixed"/>
        <w:tblLook w:val="04A0" w:firstRow="1" w:lastRow="0" w:firstColumn="1" w:lastColumn="0" w:noHBand="0" w:noVBand="1"/>
        <w:tblCaption w:val="PBS listing of mifepristone and misoprostol"/>
        <w:tblDescription w:val="one pack of one mifepristone 200 mg tablet and four misoprostol 200 microgram tablets was listed at a DPMQ of $311.26 using the brand name MS-2 Step&#10;"/>
      </w:tblPr>
      <w:tblGrid>
        <w:gridCol w:w="969"/>
        <w:gridCol w:w="2400"/>
        <w:gridCol w:w="1701"/>
        <w:gridCol w:w="850"/>
        <w:gridCol w:w="1040"/>
        <w:gridCol w:w="2104"/>
      </w:tblGrid>
      <w:tr w:rsidR="0093111F" w:rsidRPr="00A35800" w:rsidTr="0093111F">
        <w:trPr>
          <w:trHeight w:val="694"/>
          <w:tblHeader/>
        </w:trPr>
        <w:tc>
          <w:tcPr>
            <w:tcW w:w="969"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Item</w:t>
            </w:r>
          </w:p>
        </w:tc>
        <w:tc>
          <w:tcPr>
            <w:tcW w:w="2400"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Name, form &amp; strength, pack size</w:t>
            </w:r>
          </w:p>
        </w:tc>
        <w:tc>
          <w:tcPr>
            <w:tcW w:w="1701"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Max</w:t>
            </w:r>
            <w:r w:rsidR="00A13C60" w:rsidRPr="00A35800">
              <w:rPr>
                <w:sz w:val="20"/>
                <w:szCs w:val="20"/>
              </w:rPr>
              <w:t xml:space="preserve">. </w:t>
            </w:r>
            <w:r w:rsidRPr="00A35800">
              <w:rPr>
                <w:sz w:val="20"/>
                <w:szCs w:val="20"/>
              </w:rPr>
              <w:t xml:space="preserve">quant. </w:t>
            </w:r>
          </w:p>
        </w:tc>
        <w:tc>
          <w:tcPr>
            <w:tcW w:w="850" w:type="dxa"/>
            <w:shd w:val="clear" w:color="auto" w:fill="BFBFBF" w:themeFill="background1" w:themeFillShade="BF"/>
          </w:tcPr>
          <w:p w:rsidR="0093111F" w:rsidRPr="00A35800" w:rsidRDefault="0093111F" w:rsidP="00A35800">
            <w:pPr>
              <w:pStyle w:val="Tableheading"/>
              <w:rPr>
                <w:sz w:val="20"/>
                <w:szCs w:val="20"/>
              </w:rPr>
            </w:pPr>
            <w:proofErr w:type="spellStart"/>
            <w:r w:rsidRPr="00A35800">
              <w:rPr>
                <w:sz w:val="20"/>
                <w:szCs w:val="20"/>
              </w:rPr>
              <w:t>Rpts</w:t>
            </w:r>
            <w:proofErr w:type="spellEnd"/>
            <w:r w:rsidRPr="00A35800">
              <w:rPr>
                <w:sz w:val="20"/>
                <w:szCs w:val="20"/>
              </w:rPr>
              <w:t xml:space="preserve"> </w:t>
            </w:r>
          </w:p>
        </w:tc>
        <w:tc>
          <w:tcPr>
            <w:tcW w:w="1040"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DPMQ</w:t>
            </w:r>
          </w:p>
        </w:tc>
        <w:tc>
          <w:tcPr>
            <w:tcW w:w="2104"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Brand name and manufacturer</w:t>
            </w:r>
          </w:p>
        </w:tc>
      </w:tr>
      <w:tr w:rsidR="0093111F" w:rsidRPr="00A35800" w:rsidTr="0093111F">
        <w:trPr>
          <w:trHeight w:val="552"/>
          <w:tblHeader/>
        </w:trPr>
        <w:tc>
          <w:tcPr>
            <w:tcW w:w="969" w:type="dxa"/>
            <w:shd w:val="clear" w:color="auto" w:fill="auto"/>
          </w:tcPr>
          <w:p w:rsidR="0093111F" w:rsidRPr="00A35800" w:rsidRDefault="00B55D2D" w:rsidP="00A35800">
            <w:pPr>
              <w:pStyle w:val="Tablewriting"/>
            </w:pPr>
            <w:r>
              <w:t>10211K</w:t>
            </w:r>
          </w:p>
        </w:tc>
        <w:tc>
          <w:tcPr>
            <w:tcW w:w="2400" w:type="dxa"/>
            <w:shd w:val="clear" w:color="auto" w:fill="auto"/>
          </w:tcPr>
          <w:p w:rsidR="00B55D2D" w:rsidRDefault="00B55D2D" w:rsidP="00B55D2D">
            <w:pPr>
              <w:pStyle w:val="Tablewriting"/>
            </w:pPr>
            <w:r>
              <w:t>MIFEPRISTONE (&amp;) MISOPROSTOL</w:t>
            </w:r>
          </w:p>
          <w:p w:rsidR="0093111F" w:rsidRPr="00A35800" w:rsidRDefault="00B55D2D" w:rsidP="00B55D2D">
            <w:pPr>
              <w:pStyle w:val="Tablewriting"/>
            </w:pPr>
            <w:r>
              <w:t>mifepristone 200 mg tablet [1] (&amp;) misoprostol 200 microgram tablet [4], 1 pack</w:t>
            </w:r>
          </w:p>
        </w:tc>
        <w:tc>
          <w:tcPr>
            <w:tcW w:w="1701" w:type="dxa"/>
            <w:shd w:val="clear" w:color="auto" w:fill="auto"/>
          </w:tcPr>
          <w:p w:rsidR="0093111F" w:rsidRPr="00A35800" w:rsidRDefault="00B55D2D" w:rsidP="00A35800">
            <w:pPr>
              <w:pStyle w:val="Tablewriting"/>
            </w:pPr>
            <w:r>
              <w:t>1</w:t>
            </w:r>
          </w:p>
        </w:tc>
        <w:tc>
          <w:tcPr>
            <w:tcW w:w="850" w:type="dxa"/>
            <w:shd w:val="clear" w:color="auto" w:fill="auto"/>
          </w:tcPr>
          <w:p w:rsidR="0093111F" w:rsidRPr="00A35800" w:rsidRDefault="00B55D2D" w:rsidP="00A35800">
            <w:pPr>
              <w:pStyle w:val="Tablewriting"/>
            </w:pPr>
            <w:r>
              <w:t>0</w:t>
            </w:r>
          </w:p>
        </w:tc>
        <w:tc>
          <w:tcPr>
            <w:tcW w:w="1040" w:type="dxa"/>
            <w:shd w:val="clear" w:color="auto" w:fill="auto"/>
          </w:tcPr>
          <w:p w:rsidR="0093111F" w:rsidRPr="00A35800" w:rsidRDefault="00077717" w:rsidP="00A35800">
            <w:pPr>
              <w:pStyle w:val="Tablewriting"/>
            </w:pPr>
            <w:r>
              <w:t>$311.26</w:t>
            </w:r>
          </w:p>
        </w:tc>
        <w:tc>
          <w:tcPr>
            <w:tcW w:w="2104" w:type="dxa"/>
            <w:shd w:val="clear" w:color="auto" w:fill="auto"/>
          </w:tcPr>
          <w:p w:rsidR="0093111F" w:rsidRPr="00A35800" w:rsidRDefault="00B55D2D" w:rsidP="00A35800">
            <w:pPr>
              <w:pStyle w:val="Tablewriting"/>
            </w:pPr>
            <w:r>
              <w:t>MS-2 Step</w:t>
            </w:r>
          </w:p>
        </w:tc>
      </w:tr>
    </w:tbl>
    <w:p w:rsidR="00112A28" w:rsidRDefault="007408C7" w:rsidP="0088088C">
      <w:pPr>
        <w:pStyle w:val="Notes"/>
      </w:pPr>
      <w:r w:rsidRPr="00A35800">
        <w:t xml:space="preserve">Source: </w:t>
      </w:r>
      <w:r w:rsidR="001624D7">
        <w:t xml:space="preserve">the </w:t>
      </w:r>
      <w:r w:rsidR="001624D7" w:rsidRPr="00CA71F6">
        <w:t>PBS website</w:t>
      </w:r>
      <w:r w:rsidR="001624D7">
        <w:t>.</w:t>
      </w:r>
    </w:p>
    <w:p w:rsidR="004C3186" w:rsidRDefault="00254D81" w:rsidP="002A4064">
      <w:pPr>
        <w:pStyle w:val="Heading3"/>
        <w:keepNext/>
      </w:pPr>
      <w:r>
        <w:lastRenderedPageBreak/>
        <w:t xml:space="preserve">Current </w:t>
      </w:r>
      <w:r w:rsidR="004C3186">
        <w:t>Restriction</w:t>
      </w:r>
    </w:p>
    <w:p w:rsidR="00B55D2D" w:rsidRPr="00B55D2D" w:rsidRDefault="00B55D2D" w:rsidP="00B55D2D">
      <w:r>
        <w:t xml:space="preserve">Mifepristone and </w:t>
      </w:r>
      <w:r w:rsidRPr="00B55D2D">
        <w:t>misoprostol</w:t>
      </w:r>
      <w:r>
        <w:t xml:space="preserve"> are supplied through the PBS in a composite pack under the brand name </w:t>
      </w:r>
      <w:r w:rsidRPr="00B55D2D">
        <w:t>MS-2 Step</w:t>
      </w:r>
      <w:r>
        <w:t xml:space="preserve">. MS-2 Step is PBS listed under an Authority </w:t>
      </w:r>
      <w:proofErr w:type="gramStart"/>
      <w:r>
        <w:t>Required</w:t>
      </w:r>
      <w:proofErr w:type="gramEnd"/>
      <w:r>
        <w:t xml:space="preserve"> listing for termination of an intra-uterine pregnancy of up to 63 days of gestation. Patients must be treated by a prescriber who is registered with the MS 2 Step Prescribing Program.</w:t>
      </w:r>
    </w:p>
    <w:p w:rsidR="006775F1" w:rsidRPr="006775F1" w:rsidRDefault="006775F1" w:rsidP="00A35800">
      <w:r w:rsidRPr="006775F1">
        <w:t xml:space="preserve">For </w:t>
      </w:r>
      <w:r w:rsidR="00835337">
        <w:t xml:space="preserve">details of the current PBS listing refer to the </w:t>
      </w:r>
      <w:r w:rsidR="00835337" w:rsidRPr="00CA71F6">
        <w:t>PBS website</w:t>
      </w:r>
      <w:r w:rsidR="00835337">
        <w:rPr>
          <w:rStyle w:val="Hyperlink"/>
        </w:rPr>
        <w:t>.</w:t>
      </w:r>
    </w:p>
    <w:p w:rsidR="009C35F2" w:rsidRDefault="009C35F2" w:rsidP="00CF5E22">
      <w:pPr>
        <w:pStyle w:val="Heading3"/>
      </w:pPr>
      <w:r w:rsidRPr="00675BB1">
        <w:t xml:space="preserve">Date of </w:t>
      </w:r>
      <w:r w:rsidR="00254D81">
        <w:t xml:space="preserve">first </w:t>
      </w:r>
      <w:r w:rsidRPr="00675BB1">
        <w:t>listing on PBS</w:t>
      </w:r>
    </w:p>
    <w:p w:rsidR="00463667" w:rsidRPr="00463667" w:rsidRDefault="00463667" w:rsidP="00463667">
      <w:r>
        <w:t xml:space="preserve">Mifepristone and </w:t>
      </w:r>
      <w:r w:rsidRPr="00B55D2D">
        <w:t>misoprostol</w:t>
      </w:r>
      <w:r>
        <w:t xml:space="preserve"> were PBS listed for the termination of an intra-uterine pregnancy </w:t>
      </w:r>
      <w:r w:rsidR="002A15CB">
        <w:t>of up to 49 days of gestation</w:t>
      </w:r>
      <w:r w:rsidR="002A15CB" w:rsidRPr="002A15CB">
        <w:t xml:space="preserve"> </w:t>
      </w:r>
      <w:r>
        <w:t>on</w:t>
      </w:r>
      <w:r w:rsidR="001E2C2C">
        <w:t xml:space="preserve"> 1 August 2013.</w:t>
      </w:r>
    </w:p>
    <w:p w:rsidR="00675BB1" w:rsidRPr="00675BB1" w:rsidRDefault="00675BB1" w:rsidP="00CF5E22">
      <w:pPr>
        <w:pStyle w:val="Heading3"/>
      </w:pPr>
      <w:r w:rsidRPr="00675BB1">
        <w:t>Changes to listing</w:t>
      </w:r>
    </w:p>
    <w:p w:rsidR="00254D81" w:rsidRDefault="00254D81" w:rsidP="00BF544D">
      <w:r w:rsidRPr="00254D81">
        <w:t>From August 2013 to March 2015 mifepristone and misoprostol were listed as separate PBS items. From February 2015 mifepristone and misoprostol were listed as a composite pack, for the termination of an intra-uterine pregnancy.</w:t>
      </w:r>
      <w:r w:rsidR="00F90FFB">
        <w:t xml:space="preserve"> The listing was also extended from 49 to up to 63 days</w:t>
      </w:r>
      <w:r w:rsidR="00F90FFB" w:rsidRPr="00F90FFB">
        <w:t xml:space="preserve"> </w:t>
      </w:r>
      <w:r w:rsidR="00F90FFB">
        <w:t>of gestation.</w:t>
      </w:r>
      <w:r w:rsidRPr="00254D81">
        <w:t xml:space="preserve"> The individual items were delisted </w:t>
      </w:r>
      <w:r w:rsidR="00655760">
        <w:t xml:space="preserve">from </w:t>
      </w:r>
      <w:r w:rsidRPr="00254D81">
        <w:t>April</w:t>
      </w:r>
      <w:r>
        <w:t> </w:t>
      </w:r>
      <w:r w:rsidRPr="00254D81">
        <w:t>2015.</w:t>
      </w:r>
    </w:p>
    <w:p w:rsidR="00463667" w:rsidRDefault="001E2C2C" w:rsidP="00BF544D">
      <w:r>
        <w:t xml:space="preserve">Prior to 1 August 2013, misoprostol was listed for the treatment of patients with peptic ulcer disease, duodenal ulcer and gastric ulcer. Due to the statutory price reduction </w:t>
      </w:r>
      <w:r w:rsidR="00155ABF">
        <w:t>triggered by the listing of</w:t>
      </w:r>
      <w:r>
        <w:t xml:space="preserve"> </w:t>
      </w:r>
      <w:r w:rsidR="00155ABF">
        <w:t>the new brand of misoprostol, the original brand was delisted.</w:t>
      </w:r>
    </w:p>
    <w:p w:rsidR="00BF544D" w:rsidRPr="002F61CA" w:rsidRDefault="00BF544D" w:rsidP="00BF544D">
      <w:r w:rsidRPr="002F61CA">
        <w:t xml:space="preserve">Current PBS listing details are available from </w:t>
      </w:r>
      <w:r>
        <w:t xml:space="preserve">the </w:t>
      </w:r>
      <w:r w:rsidRPr="00CA71F6">
        <w:t>PBS website</w:t>
      </w:r>
      <w:r>
        <w:t>.</w:t>
      </w:r>
    </w:p>
    <w:p w:rsidR="00736041" w:rsidRPr="005E22C2" w:rsidRDefault="00394AEE" w:rsidP="00CF5E22">
      <w:pPr>
        <w:pStyle w:val="Heading2"/>
      </w:pPr>
      <w:r>
        <w:t>Relevant aspects of</w:t>
      </w:r>
      <w:r w:rsidR="00736041" w:rsidRPr="005E22C2">
        <w:t xml:space="preserve"> consideration</w:t>
      </w:r>
      <w:r>
        <w:t xml:space="preserve"> by the Pharmaceutical Benefits Advisory Committee (PBAC)</w:t>
      </w:r>
    </w:p>
    <w:p w:rsidR="00E4527E" w:rsidRDefault="00E4527E" w:rsidP="00A35800">
      <w:r>
        <w:t>At its March 2013 meeting, t</w:t>
      </w:r>
      <w:r w:rsidRPr="00E4527E">
        <w:t>he PBAC recommended the listing of mifepristone and misoprostol for termination of an intra-uterine pregnancy of up to 49 days</w:t>
      </w:r>
      <w:r w:rsidR="002B45FD">
        <w:t>’</w:t>
      </w:r>
      <w:r w:rsidRPr="00E4527E">
        <w:t xml:space="preserve"> gestation on the premise of non-inferior effectiveness against </w:t>
      </w:r>
      <w:r>
        <w:t>surgical termination of pregnancy</w:t>
      </w:r>
      <w:r w:rsidRPr="00E4527E">
        <w:t>.</w:t>
      </w:r>
    </w:p>
    <w:p w:rsidR="00E4527E" w:rsidRDefault="00E4527E" w:rsidP="00A35800">
      <w:r w:rsidRPr="00E4527E">
        <w:t xml:space="preserve">The PBAC noted that in clinical practice, outlined in the clinical management algorithm, the decision between </w:t>
      </w:r>
      <w:r>
        <w:t>medical termination of pregnancy</w:t>
      </w:r>
      <w:r w:rsidRPr="00E4527E">
        <w:t xml:space="preserve"> and </w:t>
      </w:r>
      <w:r>
        <w:t>surgical termination of pregnancy</w:t>
      </w:r>
      <w:r w:rsidRPr="00E4527E">
        <w:t xml:space="preserve"> comes only after a woman has made the decision to undergo a termination. For this reason, the PBAC considered that the avai</w:t>
      </w:r>
      <w:r>
        <w:t>lability of mifepristone and misoprostol through the PBS wa</w:t>
      </w:r>
      <w:r w:rsidRPr="00E4527E">
        <w:t>s not likely to increase the overall number of procedures undertaken. This was supported by utilisation data from other countries.</w:t>
      </w:r>
    </w:p>
    <w:p w:rsidR="00E4527E" w:rsidRDefault="00E4527E" w:rsidP="00A35800">
      <w:pPr>
        <w:rPr>
          <w:highlight w:val="yellow"/>
        </w:rPr>
      </w:pPr>
      <w:r w:rsidRPr="00E4527E">
        <w:t xml:space="preserve">The results </w:t>
      </w:r>
      <w:r>
        <w:t xml:space="preserve">of the economic analysis </w:t>
      </w:r>
      <w:r w:rsidRPr="00E4527E">
        <w:t xml:space="preserve">showed that </w:t>
      </w:r>
      <w:r>
        <w:t>medical termination of pregnancy</w:t>
      </w:r>
      <w:r w:rsidRPr="00E4527E">
        <w:t xml:space="preserve"> </w:t>
      </w:r>
      <w:r>
        <w:t>was</w:t>
      </w:r>
      <w:r w:rsidRPr="00E4527E">
        <w:t xml:space="preserve"> less costly than </w:t>
      </w:r>
      <w:r>
        <w:t>surgical termination of pregnancy</w:t>
      </w:r>
      <w:r w:rsidRPr="00E4527E">
        <w:t xml:space="preserve"> to the whole of health budget (both Commonwealth and </w:t>
      </w:r>
      <w:r w:rsidR="00655760">
        <w:t>s</w:t>
      </w:r>
      <w:r w:rsidRPr="00E4527E">
        <w:t>tate hospital and community costs).</w:t>
      </w:r>
    </w:p>
    <w:p w:rsidR="00D94863" w:rsidRDefault="00D94863" w:rsidP="00D94863">
      <w:r>
        <w:t xml:space="preserve">For further details refer to </w:t>
      </w:r>
      <w:r w:rsidRPr="00F65F0D">
        <w:t xml:space="preserve">the </w:t>
      </w:r>
      <w:r w:rsidRPr="00CA71F6">
        <w:t>Public Summary Document</w:t>
      </w:r>
      <w:r>
        <w:t xml:space="preserve"> </w:t>
      </w:r>
      <w:r w:rsidRPr="00F65F0D">
        <w:t>from the</w:t>
      </w:r>
      <w:r w:rsidR="00E4527E">
        <w:t xml:space="preserve"> March 2013</w:t>
      </w:r>
      <w:r>
        <w:t xml:space="preserve"> PBAC meeting.</w:t>
      </w:r>
    </w:p>
    <w:p w:rsidR="00705A4B" w:rsidRDefault="00E9653A" w:rsidP="00E9653A">
      <w:r>
        <w:t>At its July 2014 meeting, the PBAC recommended the listing of a composite pack containing mifepristone and misoprostol for the termination of an intra-uterine pregnancy of up to 63</w:t>
      </w:r>
      <w:r w:rsidR="00F9782D">
        <w:t> </w:t>
      </w:r>
      <w:r>
        <w:t>days</w:t>
      </w:r>
      <w:r w:rsidR="002B45FD">
        <w:t>’</w:t>
      </w:r>
      <w:r>
        <w:t xml:space="preserve"> gestation</w:t>
      </w:r>
      <w:r w:rsidR="00DF5A2D">
        <w:t xml:space="preserve"> on the basis of non-inferior effectiveness against STOP, in line with the revised TGA-approved indication</w:t>
      </w:r>
      <w:r>
        <w:t>. The listing of the composite pack was intended to replace the listings of the components, with an amended restriction consistent with revised TGA indications.</w:t>
      </w:r>
      <w:r w:rsidR="00705A4B">
        <w:t xml:space="preserve"> </w:t>
      </w:r>
    </w:p>
    <w:p w:rsidR="00E9653A" w:rsidRDefault="00E9653A" w:rsidP="00E9653A">
      <w:r>
        <w:t>The submission re-presented the same estimates as in the March 2013 submission</w:t>
      </w:r>
      <w:r w:rsidR="00705A4B">
        <w:t>.</w:t>
      </w:r>
    </w:p>
    <w:p w:rsidR="00DF5A2D" w:rsidRDefault="00DF5A2D" w:rsidP="00DF5A2D">
      <w:r>
        <w:t>The PBAC noted that the utilisation of mifepristone and misoprostol ha</w:t>
      </w:r>
      <w:r w:rsidR="007D2845">
        <w:t>d</w:t>
      </w:r>
      <w:r>
        <w:t xml:space="preserve"> been lower than expected since PBS listing on 1 August 2013. The PBAC noted the sponsor’s claim that the primary barrier to utilisation related to medical indemnity insurance for clinicians wanting to provide MTOP. As matters of professional indemnity are beyond the PBAC’s remit, the Committee did not comment on this claim. Nonetheless, the PBAC considered that in view of utilisation patterns to date, and the fact that the Committee had accepted that MTOP would be cost-saving compared with STOP, it was not likely that utilisation of the composite pack would increase to the point where it would pose a financial risk to the Commonwealth.</w:t>
      </w:r>
    </w:p>
    <w:p w:rsidR="00E9653A" w:rsidRDefault="00E9653A" w:rsidP="00E9653A">
      <w:r>
        <w:t xml:space="preserve">For further details refer to </w:t>
      </w:r>
      <w:r w:rsidRPr="00F65F0D">
        <w:t xml:space="preserve">the </w:t>
      </w:r>
      <w:r w:rsidRPr="00CA71F6">
        <w:t>Public Summary Document</w:t>
      </w:r>
      <w:r>
        <w:t xml:space="preserve"> </w:t>
      </w:r>
      <w:r w:rsidRPr="00F65F0D">
        <w:t>from the</w:t>
      </w:r>
      <w:r>
        <w:t xml:space="preserve"> July 2014 PBAC meeting.</w:t>
      </w:r>
    </w:p>
    <w:p w:rsidR="000F2F51" w:rsidRDefault="00ED633B" w:rsidP="00CF5E22">
      <w:pPr>
        <w:pStyle w:val="Heading2"/>
      </w:pPr>
      <w:r>
        <w:t>A</w:t>
      </w:r>
      <w:r w:rsidR="000F2F51">
        <w:t xml:space="preserve">pproach </w:t>
      </w:r>
      <w:r>
        <w:t xml:space="preserve">taken to </w:t>
      </w:r>
      <w:r w:rsidR="000F2F51">
        <w:t>estimat</w:t>
      </w:r>
      <w:r>
        <w:t>e</w:t>
      </w:r>
      <w:r w:rsidR="000F2F51">
        <w:t xml:space="preserve"> utilisation</w:t>
      </w:r>
    </w:p>
    <w:p w:rsidR="001F4BB4" w:rsidRDefault="001F4BB4" w:rsidP="00AF0C36">
      <w:r>
        <w:t>Key assumption</w:t>
      </w:r>
      <w:r w:rsidR="00AD1202">
        <w:t>s</w:t>
      </w:r>
      <w:r>
        <w:t xml:space="preserve"> in estimating the use of mifepristone and misoprostol through the PBS were:</w:t>
      </w:r>
    </w:p>
    <w:p w:rsidR="001F4BB4" w:rsidRDefault="00AD1202" w:rsidP="001F4BB4">
      <w:pPr>
        <w:pStyle w:val="ListParagraph"/>
        <w:numPr>
          <w:ilvl w:val="0"/>
          <w:numId w:val="5"/>
        </w:numPr>
      </w:pPr>
      <w:r>
        <w:t>t</w:t>
      </w:r>
      <w:r w:rsidR="001F4BB4">
        <w:t>hat the availability of mifepristone and misoprostol would not increase the total nu</w:t>
      </w:r>
      <w:r>
        <w:t>m</w:t>
      </w:r>
      <w:r w:rsidR="001F4BB4">
        <w:t>ber of TOP</w:t>
      </w:r>
      <w:r w:rsidR="001065CA">
        <w:t>s</w:t>
      </w:r>
      <w:r w:rsidR="001F4BB4">
        <w:t xml:space="preserve"> in Australia; and</w:t>
      </w:r>
    </w:p>
    <w:p w:rsidR="001F4BB4" w:rsidRDefault="00AD1202" w:rsidP="001F4BB4">
      <w:pPr>
        <w:pStyle w:val="ListParagraph"/>
        <w:numPr>
          <w:ilvl w:val="0"/>
          <w:numId w:val="5"/>
        </w:numPr>
      </w:pPr>
      <w:proofErr w:type="gramStart"/>
      <w:r>
        <w:t>t</w:t>
      </w:r>
      <w:r w:rsidR="001F4BB4">
        <w:t>hat</w:t>
      </w:r>
      <w:proofErr w:type="gramEnd"/>
      <w:r w:rsidR="001F4BB4">
        <w:t xml:space="preserve"> the </w:t>
      </w:r>
      <w:r>
        <w:t>proportion</w:t>
      </w:r>
      <w:r w:rsidR="001F4BB4">
        <w:t xml:space="preserve"> of TOPs undertaken by the medical method would be 25% in year 1 of listing increasing to 45% in year 5 of </w:t>
      </w:r>
      <w:r>
        <w:t>listing</w:t>
      </w:r>
      <w:r w:rsidR="001F4BB4">
        <w:t>.</w:t>
      </w:r>
    </w:p>
    <w:p w:rsidR="00AF0C36" w:rsidRDefault="009430EE" w:rsidP="00AF0C36">
      <w:r>
        <w:t>Th</w:t>
      </w:r>
      <w:r w:rsidR="00AF0C36">
        <w:t>e submission</w:t>
      </w:r>
      <w:r>
        <w:t xml:space="preserve"> </w:t>
      </w:r>
      <w:r w:rsidR="006E66F4">
        <w:t xml:space="preserve">recognised that there </w:t>
      </w:r>
      <w:r w:rsidR="00705A4B">
        <w:t>are</w:t>
      </w:r>
      <w:r w:rsidR="006E66F4">
        <w:t xml:space="preserve"> no national statistics on TOP</w:t>
      </w:r>
      <w:r w:rsidR="001065CA">
        <w:t>s</w:t>
      </w:r>
      <w:r w:rsidR="006E66F4">
        <w:t xml:space="preserve"> in Australia. The submission </w:t>
      </w:r>
      <w:r>
        <w:t xml:space="preserve">used the following data sources to estimate </w:t>
      </w:r>
      <w:r w:rsidRPr="009430EE">
        <w:t>the total number of TOPs of gestational age ≤ 49 days in the 2011/2012 financial year and the associated rate of TOPs in Australian women aged 15-44</w:t>
      </w:r>
      <w:r w:rsidR="00AF0C36">
        <w:t>:</w:t>
      </w:r>
    </w:p>
    <w:p w:rsidR="00AF0C36" w:rsidRDefault="00AF0C36" w:rsidP="00AF0C36">
      <w:pPr>
        <w:pStyle w:val="ListParagraph"/>
        <w:numPr>
          <w:ilvl w:val="0"/>
          <w:numId w:val="1"/>
        </w:numPr>
      </w:pPr>
      <w:r>
        <w:t xml:space="preserve">MBS data for use of Item 35643 (evacuation of a gravid uterus), which </w:t>
      </w:r>
      <w:r w:rsidR="007D2845">
        <w:t>wa</w:t>
      </w:r>
      <w:r>
        <w:t>s used to estimate the number of STOPs conducted in the private sector;</w:t>
      </w:r>
    </w:p>
    <w:p w:rsidR="00AF0C36" w:rsidRDefault="00AF0C36" w:rsidP="00AF0C36">
      <w:pPr>
        <w:pStyle w:val="ListParagraph"/>
        <w:numPr>
          <w:ilvl w:val="0"/>
          <w:numId w:val="1"/>
        </w:numPr>
      </w:pPr>
      <w:r>
        <w:t xml:space="preserve">AR-DRG cost weights with details of hospital separations for STOP, which </w:t>
      </w:r>
      <w:r w:rsidR="007D2845">
        <w:t>we</w:t>
      </w:r>
      <w:r>
        <w:t>re used to estimate the number of STOPs conducted in the public sector;</w:t>
      </w:r>
    </w:p>
    <w:p w:rsidR="00AF0C36" w:rsidRDefault="00AF0C36" w:rsidP="00AF0C36">
      <w:pPr>
        <w:pStyle w:val="ListParagraph"/>
        <w:numPr>
          <w:ilvl w:val="0"/>
          <w:numId w:val="1"/>
        </w:numPr>
      </w:pPr>
      <w:r>
        <w:t xml:space="preserve">Details from a </w:t>
      </w:r>
      <w:r w:rsidR="002D6E33">
        <w:t>P</w:t>
      </w:r>
      <w:r>
        <w:t>arliamentary Research Brief</w:t>
      </w:r>
      <w:r w:rsidR="00F9229F">
        <w:rPr>
          <w:rStyle w:val="FootnoteReference"/>
        </w:rPr>
        <w:footnoteReference w:id="4"/>
      </w:r>
      <w:r>
        <w:t xml:space="preserve"> that estimate</w:t>
      </w:r>
      <w:r w:rsidR="007D2845">
        <w:t>d</w:t>
      </w:r>
      <w:r>
        <w:t xml:space="preserve"> the proportion of TOPs conducted in the public sector for private patients;</w:t>
      </w:r>
    </w:p>
    <w:p w:rsidR="00AF0C36" w:rsidRDefault="00AF0C36" w:rsidP="00AF0C36">
      <w:pPr>
        <w:pStyle w:val="ListParagraph"/>
        <w:numPr>
          <w:ilvl w:val="0"/>
          <w:numId w:val="1"/>
        </w:numPr>
      </w:pPr>
      <w:r>
        <w:t>A response from the Department of Health and Ageing to a question on notice (Question E12-068)</w:t>
      </w:r>
      <w:r w:rsidR="00F9229F">
        <w:rPr>
          <w:rStyle w:val="FootnoteReference"/>
        </w:rPr>
        <w:footnoteReference w:id="5"/>
      </w:r>
      <w:r>
        <w:t xml:space="preserve"> in regard to budget estimates for </w:t>
      </w:r>
      <w:r w:rsidR="001065CA">
        <w:t xml:space="preserve">financial year </w:t>
      </w:r>
      <w:r>
        <w:t>2012</w:t>
      </w:r>
      <w:r w:rsidR="001065CA">
        <w:t>/</w:t>
      </w:r>
      <w:r>
        <w:t>2013 that provide</w:t>
      </w:r>
      <w:r w:rsidR="007D2845">
        <w:t>d</w:t>
      </w:r>
      <w:r>
        <w:t xml:space="preserve"> details of the number of women who were prescribed mifepristone in each calendar year from 2006 to 2011 under the TGA’s Authorised Prescriber program;</w:t>
      </w:r>
    </w:p>
    <w:p w:rsidR="00AF0C36" w:rsidRDefault="00AF0C36" w:rsidP="00AF0C36">
      <w:pPr>
        <w:pStyle w:val="ListParagraph"/>
        <w:numPr>
          <w:ilvl w:val="0"/>
          <w:numId w:val="1"/>
        </w:numPr>
      </w:pPr>
      <w:r>
        <w:t xml:space="preserve">Estimates of Australian female population aged 15-44 in </w:t>
      </w:r>
      <w:r w:rsidR="001065CA">
        <w:t xml:space="preserve">financial year </w:t>
      </w:r>
      <w:r>
        <w:t>2011/2012 as projected by the Australian Bureau of Statistics [ABS];</w:t>
      </w:r>
    </w:p>
    <w:p w:rsidR="00AF0C36" w:rsidRDefault="00AF0C36" w:rsidP="00AF0C36">
      <w:pPr>
        <w:pStyle w:val="ListParagraph"/>
        <w:numPr>
          <w:ilvl w:val="0"/>
          <w:numId w:val="1"/>
        </w:numPr>
      </w:pPr>
      <w:r>
        <w:t>Literature on proportion of overall TOPs conducted where gestational age ≤ 49 days</w:t>
      </w:r>
    </w:p>
    <w:p w:rsidR="00945A0E" w:rsidRPr="006A2D59" w:rsidRDefault="002B3271" w:rsidP="00A35800">
      <w:pPr>
        <w:rPr>
          <w:highlight w:val="yellow"/>
        </w:rPr>
      </w:pPr>
      <w:r>
        <w:t xml:space="preserve">The submission </w:t>
      </w:r>
      <w:r w:rsidRPr="002B3271">
        <w:t xml:space="preserve">estimated that the rate of TOPs in Australian women </w:t>
      </w:r>
      <w:r w:rsidR="0073557C">
        <w:t>wa</w:t>
      </w:r>
      <w:r w:rsidRPr="002B3271">
        <w:t>s approximately 17.6 per 1,000 women aged between 15 and 44 years and this rate ha</w:t>
      </w:r>
      <w:r w:rsidR="0073557C">
        <w:t>d</w:t>
      </w:r>
      <w:r w:rsidRPr="002B3271">
        <w:t xml:space="preserve"> been relatively constant over the last 5 years. On this basis, the rate of 17.6 TOPs per 1,000 women aged 15-44 years </w:t>
      </w:r>
      <w:r w:rsidR="0073557C">
        <w:t>wa</w:t>
      </w:r>
      <w:r w:rsidRPr="002B3271">
        <w:t>s projected over the next five financial years</w:t>
      </w:r>
      <w:r w:rsidR="0073557C">
        <w:t>.</w:t>
      </w:r>
      <w:r w:rsidRPr="002B3271">
        <w:t xml:space="preserve"> As there </w:t>
      </w:r>
      <w:r w:rsidR="0073557C">
        <w:t>wa</w:t>
      </w:r>
      <w:r w:rsidRPr="002B3271">
        <w:t xml:space="preserve">s some uncertainty around the rate of TOPs in Australian women, highest and lowest plausible rates of TOP in Australia (20 and 15 TOPs per 1,000 women aged between 15 and 44 years) </w:t>
      </w:r>
      <w:r w:rsidR="0073557C">
        <w:t>we</w:t>
      </w:r>
      <w:r w:rsidRPr="002B3271">
        <w:t xml:space="preserve">re applied to estimate upper and lower estimates around a mid-point estimate for number of TOPs in Australia. </w:t>
      </w:r>
      <w:r w:rsidR="0073557C">
        <w:t>T</w:t>
      </w:r>
      <w:r w:rsidRPr="002B3271">
        <w:t xml:space="preserve">he proportion of TOPs conducted in women with a first-trimester pregnancy </w:t>
      </w:r>
      <w:r w:rsidR="0073557C">
        <w:t>was</w:t>
      </w:r>
      <w:r w:rsidRPr="002B3271">
        <w:t xml:space="preserve"> estimated, </w:t>
      </w:r>
      <w:r w:rsidR="0073557C">
        <w:t xml:space="preserve">from </w:t>
      </w:r>
      <w:r w:rsidRPr="002B3271">
        <w:t>the South Australian Abortion Reporting Committee’s 8th annual report,</w:t>
      </w:r>
      <w:r w:rsidR="00F9229F">
        <w:rPr>
          <w:rStyle w:val="FootnoteReference"/>
        </w:rPr>
        <w:footnoteReference w:id="6"/>
      </w:r>
      <w:r w:rsidRPr="002B3271">
        <w:t xml:space="preserve"> to be </w:t>
      </w:r>
      <w:r w:rsidRPr="006A2D59">
        <w:t>approximately 90%.</w:t>
      </w:r>
    </w:p>
    <w:p w:rsidR="00945A0E" w:rsidRDefault="006A2D59" w:rsidP="00A35800">
      <w:r w:rsidRPr="006A2D59">
        <w:t>The</w:t>
      </w:r>
      <w:r>
        <w:t xml:space="preserve"> submission </w:t>
      </w:r>
      <w:r w:rsidR="00CA59C1">
        <w:t xml:space="preserve">stated </w:t>
      </w:r>
      <w:r w:rsidR="0073557C">
        <w:t xml:space="preserve">that </w:t>
      </w:r>
      <w:r w:rsidR="00CA59C1">
        <w:t>the</w:t>
      </w:r>
      <w:r w:rsidRPr="006A2D59">
        <w:t xml:space="preserve"> proportion of TOPs undertaken by the surgical and medical methods </w:t>
      </w:r>
      <w:r w:rsidR="001F4BB4">
        <w:t>wa</w:t>
      </w:r>
      <w:r w:rsidRPr="006A2D59">
        <w:t>s derived considering that over the six years that mifepristone ha</w:t>
      </w:r>
      <w:r w:rsidR="001F4BB4">
        <w:t>d</w:t>
      </w:r>
      <w:r w:rsidRPr="006A2D59">
        <w:t xml:space="preserve"> been available under the Authorised Prescriber </w:t>
      </w:r>
      <w:proofErr w:type="gramStart"/>
      <w:r w:rsidRPr="006A2D59">
        <w:t>program,</w:t>
      </w:r>
      <w:proofErr w:type="gramEnd"/>
      <w:r w:rsidRPr="006A2D59">
        <w:t xml:space="preserve"> the proportion of TOPs undertaken by the medical method ha</w:t>
      </w:r>
      <w:r w:rsidR="001F4BB4">
        <w:t>d</w:t>
      </w:r>
      <w:r w:rsidRPr="006A2D59">
        <w:t xml:space="preserve"> grown to 14%. It </w:t>
      </w:r>
      <w:r w:rsidR="001F4BB4">
        <w:t>wa</w:t>
      </w:r>
      <w:r w:rsidRPr="006A2D59">
        <w:t xml:space="preserve">s estimated (on the basis of current rates of growth of the MTOP market share) that, in the absence of a PBS listing for </w:t>
      </w:r>
      <w:r w:rsidR="00F9229F">
        <w:t>m</w:t>
      </w:r>
      <w:r w:rsidRPr="006A2D59">
        <w:t>ifepristone</w:t>
      </w:r>
      <w:r w:rsidR="00F9229F">
        <w:t xml:space="preserve"> and misoprostol</w:t>
      </w:r>
      <w:r w:rsidRPr="006A2D59">
        <w:t xml:space="preserve">, the proportion of TOPs that would be likely to be undertaken by the medical method would increase to 20% by </w:t>
      </w:r>
      <w:r w:rsidR="00323524">
        <w:t>y</w:t>
      </w:r>
      <w:r w:rsidRPr="006A2D59">
        <w:t>ear 3 of marketing but would be unlikely to increase further due to significant price barriers to the patient.</w:t>
      </w:r>
    </w:p>
    <w:p w:rsidR="006E66F4" w:rsidRDefault="006E66F4">
      <w:pPr>
        <w:spacing w:line="276" w:lineRule="auto"/>
        <w:rPr>
          <w:b/>
        </w:rPr>
      </w:pPr>
      <w:r>
        <w:br w:type="page"/>
      </w:r>
    </w:p>
    <w:p w:rsidR="00CA59C1" w:rsidRDefault="00CA59C1" w:rsidP="00CA59C1">
      <w:pPr>
        <w:pStyle w:val="Tabletitle"/>
      </w:pPr>
      <w:r>
        <w:t xml:space="preserve">Table </w:t>
      </w:r>
      <w:r w:rsidR="00F9229F">
        <w:t>2</w:t>
      </w:r>
      <w:r>
        <w:t xml:space="preserve">: </w:t>
      </w:r>
      <w:r w:rsidR="006E66F4">
        <w:t>P</w:t>
      </w:r>
      <w:r w:rsidRPr="00CA59C1">
        <w:t>rojected numbers of TOPs at ≤49 days</w:t>
      </w:r>
      <w:r w:rsidR="002A07F7">
        <w:t>’</w:t>
      </w:r>
      <w:r w:rsidRPr="00CA59C1">
        <w:t xml:space="preserve"> gestation by method of TOP </w:t>
      </w:r>
    </w:p>
    <w:tbl>
      <w:tblPr>
        <w:tblW w:w="8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Projected numbers of TOPs at less than or equal to 49 days' gestation by method of TOP"/>
        <w:tblDescription w:val="Projected numbers of TOPs at less than or equal to 49 days' gestation by method of TOP, by financial year from July 2012 to June 2017"/>
      </w:tblPr>
      <w:tblGrid>
        <w:gridCol w:w="2235"/>
        <w:gridCol w:w="1326"/>
        <w:gridCol w:w="1327"/>
        <w:gridCol w:w="1327"/>
        <w:gridCol w:w="1327"/>
        <w:gridCol w:w="1327"/>
      </w:tblGrid>
      <w:tr w:rsidR="00CA59C1" w:rsidRPr="00354EA5" w:rsidTr="008858D2">
        <w:trPr>
          <w:trHeight w:val="115"/>
        </w:trPr>
        <w:tc>
          <w:tcPr>
            <w:tcW w:w="2235" w:type="dxa"/>
            <w:shd w:val="clear" w:color="auto" w:fill="BFBFBF" w:themeFill="background1" w:themeFillShade="BF"/>
            <w:vAlign w:val="center"/>
          </w:tcPr>
          <w:p w:rsidR="00CA59C1" w:rsidRPr="00354EA5" w:rsidRDefault="00CA59C1" w:rsidP="00CC2328">
            <w:pPr>
              <w:autoSpaceDE w:val="0"/>
              <w:autoSpaceDN w:val="0"/>
              <w:adjustRightInd w:val="0"/>
              <w:spacing w:after="0"/>
              <w:rPr>
                <w:rFonts w:cs="Gotham XNarrow Book"/>
                <w:b/>
                <w:color w:val="000000"/>
                <w:sz w:val="20"/>
                <w:szCs w:val="20"/>
              </w:rPr>
            </w:pPr>
          </w:p>
        </w:tc>
        <w:tc>
          <w:tcPr>
            <w:tcW w:w="1326" w:type="dxa"/>
            <w:shd w:val="clear" w:color="auto" w:fill="BFBFBF" w:themeFill="background1" w:themeFillShade="BF"/>
            <w:vAlign w:val="center"/>
          </w:tcPr>
          <w:p w:rsidR="00CA59C1" w:rsidRPr="00354EA5" w:rsidRDefault="00CA59C1" w:rsidP="00CC2328">
            <w:pPr>
              <w:autoSpaceDE w:val="0"/>
              <w:autoSpaceDN w:val="0"/>
              <w:adjustRightInd w:val="0"/>
              <w:spacing w:after="0"/>
              <w:jc w:val="center"/>
              <w:rPr>
                <w:rFonts w:cs="Gotham XNarrow Book"/>
                <w:b/>
                <w:color w:val="000000"/>
                <w:sz w:val="20"/>
                <w:szCs w:val="20"/>
              </w:rPr>
            </w:pPr>
            <w:r w:rsidRPr="00354EA5">
              <w:rPr>
                <w:rFonts w:cs="Gotham XNarrow Book"/>
                <w:b/>
                <w:color w:val="000000"/>
                <w:sz w:val="20"/>
                <w:szCs w:val="20"/>
              </w:rPr>
              <w:t>2012/2013</w:t>
            </w:r>
          </w:p>
        </w:tc>
        <w:tc>
          <w:tcPr>
            <w:tcW w:w="1327" w:type="dxa"/>
            <w:shd w:val="clear" w:color="auto" w:fill="BFBFBF" w:themeFill="background1" w:themeFillShade="BF"/>
            <w:vAlign w:val="center"/>
          </w:tcPr>
          <w:p w:rsidR="00CA59C1" w:rsidRPr="00354EA5" w:rsidRDefault="00CA59C1" w:rsidP="00CC2328">
            <w:pPr>
              <w:autoSpaceDE w:val="0"/>
              <w:autoSpaceDN w:val="0"/>
              <w:adjustRightInd w:val="0"/>
              <w:spacing w:after="0"/>
              <w:jc w:val="center"/>
              <w:rPr>
                <w:rFonts w:cs="Gotham XNarrow Book"/>
                <w:b/>
                <w:color w:val="000000"/>
                <w:sz w:val="20"/>
                <w:szCs w:val="20"/>
              </w:rPr>
            </w:pPr>
            <w:r w:rsidRPr="00354EA5">
              <w:rPr>
                <w:rFonts w:cs="Gotham XNarrow Book"/>
                <w:b/>
                <w:color w:val="000000"/>
                <w:sz w:val="20"/>
                <w:szCs w:val="20"/>
              </w:rPr>
              <w:t>2013/2014</w:t>
            </w:r>
          </w:p>
        </w:tc>
        <w:tc>
          <w:tcPr>
            <w:tcW w:w="1327" w:type="dxa"/>
            <w:shd w:val="clear" w:color="auto" w:fill="BFBFBF" w:themeFill="background1" w:themeFillShade="BF"/>
            <w:vAlign w:val="center"/>
          </w:tcPr>
          <w:p w:rsidR="00CA59C1" w:rsidRPr="00354EA5" w:rsidRDefault="00CA59C1" w:rsidP="00CC2328">
            <w:pPr>
              <w:autoSpaceDE w:val="0"/>
              <w:autoSpaceDN w:val="0"/>
              <w:adjustRightInd w:val="0"/>
              <w:spacing w:after="0"/>
              <w:jc w:val="center"/>
              <w:rPr>
                <w:rFonts w:cs="Gotham XNarrow Book"/>
                <w:b/>
                <w:color w:val="000000"/>
                <w:sz w:val="20"/>
                <w:szCs w:val="20"/>
              </w:rPr>
            </w:pPr>
            <w:r w:rsidRPr="00354EA5">
              <w:rPr>
                <w:rFonts w:cs="Gotham XNarrow Book"/>
                <w:b/>
                <w:color w:val="000000"/>
                <w:sz w:val="20"/>
                <w:szCs w:val="20"/>
              </w:rPr>
              <w:t>2014/2015</w:t>
            </w:r>
          </w:p>
        </w:tc>
        <w:tc>
          <w:tcPr>
            <w:tcW w:w="1327" w:type="dxa"/>
            <w:shd w:val="clear" w:color="auto" w:fill="BFBFBF" w:themeFill="background1" w:themeFillShade="BF"/>
            <w:vAlign w:val="center"/>
          </w:tcPr>
          <w:p w:rsidR="00CA59C1" w:rsidRPr="00354EA5" w:rsidRDefault="00CA59C1" w:rsidP="00CC2328">
            <w:pPr>
              <w:autoSpaceDE w:val="0"/>
              <w:autoSpaceDN w:val="0"/>
              <w:adjustRightInd w:val="0"/>
              <w:spacing w:after="0"/>
              <w:jc w:val="center"/>
              <w:rPr>
                <w:rFonts w:cs="Gotham XNarrow Book"/>
                <w:b/>
                <w:color w:val="000000"/>
                <w:sz w:val="20"/>
                <w:szCs w:val="20"/>
              </w:rPr>
            </w:pPr>
            <w:r w:rsidRPr="00354EA5">
              <w:rPr>
                <w:rFonts w:cs="Gotham XNarrow Book"/>
                <w:b/>
                <w:color w:val="000000"/>
                <w:sz w:val="20"/>
                <w:szCs w:val="20"/>
              </w:rPr>
              <w:t>2015/2016</w:t>
            </w:r>
          </w:p>
        </w:tc>
        <w:tc>
          <w:tcPr>
            <w:tcW w:w="1327" w:type="dxa"/>
            <w:shd w:val="clear" w:color="auto" w:fill="BFBFBF" w:themeFill="background1" w:themeFillShade="BF"/>
            <w:vAlign w:val="center"/>
          </w:tcPr>
          <w:p w:rsidR="00CA59C1" w:rsidRPr="00354EA5" w:rsidRDefault="00CA59C1" w:rsidP="00CC2328">
            <w:pPr>
              <w:autoSpaceDE w:val="0"/>
              <w:autoSpaceDN w:val="0"/>
              <w:adjustRightInd w:val="0"/>
              <w:spacing w:after="0"/>
              <w:jc w:val="center"/>
              <w:rPr>
                <w:rFonts w:cs="Gotham XNarrow Book"/>
                <w:b/>
                <w:color w:val="000000"/>
                <w:sz w:val="20"/>
                <w:szCs w:val="20"/>
              </w:rPr>
            </w:pPr>
            <w:r w:rsidRPr="00354EA5">
              <w:rPr>
                <w:rFonts w:cs="Gotham XNarrow Book"/>
                <w:b/>
                <w:color w:val="000000"/>
                <w:sz w:val="20"/>
                <w:szCs w:val="20"/>
              </w:rPr>
              <w:t>2016/2017</w:t>
            </w:r>
          </w:p>
        </w:tc>
      </w:tr>
      <w:tr w:rsidR="00CC2328" w:rsidRPr="00CA59C1" w:rsidTr="008858D2">
        <w:trPr>
          <w:trHeight w:val="257"/>
        </w:trPr>
        <w:tc>
          <w:tcPr>
            <w:tcW w:w="2235" w:type="dxa"/>
            <w:vAlign w:val="center"/>
          </w:tcPr>
          <w:p w:rsidR="00CC2328" w:rsidRPr="00CA59C1" w:rsidRDefault="00CC2328" w:rsidP="00CC2328">
            <w:pPr>
              <w:autoSpaceDE w:val="0"/>
              <w:autoSpaceDN w:val="0"/>
              <w:adjustRightInd w:val="0"/>
              <w:spacing w:after="0"/>
              <w:rPr>
                <w:rFonts w:cs="Gotham XNarrow Book"/>
                <w:color w:val="000000"/>
                <w:sz w:val="20"/>
                <w:szCs w:val="20"/>
              </w:rPr>
            </w:pPr>
            <w:r w:rsidRPr="00FF34B1">
              <w:rPr>
                <w:rFonts w:ascii="Calibri" w:eastAsia="Times New Roman" w:hAnsi="Calibri" w:cs="Times New Roman"/>
                <w:color w:val="000000"/>
                <w:sz w:val="20"/>
                <w:szCs w:val="20"/>
              </w:rPr>
              <w:t>Projections of Australian female population aged 15-44 years</w:t>
            </w:r>
          </w:p>
        </w:tc>
        <w:tc>
          <w:tcPr>
            <w:tcW w:w="1326" w:type="dxa"/>
            <w:vAlign w:val="center"/>
          </w:tcPr>
          <w:p w:rsidR="00CC2328" w:rsidRPr="00CA59C1" w:rsidRDefault="00CC2328" w:rsidP="00776FDB">
            <w:pPr>
              <w:autoSpaceDE w:val="0"/>
              <w:autoSpaceDN w:val="0"/>
              <w:adjustRightInd w:val="0"/>
              <w:spacing w:after="0"/>
              <w:jc w:val="right"/>
              <w:rPr>
                <w:rFonts w:cs="Gotham XNarrow Book"/>
                <w:color w:val="000000"/>
                <w:sz w:val="20"/>
                <w:szCs w:val="20"/>
              </w:rPr>
            </w:pPr>
            <w:r w:rsidRPr="00FF34B1">
              <w:rPr>
                <w:rFonts w:ascii="Calibri" w:eastAsia="Times New Roman" w:hAnsi="Calibri" w:cs="Times New Roman"/>
                <w:color w:val="000000"/>
                <w:sz w:val="20"/>
                <w:szCs w:val="20"/>
              </w:rPr>
              <w:t>4,726,639</w:t>
            </w:r>
          </w:p>
        </w:tc>
        <w:tc>
          <w:tcPr>
            <w:tcW w:w="1327" w:type="dxa"/>
            <w:vAlign w:val="center"/>
          </w:tcPr>
          <w:p w:rsidR="00CC2328" w:rsidRPr="00CA59C1" w:rsidRDefault="00CC2328" w:rsidP="00776FDB">
            <w:pPr>
              <w:autoSpaceDE w:val="0"/>
              <w:autoSpaceDN w:val="0"/>
              <w:adjustRightInd w:val="0"/>
              <w:spacing w:after="0"/>
              <w:jc w:val="right"/>
              <w:rPr>
                <w:rFonts w:cs="Gotham XNarrow Book"/>
                <w:color w:val="000000"/>
                <w:sz w:val="20"/>
                <w:szCs w:val="20"/>
              </w:rPr>
            </w:pPr>
            <w:r w:rsidRPr="00FF34B1">
              <w:rPr>
                <w:rFonts w:ascii="Calibri" w:eastAsia="Times New Roman" w:hAnsi="Calibri" w:cs="Times New Roman"/>
                <w:color w:val="000000"/>
                <w:sz w:val="20"/>
                <w:szCs w:val="20"/>
              </w:rPr>
              <w:t>4,769,509</w:t>
            </w:r>
          </w:p>
        </w:tc>
        <w:tc>
          <w:tcPr>
            <w:tcW w:w="1327" w:type="dxa"/>
            <w:vAlign w:val="center"/>
          </w:tcPr>
          <w:p w:rsidR="00CC2328" w:rsidRPr="00CA59C1" w:rsidRDefault="00CC2328" w:rsidP="00776FDB">
            <w:pPr>
              <w:autoSpaceDE w:val="0"/>
              <w:autoSpaceDN w:val="0"/>
              <w:adjustRightInd w:val="0"/>
              <w:spacing w:after="0"/>
              <w:jc w:val="right"/>
              <w:rPr>
                <w:rFonts w:cs="Gotham XNarrow Book"/>
                <w:color w:val="000000"/>
                <w:sz w:val="20"/>
                <w:szCs w:val="20"/>
              </w:rPr>
            </w:pPr>
            <w:r w:rsidRPr="00FF34B1">
              <w:rPr>
                <w:rFonts w:ascii="Calibri" w:eastAsia="Times New Roman" w:hAnsi="Calibri" w:cs="Times New Roman"/>
                <w:color w:val="000000"/>
                <w:sz w:val="20"/>
                <w:szCs w:val="20"/>
              </w:rPr>
              <w:t>4,810,548</w:t>
            </w:r>
          </w:p>
        </w:tc>
        <w:tc>
          <w:tcPr>
            <w:tcW w:w="1327" w:type="dxa"/>
            <w:vAlign w:val="center"/>
          </w:tcPr>
          <w:p w:rsidR="00CC2328" w:rsidRPr="00CA59C1" w:rsidRDefault="00CC2328" w:rsidP="00776FDB">
            <w:pPr>
              <w:autoSpaceDE w:val="0"/>
              <w:autoSpaceDN w:val="0"/>
              <w:adjustRightInd w:val="0"/>
              <w:spacing w:after="0"/>
              <w:jc w:val="right"/>
              <w:rPr>
                <w:rFonts w:cs="Gotham XNarrow Book"/>
                <w:color w:val="000000"/>
                <w:sz w:val="20"/>
                <w:szCs w:val="20"/>
              </w:rPr>
            </w:pPr>
            <w:r w:rsidRPr="00FF34B1">
              <w:rPr>
                <w:rFonts w:ascii="Calibri" w:eastAsia="Times New Roman" w:hAnsi="Calibri" w:cs="Times New Roman"/>
                <w:color w:val="000000"/>
                <w:sz w:val="20"/>
                <w:szCs w:val="20"/>
              </w:rPr>
              <w:t>4,841,046</w:t>
            </w:r>
          </w:p>
        </w:tc>
        <w:tc>
          <w:tcPr>
            <w:tcW w:w="1327" w:type="dxa"/>
            <w:vAlign w:val="center"/>
          </w:tcPr>
          <w:p w:rsidR="00CC2328" w:rsidRPr="00CA59C1" w:rsidRDefault="00CC2328" w:rsidP="00776FDB">
            <w:pPr>
              <w:autoSpaceDE w:val="0"/>
              <w:autoSpaceDN w:val="0"/>
              <w:adjustRightInd w:val="0"/>
              <w:spacing w:after="0"/>
              <w:jc w:val="right"/>
              <w:rPr>
                <w:rFonts w:cs="Gotham XNarrow Book"/>
                <w:color w:val="000000"/>
                <w:sz w:val="20"/>
                <w:szCs w:val="20"/>
              </w:rPr>
            </w:pPr>
            <w:r w:rsidRPr="00FF34B1">
              <w:rPr>
                <w:rFonts w:ascii="Calibri" w:eastAsia="Times New Roman" w:hAnsi="Calibri" w:cs="Times New Roman"/>
                <w:color w:val="000000"/>
                <w:sz w:val="20"/>
                <w:szCs w:val="20"/>
              </w:rPr>
              <w:t>4,871,671</w:t>
            </w:r>
          </w:p>
        </w:tc>
      </w:tr>
      <w:tr w:rsidR="00CC2328" w:rsidRPr="00CA59C1" w:rsidTr="008858D2">
        <w:trPr>
          <w:trHeight w:val="257"/>
        </w:trPr>
        <w:tc>
          <w:tcPr>
            <w:tcW w:w="2235" w:type="dxa"/>
            <w:vAlign w:val="center"/>
          </w:tcPr>
          <w:p w:rsidR="00CC2328" w:rsidRPr="00CA59C1" w:rsidRDefault="00CC2328" w:rsidP="00CC2328">
            <w:pPr>
              <w:autoSpaceDE w:val="0"/>
              <w:autoSpaceDN w:val="0"/>
              <w:adjustRightInd w:val="0"/>
              <w:spacing w:after="0"/>
              <w:rPr>
                <w:rFonts w:cs="Gotham XNarrow Book"/>
                <w:color w:val="000000"/>
                <w:sz w:val="20"/>
                <w:szCs w:val="20"/>
              </w:rPr>
            </w:pPr>
            <w:r w:rsidRPr="00FF34B1">
              <w:rPr>
                <w:rFonts w:ascii="Calibri" w:eastAsia="Times New Roman" w:hAnsi="Calibri" w:cs="Times New Roman"/>
                <w:color w:val="000000"/>
                <w:sz w:val="20"/>
                <w:szCs w:val="20"/>
              </w:rPr>
              <w:t>Rate of TOP in women aged 15-44 years</w:t>
            </w:r>
          </w:p>
        </w:tc>
        <w:tc>
          <w:tcPr>
            <w:tcW w:w="6634" w:type="dxa"/>
            <w:gridSpan w:val="5"/>
            <w:vAlign w:val="center"/>
          </w:tcPr>
          <w:p w:rsidR="00CC2328" w:rsidRPr="00CA59C1" w:rsidRDefault="00CC2328" w:rsidP="00CC2328">
            <w:pPr>
              <w:autoSpaceDE w:val="0"/>
              <w:autoSpaceDN w:val="0"/>
              <w:adjustRightInd w:val="0"/>
              <w:spacing w:after="0"/>
              <w:jc w:val="center"/>
              <w:rPr>
                <w:rFonts w:cs="Gotham XNarrow Book"/>
                <w:color w:val="000000"/>
                <w:sz w:val="20"/>
                <w:szCs w:val="20"/>
              </w:rPr>
            </w:pPr>
            <w:r w:rsidRPr="00FF34B1">
              <w:rPr>
                <w:rFonts w:ascii="Calibri" w:eastAsia="Times New Roman" w:hAnsi="Calibri" w:cs="Times New Roman"/>
                <w:color w:val="000000"/>
                <w:sz w:val="20"/>
                <w:szCs w:val="20"/>
              </w:rPr>
              <w:t>1.76% (1.5% -2.0%)</w:t>
            </w:r>
          </w:p>
        </w:tc>
      </w:tr>
      <w:tr w:rsidR="00CF02AC" w:rsidRPr="00CA59C1" w:rsidTr="008858D2">
        <w:trPr>
          <w:trHeight w:val="257"/>
        </w:trPr>
        <w:tc>
          <w:tcPr>
            <w:tcW w:w="2235" w:type="dxa"/>
            <w:vAlign w:val="center"/>
          </w:tcPr>
          <w:p w:rsidR="00CF02AC" w:rsidRPr="00FF34B1" w:rsidRDefault="00CF02AC" w:rsidP="00112A28">
            <w:pPr>
              <w:autoSpaceDE w:val="0"/>
              <w:autoSpaceDN w:val="0"/>
              <w:adjustRightInd w:val="0"/>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Estimate of women having TOP per year</w:t>
            </w:r>
          </w:p>
        </w:tc>
        <w:tc>
          <w:tcPr>
            <w:tcW w:w="1326" w:type="dxa"/>
            <w:vAlign w:val="center"/>
          </w:tcPr>
          <w:p w:rsidR="00CF02AC" w:rsidRPr="00B82221" w:rsidRDefault="00CF02AC" w:rsidP="00112A28">
            <w:pPr>
              <w:autoSpaceDE w:val="0"/>
              <w:autoSpaceDN w:val="0"/>
              <w:adjustRightInd w:val="0"/>
              <w:spacing w:after="0"/>
              <w:jc w:val="right"/>
              <w:rPr>
                <w:rFonts w:ascii="Calibri" w:eastAsia="Times New Roman" w:hAnsi="Calibri" w:cs="Times New Roman"/>
                <w:color w:val="000000"/>
                <w:sz w:val="20"/>
                <w:szCs w:val="20"/>
              </w:rPr>
            </w:pPr>
            <w:r w:rsidRPr="00B82221">
              <w:rPr>
                <w:sz w:val="20"/>
                <w:szCs w:val="20"/>
              </w:rPr>
              <w:t>83,189</w:t>
            </w:r>
          </w:p>
        </w:tc>
        <w:tc>
          <w:tcPr>
            <w:tcW w:w="1327" w:type="dxa"/>
            <w:vAlign w:val="center"/>
          </w:tcPr>
          <w:p w:rsidR="00CF02AC" w:rsidRPr="00B82221" w:rsidRDefault="00CF02AC" w:rsidP="00112A28">
            <w:pPr>
              <w:autoSpaceDE w:val="0"/>
              <w:autoSpaceDN w:val="0"/>
              <w:adjustRightInd w:val="0"/>
              <w:spacing w:after="0"/>
              <w:jc w:val="right"/>
              <w:rPr>
                <w:rFonts w:ascii="Calibri" w:eastAsia="Times New Roman" w:hAnsi="Calibri" w:cs="Times New Roman"/>
                <w:color w:val="000000"/>
                <w:sz w:val="20"/>
                <w:szCs w:val="20"/>
              </w:rPr>
            </w:pPr>
            <w:r w:rsidRPr="00B82221">
              <w:rPr>
                <w:sz w:val="20"/>
                <w:szCs w:val="20"/>
              </w:rPr>
              <w:t>83,943</w:t>
            </w:r>
          </w:p>
        </w:tc>
        <w:tc>
          <w:tcPr>
            <w:tcW w:w="1327" w:type="dxa"/>
            <w:vAlign w:val="center"/>
          </w:tcPr>
          <w:p w:rsidR="00CF02AC" w:rsidRPr="00B82221" w:rsidRDefault="00CF02AC" w:rsidP="00112A28">
            <w:pPr>
              <w:autoSpaceDE w:val="0"/>
              <w:autoSpaceDN w:val="0"/>
              <w:adjustRightInd w:val="0"/>
              <w:spacing w:after="0"/>
              <w:jc w:val="right"/>
              <w:rPr>
                <w:rFonts w:ascii="Calibri" w:eastAsia="Times New Roman" w:hAnsi="Calibri" w:cs="Times New Roman"/>
                <w:color w:val="000000"/>
                <w:sz w:val="20"/>
                <w:szCs w:val="20"/>
              </w:rPr>
            </w:pPr>
            <w:r w:rsidRPr="00B82221">
              <w:rPr>
                <w:sz w:val="20"/>
                <w:szCs w:val="20"/>
              </w:rPr>
              <w:t>84,666</w:t>
            </w:r>
          </w:p>
        </w:tc>
        <w:tc>
          <w:tcPr>
            <w:tcW w:w="1327" w:type="dxa"/>
            <w:vAlign w:val="center"/>
          </w:tcPr>
          <w:p w:rsidR="00CF02AC" w:rsidRPr="00B82221" w:rsidRDefault="00CF02AC" w:rsidP="00112A28">
            <w:pPr>
              <w:autoSpaceDE w:val="0"/>
              <w:autoSpaceDN w:val="0"/>
              <w:adjustRightInd w:val="0"/>
              <w:spacing w:after="0"/>
              <w:jc w:val="right"/>
              <w:rPr>
                <w:rFonts w:ascii="Calibri" w:eastAsia="Times New Roman" w:hAnsi="Calibri" w:cs="Times New Roman"/>
                <w:color w:val="000000"/>
                <w:sz w:val="20"/>
                <w:szCs w:val="20"/>
              </w:rPr>
            </w:pPr>
            <w:r w:rsidRPr="00B82221">
              <w:rPr>
                <w:sz w:val="20"/>
                <w:szCs w:val="20"/>
              </w:rPr>
              <w:t>85,202</w:t>
            </w:r>
          </w:p>
        </w:tc>
        <w:tc>
          <w:tcPr>
            <w:tcW w:w="1327" w:type="dxa"/>
            <w:vAlign w:val="center"/>
          </w:tcPr>
          <w:p w:rsidR="00CF02AC" w:rsidRPr="00B82221" w:rsidRDefault="00CF02AC" w:rsidP="00112A28">
            <w:pPr>
              <w:autoSpaceDE w:val="0"/>
              <w:autoSpaceDN w:val="0"/>
              <w:adjustRightInd w:val="0"/>
              <w:spacing w:after="0"/>
              <w:jc w:val="right"/>
              <w:rPr>
                <w:rFonts w:ascii="Calibri" w:eastAsia="Times New Roman" w:hAnsi="Calibri" w:cs="Times New Roman"/>
                <w:color w:val="000000"/>
                <w:sz w:val="20"/>
                <w:szCs w:val="20"/>
              </w:rPr>
            </w:pPr>
            <w:r w:rsidRPr="00B82221">
              <w:rPr>
                <w:sz w:val="20"/>
                <w:szCs w:val="20"/>
              </w:rPr>
              <w:t>85,741</w:t>
            </w:r>
          </w:p>
        </w:tc>
      </w:tr>
      <w:tr w:rsidR="008858D2" w:rsidRPr="00CA59C1" w:rsidTr="008858D2">
        <w:trPr>
          <w:trHeight w:val="115"/>
        </w:trPr>
        <w:tc>
          <w:tcPr>
            <w:tcW w:w="2235" w:type="dxa"/>
            <w:vAlign w:val="center"/>
          </w:tcPr>
          <w:p w:rsidR="008858D2" w:rsidRPr="00CA59C1" w:rsidRDefault="008858D2" w:rsidP="00112A28">
            <w:pPr>
              <w:autoSpaceDE w:val="0"/>
              <w:autoSpaceDN w:val="0"/>
              <w:adjustRightInd w:val="0"/>
              <w:spacing w:after="0"/>
              <w:rPr>
                <w:rFonts w:cs="Gotham XNarrow Book"/>
                <w:color w:val="000000"/>
                <w:sz w:val="20"/>
                <w:szCs w:val="20"/>
              </w:rPr>
            </w:pPr>
            <w:r w:rsidRPr="00CA59C1">
              <w:rPr>
                <w:rFonts w:cs="Gotham XNarrow Book"/>
                <w:color w:val="000000"/>
                <w:sz w:val="20"/>
                <w:szCs w:val="20"/>
              </w:rPr>
              <w:t xml:space="preserve">Proportion of TOPs by medical method </w:t>
            </w:r>
          </w:p>
        </w:tc>
        <w:tc>
          <w:tcPr>
            <w:tcW w:w="1326" w:type="dxa"/>
            <w:vAlign w:val="center"/>
          </w:tcPr>
          <w:p w:rsidR="008858D2" w:rsidRPr="00CA59C1" w:rsidRDefault="008858D2" w:rsidP="00112A28">
            <w:pPr>
              <w:autoSpaceDE w:val="0"/>
              <w:autoSpaceDN w:val="0"/>
              <w:adjustRightInd w:val="0"/>
              <w:spacing w:after="0"/>
              <w:jc w:val="right"/>
              <w:rPr>
                <w:rFonts w:cs="Gotham XNarrow Book"/>
                <w:color w:val="000000"/>
                <w:sz w:val="20"/>
                <w:szCs w:val="20"/>
              </w:rPr>
            </w:pPr>
            <w:r w:rsidRPr="00FF34B1">
              <w:rPr>
                <w:rFonts w:ascii="Calibri" w:eastAsia="Times New Roman" w:hAnsi="Calibri" w:cs="Times New Roman"/>
                <w:color w:val="000000"/>
                <w:sz w:val="20"/>
                <w:szCs w:val="20"/>
              </w:rPr>
              <w:t>25%</w:t>
            </w:r>
          </w:p>
        </w:tc>
        <w:tc>
          <w:tcPr>
            <w:tcW w:w="1327" w:type="dxa"/>
            <w:vAlign w:val="center"/>
          </w:tcPr>
          <w:p w:rsidR="008858D2" w:rsidRPr="00CA59C1" w:rsidRDefault="008858D2" w:rsidP="00112A28">
            <w:pPr>
              <w:autoSpaceDE w:val="0"/>
              <w:autoSpaceDN w:val="0"/>
              <w:adjustRightInd w:val="0"/>
              <w:spacing w:after="0"/>
              <w:jc w:val="right"/>
              <w:rPr>
                <w:rFonts w:cs="Gotham XNarrow Book"/>
                <w:color w:val="000000"/>
                <w:sz w:val="20"/>
                <w:szCs w:val="20"/>
              </w:rPr>
            </w:pPr>
            <w:r w:rsidRPr="00FF34B1">
              <w:rPr>
                <w:rFonts w:ascii="Calibri" w:eastAsia="Times New Roman" w:hAnsi="Calibri" w:cs="Times New Roman"/>
                <w:color w:val="000000"/>
                <w:sz w:val="20"/>
                <w:szCs w:val="20"/>
              </w:rPr>
              <w:t>30%</w:t>
            </w:r>
          </w:p>
        </w:tc>
        <w:tc>
          <w:tcPr>
            <w:tcW w:w="1327" w:type="dxa"/>
            <w:vAlign w:val="center"/>
          </w:tcPr>
          <w:p w:rsidR="008858D2" w:rsidRPr="00CA59C1" w:rsidRDefault="008858D2" w:rsidP="00112A28">
            <w:pPr>
              <w:autoSpaceDE w:val="0"/>
              <w:autoSpaceDN w:val="0"/>
              <w:adjustRightInd w:val="0"/>
              <w:spacing w:after="0"/>
              <w:jc w:val="right"/>
              <w:rPr>
                <w:rFonts w:cs="Gotham XNarrow Book"/>
                <w:color w:val="000000"/>
                <w:sz w:val="20"/>
                <w:szCs w:val="20"/>
              </w:rPr>
            </w:pPr>
            <w:r w:rsidRPr="00FF34B1">
              <w:rPr>
                <w:rFonts w:ascii="Calibri" w:eastAsia="Times New Roman" w:hAnsi="Calibri" w:cs="Times New Roman"/>
                <w:color w:val="000000"/>
                <w:sz w:val="20"/>
                <w:szCs w:val="20"/>
              </w:rPr>
              <w:t>35%</w:t>
            </w:r>
          </w:p>
        </w:tc>
        <w:tc>
          <w:tcPr>
            <w:tcW w:w="1327" w:type="dxa"/>
            <w:vAlign w:val="center"/>
          </w:tcPr>
          <w:p w:rsidR="008858D2" w:rsidRPr="00CA59C1" w:rsidRDefault="008858D2" w:rsidP="00112A28">
            <w:pPr>
              <w:autoSpaceDE w:val="0"/>
              <w:autoSpaceDN w:val="0"/>
              <w:adjustRightInd w:val="0"/>
              <w:spacing w:after="0"/>
              <w:jc w:val="right"/>
              <w:rPr>
                <w:rFonts w:cs="Gotham XNarrow Book"/>
                <w:color w:val="000000"/>
                <w:sz w:val="20"/>
                <w:szCs w:val="20"/>
              </w:rPr>
            </w:pPr>
            <w:r w:rsidRPr="00FF34B1">
              <w:rPr>
                <w:rFonts w:ascii="Calibri" w:eastAsia="Times New Roman" w:hAnsi="Calibri" w:cs="Times New Roman"/>
                <w:color w:val="000000"/>
                <w:sz w:val="20"/>
                <w:szCs w:val="20"/>
              </w:rPr>
              <w:t>40%</w:t>
            </w:r>
          </w:p>
        </w:tc>
        <w:tc>
          <w:tcPr>
            <w:tcW w:w="1327" w:type="dxa"/>
            <w:vAlign w:val="center"/>
          </w:tcPr>
          <w:p w:rsidR="008858D2" w:rsidRPr="00CA59C1" w:rsidRDefault="008858D2" w:rsidP="00112A28">
            <w:pPr>
              <w:autoSpaceDE w:val="0"/>
              <w:autoSpaceDN w:val="0"/>
              <w:adjustRightInd w:val="0"/>
              <w:spacing w:after="0"/>
              <w:jc w:val="right"/>
              <w:rPr>
                <w:rFonts w:cs="Gotham XNarrow Book"/>
                <w:color w:val="000000"/>
                <w:sz w:val="20"/>
                <w:szCs w:val="20"/>
              </w:rPr>
            </w:pPr>
            <w:r w:rsidRPr="00FF34B1">
              <w:rPr>
                <w:rFonts w:ascii="Calibri" w:eastAsia="Times New Roman" w:hAnsi="Calibri" w:cs="Times New Roman"/>
                <w:color w:val="000000"/>
                <w:sz w:val="20"/>
                <w:szCs w:val="20"/>
              </w:rPr>
              <w:t>45%</w:t>
            </w:r>
          </w:p>
        </w:tc>
      </w:tr>
      <w:tr w:rsidR="008858D2" w:rsidRPr="008858D2" w:rsidTr="008858D2">
        <w:trPr>
          <w:trHeight w:val="257"/>
        </w:trPr>
        <w:tc>
          <w:tcPr>
            <w:tcW w:w="2235" w:type="dxa"/>
            <w:vAlign w:val="center"/>
          </w:tcPr>
          <w:p w:rsidR="008858D2" w:rsidRPr="00FF34B1" w:rsidRDefault="008858D2" w:rsidP="00112A28">
            <w:pPr>
              <w:autoSpaceDE w:val="0"/>
              <w:autoSpaceDN w:val="0"/>
              <w:adjustRightInd w:val="0"/>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Estimate of MTOP</w:t>
            </w:r>
          </w:p>
        </w:tc>
        <w:tc>
          <w:tcPr>
            <w:tcW w:w="1326" w:type="dxa"/>
          </w:tcPr>
          <w:p w:rsidR="008858D2" w:rsidRPr="008858D2" w:rsidRDefault="008858D2" w:rsidP="00112A28">
            <w:pPr>
              <w:autoSpaceDE w:val="0"/>
              <w:autoSpaceDN w:val="0"/>
              <w:adjustRightInd w:val="0"/>
              <w:spacing w:after="0"/>
              <w:jc w:val="right"/>
              <w:rPr>
                <w:rFonts w:ascii="Calibri" w:eastAsia="Times New Roman" w:hAnsi="Calibri" w:cs="Times New Roman"/>
                <w:color w:val="000000"/>
                <w:sz w:val="20"/>
                <w:szCs w:val="20"/>
              </w:rPr>
            </w:pPr>
            <w:r w:rsidRPr="008858D2">
              <w:rPr>
                <w:sz w:val="20"/>
                <w:szCs w:val="20"/>
              </w:rPr>
              <w:t>20,797</w:t>
            </w:r>
          </w:p>
        </w:tc>
        <w:tc>
          <w:tcPr>
            <w:tcW w:w="1327" w:type="dxa"/>
          </w:tcPr>
          <w:p w:rsidR="008858D2" w:rsidRPr="008858D2" w:rsidRDefault="008858D2" w:rsidP="00112A28">
            <w:pPr>
              <w:autoSpaceDE w:val="0"/>
              <w:autoSpaceDN w:val="0"/>
              <w:adjustRightInd w:val="0"/>
              <w:spacing w:after="0"/>
              <w:jc w:val="right"/>
              <w:rPr>
                <w:rFonts w:ascii="Calibri" w:eastAsia="Times New Roman" w:hAnsi="Calibri" w:cs="Times New Roman"/>
                <w:color w:val="000000"/>
                <w:sz w:val="20"/>
                <w:szCs w:val="20"/>
              </w:rPr>
            </w:pPr>
            <w:r w:rsidRPr="008858D2">
              <w:rPr>
                <w:sz w:val="20"/>
                <w:szCs w:val="20"/>
              </w:rPr>
              <w:t>25,183</w:t>
            </w:r>
          </w:p>
        </w:tc>
        <w:tc>
          <w:tcPr>
            <w:tcW w:w="1327" w:type="dxa"/>
          </w:tcPr>
          <w:p w:rsidR="008858D2" w:rsidRPr="008858D2" w:rsidRDefault="008858D2" w:rsidP="00112A28">
            <w:pPr>
              <w:autoSpaceDE w:val="0"/>
              <w:autoSpaceDN w:val="0"/>
              <w:adjustRightInd w:val="0"/>
              <w:spacing w:after="0"/>
              <w:jc w:val="right"/>
              <w:rPr>
                <w:rFonts w:ascii="Calibri" w:eastAsia="Times New Roman" w:hAnsi="Calibri" w:cs="Times New Roman"/>
                <w:color w:val="000000"/>
                <w:sz w:val="20"/>
                <w:szCs w:val="20"/>
              </w:rPr>
            </w:pPr>
            <w:r w:rsidRPr="008858D2">
              <w:rPr>
                <w:sz w:val="20"/>
                <w:szCs w:val="20"/>
              </w:rPr>
              <w:t>29,633</w:t>
            </w:r>
          </w:p>
        </w:tc>
        <w:tc>
          <w:tcPr>
            <w:tcW w:w="1327" w:type="dxa"/>
          </w:tcPr>
          <w:p w:rsidR="008858D2" w:rsidRPr="008858D2" w:rsidRDefault="008858D2" w:rsidP="00112A28">
            <w:pPr>
              <w:autoSpaceDE w:val="0"/>
              <w:autoSpaceDN w:val="0"/>
              <w:adjustRightInd w:val="0"/>
              <w:spacing w:after="0"/>
              <w:jc w:val="right"/>
              <w:rPr>
                <w:rFonts w:ascii="Calibri" w:eastAsia="Times New Roman" w:hAnsi="Calibri" w:cs="Times New Roman"/>
                <w:color w:val="000000"/>
                <w:sz w:val="20"/>
                <w:szCs w:val="20"/>
              </w:rPr>
            </w:pPr>
            <w:r w:rsidRPr="008858D2">
              <w:rPr>
                <w:sz w:val="20"/>
                <w:szCs w:val="20"/>
              </w:rPr>
              <w:t>34,081</w:t>
            </w:r>
          </w:p>
        </w:tc>
        <w:tc>
          <w:tcPr>
            <w:tcW w:w="1327" w:type="dxa"/>
          </w:tcPr>
          <w:p w:rsidR="008858D2" w:rsidRPr="008858D2" w:rsidRDefault="008858D2" w:rsidP="00112A28">
            <w:pPr>
              <w:autoSpaceDE w:val="0"/>
              <w:autoSpaceDN w:val="0"/>
              <w:adjustRightInd w:val="0"/>
              <w:spacing w:after="0"/>
              <w:jc w:val="right"/>
              <w:rPr>
                <w:rFonts w:ascii="Calibri" w:eastAsia="Times New Roman" w:hAnsi="Calibri" w:cs="Times New Roman"/>
                <w:color w:val="000000"/>
                <w:sz w:val="20"/>
                <w:szCs w:val="20"/>
              </w:rPr>
            </w:pPr>
            <w:r w:rsidRPr="008858D2">
              <w:rPr>
                <w:sz w:val="20"/>
                <w:szCs w:val="20"/>
              </w:rPr>
              <w:t>38,584</w:t>
            </w:r>
          </w:p>
        </w:tc>
      </w:tr>
      <w:tr w:rsidR="008858D2" w:rsidRPr="008858D2" w:rsidTr="008858D2">
        <w:trPr>
          <w:trHeight w:val="257"/>
        </w:trPr>
        <w:tc>
          <w:tcPr>
            <w:tcW w:w="2235" w:type="dxa"/>
            <w:vAlign w:val="center"/>
          </w:tcPr>
          <w:p w:rsidR="008858D2" w:rsidRPr="00FF34B1" w:rsidRDefault="008858D2" w:rsidP="00112A28">
            <w:pPr>
              <w:autoSpaceDE w:val="0"/>
              <w:autoSpaceDN w:val="0"/>
              <w:adjustRightInd w:val="0"/>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Estimate of STOP</w:t>
            </w:r>
          </w:p>
        </w:tc>
        <w:tc>
          <w:tcPr>
            <w:tcW w:w="1326" w:type="dxa"/>
            <w:vAlign w:val="bottom"/>
          </w:tcPr>
          <w:p w:rsidR="008858D2" w:rsidRPr="008858D2" w:rsidRDefault="008858D2" w:rsidP="00112A28">
            <w:pPr>
              <w:autoSpaceDE w:val="0"/>
              <w:autoSpaceDN w:val="0"/>
              <w:adjustRightInd w:val="0"/>
              <w:spacing w:after="0"/>
              <w:jc w:val="right"/>
              <w:rPr>
                <w:rFonts w:ascii="Calibri" w:eastAsia="Times New Roman" w:hAnsi="Calibri" w:cs="Times New Roman"/>
                <w:color w:val="000000"/>
                <w:sz w:val="20"/>
                <w:szCs w:val="20"/>
              </w:rPr>
            </w:pPr>
            <w:r w:rsidRPr="008858D2">
              <w:rPr>
                <w:rFonts w:ascii="Calibri" w:hAnsi="Calibri"/>
                <w:color w:val="000000"/>
                <w:sz w:val="20"/>
                <w:szCs w:val="20"/>
              </w:rPr>
              <w:t>62,392</w:t>
            </w:r>
          </w:p>
        </w:tc>
        <w:tc>
          <w:tcPr>
            <w:tcW w:w="1327" w:type="dxa"/>
            <w:vAlign w:val="bottom"/>
          </w:tcPr>
          <w:p w:rsidR="008858D2" w:rsidRPr="008858D2" w:rsidRDefault="008858D2" w:rsidP="00112A28">
            <w:pPr>
              <w:autoSpaceDE w:val="0"/>
              <w:autoSpaceDN w:val="0"/>
              <w:adjustRightInd w:val="0"/>
              <w:spacing w:after="0"/>
              <w:jc w:val="right"/>
              <w:rPr>
                <w:rFonts w:ascii="Calibri" w:eastAsia="Times New Roman" w:hAnsi="Calibri" w:cs="Times New Roman"/>
                <w:color w:val="000000"/>
                <w:sz w:val="20"/>
                <w:szCs w:val="20"/>
              </w:rPr>
            </w:pPr>
            <w:r w:rsidRPr="008858D2">
              <w:rPr>
                <w:rFonts w:ascii="Calibri" w:hAnsi="Calibri"/>
                <w:color w:val="000000"/>
                <w:sz w:val="20"/>
                <w:szCs w:val="20"/>
              </w:rPr>
              <w:t>58,760</w:t>
            </w:r>
          </w:p>
        </w:tc>
        <w:tc>
          <w:tcPr>
            <w:tcW w:w="1327" w:type="dxa"/>
            <w:vAlign w:val="bottom"/>
          </w:tcPr>
          <w:p w:rsidR="008858D2" w:rsidRPr="008858D2" w:rsidRDefault="008858D2" w:rsidP="00112A28">
            <w:pPr>
              <w:autoSpaceDE w:val="0"/>
              <w:autoSpaceDN w:val="0"/>
              <w:adjustRightInd w:val="0"/>
              <w:spacing w:after="0"/>
              <w:jc w:val="right"/>
              <w:rPr>
                <w:rFonts w:ascii="Calibri" w:eastAsia="Times New Roman" w:hAnsi="Calibri" w:cs="Times New Roman"/>
                <w:color w:val="000000"/>
                <w:sz w:val="20"/>
                <w:szCs w:val="20"/>
              </w:rPr>
            </w:pPr>
            <w:r w:rsidRPr="008858D2">
              <w:rPr>
                <w:rFonts w:ascii="Calibri" w:hAnsi="Calibri"/>
                <w:color w:val="000000"/>
                <w:sz w:val="20"/>
                <w:szCs w:val="20"/>
              </w:rPr>
              <w:t>55,033</w:t>
            </w:r>
          </w:p>
        </w:tc>
        <w:tc>
          <w:tcPr>
            <w:tcW w:w="1327" w:type="dxa"/>
            <w:vAlign w:val="bottom"/>
          </w:tcPr>
          <w:p w:rsidR="008858D2" w:rsidRPr="008858D2" w:rsidRDefault="008858D2" w:rsidP="00112A28">
            <w:pPr>
              <w:autoSpaceDE w:val="0"/>
              <w:autoSpaceDN w:val="0"/>
              <w:adjustRightInd w:val="0"/>
              <w:spacing w:after="0"/>
              <w:jc w:val="right"/>
              <w:rPr>
                <w:rFonts w:ascii="Calibri" w:eastAsia="Times New Roman" w:hAnsi="Calibri" w:cs="Times New Roman"/>
                <w:color w:val="000000"/>
                <w:sz w:val="20"/>
                <w:szCs w:val="20"/>
              </w:rPr>
            </w:pPr>
            <w:r w:rsidRPr="008858D2">
              <w:rPr>
                <w:rFonts w:ascii="Calibri" w:hAnsi="Calibri"/>
                <w:color w:val="000000"/>
                <w:sz w:val="20"/>
                <w:szCs w:val="20"/>
              </w:rPr>
              <w:t>51,121</w:t>
            </w:r>
          </w:p>
        </w:tc>
        <w:tc>
          <w:tcPr>
            <w:tcW w:w="1327" w:type="dxa"/>
            <w:vAlign w:val="bottom"/>
          </w:tcPr>
          <w:p w:rsidR="008858D2" w:rsidRPr="008858D2" w:rsidRDefault="008858D2" w:rsidP="00112A28">
            <w:pPr>
              <w:autoSpaceDE w:val="0"/>
              <w:autoSpaceDN w:val="0"/>
              <w:adjustRightInd w:val="0"/>
              <w:spacing w:after="0"/>
              <w:jc w:val="right"/>
              <w:rPr>
                <w:rFonts w:ascii="Calibri" w:eastAsia="Times New Roman" w:hAnsi="Calibri" w:cs="Times New Roman"/>
                <w:color w:val="000000"/>
                <w:sz w:val="20"/>
                <w:szCs w:val="20"/>
              </w:rPr>
            </w:pPr>
            <w:r w:rsidRPr="008858D2">
              <w:rPr>
                <w:rFonts w:ascii="Calibri" w:hAnsi="Calibri"/>
                <w:color w:val="000000"/>
                <w:sz w:val="20"/>
                <w:szCs w:val="20"/>
              </w:rPr>
              <w:t>47,158</w:t>
            </w:r>
          </w:p>
        </w:tc>
      </w:tr>
      <w:tr w:rsidR="008315D6" w:rsidRPr="00CA59C1" w:rsidTr="00112A28">
        <w:trPr>
          <w:trHeight w:val="257"/>
        </w:trPr>
        <w:tc>
          <w:tcPr>
            <w:tcW w:w="8869" w:type="dxa"/>
            <w:gridSpan w:val="6"/>
            <w:vAlign w:val="center"/>
          </w:tcPr>
          <w:p w:rsidR="008315D6" w:rsidRPr="00CA59C1" w:rsidRDefault="008315D6" w:rsidP="008315D6">
            <w:pPr>
              <w:autoSpaceDE w:val="0"/>
              <w:autoSpaceDN w:val="0"/>
              <w:adjustRightInd w:val="0"/>
              <w:spacing w:after="0"/>
              <w:rPr>
                <w:rFonts w:cs="Gotham XNarrow Book"/>
                <w:color w:val="000000"/>
                <w:sz w:val="20"/>
                <w:szCs w:val="20"/>
              </w:rPr>
            </w:pPr>
            <w:r w:rsidRPr="00FF34B1">
              <w:rPr>
                <w:rFonts w:ascii="Calibri" w:eastAsia="Times New Roman" w:hAnsi="Calibri" w:cs="Times New Roman"/>
                <w:color w:val="000000"/>
                <w:sz w:val="20"/>
                <w:szCs w:val="20"/>
              </w:rPr>
              <w:t>Number of women seeking</w:t>
            </w:r>
            <w:r>
              <w:rPr>
                <w:rFonts w:ascii="Calibri" w:eastAsia="Times New Roman" w:hAnsi="Calibri" w:cs="Times New Roman"/>
                <w:color w:val="000000"/>
                <w:sz w:val="20"/>
                <w:szCs w:val="20"/>
              </w:rPr>
              <w:t xml:space="preserve"> first trimester</w:t>
            </w:r>
            <w:r w:rsidRPr="00FF34B1">
              <w:rPr>
                <w:rFonts w:ascii="Calibri" w:eastAsia="Times New Roman" w:hAnsi="Calibri" w:cs="Times New Roman"/>
                <w:color w:val="000000"/>
                <w:sz w:val="20"/>
                <w:szCs w:val="20"/>
              </w:rPr>
              <w:t xml:space="preserve"> TOP </w:t>
            </w:r>
          </w:p>
        </w:tc>
      </w:tr>
      <w:tr w:rsidR="00CC2328" w:rsidRPr="00CA59C1" w:rsidTr="008858D2">
        <w:trPr>
          <w:trHeight w:val="257"/>
        </w:trPr>
        <w:tc>
          <w:tcPr>
            <w:tcW w:w="2235" w:type="dxa"/>
            <w:vAlign w:val="center"/>
          </w:tcPr>
          <w:p w:rsidR="00CC2328" w:rsidRPr="00CA59C1" w:rsidRDefault="00CC2328" w:rsidP="00CC2328">
            <w:pPr>
              <w:autoSpaceDE w:val="0"/>
              <w:autoSpaceDN w:val="0"/>
              <w:adjustRightInd w:val="0"/>
              <w:spacing w:after="0"/>
              <w:rPr>
                <w:rFonts w:cs="Gotham XNarrow Book"/>
                <w:color w:val="000000"/>
                <w:sz w:val="20"/>
                <w:szCs w:val="20"/>
              </w:rPr>
            </w:pPr>
            <w:r w:rsidRPr="00FF34B1">
              <w:rPr>
                <w:rFonts w:ascii="Calibri" w:eastAsia="Times New Roman" w:hAnsi="Calibri" w:cs="Times New Roman"/>
                <w:color w:val="000000"/>
                <w:sz w:val="20"/>
                <w:szCs w:val="20"/>
              </w:rPr>
              <w:t>Rate of first trimester TOP in women aged 15-44 years</w:t>
            </w:r>
          </w:p>
        </w:tc>
        <w:tc>
          <w:tcPr>
            <w:tcW w:w="6634" w:type="dxa"/>
            <w:gridSpan w:val="5"/>
            <w:vAlign w:val="center"/>
          </w:tcPr>
          <w:p w:rsidR="00CC2328" w:rsidRPr="00CA59C1" w:rsidRDefault="00CC2328" w:rsidP="00CC2328">
            <w:pPr>
              <w:autoSpaceDE w:val="0"/>
              <w:autoSpaceDN w:val="0"/>
              <w:adjustRightInd w:val="0"/>
              <w:spacing w:after="0"/>
              <w:jc w:val="center"/>
              <w:rPr>
                <w:rFonts w:cs="Gotham XNarrow Book"/>
                <w:color w:val="000000"/>
                <w:sz w:val="20"/>
                <w:szCs w:val="20"/>
              </w:rPr>
            </w:pPr>
            <w:r w:rsidRPr="00FF34B1">
              <w:rPr>
                <w:rFonts w:ascii="Calibri" w:eastAsia="Times New Roman" w:hAnsi="Calibri" w:cs="Times New Roman"/>
                <w:color w:val="000000"/>
                <w:sz w:val="20"/>
                <w:szCs w:val="20"/>
              </w:rPr>
              <w:t>90% (85% - 95%)</w:t>
            </w:r>
          </w:p>
        </w:tc>
      </w:tr>
      <w:tr w:rsidR="00CF02AC" w:rsidRPr="00CA59C1" w:rsidTr="008858D2">
        <w:trPr>
          <w:trHeight w:val="257"/>
        </w:trPr>
        <w:tc>
          <w:tcPr>
            <w:tcW w:w="2235" w:type="dxa"/>
            <w:vAlign w:val="center"/>
          </w:tcPr>
          <w:p w:rsidR="00CF02AC" w:rsidRDefault="00CF02AC" w:rsidP="008315D6">
            <w:pPr>
              <w:autoSpaceDE w:val="0"/>
              <w:autoSpaceDN w:val="0"/>
              <w:adjustRightInd w:val="0"/>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Number of first trimester TOP</w:t>
            </w:r>
          </w:p>
        </w:tc>
        <w:tc>
          <w:tcPr>
            <w:tcW w:w="1326" w:type="dxa"/>
            <w:vAlign w:val="center"/>
          </w:tcPr>
          <w:p w:rsidR="00CF02AC" w:rsidRPr="00CF02AC" w:rsidRDefault="00CF02AC" w:rsidP="00CF02AC">
            <w:pPr>
              <w:autoSpaceDE w:val="0"/>
              <w:autoSpaceDN w:val="0"/>
              <w:adjustRightInd w:val="0"/>
              <w:spacing w:after="0"/>
              <w:jc w:val="right"/>
              <w:rPr>
                <w:sz w:val="20"/>
                <w:szCs w:val="20"/>
              </w:rPr>
            </w:pPr>
            <w:r w:rsidRPr="00CF02AC">
              <w:rPr>
                <w:rFonts w:ascii="Calibri" w:hAnsi="Calibri"/>
                <w:color w:val="000000"/>
                <w:sz w:val="20"/>
                <w:szCs w:val="20"/>
              </w:rPr>
              <w:t>74,870</w:t>
            </w:r>
          </w:p>
        </w:tc>
        <w:tc>
          <w:tcPr>
            <w:tcW w:w="1327" w:type="dxa"/>
            <w:vAlign w:val="center"/>
          </w:tcPr>
          <w:p w:rsidR="00CF02AC" w:rsidRPr="00CF02AC" w:rsidRDefault="00CF02AC" w:rsidP="00CF02AC">
            <w:pPr>
              <w:autoSpaceDE w:val="0"/>
              <w:autoSpaceDN w:val="0"/>
              <w:adjustRightInd w:val="0"/>
              <w:spacing w:after="0"/>
              <w:jc w:val="right"/>
              <w:rPr>
                <w:sz w:val="20"/>
                <w:szCs w:val="20"/>
              </w:rPr>
            </w:pPr>
            <w:r w:rsidRPr="00CF02AC">
              <w:rPr>
                <w:rFonts w:ascii="Calibri" w:hAnsi="Calibri"/>
                <w:color w:val="000000"/>
                <w:sz w:val="20"/>
                <w:szCs w:val="20"/>
              </w:rPr>
              <w:t>75,549</w:t>
            </w:r>
          </w:p>
        </w:tc>
        <w:tc>
          <w:tcPr>
            <w:tcW w:w="1327" w:type="dxa"/>
            <w:vAlign w:val="center"/>
          </w:tcPr>
          <w:p w:rsidR="00CF02AC" w:rsidRPr="00CF02AC" w:rsidRDefault="00CF02AC" w:rsidP="00CF02AC">
            <w:pPr>
              <w:autoSpaceDE w:val="0"/>
              <w:autoSpaceDN w:val="0"/>
              <w:adjustRightInd w:val="0"/>
              <w:spacing w:after="0"/>
              <w:jc w:val="right"/>
              <w:rPr>
                <w:sz w:val="20"/>
                <w:szCs w:val="20"/>
              </w:rPr>
            </w:pPr>
            <w:r w:rsidRPr="00CF02AC">
              <w:rPr>
                <w:rFonts w:ascii="Calibri" w:hAnsi="Calibri"/>
                <w:color w:val="000000"/>
                <w:sz w:val="20"/>
                <w:szCs w:val="20"/>
              </w:rPr>
              <w:t>76,199</w:t>
            </w:r>
          </w:p>
        </w:tc>
        <w:tc>
          <w:tcPr>
            <w:tcW w:w="1327" w:type="dxa"/>
            <w:vAlign w:val="center"/>
          </w:tcPr>
          <w:p w:rsidR="00CF02AC" w:rsidRPr="00CF02AC" w:rsidRDefault="00CF02AC" w:rsidP="00CF02AC">
            <w:pPr>
              <w:autoSpaceDE w:val="0"/>
              <w:autoSpaceDN w:val="0"/>
              <w:adjustRightInd w:val="0"/>
              <w:spacing w:after="0"/>
              <w:jc w:val="right"/>
              <w:rPr>
                <w:sz w:val="20"/>
                <w:szCs w:val="20"/>
              </w:rPr>
            </w:pPr>
            <w:r w:rsidRPr="00CF02AC">
              <w:rPr>
                <w:rFonts w:ascii="Calibri" w:hAnsi="Calibri"/>
                <w:color w:val="000000"/>
                <w:sz w:val="20"/>
                <w:szCs w:val="20"/>
              </w:rPr>
              <w:t>76,682</w:t>
            </w:r>
          </w:p>
        </w:tc>
        <w:tc>
          <w:tcPr>
            <w:tcW w:w="1327" w:type="dxa"/>
            <w:vAlign w:val="center"/>
          </w:tcPr>
          <w:p w:rsidR="00CF02AC" w:rsidRPr="00CF02AC" w:rsidRDefault="00CF02AC" w:rsidP="00CF02AC">
            <w:pPr>
              <w:autoSpaceDE w:val="0"/>
              <w:autoSpaceDN w:val="0"/>
              <w:adjustRightInd w:val="0"/>
              <w:spacing w:after="0"/>
              <w:jc w:val="right"/>
              <w:rPr>
                <w:sz w:val="20"/>
                <w:szCs w:val="20"/>
              </w:rPr>
            </w:pPr>
            <w:r w:rsidRPr="00CF02AC">
              <w:rPr>
                <w:rFonts w:ascii="Calibri" w:hAnsi="Calibri"/>
                <w:color w:val="000000"/>
                <w:sz w:val="20"/>
                <w:szCs w:val="20"/>
              </w:rPr>
              <w:t>77,167</w:t>
            </w:r>
          </w:p>
        </w:tc>
      </w:tr>
      <w:tr w:rsidR="009242D4" w:rsidRPr="00CA59C1" w:rsidTr="008858D2">
        <w:trPr>
          <w:trHeight w:val="257"/>
        </w:trPr>
        <w:tc>
          <w:tcPr>
            <w:tcW w:w="2235" w:type="dxa"/>
            <w:vAlign w:val="center"/>
          </w:tcPr>
          <w:p w:rsidR="009242D4" w:rsidRPr="00FF34B1" w:rsidRDefault="009242D4" w:rsidP="00112A28">
            <w:pPr>
              <w:autoSpaceDE w:val="0"/>
              <w:autoSpaceDN w:val="0"/>
              <w:adjustRightInd w:val="0"/>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Estimate of MTOP</w:t>
            </w:r>
          </w:p>
        </w:tc>
        <w:tc>
          <w:tcPr>
            <w:tcW w:w="1326" w:type="dxa"/>
          </w:tcPr>
          <w:p w:rsidR="009242D4" w:rsidRPr="00CF02AC" w:rsidRDefault="009242D4" w:rsidP="00112A28">
            <w:pPr>
              <w:autoSpaceDE w:val="0"/>
              <w:autoSpaceDN w:val="0"/>
              <w:adjustRightInd w:val="0"/>
              <w:spacing w:after="0"/>
              <w:jc w:val="right"/>
              <w:rPr>
                <w:rFonts w:ascii="Calibri" w:eastAsia="Times New Roman" w:hAnsi="Calibri" w:cs="Times New Roman"/>
                <w:color w:val="000000"/>
                <w:sz w:val="20"/>
                <w:szCs w:val="20"/>
              </w:rPr>
            </w:pPr>
            <w:r w:rsidRPr="00CF02AC">
              <w:rPr>
                <w:sz w:val="20"/>
                <w:szCs w:val="20"/>
              </w:rPr>
              <w:t>18,717</w:t>
            </w:r>
          </w:p>
        </w:tc>
        <w:tc>
          <w:tcPr>
            <w:tcW w:w="1327" w:type="dxa"/>
          </w:tcPr>
          <w:p w:rsidR="009242D4" w:rsidRPr="00CF02AC" w:rsidRDefault="009242D4" w:rsidP="00112A28">
            <w:pPr>
              <w:autoSpaceDE w:val="0"/>
              <w:autoSpaceDN w:val="0"/>
              <w:adjustRightInd w:val="0"/>
              <w:spacing w:after="0"/>
              <w:jc w:val="right"/>
              <w:rPr>
                <w:rFonts w:ascii="Calibri" w:eastAsia="Times New Roman" w:hAnsi="Calibri" w:cs="Times New Roman"/>
                <w:color w:val="000000"/>
                <w:sz w:val="20"/>
                <w:szCs w:val="20"/>
              </w:rPr>
            </w:pPr>
            <w:r w:rsidRPr="00CF02AC">
              <w:rPr>
                <w:sz w:val="20"/>
                <w:szCs w:val="20"/>
              </w:rPr>
              <w:t>22,665</w:t>
            </w:r>
          </w:p>
        </w:tc>
        <w:tc>
          <w:tcPr>
            <w:tcW w:w="1327" w:type="dxa"/>
          </w:tcPr>
          <w:p w:rsidR="009242D4" w:rsidRPr="00CF02AC" w:rsidRDefault="009242D4" w:rsidP="00112A28">
            <w:pPr>
              <w:autoSpaceDE w:val="0"/>
              <w:autoSpaceDN w:val="0"/>
              <w:adjustRightInd w:val="0"/>
              <w:spacing w:after="0"/>
              <w:jc w:val="right"/>
              <w:rPr>
                <w:rFonts w:ascii="Calibri" w:eastAsia="Times New Roman" w:hAnsi="Calibri" w:cs="Times New Roman"/>
                <w:color w:val="000000"/>
                <w:sz w:val="20"/>
                <w:szCs w:val="20"/>
              </w:rPr>
            </w:pPr>
            <w:r w:rsidRPr="00CF02AC">
              <w:rPr>
                <w:sz w:val="20"/>
                <w:szCs w:val="20"/>
              </w:rPr>
              <w:t>26,670</w:t>
            </w:r>
          </w:p>
        </w:tc>
        <w:tc>
          <w:tcPr>
            <w:tcW w:w="1327" w:type="dxa"/>
          </w:tcPr>
          <w:p w:rsidR="009242D4" w:rsidRPr="00CF02AC" w:rsidRDefault="009242D4" w:rsidP="00112A28">
            <w:pPr>
              <w:autoSpaceDE w:val="0"/>
              <w:autoSpaceDN w:val="0"/>
              <w:adjustRightInd w:val="0"/>
              <w:spacing w:after="0"/>
              <w:jc w:val="right"/>
              <w:rPr>
                <w:rFonts w:ascii="Calibri" w:eastAsia="Times New Roman" w:hAnsi="Calibri" w:cs="Times New Roman"/>
                <w:color w:val="000000"/>
                <w:sz w:val="20"/>
                <w:szCs w:val="20"/>
              </w:rPr>
            </w:pPr>
            <w:r w:rsidRPr="00CF02AC">
              <w:rPr>
                <w:sz w:val="20"/>
                <w:szCs w:val="20"/>
              </w:rPr>
              <w:t>30,673</w:t>
            </w:r>
          </w:p>
        </w:tc>
        <w:tc>
          <w:tcPr>
            <w:tcW w:w="1327" w:type="dxa"/>
          </w:tcPr>
          <w:p w:rsidR="009242D4" w:rsidRPr="00CF02AC" w:rsidRDefault="009242D4" w:rsidP="00112A28">
            <w:pPr>
              <w:autoSpaceDE w:val="0"/>
              <w:autoSpaceDN w:val="0"/>
              <w:adjustRightInd w:val="0"/>
              <w:spacing w:after="0"/>
              <w:jc w:val="right"/>
              <w:rPr>
                <w:rFonts w:ascii="Calibri" w:eastAsia="Times New Roman" w:hAnsi="Calibri" w:cs="Times New Roman"/>
                <w:color w:val="000000"/>
                <w:sz w:val="20"/>
                <w:szCs w:val="20"/>
              </w:rPr>
            </w:pPr>
            <w:r w:rsidRPr="00CF02AC">
              <w:rPr>
                <w:sz w:val="20"/>
                <w:szCs w:val="20"/>
              </w:rPr>
              <w:t>34,725</w:t>
            </w:r>
          </w:p>
        </w:tc>
      </w:tr>
      <w:tr w:rsidR="009242D4" w:rsidRPr="00CA59C1" w:rsidTr="008858D2">
        <w:trPr>
          <w:trHeight w:val="257"/>
        </w:trPr>
        <w:tc>
          <w:tcPr>
            <w:tcW w:w="2235" w:type="dxa"/>
            <w:vAlign w:val="center"/>
          </w:tcPr>
          <w:p w:rsidR="009242D4" w:rsidRPr="00FF34B1" w:rsidRDefault="009242D4" w:rsidP="00112A28">
            <w:pPr>
              <w:autoSpaceDE w:val="0"/>
              <w:autoSpaceDN w:val="0"/>
              <w:adjustRightInd w:val="0"/>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Estimate of STOP</w:t>
            </w:r>
          </w:p>
        </w:tc>
        <w:tc>
          <w:tcPr>
            <w:tcW w:w="1326" w:type="dxa"/>
          </w:tcPr>
          <w:p w:rsidR="009242D4" w:rsidRPr="00CF02AC" w:rsidRDefault="009242D4" w:rsidP="00112A28">
            <w:pPr>
              <w:autoSpaceDE w:val="0"/>
              <w:autoSpaceDN w:val="0"/>
              <w:adjustRightInd w:val="0"/>
              <w:spacing w:after="0"/>
              <w:jc w:val="right"/>
              <w:rPr>
                <w:rFonts w:ascii="Calibri" w:eastAsia="Times New Roman" w:hAnsi="Calibri" w:cs="Times New Roman"/>
                <w:color w:val="000000"/>
                <w:sz w:val="20"/>
                <w:szCs w:val="20"/>
              </w:rPr>
            </w:pPr>
            <w:r w:rsidRPr="00CF02AC">
              <w:rPr>
                <w:sz w:val="20"/>
                <w:szCs w:val="20"/>
              </w:rPr>
              <w:t>56,152</w:t>
            </w:r>
          </w:p>
        </w:tc>
        <w:tc>
          <w:tcPr>
            <w:tcW w:w="1327" w:type="dxa"/>
          </w:tcPr>
          <w:p w:rsidR="009242D4" w:rsidRPr="00CF02AC" w:rsidRDefault="009242D4" w:rsidP="00112A28">
            <w:pPr>
              <w:autoSpaceDE w:val="0"/>
              <w:autoSpaceDN w:val="0"/>
              <w:adjustRightInd w:val="0"/>
              <w:spacing w:after="0"/>
              <w:jc w:val="right"/>
              <w:rPr>
                <w:rFonts w:ascii="Calibri" w:eastAsia="Times New Roman" w:hAnsi="Calibri" w:cs="Times New Roman"/>
                <w:color w:val="000000"/>
                <w:sz w:val="20"/>
                <w:szCs w:val="20"/>
              </w:rPr>
            </w:pPr>
            <w:r w:rsidRPr="00CF02AC">
              <w:rPr>
                <w:sz w:val="20"/>
                <w:szCs w:val="20"/>
              </w:rPr>
              <w:t>52,884</w:t>
            </w:r>
          </w:p>
        </w:tc>
        <w:tc>
          <w:tcPr>
            <w:tcW w:w="1327" w:type="dxa"/>
          </w:tcPr>
          <w:p w:rsidR="009242D4" w:rsidRPr="00CF02AC" w:rsidRDefault="009242D4" w:rsidP="00112A28">
            <w:pPr>
              <w:autoSpaceDE w:val="0"/>
              <w:autoSpaceDN w:val="0"/>
              <w:adjustRightInd w:val="0"/>
              <w:spacing w:after="0"/>
              <w:jc w:val="right"/>
              <w:rPr>
                <w:rFonts w:ascii="Calibri" w:eastAsia="Times New Roman" w:hAnsi="Calibri" w:cs="Times New Roman"/>
                <w:color w:val="000000"/>
                <w:sz w:val="20"/>
                <w:szCs w:val="20"/>
              </w:rPr>
            </w:pPr>
            <w:r w:rsidRPr="00CF02AC">
              <w:rPr>
                <w:sz w:val="20"/>
                <w:szCs w:val="20"/>
              </w:rPr>
              <w:t>49,529</w:t>
            </w:r>
          </w:p>
        </w:tc>
        <w:tc>
          <w:tcPr>
            <w:tcW w:w="1327" w:type="dxa"/>
          </w:tcPr>
          <w:p w:rsidR="009242D4" w:rsidRPr="00CF02AC" w:rsidRDefault="009242D4" w:rsidP="00112A28">
            <w:pPr>
              <w:autoSpaceDE w:val="0"/>
              <w:autoSpaceDN w:val="0"/>
              <w:adjustRightInd w:val="0"/>
              <w:spacing w:after="0"/>
              <w:jc w:val="right"/>
              <w:rPr>
                <w:rFonts w:ascii="Calibri" w:eastAsia="Times New Roman" w:hAnsi="Calibri" w:cs="Times New Roman"/>
                <w:color w:val="000000"/>
                <w:sz w:val="20"/>
                <w:szCs w:val="20"/>
              </w:rPr>
            </w:pPr>
            <w:r w:rsidRPr="00CF02AC">
              <w:rPr>
                <w:sz w:val="20"/>
                <w:szCs w:val="20"/>
              </w:rPr>
              <w:t>46,009</w:t>
            </w:r>
          </w:p>
        </w:tc>
        <w:tc>
          <w:tcPr>
            <w:tcW w:w="1327" w:type="dxa"/>
          </w:tcPr>
          <w:p w:rsidR="009242D4" w:rsidRPr="00CF02AC" w:rsidRDefault="009242D4" w:rsidP="00112A28">
            <w:pPr>
              <w:autoSpaceDE w:val="0"/>
              <w:autoSpaceDN w:val="0"/>
              <w:adjustRightInd w:val="0"/>
              <w:spacing w:after="0"/>
              <w:jc w:val="right"/>
              <w:rPr>
                <w:rFonts w:ascii="Calibri" w:eastAsia="Times New Roman" w:hAnsi="Calibri" w:cs="Times New Roman"/>
                <w:color w:val="000000"/>
                <w:sz w:val="20"/>
                <w:szCs w:val="20"/>
              </w:rPr>
            </w:pPr>
            <w:r w:rsidRPr="00CF02AC">
              <w:rPr>
                <w:sz w:val="20"/>
                <w:szCs w:val="20"/>
              </w:rPr>
              <w:t>42,442</w:t>
            </w:r>
          </w:p>
        </w:tc>
      </w:tr>
      <w:tr w:rsidR="00CF02AC" w:rsidRPr="00CA59C1" w:rsidTr="00112A28">
        <w:trPr>
          <w:trHeight w:val="257"/>
        </w:trPr>
        <w:tc>
          <w:tcPr>
            <w:tcW w:w="8869" w:type="dxa"/>
            <w:gridSpan w:val="6"/>
            <w:vAlign w:val="center"/>
          </w:tcPr>
          <w:p w:rsidR="00CF02AC" w:rsidRPr="00CA59C1" w:rsidRDefault="00CF02AC" w:rsidP="00112A28">
            <w:pPr>
              <w:autoSpaceDE w:val="0"/>
              <w:autoSpaceDN w:val="0"/>
              <w:adjustRightInd w:val="0"/>
              <w:spacing w:after="0"/>
              <w:rPr>
                <w:rFonts w:cs="Gotham XNarrow Book"/>
                <w:color w:val="000000"/>
                <w:sz w:val="20"/>
                <w:szCs w:val="20"/>
              </w:rPr>
            </w:pPr>
            <w:r w:rsidRPr="00FF34B1">
              <w:rPr>
                <w:rFonts w:ascii="Calibri" w:eastAsia="Times New Roman" w:hAnsi="Calibri" w:cs="Times New Roman"/>
                <w:color w:val="000000"/>
                <w:sz w:val="20"/>
                <w:szCs w:val="20"/>
              </w:rPr>
              <w:t>Number of women seeking TOP at &lt;50 days</w:t>
            </w:r>
            <w:r w:rsidR="002A07F7">
              <w:rPr>
                <w:rFonts w:ascii="Calibri" w:eastAsia="Times New Roman" w:hAnsi="Calibri" w:cs="Times New Roman"/>
                <w:color w:val="000000"/>
                <w:sz w:val="20"/>
                <w:szCs w:val="20"/>
              </w:rPr>
              <w:t>’</w:t>
            </w:r>
            <w:r w:rsidRPr="00FF34B1">
              <w:rPr>
                <w:rFonts w:ascii="Calibri" w:eastAsia="Times New Roman" w:hAnsi="Calibri" w:cs="Times New Roman"/>
                <w:color w:val="000000"/>
                <w:sz w:val="20"/>
                <w:szCs w:val="20"/>
              </w:rPr>
              <w:t xml:space="preserve"> gestation each year</w:t>
            </w:r>
          </w:p>
        </w:tc>
      </w:tr>
      <w:tr w:rsidR="00CC2328" w:rsidRPr="00CA59C1" w:rsidTr="008858D2">
        <w:trPr>
          <w:trHeight w:val="257"/>
        </w:trPr>
        <w:tc>
          <w:tcPr>
            <w:tcW w:w="2235" w:type="dxa"/>
            <w:vAlign w:val="center"/>
          </w:tcPr>
          <w:p w:rsidR="00CC2328" w:rsidRPr="00CA59C1" w:rsidRDefault="00CC2328" w:rsidP="00CC2328">
            <w:pPr>
              <w:autoSpaceDE w:val="0"/>
              <w:autoSpaceDN w:val="0"/>
              <w:adjustRightInd w:val="0"/>
              <w:spacing w:after="0"/>
              <w:rPr>
                <w:rFonts w:cs="Gotham XNarrow Book"/>
                <w:color w:val="000000"/>
                <w:sz w:val="20"/>
                <w:szCs w:val="20"/>
              </w:rPr>
            </w:pPr>
            <w:r w:rsidRPr="00FF34B1">
              <w:rPr>
                <w:rFonts w:ascii="Calibri" w:eastAsia="Times New Roman" w:hAnsi="Calibri" w:cs="Times New Roman"/>
                <w:color w:val="000000"/>
                <w:sz w:val="20"/>
                <w:szCs w:val="20"/>
              </w:rPr>
              <w:t>Proportion of first trimester TOPs at ≤49 days</w:t>
            </w:r>
            <w:r w:rsidR="002A07F7">
              <w:rPr>
                <w:rFonts w:ascii="Calibri" w:eastAsia="Times New Roman" w:hAnsi="Calibri" w:cs="Times New Roman"/>
                <w:color w:val="000000"/>
                <w:sz w:val="20"/>
                <w:szCs w:val="20"/>
              </w:rPr>
              <w:t>’</w:t>
            </w:r>
            <w:r w:rsidRPr="00FF34B1">
              <w:rPr>
                <w:rFonts w:ascii="Calibri" w:eastAsia="Times New Roman" w:hAnsi="Calibri" w:cs="Times New Roman"/>
                <w:color w:val="000000"/>
                <w:sz w:val="20"/>
                <w:szCs w:val="20"/>
              </w:rPr>
              <w:t xml:space="preserve"> gestation</w:t>
            </w:r>
          </w:p>
        </w:tc>
        <w:tc>
          <w:tcPr>
            <w:tcW w:w="6634" w:type="dxa"/>
            <w:gridSpan w:val="5"/>
            <w:vAlign w:val="center"/>
          </w:tcPr>
          <w:p w:rsidR="00CC2328" w:rsidRPr="00CA59C1" w:rsidRDefault="00CC2328" w:rsidP="00CC2328">
            <w:pPr>
              <w:autoSpaceDE w:val="0"/>
              <w:autoSpaceDN w:val="0"/>
              <w:adjustRightInd w:val="0"/>
              <w:spacing w:after="0"/>
              <w:jc w:val="center"/>
              <w:rPr>
                <w:rFonts w:cs="Gotham XNarrow Book"/>
                <w:color w:val="000000"/>
                <w:sz w:val="20"/>
                <w:szCs w:val="20"/>
              </w:rPr>
            </w:pPr>
            <w:r w:rsidRPr="00FF34B1">
              <w:rPr>
                <w:rFonts w:ascii="Calibri" w:eastAsia="Times New Roman" w:hAnsi="Calibri" w:cs="Times New Roman"/>
                <w:color w:val="000000"/>
                <w:sz w:val="20"/>
                <w:szCs w:val="20"/>
              </w:rPr>
              <w:t>85% (75% - 95%)</w:t>
            </w:r>
          </w:p>
        </w:tc>
      </w:tr>
      <w:tr w:rsidR="00CC2328" w:rsidRPr="00CA59C1" w:rsidTr="008858D2">
        <w:trPr>
          <w:trHeight w:val="257"/>
        </w:trPr>
        <w:tc>
          <w:tcPr>
            <w:tcW w:w="2235" w:type="dxa"/>
            <w:vAlign w:val="center"/>
          </w:tcPr>
          <w:p w:rsidR="00CC2328" w:rsidRPr="00CA59C1" w:rsidRDefault="00CC2328" w:rsidP="00CC2328">
            <w:pPr>
              <w:autoSpaceDE w:val="0"/>
              <w:autoSpaceDN w:val="0"/>
              <w:adjustRightInd w:val="0"/>
              <w:spacing w:after="0"/>
              <w:rPr>
                <w:rFonts w:cs="Gotham XNarrow Book"/>
                <w:color w:val="000000"/>
                <w:sz w:val="20"/>
                <w:szCs w:val="20"/>
              </w:rPr>
            </w:pPr>
            <w:r w:rsidRPr="00CA59C1">
              <w:rPr>
                <w:rFonts w:cs="Gotham XNarrow Book"/>
                <w:color w:val="000000"/>
                <w:sz w:val="20"/>
                <w:szCs w:val="20"/>
              </w:rPr>
              <w:t xml:space="preserve">TOPs at </w:t>
            </w:r>
            <w:r w:rsidRPr="00CA59C1">
              <w:rPr>
                <w:rFonts w:cs="Courier New"/>
                <w:color w:val="000000"/>
                <w:sz w:val="20"/>
                <w:szCs w:val="20"/>
              </w:rPr>
              <w:t>≤</w:t>
            </w:r>
            <w:r w:rsidRPr="00CA59C1">
              <w:rPr>
                <w:rFonts w:cs="Gotham XNarrow Book"/>
                <w:color w:val="000000"/>
                <w:sz w:val="20"/>
                <w:szCs w:val="20"/>
              </w:rPr>
              <w:t>49 days</w:t>
            </w:r>
            <w:r w:rsidR="002A07F7">
              <w:rPr>
                <w:rFonts w:cs="Gotham XNarrow Book"/>
                <w:color w:val="000000"/>
                <w:sz w:val="20"/>
                <w:szCs w:val="20"/>
              </w:rPr>
              <w:t>’</w:t>
            </w:r>
            <w:r w:rsidRPr="00CA59C1">
              <w:rPr>
                <w:rFonts w:cs="Gotham XNarrow Book"/>
                <w:color w:val="000000"/>
                <w:sz w:val="20"/>
                <w:szCs w:val="20"/>
              </w:rPr>
              <w:t xml:space="preserve"> gestation </w:t>
            </w:r>
          </w:p>
        </w:tc>
        <w:tc>
          <w:tcPr>
            <w:tcW w:w="1326" w:type="dxa"/>
            <w:vAlign w:val="center"/>
          </w:tcPr>
          <w:p w:rsidR="00CC2328" w:rsidRPr="00CA59C1" w:rsidRDefault="00CC2328" w:rsidP="00CC2328">
            <w:pPr>
              <w:autoSpaceDE w:val="0"/>
              <w:autoSpaceDN w:val="0"/>
              <w:adjustRightInd w:val="0"/>
              <w:spacing w:after="0"/>
              <w:jc w:val="right"/>
              <w:rPr>
                <w:rFonts w:cs="Gotham XNarrow Book"/>
                <w:color w:val="000000"/>
                <w:sz w:val="20"/>
                <w:szCs w:val="20"/>
              </w:rPr>
            </w:pPr>
            <w:r w:rsidRPr="00CA59C1">
              <w:rPr>
                <w:rFonts w:cs="Gotham XNarrow Book"/>
                <w:color w:val="000000"/>
                <w:sz w:val="20"/>
                <w:szCs w:val="20"/>
              </w:rPr>
              <w:t xml:space="preserve">63,639 </w:t>
            </w:r>
          </w:p>
        </w:tc>
        <w:tc>
          <w:tcPr>
            <w:tcW w:w="1327" w:type="dxa"/>
            <w:vAlign w:val="center"/>
          </w:tcPr>
          <w:p w:rsidR="00CC2328" w:rsidRPr="00CA59C1" w:rsidRDefault="00CC2328" w:rsidP="00CC2328">
            <w:pPr>
              <w:autoSpaceDE w:val="0"/>
              <w:autoSpaceDN w:val="0"/>
              <w:adjustRightInd w:val="0"/>
              <w:spacing w:after="0"/>
              <w:jc w:val="right"/>
              <w:rPr>
                <w:rFonts w:cs="Gotham XNarrow Book"/>
                <w:color w:val="000000"/>
                <w:sz w:val="20"/>
                <w:szCs w:val="20"/>
              </w:rPr>
            </w:pPr>
            <w:r w:rsidRPr="00CA59C1">
              <w:rPr>
                <w:rFonts w:cs="Gotham XNarrow Book"/>
                <w:color w:val="000000"/>
                <w:sz w:val="20"/>
                <w:szCs w:val="20"/>
              </w:rPr>
              <w:t xml:space="preserve">64,217 </w:t>
            </w:r>
          </w:p>
        </w:tc>
        <w:tc>
          <w:tcPr>
            <w:tcW w:w="1327" w:type="dxa"/>
            <w:vAlign w:val="center"/>
          </w:tcPr>
          <w:p w:rsidR="00CC2328" w:rsidRPr="00CA59C1" w:rsidRDefault="00CC2328" w:rsidP="00CC2328">
            <w:pPr>
              <w:autoSpaceDE w:val="0"/>
              <w:autoSpaceDN w:val="0"/>
              <w:adjustRightInd w:val="0"/>
              <w:spacing w:after="0"/>
              <w:jc w:val="right"/>
              <w:rPr>
                <w:rFonts w:cs="Gotham XNarrow Book"/>
                <w:color w:val="000000"/>
                <w:sz w:val="20"/>
                <w:szCs w:val="20"/>
              </w:rPr>
            </w:pPr>
            <w:r w:rsidRPr="00CA59C1">
              <w:rPr>
                <w:rFonts w:cs="Gotham XNarrow Book"/>
                <w:color w:val="000000"/>
                <w:sz w:val="20"/>
                <w:szCs w:val="20"/>
              </w:rPr>
              <w:t xml:space="preserve">64,769 </w:t>
            </w:r>
          </w:p>
        </w:tc>
        <w:tc>
          <w:tcPr>
            <w:tcW w:w="1327" w:type="dxa"/>
            <w:vAlign w:val="center"/>
          </w:tcPr>
          <w:p w:rsidR="00CC2328" w:rsidRPr="00CA59C1" w:rsidRDefault="00CC2328" w:rsidP="00CC2328">
            <w:pPr>
              <w:autoSpaceDE w:val="0"/>
              <w:autoSpaceDN w:val="0"/>
              <w:adjustRightInd w:val="0"/>
              <w:spacing w:after="0"/>
              <w:jc w:val="right"/>
              <w:rPr>
                <w:rFonts w:cs="Gotham XNarrow Book"/>
                <w:color w:val="000000"/>
                <w:sz w:val="20"/>
                <w:szCs w:val="20"/>
              </w:rPr>
            </w:pPr>
            <w:r w:rsidRPr="00CA59C1">
              <w:rPr>
                <w:rFonts w:cs="Gotham XNarrow Book"/>
                <w:color w:val="000000"/>
                <w:sz w:val="20"/>
                <w:szCs w:val="20"/>
              </w:rPr>
              <w:t xml:space="preserve">65,180 </w:t>
            </w:r>
          </w:p>
        </w:tc>
        <w:tc>
          <w:tcPr>
            <w:tcW w:w="1327" w:type="dxa"/>
            <w:vAlign w:val="center"/>
          </w:tcPr>
          <w:p w:rsidR="00CC2328" w:rsidRPr="00CA59C1" w:rsidRDefault="00CC2328" w:rsidP="00CC2328">
            <w:pPr>
              <w:autoSpaceDE w:val="0"/>
              <w:autoSpaceDN w:val="0"/>
              <w:adjustRightInd w:val="0"/>
              <w:spacing w:after="0"/>
              <w:jc w:val="right"/>
              <w:rPr>
                <w:rFonts w:cs="Gotham XNarrow Book"/>
                <w:color w:val="000000"/>
                <w:sz w:val="20"/>
                <w:szCs w:val="20"/>
              </w:rPr>
            </w:pPr>
            <w:r w:rsidRPr="00CA59C1">
              <w:rPr>
                <w:rFonts w:cs="Gotham XNarrow Book"/>
                <w:color w:val="000000"/>
                <w:sz w:val="20"/>
                <w:szCs w:val="20"/>
              </w:rPr>
              <w:t xml:space="preserve">65,592 </w:t>
            </w:r>
          </w:p>
        </w:tc>
      </w:tr>
      <w:tr w:rsidR="00CC2328" w:rsidRPr="00CA59C1" w:rsidTr="008858D2">
        <w:trPr>
          <w:trHeight w:val="247"/>
        </w:trPr>
        <w:tc>
          <w:tcPr>
            <w:tcW w:w="2235" w:type="dxa"/>
            <w:vAlign w:val="center"/>
          </w:tcPr>
          <w:p w:rsidR="00CC2328" w:rsidRPr="00CA59C1" w:rsidRDefault="005507BF" w:rsidP="00CC2328">
            <w:pPr>
              <w:autoSpaceDE w:val="0"/>
              <w:autoSpaceDN w:val="0"/>
              <w:adjustRightInd w:val="0"/>
              <w:spacing w:after="0"/>
              <w:rPr>
                <w:rFonts w:cs="Gotham XNarrow Book"/>
                <w:color w:val="000000"/>
                <w:sz w:val="20"/>
                <w:szCs w:val="20"/>
              </w:rPr>
            </w:pPr>
            <w:r>
              <w:rPr>
                <w:rFonts w:ascii="Calibri" w:eastAsia="Times New Roman" w:hAnsi="Calibri" w:cs="Times New Roman"/>
                <w:color w:val="000000"/>
                <w:sz w:val="20"/>
                <w:szCs w:val="20"/>
              </w:rPr>
              <w:t>Estimate of MTOP</w:t>
            </w:r>
          </w:p>
        </w:tc>
        <w:tc>
          <w:tcPr>
            <w:tcW w:w="1326" w:type="dxa"/>
            <w:vAlign w:val="center"/>
          </w:tcPr>
          <w:p w:rsidR="00CC2328" w:rsidRPr="00CA59C1" w:rsidRDefault="00CC2328" w:rsidP="00CC2328">
            <w:pPr>
              <w:autoSpaceDE w:val="0"/>
              <w:autoSpaceDN w:val="0"/>
              <w:adjustRightInd w:val="0"/>
              <w:spacing w:after="0"/>
              <w:jc w:val="right"/>
              <w:rPr>
                <w:rFonts w:cs="Gotham XNarrow Book"/>
                <w:color w:val="000000"/>
                <w:sz w:val="20"/>
                <w:szCs w:val="20"/>
              </w:rPr>
            </w:pPr>
            <w:r w:rsidRPr="008D4107">
              <w:rPr>
                <w:rFonts w:ascii="Calibri" w:eastAsia="Times New Roman" w:hAnsi="Calibri" w:cs="Times New Roman"/>
                <w:sz w:val="20"/>
                <w:szCs w:val="20"/>
              </w:rPr>
              <w:t xml:space="preserve"> 15,910 </w:t>
            </w:r>
          </w:p>
        </w:tc>
        <w:tc>
          <w:tcPr>
            <w:tcW w:w="1327" w:type="dxa"/>
            <w:vAlign w:val="center"/>
          </w:tcPr>
          <w:p w:rsidR="00CC2328" w:rsidRPr="00CA59C1" w:rsidRDefault="00CC2328" w:rsidP="00CC2328">
            <w:pPr>
              <w:autoSpaceDE w:val="0"/>
              <w:autoSpaceDN w:val="0"/>
              <w:adjustRightInd w:val="0"/>
              <w:spacing w:after="0"/>
              <w:jc w:val="right"/>
              <w:rPr>
                <w:rFonts w:cs="Gotham XNarrow Book"/>
                <w:color w:val="000000"/>
                <w:sz w:val="20"/>
                <w:szCs w:val="20"/>
              </w:rPr>
            </w:pPr>
            <w:r w:rsidRPr="008D4107">
              <w:rPr>
                <w:rFonts w:ascii="Calibri" w:eastAsia="Times New Roman" w:hAnsi="Calibri" w:cs="Times New Roman"/>
                <w:sz w:val="20"/>
                <w:szCs w:val="20"/>
              </w:rPr>
              <w:t xml:space="preserve">19,265 </w:t>
            </w:r>
          </w:p>
        </w:tc>
        <w:tc>
          <w:tcPr>
            <w:tcW w:w="1327" w:type="dxa"/>
            <w:vAlign w:val="center"/>
          </w:tcPr>
          <w:p w:rsidR="00CC2328" w:rsidRPr="00CA59C1" w:rsidRDefault="00CC2328" w:rsidP="00CC2328">
            <w:pPr>
              <w:autoSpaceDE w:val="0"/>
              <w:autoSpaceDN w:val="0"/>
              <w:adjustRightInd w:val="0"/>
              <w:spacing w:after="0"/>
              <w:jc w:val="right"/>
              <w:rPr>
                <w:rFonts w:cs="Gotham XNarrow Book"/>
                <w:color w:val="000000"/>
                <w:sz w:val="20"/>
                <w:szCs w:val="20"/>
              </w:rPr>
            </w:pPr>
            <w:r w:rsidRPr="008D4107">
              <w:rPr>
                <w:rFonts w:ascii="Calibri" w:eastAsia="Times New Roman" w:hAnsi="Calibri" w:cs="Times New Roman"/>
                <w:sz w:val="20"/>
                <w:szCs w:val="20"/>
              </w:rPr>
              <w:t xml:space="preserve">22,669 </w:t>
            </w:r>
          </w:p>
        </w:tc>
        <w:tc>
          <w:tcPr>
            <w:tcW w:w="1327" w:type="dxa"/>
            <w:vAlign w:val="center"/>
          </w:tcPr>
          <w:p w:rsidR="00CC2328" w:rsidRPr="00CA59C1" w:rsidRDefault="00CC2328" w:rsidP="00CC2328">
            <w:pPr>
              <w:autoSpaceDE w:val="0"/>
              <w:autoSpaceDN w:val="0"/>
              <w:adjustRightInd w:val="0"/>
              <w:spacing w:after="0"/>
              <w:jc w:val="right"/>
              <w:rPr>
                <w:rFonts w:cs="Gotham XNarrow Book"/>
                <w:color w:val="000000"/>
                <w:sz w:val="20"/>
                <w:szCs w:val="20"/>
              </w:rPr>
            </w:pPr>
            <w:r w:rsidRPr="008D4107">
              <w:rPr>
                <w:rFonts w:ascii="Calibri" w:eastAsia="Times New Roman" w:hAnsi="Calibri" w:cs="Times New Roman"/>
                <w:sz w:val="20"/>
                <w:szCs w:val="20"/>
              </w:rPr>
              <w:t xml:space="preserve">26,072 </w:t>
            </w:r>
          </w:p>
        </w:tc>
        <w:tc>
          <w:tcPr>
            <w:tcW w:w="1327" w:type="dxa"/>
            <w:vAlign w:val="center"/>
          </w:tcPr>
          <w:p w:rsidR="00CC2328" w:rsidRPr="00CA59C1" w:rsidRDefault="00CC2328" w:rsidP="00CC2328">
            <w:pPr>
              <w:autoSpaceDE w:val="0"/>
              <w:autoSpaceDN w:val="0"/>
              <w:adjustRightInd w:val="0"/>
              <w:spacing w:after="0"/>
              <w:jc w:val="right"/>
              <w:rPr>
                <w:rFonts w:cs="Gotham XNarrow Book"/>
                <w:color w:val="000000"/>
                <w:sz w:val="20"/>
                <w:szCs w:val="20"/>
              </w:rPr>
            </w:pPr>
            <w:r w:rsidRPr="008D4107">
              <w:rPr>
                <w:rFonts w:ascii="Calibri" w:eastAsia="Times New Roman" w:hAnsi="Calibri" w:cs="Times New Roman"/>
                <w:sz w:val="20"/>
                <w:szCs w:val="20"/>
              </w:rPr>
              <w:t xml:space="preserve">29,516 </w:t>
            </w:r>
          </w:p>
        </w:tc>
      </w:tr>
      <w:tr w:rsidR="00CC2328" w:rsidRPr="00CA59C1" w:rsidTr="008858D2">
        <w:trPr>
          <w:trHeight w:val="125"/>
        </w:trPr>
        <w:tc>
          <w:tcPr>
            <w:tcW w:w="2235" w:type="dxa"/>
            <w:vAlign w:val="center"/>
          </w:tcPr>
          <w:p w:rsidR="00CC2328" w:rsidRPr="00CA59C1" w:rsidRDefault="005507BF" w:rsidP="00CC2328">
            <w:pPr>
              <w:autoSpaceDE w:val="0"/>
              <w:autoSpaceDN w:val="0"/>
              <w:adjustRightInd w:val="0"/>
              <w:spacing w:after="0"/>
              <w:rPr>
                <w:rFonts w:cs="Gotham XNarrow Book"/>
                <w:color w:val="000000"/>
                <w:sz w:val="20"/>
                <w:szCs w:val="20"/>
              </w:rPr>
            </w:pPr>
            <w:r>
              <w:rPr>
                <w:rFonts w:ascii="Calibri" w:eastAsia="Times New Roman" w:hAnsi="Calibri" w:cs="Times New Roman"/>
                <w:color w:val="000000"/>
                <w:sz w:val="20"/>
                <w:szCs w:val="20"/>
              </w:rPr>
              <w:t>Estimate of STOP</w:t>
            </w:r>
          </w:p>
        </w:tc>
        <w:tc>
          <w:tcPr>
            <w:tcW w:w="1326" w:type="dxa"/>
            <w:vAlign w:val="center"/>
          </w:tcPr>
          <w:p w:rsidR="00CC2328" w:rsidRPr="00CA59C1" w:rsidRDefault="00CC2328" w:rsidP="00CC2328">
            <w:pPr>
              <w:autoSpaceDE w:val="0"/>
              <w:autoSpaceDN w:val="0"/>
              <w:adjustRightInd w:val="0"/>
              <w:spacing w:after="0"/>
              <w:jc w:val="right"/>
              <w:rPr>
                <w:rFonts w:cs="Gotham XNarrow Book"/>
                <w:color w:val="000000"/>
                <w:sz w:val="20"/>
                <w:szCs w:val="20"/>
              </w:rPr>
            </w:pPr>
            <w:r w:rsidRPr="008D4107">
              <w:rPr>
                <w:rFonts w:ascii="Calibri" w:eastAsia="Times New Roman" w:hAnsi="Calibri" w:cs="Times New Roman"/>
                <w:sz w:val="20"/>
                <w:szCs w:val="20"/>
              </w:rPr>
              <w:t xml:space="preserve">47,730 </w:t>
            </w:r>
          </w:p>
        </w:tc>
        <w:tc>
          <w:tcPr>
            <w:tcW w:w="1327" w:type="dxa"/>
            <w:vAlign w:val="center"/>
          </w:tcPr>
          <w:p w:rsidR="00CC2328" w:rsidRPr="00CA59C1" w:rsidRDefault="00CC2328" w:rsidP="00CC2328">
            <w:pPr>
              <w:autoSpaceDE w:val="0"/>
              <w:autoSpaceDN w:val="0"/>
              <w:adjustRightInd w:val="0"/>
              <w:spacing w:after="0"/>
              <w:jc w:val="right"/>
              <w:rPr>
                <w:rFonts w:cs="Gotham XNarrow Book"/>
                <w:color w:val="000000"/>
                <w:sz w:val="20"/>
                <w:szCs w:val="20"/>
              </w:rPr>
            </w:pPr>
            <w:r w:rsidRPr="008D4107">
              <w:rPr>
                <w:rFonts w:ascii="Calibri" w:eastAsia="Times New Roman" w:hAnsi="Calibri" w:cs="Times New Roman"/>
                <w:sz w:val="20"/>
                <w:szCs w:val="20"/>
              </w:rPr>
              <w:t xml:space="preserve">44,952 </w:t>
            </w:r>
          </w:p>
        </w:tc>
        <w:tc>
          <w:tcPr>
            <w:tcW w:w="1327" w:type="dxa"/>
            <w:vAlign w:val="center"/>
          </w:tcPr>
          <w:p w:rsidR="00CC2328" w:rsidRPr="00CA59C1" w:rsidRDefault="00CC2328" w:rsidP="00CC2328">
            <w:pPr>
              <w:autoSpaceDE w:val="0"/>
              <w:autoSpaceDN w:val="0"/>
              <w:adjustRightInd w:val="0"/>
              <w:spacing w:after="0"/>
              <w:jc w:val="right"/>
              <w:rPr>
                <w:rFonts w:cs="Gotham XNarrow Book"/>
                <w:color w:val="000000"/>
                <w:sz w:val="20"/>
                <w:szCs w:val="20"/>
              </w:rPr>
            </w:pPr>
            <w:r w:rsidRPr="008D4107">
              <w:rPr>
                <w:rFonts w:ascii="Calibri" w:eastAsia="Times New Roman" w:hAnsi="Calibri" w:cs="Times New Roman"/>
                <w:sz w:val="20"/>
                <w:szCs w:val="20"/>
              </w:rPr>
              <w:t xml:space="preserve">42,100 </w:t>
            </w:r>
          </w:p>
        </w:tc>
        <w:tc>
          <w:tcPr>
            <w:tcW w:w="1327" w:type="dxa"/>
            <w:vAlign w:val="center"/>
          </w:tcPr>
          <w:p w:rsidR="00CC2328" w:rsidRPr="00CA59C1" w:rsidRDefault="00CC2328" w:rsidP="00CC2328">
            <w:pPr>
              <w:autoSpaceDE w:val="0"/>
              <w:autoSpaceDN w:val="0"/>
              <w:adjustRightInd w:val="0"/>
              <w:spacing w:after="0"/>
              <w:jc w:val="right"/>
              <w:rPr>
                <w:rFonts w:cs="Gotham XNarrow Book"/>
                <w:color w:val="000000"/>
                <w:sz w:val="20"/>
                <w:szCs w:val="20"/>
              </w:rPr>
            </w:pPr>
            <w:r w:rsidRPr="008D4107">
              <w:rPr>
                <w:rFonts w:ascii="Calibri" w:eastAsia="Times New Roman" w:hAnsi="Calibri" w:cs="Times New Roman"/>
                <w:sz w:val="20"/>
                <w:szCs w:val="20"/>
              </w:rPr>
              <w:t xml:space="preserve">39,108 </w:t>
            </w:r>
          </w:p>
        </w:tc>
        <w:tc>
          <w:tcPr>
            <w:tcW w:w="1327" w:type="dxa"/>
            <w:vAlign w:val="center"/>
          </w:tcPr>
          <w:p w:rsidR="00CC2328" w:rsidRPr="00CA59C1" w:rsidRDefault="00CC2328" w:rsidP="00CC2328">
            <w:pPr>
              <w:autoSpaceDE w:val="0"/>
              <w:autoSpaceDN w:val="0"/>
              <w:adjustRightInd w:val="0"/>
              <w:spacing w:after="0"/>
              <w:jc w:val="right"/>
              <w:rPr>
                <w:rFonts w:cs="Gotham XNarrow Book"/>
                <w:color w:val="000000"/>
                <w:sz w:val="20"/>
                <w:szCs w:val="20"/>
              </w:rPr>
            </w:pPr>
            <w:r w:rsidRPr="008D4107">
              <w:rPr>
                <w:rFonts w:ascii="Calibri" w:eastAsia="Times New Roman" w:hAnsi="Calibri" w:cs="Times New Roman"/>
                <w:sz w:val="20"/>
                <w:szCs w:val="20"/>
              </w:rPr>
              <w:t xml:space="preserve">36,076 </w:t>
            </w:r>
          </w:p>
        </w:tc>
      </w:tr>
    </w:tbl>
    <w:p w:rsidR="00CA59C1" w:rsidRPr="008315D6" w:rsidRDefault="006E66F4" w:rsidP="00A35800">
      <w:pPr>
        <w:rPr>
          <w:sz w:val="20"/>
          <w:szCs w:val="20"/>
        </w:rPr>
      </w:pPr>
      <w:r w:rsidRPr="008315D6">
        <w:rPr>
          <w:sz w:val="20"/>
          <w:szCs w:val="20"/>
        </w:rPr>
        <w:t>Source: Submission to the March 2013 PBAC meeting</w:t>
      </w:r>
      <w:r w:rsidR="008315D6" w:rsidRPr="008315D6">
        <w:rPr>
          <w:sz w:val="20"/>
          <w:szCs w:val="20"/>
        </w:rPr>
        <w:t xml:space="preserve"> and ‘Economic and financial analyses - mifepristone + misoprostol - November 2012 PBAC submission.xls’</w:t>
      </w:r>
      <w:r w:rsidR="00402E9F">
        <w:rPr>
          <w:sz w:val="20"/>
          <w:szCs w:val="20"/>
        </w:rPr>
        <w:t>. Note that</w:t>
      </w:r>
      <w:r w:rsidR="00610679">
        <w:rPr>
          <w:sz w:val="20"/>
          <w:szCs w:val="20"/>
        </w:rPr>
        <w:t xml:space="preserve"> the submission provided</w:t>
      </w:r>
      <w:r w:rsidR="00402E9F">
        <w:rPr>
          <w:sz w:val="20"/>
          <w:szCs w:val="20"/>
        </w:rPr>
        <w:t xml:space="preserve"> mid-point estimate</w:t>
      </w:r>
      <w:r w:rsidR="00610679">
        <w:rPr>
          <w:sz w:val="20"/>
          <w:szCs w:val="20"/>
        </w:rPr>
        <w:t>s and</w:t>
      </w:r>
      <w:r w:rsidR="00402E9F">
        <w:rPr>
          <w:sz w:val="20"/>
          <w:szCs w:val="20"/>
        </w:rPr>
        <w:t xml:space="preserve"> </w:t>
      </w:r>
      <w:r w:rsidR="00402E9F" w:rsidRPr="00402E9F">
        <w:rPr>
          <w:sz w:val="20"/>
          <w:szCs w:val="20"/>
        </w:rPr>
        <w:t xml:space="preserve">upper and lower estimates </w:t>
      </w:r>
      <w:r w:rsidR="00610679">
        <w:rPr>
          <w:sz w:val="20"/>
          <w:szCs w:val="20"/>
        </w:rPr>
        <w:t>which are shown in</w:t>
      </w:r>
      <w:r w:rsidR="00EA635C">
        <w:rPr>
          <w:sz w:val="20"/>
          <w:szCs w:val="20"/>
        </w:rPr>
        <w:t xml:space="preserve"> brackets. </w:t>
      </w:r>
    </w:p>
    <w:p w:rsidR="00094DCF" w:rsidRDefault="00ED633B" w:rsidP="00CF5E22">
      <w:pPr>
        <w:pStyle w:val="Heading2"/>
      </w:pPr>
      <w:r>
        <w:t xml:space="preserve">Previous reviews by </w:t>
      </w:r>
      <w:r w:rsidR="00177B86">
        <w:t xml:space="preserve">the </w:t>
      </w:r>
      <w:r>
        <w:t>DUSC</w:t>
      </w:r>
    </w:p>
    <w:p w:rsidR="00F9229F" w:rsidRDefault="00F9229F" w:rsidP="00A35800">
      <w:r>
        <w:t>When providing advice</w:t>
      </w:r>
      <w:r w:rsidR="006E66F4">
        <w:t xml:space="preserve"> to the PBAC on the </w:t>
      </w:r>
      <w:r>
        <w:t>submission seeking listing of mifepristone and misoprostol on the PBS</w:t>
      </w:r>
      <w:r w:rsidR="006E66F4">
        <w:t>,</w:t>
      </w:r>
      <w:r>
        <w:t xml:space="preserve"> the DUSC considered the expected utilisation of mifepristone and misoprostol presented in the submission to be a reasonable estimate </w:t>
      </w:r>
      <w:r w:rsidR="006E66F4">
        <w:t>based</w:t>
      </w:r>
      <w:r>
        <w:t xml:space="preserve"> on best available sources of data.</w:t>
      </w:r>
    </w:p>
    <w:p w:rsidR="00F9229F" w:rsidRDefault="00F9229F" w:rsidP="00A35800">
      <w:r w:rsidRPr="00F9229F">
        <w:t>DUSC has not previously reviewed the</w:t>
      </w:r>
      <w:r>
        <w:t xml:space="preserve"> actual</w:t>
      </w:r>
      <w:r w:rsidRPr="00F9229F">
        <w:t xml:space="preserve"> PBS utilisation of mifepristone and misoprostol.</w:t>
      </w:r>
    </w:p>
    <w:p w:rsidR="006E66F4" w:rsidRDefault="006E66F4">
      <w:pPr>
        <w:spacing w:line="276" w:lineRule="auto"/>
        <w:rPr>
          <w:rFonts w:eastAsiaTheme="majorEastAsia" w:cstheme="majorBidi"/>
          <w:b/>
          <w:bCs/>
          <w:sz w:val="32"/>
          <w:szCs w:val="32"/>
        </w:rPr>
      </w:pPr>
      <w:r>
        <w:br w:type="page"/>
      </w:r>
    </w:p>
    <w:p w:rsidR="00E677DD" w:rsidRPr="005E22C2" w:rsidRDefault="00E677DD" w:rsidP="00CF5E22">
      <w:pPr>
        <w:pStyle w:val="Heading1"/>
      </w:pPr>
      <w:r w:rsidRPr="005E22C2">
        <w:t>Method</w:t>
      </w:r>
      <w:r w:rsidR="001B5D37" w:rsidRPr="005E22C2">
        <w:t>s</w:t>
      </w:r>
    </w:p>
    <w:p w:rsidR="000C3216" w:rsidRDefault="000C3216" w:rsidP="000C3216">
      <w:pPr>
        <w:pStyle w:val="Heading3"/>
      </w:pPr>
      <w:r>
        <w:t>Available data</w:t>
      </w:r>
    </w:p>
    <w:p w:rsidR="006A2D59" w:rsidRPr="006A2D59" w:rsidRDefault="006A2D59" w:rsidP="006A2D59">
      <w:r>
        <w:t xml:space="preserve">Data of the number of TOPs in Australia </w:t>
      </w:r>
      <w:r w:rsidR="009640C0">
        <w:t>came</w:t>
      </w:r>
      <w:r>
        <w:t xml:space="preserve"> from various sources. </w:t>
      </w:r>
      <w:r w:rsidR="006E66F4">
        <w:t>Data are presented in financial years (rather than PBS listing years) to align data from the</w:t>
      </w:r>
      <w:r w:rsidR="003B48B9">
        <w:t>se</w:t>
      </w:r>
      <w:r w:rsidR="006E66F4">
        <w:t xml:space="preserve"> sources.</w:t>
      </w:r>
    </w:p>
    <w:p w:rsidR="00E41ABF" w:rsidRPr="00CA59C1" w:rsidRDefault="00E41ABF" w:rsidP="00CF62C1">
      <w:pPr>
        <w:pStyle w:val="Heading5"/>
        <w:rPr>
          <w:b/>
        </w:rPr>
      </w:pPr>
      <w:r w:rsidRPr="00CA59C1">
        <w:rPr>
          <w:b/>
        </w:rPr>
        <w:t>MTOPs</w:t>
      </w:r>
    </w:p>
    <w:p w:rsidR="00E41ABF" w:rsidRDefault="00BA3E8D" w:rsidP="00E41ABF">
      <w:r>
        <w:t xml:space="preserve">Data of the number of MTOPs </w:t>
      </w:r>
      <w:r w:rsidR="009640C0">
        <w:t>was</w:t>
      </w:r>
      <w:r w:rsidR="006E66F4" w:rsidRPr="006E66F4">
        <w:t xml:space="preserve"> based on PBS claims of mifepristone and misoprostol</w:t>
      </w:r>
      <w:r>
        <w:t xml:space="preserve"> sourced from th</w:t>
      </w:r>
      <w:r w:rsidR="00E41ABF">
        <w:t xml:space="preserve">e </w:t>
      </w:r>
      <w:r w:rsidR="00E41ABF" w:rsidRPr="00B421D5">
        <w:t xml:space="preserve">Department of Human Services (DHS) Medicare date of </w:t>
      </w:r>
      <w:r w:rsidR="00E41ABF">
        <w:t xml:space="preserve">supply </w:t>
      </w:r>
      <w:r w:rsidR="00E41ABF" w:rsidRPr="00B421D5">
        <w:t>data</w:t>
      </w:r>
      <w:r w:rsidR="00B82221">
        <w:t xml:space="preserve"> using PBS item codes </w:t>
      </w:r>
      <w:r w:rsidR="00B82221" w:rsidRPr="00B82221">
        <w:t>2672P</w:t>
      </w:r>
      <w:r w:rsidR="00B82221">
        <w:t xml:space="preserve">, 2710P and </w:t>
      </w:r>
      <w:r w:rsidR="00B82221" w:rsidRPr="00B82221">
        <w:t>10211K</w:t>
      </w:r>
      <w:r w:rsidR="00E41ABF">
        <w:t>.</w:t>
      </w:r>
      <w:r w:rsidR="00383D42">
        <w:t xml:space="preserve"> </w:t>
      </w:r>
    </w:p>
    <w:p w:rsidR="00E41ABF" w:rsidRDefault="00E41ABF" w:rsidP="00524D13">
      <w:r>
        <w:t>As this analysis uses date of supply prescription data, there may be small differences compared with publicly available Department of Human Services (DHS) Medicare date of processing data.</w:t>
      </w:r>
      <w:r>
        <w:rPr>
          <w:rStyle w:val="FootnoteReference"/>
        </w:rPr>
        <w:footnoteReference w:id="7"/>
      </w:r>
      <w:r>
        <w:t xml:space="preserve">  The publicly available DHS Medicare data only includes subsidised R/PBS prescriptions with prescriptions under the patient co-payment not included.  The DHS Medicare data used in this report includes under co-payment prescriptions.</w:t>
      </w:r>
    </w:p>
    <w:p w:rsidR="00E41ABF" w:rsidRPr="00CA59C1" w:rsidRDefault="00E41ABF" w:rsidP="00CF62C1">
      <w:pPr>
        <w:pStyle w:val="Heading5"/>
        <w:rPr>
          <w:b/>
        </w:rPr>
      </w:pPr>
      <w:r w:rsidRPr="00CA59C1">
        <w:rPr>
          <w:b/>
        </w:rPr>
        <w:t>STOPs</w:t>
      </w:r>
      <w:r w:rsidR="00CA59C1" w:rsidRPr="00CA59C1">
        <w:rPr>
          <w:b/>
        </w:rPr>
        <w:t xml:space="preserve"> in private sector</w:t>
      </w:r>
    </w:p>
    <w:p w:rsidR="00B512EE" w:rsidRDefault="00BA3E8D" w:rsidP="00524D13">
      <w:r>
        <w:t xml:space="preserve">Data of the number of STOPs </w:t>
      </w:r>
      <w:r w:rsidR="009640C0">
        <w:t>in the private sector was sourced</w:t>
      </w:r>
      <w:r>
        <w:t xml:space="preserve"> from </w:t>
      </w:r>
      <w:r w:rsidR="00B512EE">
        <w:t xml:space="preserve">publicly available DHS </w:t>
      </w:r>
      <w:r w:rsidR="0005467C">
        <w:t xml:space="preserve">Medicare statistics </w:t>
      </w:r>
      <w:r w:rsidR="006E66F4">
        <w:t>for item 35643</w:t>
      </w:r>
      <w:r w:rsidR="0005467C">
        <w:t xml:space="preserve"> available from </w:t>
      </w:r>
      <w:r w:rsidR="0005467C" w:rsidRPr="00CA71F6">
        <w:t>http://medicarestatistics.humanservices.gov.au/statistics/mbs_item.jsp</w:t>
      </w:r>
      <w:r>
        <w:rPr>
          <w:rStyle w:val="Hyperlink"/>
        </w:rPr>
        <w:t>.</w:t>
      </w:r>
      <w:r w:rsidR="0005467C">
        <w:t xml:space="preserve"> </w:t>
      </w:r>
    </w:p>
    <w:p w:rsidR="00CF62C1" w:rsidRPr="00CA59C1" w:rsidRDefault="00CA59C1" w:rsidP="00524D13">
      <w:pPr>
        <w:rPr>
          <w:b/>
        </w:rPr>
      </w:pPr>
      <w:r w:rsidRPr="00CA59C1">
        <w:rPr>
          <w:b/>
        </w:rPr>
        <w:t>STOPs in public sector</w:t>
      </w:r>
    </w:p>
    <w:p w:rsidR="009640C0" w:rsidRDefault="009640C0" w:rsidP="00AF0C36">
      <w:r>
        <w:t>Data of the number of STOPs in the public sector was sourced from</w:t>
      </w:r>
      <w:r w:rsidRPr="009640C0">
        <w:t xml:space="preserve"> </w:t>
      </w:r>
      <w:r w:rsidRPr="006E45BC">
        <w:t xml:space="preserve">Activity Based Funding (ABF) Cost Weights that </w:t>
      </w:r>
      <w:r>
        <w:t>were</w:t>
      </w:r>
      <w:r w:rsidRPr="006E45BC">
        <w:t xml:space="preserve"> used to fund the public hospitals</w:t>
      </w:r>
      <w:r>
        <w:t xml:space="preserve">. Up to June 2012 these were </w:t>
      </w:r>
      <w:r w:rsidR="007859F9">
        <w:t>available from the</w:t>
      </w:r>
      <w:r w:rsidRPr="006E45BC">
        <w:t xml:space="preserve"> </w:t>
      </w:r>
      <w:r>
        <w:t xml:space="preserve">Department of Health website. From 1 July 2012 </w:t>
      </w:r>
      <w:r w:rsidR="007859F9">
        <w:t xml:space="preserve">these were sourced from </w:t>
      </w:r>
      <w:r w:rsidRPr="006E45BC">
        <w:t>the Independent Hospital Pricing Authority (IHPA)</w:t>
      </w:r>
      <w:r w:rsidR="007859F9">
        <w:t>.</w:t>
      </w:r>
      <w:r w:rsidR="002763EA" w:rsidRPr="002763EA">
        <w:t xml:space="preserve"> </w:t>
      </w:r>
      <w:r w:rsidR="002763EA">
        <w:t xml:space="preserve">The </w:t>
      </w:r>
      <w:r w:rsidR="00FD6D45">
        <w:t xml:space="preserve">Cost Weights detail the </w:t>
      </w:r>
      <w:r w:rsidR="002763EA">
        <w:t>number of</w:t>
      </w:r>
      <w:r w:rsidR="002763EA" w:rsidRPr="002763EA">
        <w:t xml:space="preserve"> </w:t>
      </w:r>
      <w:r w:rsidR="002763EA">
        <w:t>hospital separations</w:t>
      </w:r>
      <w:r w:rsidR="00FD6D45">
        <w:t xml:space="preserve"> for each</w:t>
      </w:r>
      <w:r w:rsidR="002763EA">
        <w:t xml:space="preserve"> </w:t>
      </w:r>
      <w:r w:rsidR="002763EA" w:rsidRPr="002763EA">
        <w:t>Australian Refined Diagnosis Related Group</w:t>
      </w:r>
      <w:r w:rsidR="002763EA">
        <w:t xml:space="preserve"> (AR-DRG)</w:t>
      </w:r>
      <w:r w:rsidR="00FD6D45">
        <w:t>. The number of STOPs in the public sector was determined by DRG</w:t>
      </w:r>
      <w:r w:rsidR="002763EA" w:rsidRPr="002763EA">
        <w:t xml:space="preserve"> </w:t>
      </w:r>
      <w:r w:rsidR="002763EA">
        <w:t>code O05Z (Abortion with</w:t>
      </w:r>
      <w:r w:rsidR="002763EA" w:rsidRPr="00776FDB">
        <w:t xml:space="preserve"> OR Procedure</w:t>
      </w:r>
      <w:r w:rsidR="002763EA">
        <w:t>).</w:t>
      </w:r>
    </w:p>
    <w:p w:rsidR="003B48B9" w:rsidRDefault="003B48B9">
      <w:pPr>
        <w:spacing w:line="276" w:lineRule="auto"/>
        <w:rPr>
          <w:rFonts w:eastAsiaTheme="majorEastAsia" w:cstheme="majorBidi"/>
          <w:b/>
          <w:bCs/>
          <w:sz w:val="32"/>
          <w:szCs w:val="32"/>
        </w:rPr>
      </w:pPr>
      <w:r>
        <w:br w:type="page"/>
      </w:r>
    </w:p>
    <w:p w:rsidR="00C714D0" w:rsidRDefault="00C714D0" w:rsidP="00CF5E22">
      <w:pPr>
        <w:pStyle w:val="Heading1"/>
      </w:pPr>
      <w:r w:rsidRPr="005E22C2">
        <w:t>Results</w:t>
      </w:r>
    </w:p>
    <w:p w:rsidR="00D669A3" w:rsidRPr="005E22C2" w:rsidRDefault="00D669A3" w:rsidP="00D669A3">
      <w:pPr>
        <w:pStyle w:val="Heading2"/>
      </w:pPr>
      <w:r w:rsidRPr="005E22C2">
        <w:t xml:space="preserve">Analysis of </w:t>
      </w:r>
      <w:r>
        <w:t>u</w:t>
      </w:r>
      <w:r w:rsidRPr="005E22C2">
        <w:t>tilisation</w:t>
      </w:r>
    </w:p>
    <w:p w:rsidR="007859F9" w:rsidRPr="00CA59C1" w:rsidRDefault="007859F9" w:rsidP="007859F9">
      <w:pPr>
        <w:pStyle w:val="Heading5"/>
        <w:rPr>
          <w:b/>
        </w:rPr>
      </w:pPr>
      <w:r w:rsidRPr="00CA59C1">
        <w:rPr>
          <w:b/>
        </w:rPr>
        <w:t>MTOPs</w:t>
      </w:r>
    </w:p>
    <w:p w:rsidR="00C33A93" w:rsidRDefault="00C33A93" w:rsidP="00486680">
      <w:r w:rsidRPr="00C33A93">
        <w:t xml:space="preserve">The number of MTOPs was </w:t>
      </w:r>
      <w:r>
        <w:t>estimated from PBS utilisation data using the number of mifepristone prescriptions (as misoprostol appears in the data as an additional prescription) and the number of composite packs supplied per financial year</w:t>
      </w:r>
      <w:r w:rsidR="00D669A3">
        <w:t>.</w:t>
      </w:r>
    </w:p>
    <w:p w:rsidR="003B48B9" w:rsidRDefault="003B48B9" w:rsidP="003B48B9">
      <w:pPr>
        <w:pStyle w:val="Tabletitle"/>
      </w:pPr>
      <w:r>
        <w:t xml:space="preserve">Table 3: Number of </w:t>
      </w:r>
      <w:r w:rsidR="00542708">
        <w:t xml:space="preserve">PBS </w:t>
      </w:r>
      <w:r>
        <w:t>prescriptions of mifepristone (plain or composite pack)</w:t>
      </w:r>
    </w:p>
    <w:tbl>
      <w:tblPr>
        <w:tblW w:w="7396" w:type="dxa"/>
        <w:tblInd w:w="93" w:type="dxa"/>
        <w:tblLook w:val="04A0" w:firstRow="1" w:lastRow="0" w:firstColumn="1" w:lastColumn="0" w:noHBand="0" w:noVBand="1"/>
        <w:tblCaption w:val="Number of PBS prescriptions of mifepristone (plain or composite pack)"/>
        <w:tblDescription w:val="Number of PBS prescriptions of mifepristone (plain or composite pack) from August 2013 to June 2016"/>
      </w:tblPr>
      <w:tblGrid>
        <w:gridCol w:w="1816"/>
        <w:gridCol w:w="1860"/>
        <w:gridCol w:w="1860"/>
        <w:gridCol w:w="1860"/>
      </w:tblGrid>
      <w:tr w:rsidR="00A61E23" w:rsidRPr="00FF34B1" w:rsidTr="00FF34B1">
        <w:trPr>
          <w:trHeight w:val="300"/>
        </w:trPr>
        <w:tc>
          <w:tcPr>
            <w:tcW w:w="181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A61E23" w:rsidRPr="00FF34B1" w:rsidRDefault="00A61E23" w:rsidP="00FF34B1">
            <w:pPr>
              <w:spacing w:after="0"/>
              <w:jc w:val="center"/>
              <w:rPr>
                <w:rFonts w:ascii="Calibri" w:eastAsia="Times New Roman" w:hAnsi="Calibri" w:cs="Times New Roman"/>
                <w:b/>
                <w:bCs/>
                <w:color w:val="000000"/>
                <w:sz w:val="20"/>
                <w:szCs w:val="20"/>
              </w:rPr>
            </w:pPr>
          </w:p>
        </w:tc>
        <w:tc>
          <w:tcPr>
            <w:tcW w:w="5580" w:type="dxa"/>
            <w:gridSpan w:val="3"/>
            <w:tcBorders>
              <w:top w:val="single" w:sz="4" w:space="0" w:color="auto"/>
              <w:left w:val="nil"/>
              <w:bottom w:val="single" w:sz="4" w:space="0" w:color="auto"/>
              <w:right w:val="single" w:sz="4" w:space="0" w:color="000000"/>
            </w:tcBorders>
            <w:shd w:val="clear" w:color="000000" w:fill="BFBFBF"/>
            <w:noWrap/>
            <w:vAlign w:val="center"/>
            <w:hideMark/>
          </w:tcPr>
          <w:p w:rsidR="00A61E23" w:rsidRPr="00FF34B1" w:rsidRDefault="00A61E23" w:rsidP="00FF34B1">
            <w:pPr>
              <w:spacing w:after="0"/>
              <w:jc w:val="center"/>
              <w:rPr>
                <w:rFonts w:ascii="Calibri" w:eastAsia="Times New Roman" w:hAnsi="Calibri" w:cs="Times New Roman"/>
                <w:b/>
                <w:bCs/>
                <w:color w:val="000000"/>
                <w:sz w:val="20"/>
                <w:szCs w:val="20"/>
              </w:rPr>
            </w:pPr>
            <w:r w:rsidRPr="00FF34B1">
              <w:rPr>
                <w:rFonts w:ascii="Calibri" w:eastAsia="Times New Roman" w:hAnsi="Calibri" w:cs="Times New Roman"/>
                <w:b/>
                <w:bCs/>
                <w:color w:val="000000"/>
                <w:sz w:val="20"/>
                <w:szCs w:val="20"/>
              </w:rPr>
              <w:t>Financial Year</w:t>
            </w:r>
          </w:p>
        </w:tc>
      </w:tr>
      <w:tr w:rsidR="00A61E23" w:rsidRPr="00FF34B1" w:rsidTr="00FF34B1">
        <w:trPr>
          <w:trHeight w:val="300"/>
        </w:trPr>
        <w:tc>
          <w:tcPr>
            <w:tcW w:w="1816" w:type="dxa"/>
            <w:tcBorders>
              <w:top w:val="nil"/>
              <w:left w:val="single" w:sz="4" w:space="0" w:color="auto"/>
              <w:bottom w:val="single" w:sz="4" w:space="0" w:color="auto"/>
              <w:right w:val="single" w:sz="4" w:space="0" w:color="auto"/>
            </w:tcBorders>
            <w:shd w:val="clear" w:color="000000" w:fill="BFBFBF"/>
            <w:noWrap/>
            <w:vAlign w:val="center"/>
            <w:hideMark/>
          </w:tcPr>
          <w:p w:rsidR="00A61E23" w:rsidRPr="00FF34B1" w:rsidRDefault="00A61E23" w:rsidP="00FF34B1">
            <w:pPr>
              <w:spacing w:after="0"/>
              <w:rPr>
                <w:rFonts w:ascii="Calibri" w:eastAsia="Times New Roman" w:hAnsi="Calibri" w:cs="Times New Roman"/>
                <w:b/>
                <w:bCs/>
                <w:color w:val="000000"/>
                <w:sz w:val="20"/>
                <w:szCs w:val="20"/>
              </w:rPr>
            </w:pPr>
            <w:r w:rsidRPr="00FF34B1">
              <w:rPr>
                <w:rFonts w:ascii="Calibri" w:eastAsia="Times New Roman" w:hAnsi="Calibri" w:cs="Times New Roman"/>
                <w:b/>
                <w:bCs/>
                <w:color w:val="000000"/>
                <w:sz w:val="20"/>
                <w:szCs w:val="20"/>
              </w:rPr>
              <w:t>Month</w:t>
            </w:r>
          </w:p>
        </w:tc>
        <w:tc>
          <w:tcPr>
            <w:tcW w:w="1860" w:type="dxa"/>
            <w:tcBorders>
              <w:top w:val="nil"/>
              <w:left w:val="nil"/>
              <w:bottom w:val="single" w:sz="4" w:space="0" w:color="auto"/>
              <w:right w:val="single" w:sz="4" w:space="0" w:color="auto"/>
            </w:tcBorders>
            <w:shd w:val="clear" w:color="000000" w:fill="BFBFBF"/>
            <w:noWrap/>
            <w:vAlign w:val="center"/>
            <w:hideMark/>
          </w:tcPr>
          <w:p w:rsidR="00A61E23" w:rsidRPr="00FF34B1" w:rsidRDefault="00A61E23" w:rsidP="00FF34B1">
            <w:pPr>
              <w:spacing w:after="0"/>
              <w:jc w:val="center"/>
              <w:rPr>
                <w:rFonts w:ascii="Calibri" w:eastAsia="Times New Roman" w:hAnsi="Calibri" w:cs="Times New Roman"/>
                <w:b/>
                <w:bCs/>
                <w:color w:val="000000"/>
                <w:sz w:val="20"/>
                <w:szCs w:val="20"/>
              </w:rPr>
            </w:pPr>
            <w:r w:rsidRPr="00FF34B1">
              <w:rPr>
                <w:rFonts w:ascii="Calibri" w:eastAsia="Times New Roman" w:hAnsi="Calibri" w:cs="Times New Roman"/>
                <w:b/>
                <w:bCs/>
                <w:color w:val="000000"/>
                <w:sz w:val="20"/>
                <w:szCs w:val="20"/>
              </w:rPr>
              <w:t>2013/2014</w:t>
            </w:r>
          </w:p>
        </w:tc>
        <w:tc>
          <w:tcPr>
            <w:tcW w:w="1860" w:type="dxa"/>
            <w:tcBorders>
              <w:top w:val="nil"/>
              <w:left w:val="nil"/>
              <w:bottom w:val="single" w:sz="4" w:space="0" w:color="auto"/>
              <w:right w:val="single" w:sz="4" w:space="0" w:color="auto"/>
            </w:tcBorders>
            <w:shd w:val="clear" w:color="000000" w:fill="BFBFBF"/>
            <w:noWrap/>
            <w:vAlign w:val="center"/>
            <w:hideMark/>
          </w:tcPr>
          <w:p w:rsidR="00A61E23" w:rsidRPr="00FF34B1" w:rsidRDefault="00A61E23" w:rsidP="00FF34B1">
            <w:pPr>
              <w:spacing w:after="0"/>
              <w:jc w:val="center"/>
              <w:rPr>
                <w:rFonts w:ascii="Calibri" w:eastAsia="Times New Roman" w:hAnsi="Calibri" w:cs="Times New Roman"/>
                <w:b/>
                <w:bCs/>
                <w:color w:val="000000"/>
                <w:sz w:val="20"/>
                <w:szCs w:val="20"/>
              </w:rPr>
            </w:pPr>
            <w:r w:rsidRPr="00FF34B1">
              <w:rPr>
                <w:rFonts w:ascii="Calibri" w:eastAsia="Times New Roman" w:hAnsi="Calibri" w:cs="Times New Roman"/>
                <w:b/>
                <w:bCs/>
                <w:color w:val="000000"/>
                <w:sz w:val="20"/>
                <w:szCs w:val="20"/>
              </w:rPr>
              <w:t>2014/2015</w:t>
            </w:r>
          </w:p>
        </w:tc>
        <w:tc>
          <w:tcPr>
            <w:tcW w:w="1860" w:type="dxa"/>
            <w:tcBorders>
              <w:top w:val="nil"/>
              <w:left w:val="nil"/>
              <w:bottom w:val="single" w:sz="4" w:space="0" w:color="auto"/>
              <w:right w:val="single" w:sz="4" w:space="0" w:color="auto"/>
            </w:tcBorders>
            <w:shd w:val="clear" w:color="000000" w:fill="BFBFBF"/>
            <w:noWrap/>
            <w:vAlign w:val="center"/>
            <w:hideMark/>
          </w:tcPr>
          <w:p w:rsidR="00A61E23" w:rsidRPr="00FF34B1" w:rsidRDefault="00A61E23" w:rsidP="00FF34B1">
            <w:pPr>
              <w:spacing w:after="0"/>
              <w:jc w:val="center"/>
              <w:rPr>
                <w:rFonts w:ascii="Calibri" w:eastAsia="Times New Roman" w:hAnsi="Calibri" w:cs="Times New Roman"/>
                <w:b/>
                <w:bCs/>
                <w:color w:val="000000"/>
                <w:sz w:val="20"/>
                <w:szCs w:val="20"/>
              </w:rPr>
            </w:pPr>
            <w:r w:rsidRPr="00FF34B1">
              <w:rPr>
                <w:rFonts w:ascii="Calibri" w:eastAsia="Times New Roman" w:hAnsi="Calibri" w:cs="Times New Roman"/>
                <w:b/>
                <w:bCs/>
                <w:color w:val="000000"/>
                <w:sz w:val="20"/>
                <w:szCs w:val="20"/>
              </w:rPr>
              <w:t>2015/2016</w:t>
            </w:r>
          </w:p>
        </w:tc>
      </w:tr>
      <w:tr w:rsidR="00A61E23" w:rsidRPr="00FF34B1" w:rsidTr="00FF34B1">
        <w:trPr>
          <w:trHeight w:val="30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rsidR="00A61E23" w:rsidRPr="00FF34B1" w:rsidRDefault="00A61E23" w:rsidP="00FF34B1">
            <w:pPr>
              <w:spacing w:after="0"/>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Jul</w:t>
            </w:r>
          </w:p>
        </w:tc>
        <w:tc>
          <w:tcPr>
            <w:tcW w:w="1860" w:type="dxa"/>
            <w:tcBorders>
              <w:top w:val="nil"/>
              <w:left w:val="nil"/>
              <w:bottom w:val="single" w:sz="4" w:space="0" w:color="auto"/>
              <w:right w:val="single" w:sz="4" w:space="0" w:color="auto"/>
            </w:tcBorders>
            <w:shd w:val="clear" w:color="auto" w:fill="auto"/>
            <w:noWrap/>
            <w:vAlign w:val="center"/>
            <w:hideMark/>
          </w:tcPr>
          <w:p w:rsidR="00A61E23" w:rsidRPr="00FF34B1" w:rsidRDefault="00A61E23" w:rsidP="00FF34B1">
            <w:pPr>
              <w:spacing w:after="0"/>
              <w:jc w:val="right"/>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 </w:t>
            </w:r>
          </w:p>
        </w:tc>
        <w:tc>
          <w:tcPr>
            <w:tcW w:w="1860" w:type="dxa"/>
            <w:tcBorders>
              <w:top w:val="nil"/>
              <w:left w:val="nil"/>
              <w:bottom w:val="single" w:sz="4" w:space="0" w:color="auto"/>
              <w:right w:val="single" w:sz="4" w:space="0" w:color="auto"/>
            </w:tcBorders>
            <w:shd w:val="clear" w:color="auto" w:fill="auto"/>
            <w:noWrap/>
            <w:vAlign w:val="center"/>
            <w:hideMark/>
          </w:tcPr>
          <w:p w:rsidR="00A61E23" w:rsidRPr="00FF34B1" w:rsidRDefault="00A61E23" w:rsidP="00FF34B1">
            <w:pPr>
              <w:spacing w:after="0"/>
              <w:jc w:val="right"/>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673</w:t>
            </w:r>
          </w:p>
        </w:tc>
        <w:tc>
          <w:tcPr>
            <w:tcW w:w="1860" w:type="dxa"/>
            <w:tcBorders>
              <w:top w:val="nil"/>
              <w:left w:val="nil"/>
              <w:bottom w:val="single" w:sz="4" w:space="0" w:color="auto"/>
              <w:right w:val="single" w:sz="4" w:space="0" w:color="auto"/>
            </w:tcBorders>
            <w:shd w:val="clear" w:color="auto" w:fill="auto"/>
            <w:noWrap/>
            <w:vAlign w:val="center"/>
            <w:hideMark/>
          </w:tcPr>
          <w:p w:rsidR="00A61E23" w:rsidRPr="00FF34B1" w:rsidRDefault="00A61E23" w:rsidP="00FF34B1">
            <w:pPr>
              <w:spacing w:after="0"/>
              <w:jc w:val="right"/>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1</w:t>
            </w:r>
            <w:r w:rsidR="00BA6F1A" w:rsidRPr="00FF34B1">
              <w:rPr>
                <w:rFonts w:ascii="Calibri" w:eastAsia="Times New Roman" w:hAnsi="Calibri" w:cs="Times New Roman"/>
                <w:color w:val="000000"/>
                <w:sz w:val="20"/>
                <w:szCs w:val="20"/>
              </w:rPr>
              <w:t>,</w:t>
            </w:r>
            <w:r w:rsidRPr="00FF34B1">
              <w:rPr>
                <w:rFonts w:ascii="Calibri" w:eastAsia="Times New Roman" w:hAnsi="Calibri" w:cs="Times New Roman"/>
                <w:color w:val="000000"/>
                <w:sz w:val="20"/>
                <w:szCs w:val="20"/>
              </w:rPr>
              <w:t>007</w:t>
            </w:r>
          </w:p>
        </w:tc>
      </w:tr>
      <w:tr w:rsidR="00A61E23" w:rsidRPr="00FF34B1" w:rsidTr="00FF34B1">
        <w:trPr>
          <w:trHeight w:val="30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rsidR="00A61E23" w:rsidRPr="00FF34B1" w:rsidRDefault="00A61E23" w:rsidP="00FF34B1">
            <w:pPr>
              <w:spacing w:after="0"/>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Aug</w:t>
            </w:r>
          </w:p>
        </w:tc>
        <w:tc>
          <w:tcPr>
            <w:tcW w:w="1860" w:type="dxa"/>
            <w:tcBorders>
              <w:top w:val="nil"/>
              <w:left w:val="nil"/>
              <w:bottom w:val="single" w:sz="4" w:space="0" w:color="auto"/>
              <w:right w:val="single" w:sz="4" w:space="0" w:color="auto"/>
            </w:tcBorders>
            <w:shd w:val="clear" w:color="auto" w:fill="auto"/>
            <w:noWrap/>
            <w:vAlign w:val="center"/>
            <w:hideMark/>
          </w:tcPr>
          <w:p w:rsidR="00A61E23" w:rsidRPr="00FF34B1" w:rsidRDefault="00A61E23" w:rsidP="00FF34B1">
            <w:pPr>
              <w:spacing w:after="0"/>
              <w:jc w:val="right"/>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238</w:t>
            </w:r>
          </w:p>
        </w:tc>
        <w:tc>
          <w:tcPr>
            <w:tcW w:w="1860" w:type="dxa"/>
            <w:tcBorders>
              <w:top w:val="nil"/>
              <w:left w:val="nil"/>
              <w:bottom w:val="single" w:sz="4" w:space="0" w:color="auto"/>
              <w:right w:val="single" w:sz="4" w:space="0" w:color="auto"/>
            </w:tcBorders>
            <w:shd w:val="clear" w:color="auto" w:fill="auto"/>
            <w:noWrap/>
            <w:vAlign w:val="center"/>
            <w:hideMark/>
          </w:tcPr>
          <w:p w:rsidR="00A61E23" w:rsidRPr="00FF34B1" w:rsidRDefault="00A61E23" w:rsidP="00FF34B1">
            <w:pPr>
              <w:spacing w:after="0"/>
              <w:jc w:val="right"/>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695</w:t>
            </w:r>
          </w:p>
        </w:tc>
        <w:tc>
          <w:tcPr>
            <w:tcW w:w="1860" w:type="dxa"/>
            <w:tcBorders>
              <w:top w:val="nil"/>
              <w:left w:val="nil"/>
              <w:bottom w:val="single" w:sz="4" w:space="0" w:color="auto"/>
              <w:right w:val="single" w:sz="4" w:space="0" w:color="auto"/>
            </w:tcBorders>
            <w:shd w:val="clear" w:color="auto" w:fill="auto"/>
            <w:noWrap/>
            <w:vAlign w:val="center"/>
            <w:hideMark/>
          </w:tcPr>
          <w:p w:rsidR="00A61E23" w:rsidRPr="00FF34B1" w:rsidRDefault="00A61E23" w:rsidP="00FF34B1">
            <w:pPr>
              <w:spacing w:after="0"/>
              <w:jc w:val="right"/>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1</w:t>
            </w:r>
            <w:r w:rsidR="00BA6F1A" w:rsidRPr="00FF34B1">
              <w:rPr>
                <w:rFonts w:ascii="Calibri" w:eastAsia="Times New Roman" w:hAnsi="Calibri" w:cs="Times New Roman"/>
                <w:color w:val="000000"/>
                <w:sz w:val="20"/>
                <w:szCs w:val="20"/>
              </w:rPr>
              <w:t>,</w:t>
            </w:r>
            <w:r w:rsidRPr="00FF34B1">
              <w:rPr>
                <w:rFonts w:ascii="Calibri" w:eastAsia="Times New Roman" w:hAnsi="Calibri" w:cs="Times New Roman"/>
                <w:color w:val="000000"/>
                <w:sz w:val="20"/>
                <w:szCs w:val="20"/>
              </w:rPr>
              <w:t>005</w:t>
            </w:r>
          </w:p>
        </w:tc>
      </w:tr>
      <w:tr w:rsidR="00A61E23" w:rsidRPr="00FF34B1" w:rsidTr="00FF34B1">
        <w:trPr>
          <w:trHeight w:val="30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rsidR="00A61E23" w:rsidRPr="00FF34B1" w:rsidRDefault="00A61E23" w:rsidP="00FF34B1">
            <w:pPr>
              <w:spacing w:after="0"/>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Sep</w:t>
            </w:r>
          </w:p>
        </w:tc>
        <w:tc>
          <w:tcPr>
            <w:tcW w:w="1860" w:type="dxa"/>
            <w:tcBorders>
              <w:top w:val="nil"/>
              <w:left w:val="nil"/>
              <w:bottom w:val="single" w:sz="4" w:space="0" w:color="auto"/>
              <w:right w:val="single" w:sz="4" w:space="0" w:color="auto"/>
            </w:tcBorders>
            <w:shd w:val="clear" w:color="auto" w:fill="auto"/>
            <w:noWrap/>
            <w:vAlign w:val="center"/>
            <w:hideMark/>
          </w:tcPr>
          <w:p w:rsidR="00A61E23" w:rsidRPr="00FF34B1" w:rsidRDefault="00A61E23" w:rsidP="00FF34B1">
            <w:pPr>
              <w:spacing w:after="0"/>
              <w:jc w:val="right"/>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378</w:t>
            </w:r>
          </w:p>
        </w:tc>
        <w:tc>
          <w:tcPr>
            <w:tcW w:w="1860" w:type="dxa"/>
            <w:tcBorders>
              <w:top w:val="nil"/>
              <w:left w:val="nil"/>
              <w:bottom w:val="single" w:sz="4" w:space="0" w:color="auto"/>
              <w:right w:val="single" w:sz="4" w:space="0" w:color="auto"/>
            </w:tcBorders>
            <w:shd w:val="clear" w:color="auto" w:fill="auto"/>
            <w:noWrap/>
            <w:vAlign w:val="center"/>
            <w:hideMark/>
          </w:tcPr>
          <w:p w:rsidR="00A61E23" w:rsidRPr="00FF34B1" w:rsidRDefault="00A61E23" w:rsidP="00FF34B1">
            <w:pPr>
              <w:spacing w:after="0"/>
              <w:jc w:val="right"/>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716</w:t>
            </w:r>
          </w:p>
        </w:tc>
        <w:tc>
          <w:tcPr>
            <w:tcW w:w="1860" w:type="dxa"/>
            <w:tcBorders>
              <w:top w:val="nil"/>
              <w:left w:val="nil"/>
              <w:bottom w:val="single" w:sz="4" w:space="0" w:color="auto"/>
              <w:right w:val="single" w:sz="4" w:space="0" w:color="auto"/>
            </w:tcBorders>
            <w:shd w:val="clear" w:color="auto" w:fill="auto"/>
            <w:noWrap/>
            <w:vAlign w:val="center"/>
            <w:hideMark/>
          </w:tcPr>
          <w:p w:rsidR="00A61E23" w:rsidRPr="00FF34B1" w:rsidRDefault="000E19DC" w:rsidP="00FF34B1">
            <w:pPr>
              <w:spacing w:after="0"/>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953</w:t>
            </w:r>
          </w:p>
        </w:tc>
      </w:tr>
      <w:tr w:rsidR="00A61E23" w:rsidRPr="00FF34B1" w:rsidTr="00FF34B1">
        <w:trPr>
          <w:trHeight w:val="30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rsidR="00A61E23" w:rsidRPr="00FF34B1" w:rsidRDefault="00A61E23" w:rsidP="00FF34B1">
            <w:pPr>
              <w:spacing w:after="0"/>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Oct</w:t>
            </w:r>
          </w:p>
        </w:tc>
        <w:tc>
          <w:tcPr>
            <w:tcW w:w="1860" w:type="dxa"/>
            <w:tcBorders>
              <w:top w:val="nil"/>
              <w:left w:val="nil"/>
              <w:bottom w:val="single" w:sz="4" w:space="0" w:color="auto"/>
              <w:right w:val="single" w:sz="4" w:space="0" w:color="auto"/>
            </w:tcBorders>
            <w:shd w:val="clear" w:color="auto" w:fill="auto"/>
            <w:noWrap/>
            <w:vAlign w:val="center"/>
            <w:hideMark/>
          </w:tcPr>
          <w:p w:rsidR="00A61E23" w:rsidRPr="00FF34B1" w:rsidRDefault="00A61E23" w:rsidP="00FF34B1">
            <w:pPr>
              <w:spacing w:after="0"/>
              <w:jc w:val="right"/>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401</w:t>
            </w:r>
          </w:p>
        </w:tc>
        <w:tc>
          <w:tcPr>
            <w:tcW w:w="1860" w:type="dxa"/>
            <w:tcBorders>
              <w:top w:val="nil"/>
              <w:left w:val="nil"/>
              <w:bottom w:val="single" w:sz="4" w:space="0" w:color="auto"/>
              <w:right w:val="single" w:sz="4" w:space="0" w:color="auto"/>
            </w:tcBorders>
            <w:shd w:val="clear" w:color="auto" w:fill="auto"/>
            <w:noWrap/>
            <w:vAlign w:val="center"/>
            <w:hideMark/>
          </w:tcPr>
          <w:p w:rsidR="00A61E23" w:rsidRPr="00FF34B1" w:rsidRDefault="00A61E23" w:rsidP="00FF34B1">
            <w:pPr>
              <w:spacing w:after="0"/>
              <w:jc w:val="right"/>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681</w:t>
            </w:r>
          </w:p>
        </w:tc>
        <w:tc>
          <w:tcPr>
            <w:tcW w:w="1860" w:type="dxa"/>
            <w:tcBorders>
              <w:top w:val="nil"/>
              <w:left w:val="nil"/>
              <w:bottom w:val="single" w:sz="4" w:space="0" w:color="auto"/>
              <w:right w:val="single" w:sz="4" w:space="0" w:color="auto"/>
            </w:tcBorders>
            <w:shd w:val="clear" w:color="auto" w:fill="auto"/>
            <w:noWrap/>
            <w:vAlign w:val="center"/>
            <w:hideMark/>
          </w:tcPr>
          <w:p w:rsidR="00A61E23" w:rsidRPr="00FF34B1" w:rsidRDefault="00A61E23" w:rsidP="00FF34B1">
            <w:pPr>
              <w:spacing w:after="0"/>
              <w:jc w:val="right"/>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1</w:t>
            </w:r>
            <w:r w:rsidR="00BA6F1A" w:rsidRPr="00FF34B1">
              <w:rPr>
                <w:rFonts w:ascii="Calibri" w:eastAsia="Times New Roman" w:hAnsi="Calibri" w:cs="Times New Roman"/>
                <w:color w:val="000000"/>
                <w:sz w:val="20"/>
                <w:szCs w:val="20"/>
              </w:rPr>
              <w:t>,</w:t>
            </w:r>
            <w:r w:rsidRPr="00FF34B1">
              <w:rPr>
                <w:rFonts w:ascii="Calibri" w:eastAsia="Times New Roman" w:hAnsi="Calibri" w:cs="Times New Roman"/>
                <w:color w:val="000000"/>
                <w:sz w:val="20"/>
                <w:szCs w:val="20"/>
              </w:rPr>
              <w:t>092</w:t>
            </w:r>
          </w:p>
        </w:tc>
      </w:tr>
      <w:tr w:rsidR="00A61E23" w:rsidRPr="00FF34B1" w:rsidTr="00FF34B1">
        <w:trPr>
          <w:trHeight w:val="30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rsidR="00A61E23" w:rsidRPr="00FF34B1" w:rsidRDefault="00A61E23" w:rsidP="00FF34B1">
            <w:pPr>
              <w:spacing w:after="0"/>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Nov</w:t>
            </w:r>
          </w:p>
        </w:tc>
        <w:tc>
          <w:tcPr>
            <w:tcW w:w="1860" w:type="dxa"/>
            <w:tcBorders>
              <w:top w:val="nil"/>
              <w:left w:val="nil"/>
              <w:bottom w:val="single" w:sz="4" w:space="0" w:color="auto"/>
              <w:right w:val="single" w:sz="4" w:space="0" w:color="auto"/>
            </w:tcBorders>
            <w:shd w:val="clear" w:color="auto" w:fill="auto"/>
            <w:noWrap/>
            <w:vAlign w:val="center"/>
            <w:hideMark/>
          </w:tcPr>
          <w:p w:rsidR="00A61E23" w:rsidRPr="00FF34B1" w:rsidRDefault="00A61E23" w:rsidP="00FF34B1">
            <w:pPr>
              <w:spacing w:after="0"/>
              <w:jc w:val="right"/>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476</w:t>
            </w:r>
          </w:p>
        </w:tc>
        <w:tc>
          <w:tcPr>
            <w:tcW w:w="1860" w:type="dxa"/>
            <w:tcBorders>
              <w:top w:val="nil"/>
              <w:left w:val="nil"/>
              <w:bottom w:val="single" w:sz="4" w:space="0" w:color="auto"/>
              <w:right w:val="single" w:sz="4" w:space="0" w:color="auto"/>
            </w:tcBorders>
            <w:shd w:val="clear" w:color="auto" w:fill="auto"/>
            <w:noWrap/>
            <w:vAlign w:val="center"/>
            <w:hideMark/>
          </w:tcPr>
          <w:p w:rsidR="00A61E23" w:rsidRPr="00FF34B1" w:rsidRDefault="00A61E23" w:rsidP="00FF34B1">
            <w:pPr>
              <w:spacing w:after="0"/>
              <w:jc w:val="right"/>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613</w:t>
            </w:r>
          </w:p>
        </w:tc>
        <w:tc>
          <w:tcPr>
            <w:tcW w:w="1860" w:type="dxa"/>
            <w:tcBorders>
              <w:top w:val="nil"/>
              <w:left w:val="nil"/>
              <w:bottom w:val="single" w:sz="4" w:space="0" w:color="auto"/>
              <w:right w:val="single" w:sz="4" w:space="0" w:color="auto"/>
            </w:tcBorders>
            <w:shd w:val="clear" w:color="auto" w:fill="auto"/>
            <w:noWrap/>
            <w:vAlign w:val="center"/>
            <w:hideMark/>
          </w:tcPr>
          <w:p w:rsidR="00A61E23" w:rsidRPr="00FF34B1" w:rsidRDefault="00A61E23" w:rsidP="00FF34B1">
            <w:pPr>
              <w:spacing w:after="0"/>
              <w:jc w:val="right"/>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1</w:t>
            </w:r>
            <w:r w:rsidR="00BA6F1A" w:rsidRPr="00FF34B1">
              <w:rPr>
                <w:rFonts w:ascii="Calibri" w:eastAsia="Times New Roman" w:hAnsi="Calibri" w:cs="Times New Roman"/>
                <w:color w:val="000000"/>
                <w:sz w:val="20"/>
                <w:szCs w:val="20"/>
              </w:rPr>
              <w:t>,</w:t>
            </w:r>
            <w:r w:rsidRPr="00FF34B1">
              <w:rPr>
                <w:rFonts w:ascii="Calibri" w:eastAsia="Times New Roman" w:hAnsi="Calibri" w:cs="Times New Roman"/>
                <w:color w:val="000000"/>
                <w:sz w:val="20"/>
                <w:szCs w:val="20"/>
              </w:rPr>
              <w:t>019</w:t>
            </w:r>
          </w:p>
        </w:tc>
      </w:tr>
      <w:tr w:rsidR="00A61E23" w:rsidRPr="00FF34B1" w:rsidTr="00FF34B1">
        <w:trPr>
          <w:trHeight w:val="30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rsidR="00A61E23" w:rsidRPr="00FF34B1" w:rsidRDefault="00A61E23" w:rsidP="00FF34B1">
            <w:pPr>
              <w:spacing w:after="0"/>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Dec</w:t>
            </w:r>
          </w:p>
        </w:tc>
        <w:tc>
          <w:tcPr>
            <w:tcW w:w="1860" w:type="dxa"/>
            <w:tcBorders>
              <w:top w:val="nil"/>
              <w:left w:val="nil"/>
              <w:bottom w:val="single" w:sz="4" w:space="0" w:color="auto"/>
              <w:right w:val="single" w:sz="4" w:space="0" w:color="auto"/>
            </w:tcBorders>
            <w:shd w:val="clear" w:color="auto" w:fill="auto"/>
            <w:noWrap/>
            <w:vAlign w:val="center"/>
            <w:hideMark/>
          </w:tcPr>
          <w:p w:rsidR="00A61E23" w:rsidRPr="00FF34B1" w:rsidRDefault="00A61E23" w:rsidP="00FF34B1">
            <w:pPr>
              <w:spacing w:after="0"/>
              <w:jc w:val="right"/>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507</w:t>
            </w:r>
          </w:p>
        </w:tc>
        <w:tc>
          <w:tcPr>
            <w:tcW w:w="1860" w:type="dxa"/>
            <w:tcBorders>
              <w:top w:val="nil"/>
              <w:left w:val="nil"/>
              <w:bottom w:val="single" w:sz="4" w:space="0" w:color="auto"/>
              <w:right w:val="single" w:sz="4" w:space="0" w:color="auto"/>
            </w:tcBorders>
            <w:shd w:val="clear" w:color="auto" w:fill="auto"/>
            <w:noWrap/>
            <w:vAlign w:val="center"/>
            <w:hideMark/>
          </w:tcPr>
          <w:p w:rsidR="00A61E23" w:rsidRPr="00FF34B1" w:rsidRDefault="00A61E23" w:rsidP="00FF34B1">
            <w:pPr>
              <w:spacing w:after="0"/>
              <w:jc w:val="right"/>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669</w:t>
            </w:r>
          </w:p>
        </w:tc>
        <w:tc>
          <w:tcPr>
            <w:tcW w:w="1860" w:type="dxa"/>
            <w:tcBorders>
              <w:top w:val="nil"/>
              <w:left w:val="nil"/>
              <w:bottom w:val="single" w:sz="4" w:space="0" w:color="auto"/>
              <w:right w:val="single" w:sz="4" w:space="0" w:color="auto"/>
            </w:tcBorders>
            <w:shd w:val="clear" w:color="auto" w:fill="auto"/>
            <w:noWrap/>
            <w:vAlign w:val="center"/>
            <w:hideMark/>
          </w:tcPr>
          <w:p w:rsidR="00A61E23" w:rsidRPr="00FF34B1" w:rsidRDefault="00A61E23" w:rsidP="00FF34B1">
            <w:pPr>
              <w:spacing w:after="0"/>
              <w:jc w:val="right"/>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993</w:t>
            </w:r>
          </w:p>
        </w:tc>
      </w:tr>
      <w:tr w:rsidR="00A61E23" w:rsidRPr="00FF34B1" w:rsidTr="00FF34B1">
        <w:trPr>
          <w:trHeight w:val="30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rsidR="00A61E23" w:rsidRPr="00FF34B1" w:rsidRDefault="00A61E23" w:rsidP="00FF34B1">
            <w:pPr>
              <w:spacing w:after="0"/>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Jan</w:t>
            </w:r>
          </w:p>
        </w:tc>
        <w:tc>
          <w:tcPr>
            <w:tcW w:w="1860" w:type="dxa"/>
            <w:tcBorders>
              <w:top w:val="nil"/>
              <w:left w:val="nil"/>
              <w:bottom w:val="single" w:sz="4" w:space="0" w:color="auto"/>
              <w:right w:val="single" w:sz="4" w:space="0" w:color="auto"/>
            </w:tcBorders>
            <w:shd w:val="clear" w:color="auto" w:fill="auto"/>
            <w:noWrap/>
            <w:vAlign w:val="center"/>
            <w:hideMark/>
          </w:tcPr>
          <w:p w:rsidR="00A61E23" w:rsidRPr="00FF34B1" w:rsidRDefault="00A61E23" w:rsidP="00FF34B1">
            <w:pPr>
              <w:spacing w:after="0"/>
              <w:jc w:val="right"/>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448</w:t>
            </w:r>
          </w:p>
        </w:tc>
        <w:tc>
          <w:tcPr>
            <w:tcW w:w="1860" w:type="dxa"/>
            <w:tcBorders>
              <w:top w:val="nil"/>
              <w:left w:val="nil"/>
              <w:bottom w:val="single" w:sz="4" w:space="0" w:color="auto"/>
              <w:right w:val="single" w:sz="4" w:space="0" w:color="auto"/>
            </w:tcBorders>
            <w:shd w:val="clear" w:color="auto" w:fill="auto"/>
            <w:noWrap/>
            <w:vAlign w:val="center"/>
            <w:hideMark/>
          </w:tcPr>
          <w:p w:rsidR="00A61E23" w:rsidRPr="00FF34B1" w:rsidRDefault="00A61E23" w:rsidP="00FF34B1">
            <w:pPr>
              <w:spacing w:after="0"/>
              <w:jc w:val="right"/>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666</w:t>
            </w:r>
          </w:p>
        </w:tc>
        <w:tc>
          <w:tcPr>
            <w:tcW w:w="1860" w:type="dxa"/>
            <w:tcBorders>
              <w:top w:val="nil"/>
              <w:left w:val="nil"/>
              <w:bottom w:val="single" w:sz="4" w:space="0" w:color="auto"/>
              <w:right w:val="single" w:sz="4" w:space="0" w:color="auto"/>
            </w:tcBorders>
            <w:shd w:val="clear" w:color="auto" w:fill="auto"/>
            <w:noWrap/>
            <w:vAlign w:val="center"/>
            <w:hideMark/>
          </w:tcPr>
          <w:p w:rsidR="00A61E23" w:rsidRPr="00FF34B1" w:rsidRDefault="00A61E23" w:rsidP="00FF34B1">
            <w:pPr>
              <w:spacing w:after="0"/>
              <w:jc w:val="right"/>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1</w:t>
            </w:r>
            <w:r w:rsidR="00BA6F1A" w:rsidRPr="00FF34B1">
              <w:rPr>
                <w:rFonts w:ascii="Calibri" w:eastAsia="Times New Roman" w:hAnsi="Calibri" w:cs="Times New Roman"/>
                <w:color w:val="000000"/>
                <w:sz w:val="20"/>
                <w:szCs w:val="20"/>
              </w:rPr>
              <w:t>,</w:t>
            </w:r>
            <w:r w:rsidRPr="00FF34B1">
              <w:rPr>
                <w:rFonts w:ascii="Calibri" w:eastAsia="Times New Roman" w:hAnsi="Calibri" w:cs="Times New Roman"/>
                <w:color w:val="000000"/>
                <w:sz w:val="20"/>
                <w:szCs w:val="20"/>
              </w:rPr>
              <w:t>030</w:t>
            </w:r>
          </w:p>
        </w:tc>
      </w:tr>
      <w:tr w:rsidR="000E19DC" w:rsidRPr="00FF34B1" w:rsidTr="000E19DC">
        <w:trPr>
          <w:trHeight w:val="30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rsidR="000E19DC" w:rsidRPr="00FF34B1" w:rsidRDefault="000E19DC" w:rsidP="00FF34B1">
            <w:pPr>
              <w:spacing w:after="0"/>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Feb</w:t>
            </w:r>
          </w:p>
        </w:tc>
        <w:tc>
          <w:tcPr>
            <w:tcW w:w="1860" w:type="dxa"/>
            <w:tcBorders>
              <w:top w:val="nil"/>
              <w:left w:val="nil"/>
              <w:bottom w:val="single" w:sz="4" w:space="0" w:color="auto"/>
              <w:right w:val="single" w:sz="4" w:space="0" w:color="auto"/>
            </w:tcBorders>
            <w:shd w:val="clear" w:color="auto" w:fill="auto"/>
            <w:noWrap/>
            <w:vAlign w:val="center"/>
            <w:hideMark/>
          </w:tcPr>
          <w:p w:rsidR="000E19DC" w:rsidRPr="00FF34B1" w:rsidRDefault="000E19DC" w:rsidP="00FF34B1">
            <w:pPr>
              <w:spacing w:after="0"/>
              <w:jc w:val="right"/>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480</w:t>
            </w:r>
          </w:p>
        </w:tc>
        <w:tc>
          <w:tcPr>
            <w:tcW w:w="1860" w:type="dxa"/>
            <w:tcBorders>
              <w:top w:val="nil"/>
              <w:left w:val="nil"/>
              <w:bottom w:val="single" w:sz="4" w:space="0" w:color="auto"/>
              <w:right w:val="single" w:sz="4" w:space="0" w:color="auto"/>
            </w:tcBorders>
            <w:shd w:val="clear" w:color="auto" w:fill="auto"/>
            <w:noWrap/>
            <w:vAlign w:val="center"/>
            <w:hideMark/>
          </w:tcPr>
          <w:p w:rsidR="000E19DC" w:rsidRPr="00FF34B1" w:rsidRDefault="000E19DC" w:rsidP="00FF34B1">
            <w:pPr>
              <w:spacing w:after="0"/>
              <w:jc w:val="right"/>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715</w:t>
            </w:r>
          </w:p>
        </w:tc>
        <w:tc>
          <w:tcPr>
            <w:tcW w:w="1860" w:type="dxa"/>
            <w:tcBorders>
              <w:top w:val="nil"/>
              <w:left w:val="nil"/>
              <w:bottom w:val="single" w:sz="4" w:space="0" w:color="auto"/>
              <w:right w:val="single" w:sz="4" w:space="0" w:color="auto"/>
            </w:tcBorders>
            <w:shd w:val="clear" w:color="auto" w:fill="auto"/>
            <w:noWrap/>
            <w:hideMark/>
          </w:tcPr>
          <w:p w:rsidR="000E19DC" w:rsidRPr="000E19DC" w:rsidRDefault="000E19DC" w:rsidP="00FF34B1">
            <w:pPr>
              <w:spacing w:after="0"/>
              <w:jc w:val="right"/>
              <w:rPr>
                <w:rFonts w:ascii="Calibri" w:eastAsia="Times New Roman" w:hAnsi="Calibri" w:cs="Times New Roman"/>
                <w:color w:val="000000"/>
                <w:sz w:val="20"/>
                <w:szCs w:val="20"/>
              </w:rPr>
            </w:pPr>
            <w:r w:rsidRPr="000E19DC">
              <w:rPr>
                <w:sz w:val="20"/>
                <w:szCs w:val="20"/>
              </w:rPr>
              <w:t>1</w:t>
            </w:r>
            <w:r>
              <w:rPr>
                <w:sz w:val="20"/>
                <w:szCs w:val="20"/>
              </w:rPr>
              <w:t>,</w:t>
            </w:r>
            <w:r w:rsidRPr="000E19DC">
              <w:rPr>
                <w:sz w:val="20"/>
                <w:szCs w:val="20"/>
              </w:rPr>
              <w:t>110</w:t>
            </w:r>
          </w:p>
        </w:tc>
      </w:tr>
      <w:tr w:rsidR="000E19DC" w:rsidRPr="00FF34B1" w:rsidTr="000E19DC">
        <w:trPr>
          <w:trHeight w:val="30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rsidR="000E19DC" w:rsidRPr="00FF34B1" w:rsidRDefault="000E19DC" w:rsidP="00FF34B1">
            <w:pPr>
              <w:spacing w:after="0"/>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Mar</w:t>
            </w:r>
          </w:p>
        </w:tc>
        <w:tc>
          <w:tcPr>
            <w:tcW w:w="1860" w:type="dxa"/>
            <w:tcBorders>
              <w:top w:val="nil"/>
              <w:left w:val="nil"/>
              <w:bottom w:val="single" w:sz="4" w:space="0" w:color="auto"/>
              <w:right w:val="single" w:sz="4" w:space="0" w:color="auto"/>
            </w:tcBorders>
            <w:shd w:val="clear" w:color="auto" w:fill="auto"/>
            <w:noWrap/>
            <w:vAlign w:val="center"/>
            <w:hideMark/>
          </w:tcPr>
          <w:p w:rsidR="000E19DC" w:rsidRPr="00FF34B1" w:rsidRDefault="000E19DC" w:rsidP="00FF34B1">
            <w:pPr>
              <w:spacing w:after="0"/>
              <w:jc w:val="right"/>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577</w:t>
            </w:r>
          </w:p>
        </w:tc>
        <w:tc>
          <w:tcPr>
            <w:tcW w:w="1860" w:type="dxa"/>
            <w:tcBorders>
              <w:top w:val="nil"/>
              <w:left w:val="nil"/>
              <w:bottom w:val="single" w:sz="4" w:space="0" w:color="auto"/>
              <w:right w:val="single" w:sz="4" w:space="0" w:color="auto"/>
            </w:tcBorders>
            <w:shd w:val="clear" w:color="auto" w:fill="auto"/>
            <w:noWrap/>
            <w:vAlign w:val="center"/>
            <w:hideMark/>
          </w:tcPr>
          <w:p w:rsidR="000E19DC" w:rsidRPr="00FF34B1" w:rsidRDefault="000E19DC" w:rsidP="00FF34B1">
            <w:pPr>
              <w:spacing w:after="0"/>
              <w:jc w:val="right"/>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843</w:t>
            </w:r>
          </w:p>
        </w:tc>
        <w:tc>
          <w:tcPr>
            <w:tcW w:w="1860" w:type="dxa"/>
            <w:tcBorders>
              <w:top w:val="nil"/>
              <w:left w:val="nil"/>
              <w:bottom w:val="single" w:sz="4" w:space="0" w:color="auto"/>
              <w:right w:val="single" w:sz="4" w:space="0" w:color="auto"/>
            </w:tcBorders>
            <w:shd w:val="clear" w:color="auto" w:fill="auto"/>
            <w:noWrap/>
            <w:hideMark/>
          </w:tcPr>
          <w:p w:rsidR="000E19DC" w:rsidRPr="000E19DC" w:rsidRDefault="000E19DC" w:rsidP="00FF34B1">
            <w:pPr>
              <w:spacing w:after="0"/>
              <w:jc w:val="right"/>
              <w:rPr>
                <w:rFonts w:ascii="Calibri" w:eastAsia="Times New Roman" w:hAnsi="Calibri" w:cs="Times New Roman"/>
                <w:color w:val="000000"/>
                <w:sz w:val="20"/>
                <w:szCs w:val="20"/>
              </w:rPr>
            </w:pPr>
            <w:r w:rsidRPr="000E19DC">
              <w:rPr>
                <w:sz w:val="20"/>
                <w:szCs w:val="20"/>
              </w:rPr>
              <w:t>1</w:t>
            </w:r>
            <w:r>
              <w:rPr>
                <w:sz w:val="20"/>
                <w:szCs w:val="20"/>
              </w:rPr>
              <w:t>,</w:t>
            </w:r>
            <w:r w:rsidRPr="000E19DC">
              <w:rPr>
                <w:sz w:val="20"/>
                <w:szCs w:val="20"/>
              </w:rPr>
              <w:t>074</w:t>
            </w:r>
          </w:p>
        </w:tc>
      </w:tr>
      <w:tr w:rsidR="000E19DC" w:rsidRPr="00FF34B1" w:rsidTr="000E19DC">
        <w:trPr>
          <w:trHeight w:val="30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rsidR="000E19DC" w:rsidRPr="00FF34B1" w:rsidRDefault="000E19DC" w:rsidP="00FF34B1">
            <w:pPr>
              <w:spacing w:after="0"/>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Apr</w:t>
            </w:r>
          </w:p>
        </w:tc>
        <w:tc>
          <w:tcPr>
            <w:tcW w:w="1860" w:type="dxa"/>
            <w:tcBorders>
              <w:top w:val="nil"/>
              <w:left w:val="nil"/>
              <w:bottom w:val="single" w:sz="4" w:space="0" w:color="auto"/>
              <w:right w:val="single" w:sz="4" w:space="0" w:color="auto"/>
            </w:tcBorders>
            <w:shd w:val="clear" w:color="auto" w:fill="auto"/>
            <w:noWrap/>
            <w:vAlign w:val="center"/>
            <w:hideMark/>
          </w:tcPr>
          <w:p w:rsidR="000E19DC" w:rsidRPr="00FF34B1" w:rsidRDefault="000E19DC" w:rsidP="00FF34B1">
            <w:pPr>
              <w:spacing w:after="0"/>
              <w:jc w:val="right"/>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481</w:t>
            </w:r>
          </w:p>
        </w:tc>
        <w:tc>
          <w:tcPr>
            <w:tcW w:w="1860" w:type="dxa"/>
            <w:tcBorders>
              <w:top w:val="nil"/>
              <w:left w:val="nil"/>
              <w:bottom w:val="single" w:sz="4" w:space="0" w:color="auto"/>
              <w:right w:val="single" w:sz="4" w:space="0" w:color="auto"/>
            </w:tcBorders>
            <w:shd w:val="clear" w:color="auto" w:fill="auto"/>
            <w:noWrap/>
            <w:vAlign w:val="center"/>
            <w:hideMark/>
          </w:tcPr>
          <w:p w:rsidR="000E19DC" w:rsidRPr="00FF34B1" w:rsidRDefault="000E19DC" w:rsidP="00FF34B1">
            <w:pPr>
              <w:spacing w:after="0"/>
              <w:jc w:val="right"/>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806</w:t>
            </w:r>
          </w:p>
        </w:tc>
        <w:tc>
          <w:tcPr>
            <w:tcW w:w="1860" w:type="dxa"/>
            <w:tcBorders>
              <w:top w:val="nil"/>
              <w:left w:val="nil"/>
              <w:bottom w:val="single" w:sz="4" w:space="0" w:color="auto"/>
              <w:right w:val="single" w:sz="4" w:space="0" w:color="auto"/>
            </w:tcBorders>
            <w:shd w:val="clear" w:color="auto" w:fill="auto"/>
            <w:noWrap/>
            <w:hideMark/>
          </w:tcPr>
          <w:p w:rsidR="000E19DC" w:rsidRPr="000E19DC" w:rsidRDefault="000E19DC" w:rsidP="00FF34B1">
            <w:pPr>
              <w:spacing w:after="0"/>
              <w:jc w:val="right"/>
              <w:rPr>
                <w:rFonts w:ascii="Calibri" w:eastAsia="Times New Roman" w:hAnsi="Calibri" w:cs="Times New Roman"/>
                <w:color w:val="000000"/>
                <w:sz w:val="20"/>
                <w:szCs w:val="20"/>
              </w:rPr>
            </w:pPr>
            <w:r w:rsidRPr="000E19DC">
              <w:rPr>
                <w:sz w:val="20"/>
                <w:szCs w:val="20"/>
              </w:rPr>
              <w:t>1</w:t>
            </w:r>
            <w:r>
              <w:rPr>
                <w:sz w:val="20"/>
                <w:szCs w:val="20"/>
              </w:rPr>
              <w:t>,</w:t>
            </w:r>
            <w:r w:rsidRPr="000E19DC">
              <w:rPr>
                <w:sz w:val="20"/>
                <w:szCs w:val="20"/>
              </w:rPr>
              <w:t>119</w:t>
            </w:r>
          </w:p>
        </w:tc>
      </w:tr>
      <w:tr w:rsidR="000E19DC" w:rsidRPr="00FF34B1" w:rsidTr="000E19DC">
        <w:trPr>
          <w:trHeight w:val="30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rsidR="000E19DC" w:rsidRPr="00FF34B1" w:rsidRDefault="000E19DC" w:rsidP="00FF34B1">
            <w:pPr>
              <w:spacing w:after="0"/>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May</w:t>
            </w:r>
          </w:p>
        </w:tc>
        <w:tc>
          <w:tcPr>
            <w:tcW w:w="1860" w:type="dxa"/>
            <w:tcBorders>
              <w:top w:val="nil"/>
              <w:left w:val="nil"/>
              <w:bottom w:val="single" w:sz="4" w:space="0" w:color="auto"/>
              <w:right w:val="single" w:sz="4" w:space="0" w:color="auto"/>
            </w:tcBorders>
            <w:shd w:val="clear" w:color="auto" w:fill="auto"/>
            <w:noWrap/>
            <w:vAlign w:val="center"/>
            <w:hideMark/>
          </w:tcPr>
          <w:p w:rsidR="000E19DC" w:rsidRPr="00FF34B1" w:rsidRDefault="000E19DC" w:rsidP="00FF34B1">
            <w:pPr>
              <w:spacing w:after="0"/>
              <w:jc w:val="right"/>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709</w:t>
            </w:r>
          </w:p>
        </w:tc>
        <w:tc>
          <w:tcPr>
            <w:tcW w:w="1860" w:type="dxa"/>
            <w:tcBorders>
              <w:top w:val="nil"/>
              <w:left w:val="nil"/>
              <w:bottom w:val="single" w:sz="4" w:space="0" w:color="auto"/>
              <w:right w:val="single" w:sz="4" w:space="0" w:color="auto"/>
            </w:tcBorders>
            <w:shd w:val="clear" w:color="auto" w:fill="auto"/>
            <w:noWrap/>
            <w:vAlign w:val="center"/>
            <w:hideMark/>
          </w:tcPr>
          <w:p w:rsidR="000E19DC" w:rsidRPr="00FF34B1" w:rsidRDefault="000E19DC" w:rsidP="00FF34B1">
            <w:pPr>
              <w:spacing w:after="0"/>
              <w:jc w:val="right"/>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894</w:t>
            </w:r>
          </w:p>
        </w:tc>
        <w:tc>
          <w:tcPr>
            <w:tcW w:w="1860" w:type="dxa"/>
            <w:tcBorders>
              <w:top w:val="nil"/>
              <w:left w:val="nil"/>
              <w:bottom w:val="single" w:sz="4" w:space="0" w:color="auto"/>
              <w:right w:val="single" w:sz="4" w:space="0" w:color="auto"/>
            </w:tcBorders>
            <w:shd w:val="clear" w:color="auto" w:fill="auto"/>
            <w:noWrap/>
            <w:hideMark/>
          </w:tcPr>
          <w:p w:rsidR="000E19DC" w:rsidRPr="000E19DC" w:rsidRDefault="000E19DC" w:rsidP="00FF34B1">
            <w:pPr>
              <w:spacing w:after="0"/>
              <w:jc w:val="right"/>
              <w:rPr>
                <w:rFonts w:ascii="Calibri" w:eastAsia="Times New Roman" w:hAnsi="Calibri" w:cs="Times New Roman"/>
                <w:color w:val="000000"/>
                <w:sz w:val="20"/>
                <w:szCs w:val="20"/>
              </w:rPr>
            </w:pPr>
            <w:r w:rsidRPr="000E19DC">
              <w:rPr>
                <w:sz w:val="20"/>
                <w:szCs w:val="20"/>
              </w:rPr>
              <w:t>1</w:t>
            </w:r>
            <w:r>
              <w:rPr>
                <w:sz w:val="20"/>
                <w:szCs w:val="20"/>
              </w:rPr>
              <w:t>,</w:t>
            </w:r>
            <w:r w:rsidRPr="000E19DC">
              <w:rPr>
                <w:sz w:val="20"/>
                <w:szCs w:val="20"/>
              </w:rPr>
              <w:t>216</w:t>
            </w:r>
          </w:p>
        </w:tc>
      </w:tr>
      <w:tr w:rsidR="000E19DC" w:rsidRPr="00FF34B1" w:rsidTr="000E19DC">
        <w:trPr>
          <w:trHeight w:val="30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rsidR="000E19DC" w:rsidRPr="00FF34B1" w:rsidRDefault="000E19DC" w:rsidP="00FF34B1">
            <w:pPr>
              <w:spacing w:after="0"/>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Jun</w:t>
            </w:r>
          </w:p>
        </w:tc>
        <w:tc>
          <w:tcPr>
            <w:tcW w:w="1860" w:type="dxa"/>
            <w:tcBorders>
              <w:top w:val="nil"/>
              <w:left w:val="nil"/>
              <w:bottom w:val="single" w:sz="4" w:space="0" w:color="auto"/>
              <w:right w:val="single" w:sz="4" w:space="0" w:color="auto"/>
            </w:tcBorders>
            <w:shd w:val="clear" w:color="auto" w:fill="auto"/>
            <w:noWrap/>
            <w:vAlign w:val="center"/>
            <w:hideMark/>
          </w:tcPr>
          <w:p w:rsidR="000E19DC" w:rsidRPr="00FF34B1" w:rsidRDefault="000E19DC" w:rsidP="00FF34B1">
            <w:pPr>
              <w:spacing w:after="0"/>
              <w:jc w:val="right"/>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635</w:t>
            </w:r>
          </w:p>
        </w:tc>
        <w:tc>
          <w:tcPr>
            <w:tcW w:w="1860" w:type="dxa"/>
            <w:tcBorders>
              <w:top w:val="nil"/>
              <w:left w:val="nil"/>
              <w:bottom w:val="single" w:sz="4" w:space="0" w:color="auto"/>
              <w:right w:val="single" w:sz="4" w:space="0" w:color="auto"/>
            </w:tcBorders>
            <w:shd w:val="clear" w:color="auto" w:fill="auto"/>
            <w:noWrap/>
            <w:vAlign w:val="center"/>
            <w:hideMark/>
          </w:tcPr>
          <w:p w:rsidR="000E19DC" w:rsidRPr="00FF34B1" w:rsidRDefault="000E19DC" w:rsidP="00FF34B1">
            <w:pPr>
              <w:spacing w:after="0"/>
              <w:jc w:val="right"/>
              <w:rPr>
                <w:rFonts w:ascii="Calibri" w:eastAsia="Times New Roman" w:hAnsi="Calibri" w:cs="Times New Roman"/>
                <w:color w:val="000000"/>
                <w:sz w:val="20"/>
                <w:szCs w:val="20"/>
              </w:rPr>
            </w:pPr>
            <w:r w:rsidRPr="00FF34B1">
              <w:rPr>
                <w:rFonts w:ascii="Calibri" w:eastAsia="Times New Roman" w:hAnsi="Calibri" w:cs="Times New Roman"/>
                <w:color w:val="000000"/>
                <w:sz w:val="20"/>
                <w:szCs w:val="20"/>
              </w:rPr>
              <w:t>950</w:t>
            </w:r>
          </w:p>
        </w:tc>
        <w:tc>
          <w:tcPr>
            <w:tcW w:w="1860" w:type="dxa"/>
            <w:tcBorders>
              <w:top w:val="nil"/>
              <w:left w:val="nil"/>
              <w:bottom w:val="single" w:sz="4" w:space="0" w:color="auto"/>
              <w:right w:val="single" w:sz="4" w:space="0" w:color="auto"/>
            </w:tcBorders>
            <w:shd w:val="clear" w:color="auto" w:fill="auto"/>
            <w:noWrap/>
            <w:hideMark/>
          </w:tcPr>
          <w:p w:rsidR="000E19DC" w:rsidRPr="000E19DC" w:rsidRDefault="000E19DC" w:rsidP="00FF34B1">
            <w:pPr>
              <w:spacing w:after="0"/>
              <w:jc w:val="right"/>
              <w:rPr>
                <w:rFonts w:ascii="Calibri" w:eastAsia="Times New Roman" w:hAnsi="Calibri" w:cs="Times New Roman"/>
                <w:color w:val="000000"/>
                <w:sz w:val="20"/>
                <w:szCs w:val="20"/>
              </w:rPr>
            </w:pPr>
            <w:r w:rsidRPr="000E19DC">
              <w:rPr>
                <w:sz w:val="20"/>
                <w:szCs w:val="20"/>
              </w:rPr>
              <w:t>1</w:t>
            </w:r>
            <w:r>
              <w:rPr>
                <w:sz w:val="20"/>
                <w:szCs w:val="20"/>
              </w:rPr>
              <w:t>,</w:t>
            </w:r>
            <w:r w:rsidRPr="000E19DC">
              <w:rPr>
                <w:sz w:val="20"/>
                <w:szCs w:val="20"/>
              </w:rPr>
              <w:t>236</w:t>
            </w:r>
          </w:p>
        </w:tc>
      </w:tr>
      <w:tr w:rsidR="00A61E23" w:rsidRPr="00FF34B1" w:rsidTr="00FF34B1">
        <w:trPr>
          <w:trHeight w:val="300"/>
        </w:trPr>
        <w:tc>
          <w:tcPr>
            <w:tcW w:w="1816" w:type="dxa"/>
            <w:tcBorders>
              <w:top w:val="nil"/>
              <w:left w:val="single" w:sz="4" w:space="0" w:color="auto"/>
              <w:bottom w:val="single" w:sz="4" w:space="0" w:color="auto"/>
              <w:right w:val="single" w:sz="4" w:space="0" w:color="auto"/>
            </w:tcBorders>
            <w:shd w:val="clear" w:color="auto" w:fill="auto"/>
            <w:noWrap/>
            <w:vAlign w:val="center"/>
            <w:hideMark/>
          </w:tcPr>
          <w:p w:rsidR="00A61E23" w:rsidRPr="00FF34B1" w:rsidRDefault="00A61E23" w:rsidP="00FF34B1">
            <w:pPr>
              <w:spacing w:after="0"/>
              <w:rPr>
                <w:rFonts w:ascii="Calibri" w:eastAsia="Times New Roman" w:hAnsi="Calibri" w:cs="Times New Roman"/>
                <w:b/>
                <w:bCs/>
                <w:color w:val="000000"/>
                <w:sz w:val="20"/>
                <w:szCs w:val="20"/>
              </w:rPr>
            </w:pPr>
            <w:r w:rsidRPr="00FF34B1">
              <w:rPr>
                <w:rFonts w:ascii="Calibri" w:eastAsia="Times New Roman" w:hAnsi="Calibri" w:cs="Times New Roman"/>
                <w:b/>
                <w:bCs/>
                <w:color w:val="000000"/>
                <w:sz w:val="20"/>
                <w:szCs w:val="20"/>
              </w:rPr>
              <w:t>Financial Year Total</w:t>
            </w:r>
          </w:p>
        </w:tc>
        <w:tc>
          <w:tcPr>
            <w:tcW w:w="1860" w:type="dxa"/>
            <w:tcBorders>
              <w:top w:val="nil"/>
              <w:left w:val="nil"/>
              <w:bottom w:val="single" w:sz="4" w:space="0" w:color="auto"/>
              <w:right w:val="single" w:sz="4" w:space="0" w:color="auto"/>
            </w:tcBorders>
            <w:shd w:val="clear" w:color="auto" w:fill="auto"/>
            <w:noWrap/>
            <w:vAlign w:val="center"/>
            <w:hideMark/>
          </w:tcPr>
          <w:p w:rsidR="00A61E23" w:rsidRPr="00FF34B1" w:rsidRDefault="00A61E23" w:rsidP="00FF34B1">
            <w:pPr>
              <w:spacing w:after="0"/>
              <w:jc w:val="right"/>
              <w:rPr>
                <w:rFonts w:ascii="Calibri" w:eastAsia="Times New Roman" w:hAnsi="Calibri" w:cs="Times New Roman"/>
                <w:b/>
                <w:bCs/>
                <w:color w:val="000000"/>
                <w:sz w:val="20"/>
                <w:szCs w:val="20"/>
              </w:rPr>
            </w:pPr>
            <w:r w:rsidRPr="00FF34B1">
              <w:rPr>
                <w:rFonts w:ascii="Calibri" w:eastAsia="Times New Roman" w:hAnsi="Calibri" w:cs="Times New Roman"/>
                <w:b/>
                <w:bCs/>
                <w:color w:val="000000"/>
                <w:sz w:val="20"/>
                <w:szCs w:val="20"/>
              </w:rPr>
              <w:t>5</w:t>
            </w:r>
            <w:r w:rsidR="005316E2">
              <w:rPr>
                <w:rFonts w:ascii="Calibri" w:eastAsia="Times New Roman" w:hAnsi="Calibri" w:cs="Times New Roman"/>
                <w:b/>
                <w:bCs/>
                <w:color w:val="000000"/>
                <w:sz w:val="20"/>
                <w:szCs w:val="20"/>
              </w:rPr>
              <w:t>,</w:t>
            </w:r>
            <w:r w:rsidRPr="00FF34B1">
              <w:rPr>
                <w:rFonts w:ascii="Calibri" w:eastAsia="Times New Roman" w:hAnsi="Calibri" w:cs="Times New Roman"/>
                <w:b/>
                <w:bCs/>
                <w:color w:val="000000"/>
                <w:sz w:val="20"/>
                <w:szCs w:val="20"/>
              </w:rPr>
              <w:t>330</w:t>
            </w:r>
          </w:p>
        </w:tc>
        <w:tc>
          <w:tcPr>
            <w:tcW w:w="1860" w:type="dxa"/>
            <w:tcBorders>
              <w:top w:val="nil"/>
              <w:left w:val="nil"/>
              <w:bottom w:val="single" w:sz="4" w:space="0" w:color="auto"/>
              <w:right w:val="single" w:sz="4" w:space="0" w:color="auto"/>
            </w:tcBorders>
            <w:shd w:val="clear" w:color="auto" w:fill="auto"/>
            <w:noWrap/>
            <w:vAlign w:val="center"/>
            <w:hideMark/>
          </w:tcPr>
          <w:p w:rsidR="00A61E23" w:rsidRPr="00FF34B1" w:rsidRDefault="00A61E23" w:rsidP="00FF34B1">
            <w:pPr>
              <w:spacing w:after="0"/>
              <w:jc w:val="right"/>
              <w:rPr>
                <w:rFonts w:ascii="Calibri" w:eastAsia="Times New Roman" w:hAnsi="Calibri" w:cs="Times New Roman"/>
                <w:b/>
                <w:bCs/>
                <w:color w:val="000000"/>
                <w:sz w:val="20"/>
                <w:szCs w:val="20"/>
              </w:rPr>
            </w:pPr>
            <w:r w:rsidRPr="00FF34B1">
              <w:rPr>
                <w:rFonts w:ascii="Calibri" w:eastAsia="Times New Roman" w:hAnsi="Calibri" w:cs="Times New Roman"/>
                <w:b/>
                <w:bCs/>
                <w:color w:val="000000"/>
                <w:sz w:val="20"/>
                <w:szCs w:val="20"/>
              </w:rPr>
              <w:t>8</w:t>
            </w:r>
            <w:r w:rsidR="005316E2">
              <w:rPr>
                <w:rFonts w:ascii="Calibri" w:eastAsia="Times New Roman" w:hAnsi="Calibri" w:cs="Times New Roman"/>
                <w:b/>
                <w:bCs/>
                <w:color w:val="000000"/>
                <w:sz w:val="20"/>
                <w:szCs w:val="20"/>
              </w:rPr>
              <w:t>,</w:t>
            </w:r>
            <w:r w:rsidRPr="00FF34B1">
              <w:rPr>
                <w:rFonts w:ascii="Calibri" w:eastAsia="Times New Roman" w:hAnsi="Calibri" w:cs="Times New Roman"/>
                <w:b/>
                <w:bCs/>
                <w:color w:val="000000"/>
                <w:sz w:val="20"/>
                <w:szCs w:val="20"/>
              </w:rPr>
              <w:t>921</w:t>
            </w:r>
          </w:p>
        </w:tc>
        <w:tc>
          <w:tcPr>
            <w:tcW w:w="1860" w:type="dxa"/>
            <w:tcBorders>
              <w:top w:val="nil"/>
              <w:left w:val="nil"/>
              <w:bottom w:val="single" w:sz="4" w:space="0" w:color="auto"/>
              <w:right w:val="single" w:sz="4" w:space="0" w:color="auto"/>
            </w:tcBorders>
            <w:shd w:val="clear" w:color="auto" w:fill="auto"/>
            <w:noWrap/>
            <w:vAlign w:val="center"/>
            <w:hideMark/>
          </w:tcPr>
          <w:p w:rsidR="00A61E23" w:rsidRPr="00FF34B1" w:rsidRDefault="0026208F" w:rsidP="00FF34B1">
            <w:pPr>
              <w:spacing w:after="0"/>
              <w:jc w:val="right"/>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12,854</w:t>
            </w:r>
          </w:p>
        </w:tc>
      </w:tr>
    </w:tbl>
    <w:p w:rsidR="003B48B9" w:rsidRPr="003B48B9" w:rsidRDefault="003B48B9" w:rsidP="002A07F7">
      <w:pPr>
        <w:pStyle w:val="Notes"/>
      </w:pPr>
      <w:r w:rsidRPr="003B48B9">
        <w:t xml:space="preserve">Source: DHS Prescription supply </w:t>
      </w:r>
      <w:r w:rsidRPr="000E19DC">
        <w:t xml:space="preserve">data. </w:t>
      </w:r>
      <w:proofErr w:type="gramStart"/>
      <w:r w:rsidRPr="000E19DC">
        <w:t>Extracted 30 August 2016.</w:t>
      </w:r>
      <w:proofErr w:type="gramEnd"/>
    </w:p>
    <w:p w:rsidR="003B48B9" w:rsidRDefault="00443F9C" w:rsidP="002A07F7">
      <w:r>
        <w:t xml:space="preserve">Table </w:t>
      </w:r>
      <w:r w:rsidR="003B48B9">
        <w:t>3 shows that u</w:t>
      </w:r>
      <w:r w:rsidR="003B48B9" w:rsidRPr="003B48B9">
        <w:t>se of PBS subsidised mifepristone has increased gradually since listing.</w:t>
      </w:r>
      <w:r w:rsidR="003B48B9">
        <w:t xml:space="preserve"> </w:t>
      </w:r>
    </w:p>
    <w:p w:rsidR="00D2565F" w:rsidRDefault="00DB472E" w:rsidP="002A07F7">
      <w:r w:rsidRPr="002A4064">
        <w:t>Some women may choose to have mifepristone and misoprostol dispensed on private prescription rather than through the PBS and this use is not captured in the DHS prescription data.</w:t>
      </w:r>
      <w:r w:rsidR="00E40860">
        <w:t xml:space="preserve"> </w:t>
      </w:r>
    </w:p>
    <w:p w:rsidR="007867AE" w:rsidRDefault="007867AE" w:rsidP="007867AE">
      <w:r>
        <w:t>Prior to the listing of the mifepristone and misoprostol co-pack, the misoprostol component (</w:t>
      </w:r>
      <w:proofErr w:type="spellStart"/>
      <w:r>
        <w:t>GyMiso</w:t>
      </w:r>
      <w:proofErr w:type="spellEnd"/>
      <w:r>
        <w:t>) was available with a maximum quantity of 4 x 200</w:t>
      </w:r>
      <w:r w:rsidR="002A07F7">
        <w:t> </w:t>
      </w:r>
      <w:r>
        <w:t xml:space="preserve">microgram tablets with one repeat. The repeat prescription was intended for dispensing after 1-7 days if termination of pregnancy had not occurred after the first dose. For all MTOPs commenced between 1 August 2013 and 31 January 2015, a subsequent supply of misoprostol was dispensed on </w:t>
      </w:r>
      <w:r w:rsidR="00F47F8C">
        <w:t>less than 2%</w:t>
      </w:r>
      <w:r>
        <w:t xml:space="preserve"> of occasions (data not shown). </w:t>
      </w:r>
    </w:p>
    <w:p w:rsidR="007867AE" w:rsidRPr="007867AE" w:rsidRDefault="007867AE" w:rsidP="00D2565F">
      <w:pPr>
        <w:keepNext/>
        <w:keepLines/>
        <w:outlineLvl w:val="4"/>
        <w:sectPr w:rsidR="007867AE" w:rsidRPr="007867AE" w:rsidSect="00DD188C">
          <w:headerReference w:type="even" r:id="rId9"/>
          <w:headerReference w:type="default" r:id="rId10"/>
          <w:footerReference w:type="even" r:id="rId11"/>
          <w:footerReference w:type="default" r:id="rId12"/>
          <w:headerReference w:type="first" r:id="rId13"/>
          <w:footerReference w:type="first" r:id="rId14"/>
          <w:pgSz w:w="11906" w:h="16838"/>
          <w:pgMar w:top="1644" w:right="1361" w:bottom="1644" w:left="1588" w:header="709" w:footer="709" w:gutter="0"/>
          <w:cols w:space="708"/>
          <w:docGrid w:linePitch="360"/>
        </w:sectPr>
      </w:pPr>
    </w:p>
    <w:p w:rsidR="00C33A93" w:rsidRPr="00CA59C1" w:rsidRDefault="00C33A93" w:rsidP="00D2565F">
      <w:pPr>
        <w:rPr>
          <w:b/>
        </w:rPr>
      </w:pPr>
      <w:r w:rsidRPr="00CA59C1">
        <w:rPr>
          <w:b/>
        </w:rPr>
        <w:t>STOPs in private sector</w:t>
      </w:r>
    </w:p>
    <w:p w:rsidR="003B48B9" w:rsidRDefault="00C33A93" w:rsidP="00C33A93">
      <w:r>
        <w:t>Data of the number of STOPs in the private sector was sourced from publicly available DHS Medicare statistics data, per financial year</w:t>
      </w:r>
      <w:r w:rsidR="004522FF">
        <w:t>, using MBS code 35643</w:t>
      </w:r>
      <w:r>
        <w:t>.</w:t>
      </w:r>
      <w:r w:rsidR="004522FF">
        <w:t xml:space="preserve"> </w:t>
      </w:r>
      <w:r w:rsidR="003B48B9">
        <w:t>T</w:t>
      </w:r>
      <w:r w:rsidR="004522FF">
        <w:t>his code may overestimate the number of STOP</w:t>
      </w:r>
      <w:r w:rsidR="00883CB2">
        <w:t>s performed</w:t>
      </w:r>
      <w:r w:rsidR="005316E2">
        <w:t>,</w:t>
      </w:r>
      <w:r w:rsidR="00883CB2">
        <w:t xml:space="preserve"> as a proportion of claims are for procedures other than TOP, for example</w:t>
      </w:r>
      <w:r w:rsidR="005316E2">
        <w:t>,</w:t>
      </w:r>
      <w:r w:rsidR="00883CB2">
        <w:t xml:space="preserve"> management of incomplete spontaneous miscarriage. </w:t>
      </w:r>
      <w:r w:rsidR="003B48B9">
        <w:t>Consistent with the assumption in the submission</w:t>
      </w:r>
      <w:r w:rsidR="004655B1">
        <w:t>,</w:t>
      </w:r>
      <w:r w:rsidR="003B48B9">
        <w:t xml:space="preserve"> 75% of the </w:t>
      </w:r>
      <w:r w:rsidR="00883CB2">
        <w:t xml:space="preserve">claims for MBS item 35643 </w:t>
      </w:r>
      <w:r w:rsidR="003B48B9">
        <w:t xml:space="preserve">are </w:t>
      </w:r>
      <w:r w:rsidR="00883CB2">
        <w:t xml:space="preserve">estimated </w:t>
      </w:r>
      <w:r w:rsidR="003B48B9">
        <w:t>to be</w:t>
      </w:r>
      <w:r w:rsidR="00883CB2">
        <w:t xml:space="preserve"> for TOP.</w:t>
      </w:r>
    </w:p>
    <w:p w:rsidR="003B48B9" w:rsidRDefault="003B48B9" w:rsidP="003B48B9">
      <w:pPr>
        <w:pStyle w:val="Tabletitle"/>
      </w:pPr>
      <w:r>
        <w:t>Table 4: Estimated number of STOPs in the private sector based on 75% of services for MBS item 35643.</w:t>
      </w:r>
    </w:p>
    <w:tbl>
      <w:tblPr>
        <w:tblW w:w="9087" w:type="dxa"/>
        <w:tblInd w:w="93" w:type="dxa"/>
        <w:tblLayout w:type="fixed"/>
        <w:tblLook w:val="04A0" w:firstRow="1" w:lastRow="0" w:firstColumn="1" w:lastColumn="0" w:noHBand="0" w:noVBand="1"/>
        <w:tblCaption w:val="Estimated number of STOPs in the private sector "/>
        <w:tblDescription w:val="Estimated number of STOPs in the private sector based on 75% of services for MBS item 35643."/>
      </w:tblPr>
      <w:tblGrid>
        <w:gridCol w:w="1051"/>
        <w:gridCol w:w="900"/>
        <w:gridCol w:w="900"/>
        <w:gridCol w:w="900"/>
        <w:gridCol w:w="900"/>
        <w:gridCol w:w="900"/>
        <w:gridCol w:w="900"/>
        <w:gridCol w:w="900"/>
        <w:gridCol w:w="900"/>
        <w:gridCol w:w="836"/>
      </w:tblGrid>
      <w:tr w:rsidR="004E6124" w:rsidRPr="004E6124" w:rsidTr="00776FDB">
        <w:trPr>
          <w:trHeight w:val="300"/>
        </w:trPr>
        <w:tc>
          <w:tcPr>
            <w:tcW w:w="1051"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4E6124" w:rsidRPr="004E6124" w:rsidRDefault="004E6124" w:rsidP="004E6124">
            <w:pPr>
              <w:spacing w:after="0"/>
              <w:rPr>
                <w:rFonts w:ascii="Calibri" w:eastAsia="Times New Roman" w:hAnsi="Calibri" w:cs="Times New Roman"/>
                <w:b/>
                <w:bCs/>
                <w:color w:val="000000"/>
                <w:sz w:val="20"/>
                <w:szCs w:val="20"/>
              </w:rPr>
            </w:pPr>
          </w:p>
        </w:tc>
        <w:tc>
          <w:tcPr>
            <w:tcW w:w="8036" w:type="dxa"/>
            <w:gridSpan w:val="9"/>
            <w:tcBorders>
              <w:top w:val="single" w:sz="4" w:space="0" w:color="auto"/>
              <w:left w:val="nil"/>
              <w:bottom w:val="single" w:sz="4" w:space="0" w:color="auto"/>
              <w:right w:val="single" w:sz="4" w:space="0" w:color="auto"/>
            </w:tcBorders>
            <w:shd w:val="clear" w:color="000000" w:fill="BFBFBF"/>
            <w:noWrap/>
            <w:vAlign w:val="center"/>
          </w:tcPr>
          <w:p w:rsidR="004E6124" w:rsidRPr="004E6124" w:rsidRDefault="004E6124" w:rsidP="004E6124">
            <w:pPr>
              <w:spacing w:after="0"/>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Financial Year</w:t>
            </w:r>
          </w:p>
        </w:tc>
      </w:tr>
      <w:tr w:rsidR="004E6124" w:rsidRPr="004E6124" w:rsidTr="00776FDB">
        <w:trPr>
          <w:trHeight w:val="300"/>
        </w:trPr>
        <w:tc>
          <w:tcPr>
            <w:tcW w:w="1051" w:type="dxa"/>
            <w:tcBorders>
              <w:top w:val="nil"/>
              <w:left w:val="single" w:sz="4" w:space="0" w:color="auto"/>
              <w:bottom w:val="single" w:sz="4" w:space="0" w:color="auto"/>
              <w:right w:val="single" w:sz="4" w:space="0" w:color="auto"/>
            </w:tcBorders>
            <w:shd w:val="clear" w:color="000000" w:fill="BFBFBF"/>
            <w:noWrap/>
            <w:vAlign w:val="center"/>
            <w:hideMark/>
          </w:tcPr>
          <w:p w:rsidR="004E6124" w:rsidRPr="004E6124" w:rsidRDefault="004E6124" w:rsidP="004E6124">
            <w:pPr>
              <w:spacing w:after="0"/>
              <w:rPr>
                <w:rFonts w:ascii="Calibri" w:eastAsia="Times New Roman" w:hAnsi="Calibri" w:cs="Times New Roman"/>
                <w:b/>
                <w:bCs/>
                <w:color w:val="000000"/>
                <w:sz w:val="20"/>
                <w:szCs w:val="20"/>
              </w:rPr>
            </w:pPr>
            <w:r w:rsidRPr="004E6124">
              <w:rPr>
                <w:rFonts w:ascii="Calibri" w:eastAsia="Times New Roman" w:hAnsi="Calibri" w:cs="Times New Roman"/>
                <w:b/>
                <w:bCs/>
                <w:color w:val="000000"/>
                <w:sz w:val="20"/>
                <w:szCs w:val="20"/>
              </w:rPr>
              <w:t>Month</w:t>
            </w:r>
          </w:p>
        </w:tc>
        <w:tc>
          <w:tcPr>
            <w:tcW w:w="900" w:type="dxa"/>
            <w:tcBorders>
              <w:top w:val="nil"/>
              <w:left w:val="nil"/>
              <w:bottom w:val="single" w:sz="4" w:space="0" w:color="auto"/>
              <w:right w:val="single" w:sz="4" w:space="0" w:color="auto"/>
            </w:tcBorders>
            <w:shd w:val="clear" w:color="000000" w:fill="BFBFBF"/>
            <w:noWrap/>
            <w:vAlign w:val="center"/>
            <w:hideMark/>
          </w:tcPr>
          <w:p w:rsidR="004E6124" w:rsidRPr="004E6124" w:rsidRDefault="004E6124" w:rsidP="004E6124">
            <w:pPr>
              <w:spacing w:after="0"/>
              <w:jc w:val="center"/>
              <w:rPr>
                <w:rFonts w:ascii="Calibri" w:eastAsia="Times New Roman" w:hAnsi="Calibri" w:cs="Times New Roman"/>
                <w:b/>
                <w:bCs/>
                <w:color w:val="000000"/>
                <w:sz w:val="20"/>
                <w:szCs w:val="20"/>
              </w:rPr>
            </w:pPr>
            <w:r w:rsidRPr="004E6124">
              <w:rPr>
                <w:rFonts w:ascii="Calibri" w:eastAsia="Times New Roman" w:hAnsi="Calibri" w:cs="Times New Roman"/>
                <w:b/>
                <w:bCs/>
                <w:color w:val="000000"/>
                <w:sz w:val="20"/>
                <w:szCs w:val="20"/>
              </w:rPr>
              <w:t>2007/</w:t>
            </w:r>
            <w:r>
              <w:rPr>
                <w:rFonts w:ascii="Calibri" w:eastAsia="Times New Roman" w:hAnsi="Calibri" w:cs="Times New Roman"/>
                <w:b/>
                <w:bCs/>
                <w:color w:val="000000"/>
                <w:sz w:val="20"/>
                <w:szCs w:val="20"/>
              </w:rPr>
              <w:t xml:space="preserve"> </w:t>
            </w:r>
            <w:r w:rsidRPr="004E6124">
              <w:rPr>
                <w:rFonts w:ascii="Calibri" w:eastAsia="Times New Roman" w:hAnsi="Calibri" w:cs="Times New Roman"/>
                <w:b/>
                <w:bCs/>
                <w:color w:val="000000"/>
                <w:sz w:val="20"/>
                <w:szCs w:val="20"/>
              </w:rPr>
              <w:t>2008</w:t>
            </w:r>
          </w:p>
        </w:tc>
        <w:tc>
          <w:tcPr>
            <w:tcW w:w="900" w:type="dxa"/>
            <w:tcBorders>
              <w:top w:val="nil"/>
              <w:left w:val="nil"/>
              <w:bottom w:val="single" w:sz="4" w:space="0" w:color="auto"/>
              <w:right w:val="single" w:sz="4" w:space="0" w:color="auto"/>
            </w:tcBorders>
            <w:shd w:val="clear" w:color="000000" w:fill="BFBFBF"/>
            <w:noWrap/>
            <w:vAlign w:val="center"/>
            <w:hideMark/>
          </w:tcPr>
          <w:p w:rsidR="004E6124" w:rsidRPr="004E6124" w:rsidRDefault="004E6124" w:rsidP="004E6124">
            <w:pPr>
              <w:spacing w:after="0"/>
              <w:jc w:val="center"/>
              <w:rPr>
                <w:rFonts w:ascii="Calibri" w:eastAsia="Times New Roman" w:hAnsi="Calibri" w:cs="Times New Roman"/>
                <w:b/>
                <w:bCs/>
                <w:color w:val="000000"/>
                <w:sz w:val="20"/>
                <w:szCs w:val="20"/>
              </w:rPr>
            </w:pPr>
            <w:r w:rsidRPr="004E6124">
              <w:rPr>
                <w:rFonts w:ascii="Calibri" w:eastAsia="Times New Roman" w:hAnsi="Calibri" w:cs="Times New Roman"/>
                <w:b/>
                <w:bCs/>
                <w:color w:val="000000"/>
                <w:sz w:val="20"/>
                <w:szCs w:val="20"/>
              </w:rPr>
              <w:t>2008/</w:t>
            </w:r>
            <w:r>
              <w:rPr>
                <w:rFonts w:ascii="Calibri" w:eastAsia="Times New Roman" w:hAnsi="Calibri" w:cs="Times New Roman"/>
                <w:b/>
                <w:bCs/>
                <w:color w:val="000000"/>
                <w:sz w:val="20"/>
                <w:szCs w:val="20"/>
              </w:rPr>
              <w:t xml:space="preserve"> </w:t>
            </w:r>
            <w:r w:rsidRPr="004E6124">
              <w:rPr>
                <w:rFonts w:ascii="Calibri" w:eastAsia="Times New Roman" w:hAnsi="Calibri" w:cs="Times New Roman"/>
                <w:b/>
                <w:bCs/>
                <w:color w:val="000000"/>
                <w:sz w:val="20"/>
                <w:szCs w:val="20"/>
              </w:rPr>
              <w:t>2009</w:t>
            </w:r>
          </w:p>
        </w:tc>
        <w:tc>
          <w:tcPr>
            <w:tcW w:w="900" w:type="dxa"/>
            <w:tcBorders>
              <w:top w:val="nil"/>
              <w:left w:val="nil"/>
              <w:bottom w:val="single" w:sz="4" w:space="0" w:color="auto"/>
              <w:right w:val="single" w:sz="4" w:space="0" w:color="auto"/>
            </w:tcBorders>
            <w:shd w:val="clear" w:color="000000" w:fill="BFBFBF"/>
            <w:noWrap/>
            <w:vAlign w:val="center"/>
            <w:hideMark/>
          </w:tcPr>
          <w:p w:rsidR="004E6124" w:rsidRPr="004E6124" w:rsidRDefault="004E6124" w:rsidP="004E6124">
            <w:pPr>
              <w:spacing w:after="0"/>
              <w:jc w:val="center"/>
              <w:rPr>
                <w:rFonts w:ascii="Calibri" w:eastAsia="Times New Roman" w:hAnsi="Calibri" w:cs="Times New Roman"/>
                <w:b/>
                <w:bCs/>
                <w:color w:val="000000"/>
                <w:sz w:val="20"/>
                <w:szCs w:val="20"/>
              </w:rPr>
            </w:pPr>
            <w:r w:rsidRPr="004E6124">
              <w:rPr>
                <w:rFonts w:ascii="Calibri" w:eastAsia="Times New Roman" w:hAnsi="Calibri" w:cs="Times New Roman"/>
                <w:b/>
                <w:bCs/>
                <w:color w:val="000000"/>
                <w:sz w:val="20"/>
                <w:szCs w:val="20"/>
              </w:rPr>
              <w:t>2009/</w:t>
            </w:r>
            <w:r>
              <w:rPr>
                <w:rFonts w:ascii="Calibri" w:eastAsia="Times New Roman" w:hAnsi="Calibri" w:cs="Times New Roman"/>
                <w:b/>
                <w:bCs/>
                <w:color w:val="000000"/>
                <w:sz w:val="20"/>
                <w:szCs w:val="20"/>
              </w:rPr>
              <w:t xml:space="preserve"> </w:t>
            </w:r>
            <w:r w:rsidRPr="004E6124">
              <w:rPr>
                <w:rFonts w:ascii="Calibri" w:eastAsia="Times New Roman" w:hAnsi="Calibri" w:cs="Times New Roman"/>
                <w:b/>
                <w:bCs/>
                <w:color w:val="000000"/>
                <w:sz w:val="20"/>
                <w:szCs w:val="20"/>
              </w:rPr>
              <w:t>2010</w:t>
            </w:r>
          </w:p>
        </w:tc>
        <w:tc>
          <w:tcPr>
            <w:tcW w:w="900" w:type="dxa"/>
            <w:tcBorders>
              <w:top w:val="nil"/>
              <w:left w:val="nil"/>
              <w:bottom w:val="single" w:sz="4" w:space="0" w:color="auto"/>
              <w:right w:val="single" w:sz="4" w:space="0" w:color="auto"/>
            </w:tcBorders>
            <w:shd w:val="clear" w:color="000000" w:fill="BFBFBF"/>
            <w:noWrap/>
            <w:vAlign w:val="center"/>
            <w:hideMark/>
          </w:tcPr>
          <w:p w:rsidR="004E6124" w:rsidRPr="004E6124" w:rsidRDefault="004E6124" w:rsidP="004E6124">
            <w:pPr>
              <w:spacing w:after="0"/>
              <w:jc w:val="center"/>
              <w:rPr>
                <w:rFonts w:ascii="Calibri" w:eastAsia="Times New Roman" w:hAnsi="Calibri" w:cs="Times New Roman"/>
                <w:b/>
                <w:bCs/>
                <w:color w:val="000000"/>
                <w:sz w:val="20"/>
                <w:szCs w:val="20"/>
              </w:rPr>
            </w:pPr>
            <w:r w:rsidRPr="004E6124">
              <w:rPr>
                <w:rFonts w:ascii="Calibri" w:eastAsia="Times New Roman" w:hAnsi="Calibri" w:cs="Times New Roman"/>
                <w:b/>
                <w:bCs/>
                <w:color w:val="000000"/>
                <w:sz w:val="20"/>
                <w:szCs w:val="20"/>
              </w:rPr>
              <w:t>2010/</w:t>
            </w:r>
            <w:r>
              <w:rPr>
                <w:rFonts w:ascii="Calibri" w:eastAsia="Times New Roman" w:hAnsi="Calibri" w:cs="Times New Roman"/>
                <w:b/>
                <w:bCs/>
                <w:color w:val="000000"/>
                <w:sz w:val="20"/>
                <w:szCs w:val="20"/>
              </w:rPr>
              <w:t xml:space="preserve"> </w:t>
            </w:r>
            <w:r w:rsidRPr="004E6124">
              <w:rPr>
                <w:rFonts w:ascii="Calibri" w:eastAsia="Times New Roman" w:hAnsi="Calibri" w:cs="Times New Roman"/>
                <w:b/>
                <w:bCs/>
                <w:color w:val="000000"/>
                <w:sz w:val="20"/>
                <w:szCs w:val="20"/>
              </w:rPr>
              <w:t>2011</w:t>
            </w:r>
          </w:p>
        </w:tc>
        <w:tc>
          <w:tcPr>
            <w:tcW w:w="900" w:type="dxa"/>
            <w:tcBorders>
              <w:top w:val="nil"/>
              <w:left w:val="nil"/>
              <w:bottom w:val="single" w:sz="4" w:space="0" w:color="auto"/>
              <w:right w:val="single" w:sz="4" w:space="0" w:color="auto"/>
            </w:tcBorders>
            <w:shd w:val="clear" w:color="000000" w:fill="BFBFBF"/>
            <w:noWrap/>
            <w:vAlign w:val="center"/>
            <w:hideMark/>
          </w:tcPr>
          <w:p w:rsidR="004E6124" w:rsidRPr="004E6124" w:rsidRDefault="004E6124" w:rsidP="004E6124">
            <w:pPr>
              <w:spacing w:after="0"/>
              <w:jc w:val="center"/>
              <w:rPr>
                <w:rFonts w:ascii="Calibri" w:eastAsia="Times New Roman" w:hAnsi="Calibri" w:cs="Times New Roman"/>
                <w:b/>
                <w:bCs/>
                <w:color w:val="000000"/>
                <w:sz w:val="20"/>
                <w:szCs w:val="20"/>
              </w:rPr>
            </w:pPr>
            <w:r w:rsidRPr="004E6124">
              <w:rPr>
                <w:rFonts w:ascii="Calibri" w:eastAsia="Times New Roman" w:hAnsi="Calibri" w:cs="Times New Roman"/>
                <w:b/>
                <w:bCs/>
                <w:color w:val="000000"/>
                <w:sz w:val="20"/>
                <w:szCs w:val="20"/>
              </w:rPr>
              <w:t>2011/</w:t>
            </w:r>
            <w:r>
              <w:rPr>
                <w:rFonts w:ascii="Calibri" w:eastAsia="Times New Roman" w:hAnsi="Calibri" w:cs="Times New Roman"/>
                <w:b/>
                <w:bCs/>
                <w:color w:val="000000"/>
                <w:sz w:val="20"/>
                <w:szCs w:val="20"/>
              </w:rPr>
              <w:t xml:space="preserve"> </w:t>
            </w:r>
            <w:r w:rsidRPr="004E6124">
              <w:rPr>
                <w:rFonts w:ascii="Calibri" w:eastAsia="Times New Roman" w:hAnsi="Calibri" w:cs="Times New Roman"/>
                <w:b/>
                <w:bCs/>
                <w:color w:val="000000"/>
                <w:sz w:val="20"/>
                <w:szCs w:val="20"/>
              </w:rPr>
              <w:t>2012</w:t>
            </w:r>
          </w:p>
        </w:tc>
        <w:tc>
          <w:tcPr>
            <w:tcW w:w="900" w:type="dxa"/>
            <w:tcBorders>
              <w:top w:val="nil"/>
              <w:left w:val="nil"/>
              <w:bottom w:val="single" w:sz="4" w:space="0" w:color="auto"/>
              <w:right w:val="single" w:sz="4" w:space="0" w:color="auto"/>
            </w:tcBorders>
            <w:shd w:val="clear" w:color="000000" w:fill="BFBFBF"/>
            <w:noWrap/>
            <w:vAlign w:val="center"/>
            <w:hideMark/>
          </w:tcPr>
          <w:p w:rsidR="004E6124" w:rsidRPr="004E6124" w:rsidRDefault="004E6124" w:rsidP="004E6124">
            <w:pPr>
              <w:spacing w:after="0"/>
              <w:jc w:val="center"/>
              <w:rPr>
                <w:rFonts w:ascii="Calibri" w:eastAsia="Times New Roman" w:hAnsi="Calibri" w:cs="Times New Roman"/>
                <w:b/>
                <w:bCs/>
                <w:color w:val="000000"/>
                <w:sz w:val="20"/>
                <w:szCs w:val="20"/>
              </w:rPr>
            </w:pPr>
            <w:r w:rsidRPr="004E6124">
              <w:rPr>
                <w:rFonts w:ascii="Calibri" w:eastAsia="Times New Roman" w:hAnsi="Calibri" w:cs="Times New Roman"/>
                <w:b/>
                <w:bCs/>
                <w:color w:val="000000"/>
                <w:sz w:val="20"/>
                <w:szCs w:val="20"/>
              </w:rPr>
              <w:t>2012/</w:t>
            </w:r>
            <w:r>
              <w:rPr>
                <w:rFonts w:ascii="Calibri" w:eastAsia="Times New Roman" w:hAnsi="Calibri" w:cs="Times New Roman"/>
                <w:b/>
                <w:bCs/>
                <w:color w:val="000000"/>
                <w:sz w:val="20"/>
                <w:szCs w:val="20"/>
              </w:rPr>
              <w:t xml:space="preserve"> </w:t>
            </w:r>
            <w:r w:rsidRPr="004E6124">
              <w:rPr>
                <w:rFonts w:ascii="Calibri" w:eastAsia="Times New Roman" w:hAnsi="Calibri" w:cs="Times New Roman"/>
                <w:b/>
                <w:bCs/>
                <w:color w:val="000000"/>
                <w:sz w:val="20"/>
                <w:szCs w:val="20"/>
              </w:rPr>
              <w:t>2013</w:t>
            </w:r>
          </w:p>
        </w:tc>
        <w:tc>
          <w:tcPr>
            <w:tcW w:w="900" w:type="dxa"/>
            <w:tcBorders>
              <w:top w:val="nil"/>
              <w:left w:val="nil"/>
              <w:bottom w:val="single" w:sz="4" w:space="0" w:color="auto"/>
              <w:right w:val="single" w:sz="4" w:space="0" w:color="auto"/>
            </w:tcBorders>
            <w:shd w:val="clear" w:color="000000" w:fill="BFBFBF"/>
            <w:noWrap/>
            <w:vAlign w:val="center"/>
            <w:hideMark/>
          </w:tcPr>
          <w:p w:rsidR="004E6124" w:rsidRPr="004E6124" w:rsidRDefault="004E6124" w:rsidP="004E6124">
            <w:pPr>
              <w:spacing w:after="0"/>
              <w:jc w:val="center"/>
              <w:rPr>
                <w:rFonts w:ascii="Calibri" w:eastAsia="Times New Roman" w:hAnsi="Calibri" w:cs="Times New Roman"/>
                <w:b/>
                <w:bCs/>
                <w:color w:val="000000"/>
                <w:sz w:val="20"/>
                <w:szCs w:val="20"/>
              </w:rPr>
            </w:pPr>
            <w:r w:rsidRPr="004E6124">
              <w:rPr>
                <w:rFonts w:ascii="Calibri" w:eastAsia="Times New Roman" w:hAnsi="Calibri" w:cs="Times New Roman"/>
                <w:b/>
                <w:bCs/>
                <w:color w:val="000000"/>
                <w:sz w:val="20"/>
                <w:szCs w:val="20"/>
              </w:rPr>
              <w:t>2013/</w:t>
            </w:r>
            <w:r>
              <w:rPr>
                <w:rFonts w:ascii="Calibri" w:eastAsia="Times New Roman" w:hAnsi="Calibri" w:cs="Times New Roman"/>
                <w:b/>
                <w:bCs/>
                <w:color w:val="000000"/>
                <w:sz w:val="20"/>
                <w:szCs w:val="20"/>
              </w:rPr>
              <w:t xml:space="preserve"> </w:t>
            </w:r>
            <w:r w:rsidRPr="004E6124">
              <w:rPr>
                <w:rFonts w:ascii="Calibri" w:eastAsia="Times New Roman" w:hAnsi="Calibri" w:cs="Times New Roman"/>
                <w:b/>
                <w:bCs/>
                <w:color w:val="000000"/>
                <w:sz w:val="20"/>
                <w:szCs w:val="20"/>
              </w:rPr>
              <w:t>2014</w:t>
            </w:r>
          </w:p>
        </w:tc>
        <w:tc>
          <w:tcPr>
            <w:tcW w:w="900" w:type="dxa"/>
            <w:tcBorders>
              <w:top w:val="nil"/>
              <w:left w:val="nil"/>
              <w:bottom w:val="single" w:sz="4" w:space="0" w:color="auto"/>
              <w:right w:val="single" w:sz="4" w:space="0" w:color="auto"/>
            </w:tcBorders>
            <w:shd w:val="clear" w:color="000000" w:fill="BFBFBF"/>
            <w:noWrap/>
            <w:vAlign w:val="center"/>
            <w:hideMark/>
          </w:tcPr>
          <w:p w:rsidR="00776FDB" w:rsidRDefault="004E6124" w:rsidP="004E6124">
            <w:pPr>
              <w:spacing w:after="0"/>
              <w:jc w:val="center"/>
              <w:rPr>
                <w:rFonts w:ascii="Calibri" w:eastAsia="Times New Roman" w:hAnsi="Calibri" w:cs="Times New Roman"/>
                <w:b/>
                <w:bCs/>
                <w:color w:val="000000"/>
                <w:sz w:val="20"/>
                <w:szCs w:val="20"/>
              </w:rPr>
            </w:pPr>
            <w:r w:rsidRPr="004E6124">
              <w:rPr>
                <w:rFonts w:ascii="Calibri" w:eastAsia="Times New Roman" w:hAnsi="Calibri" w:cs="Times New Roman"/>
                <w:b/>
                <w:bCs/>
                <w:color w:val="000000"/>
                <w:sz w:val="20"/>
                <w:szCs w:val="20"/>
              </w:rPr>
              <w:t>2014/</w:t>
            </w:r>
            <w:r>
              <w:rPr>
                <w:rFonts w:ascii="Calibri" w:eastAsia="Times New Roman" w:hAnsi="Calibri" w:cs="Times New Roman"/>
                <w:b/>
                <w:bCs/>
                <w:color w:val="000000"/>
                <w:sz w:val="20"/>
                <w:szCs w:val="20"/>
              </w:rPr>
              <w:t xml:space="preserve"> </w:t>
            </w:r>
          </w:p>
          <w:p w:rsidR="004E6124" w:rsidRPr="004E6124" w:rsidRDefault="004E6124" w:rsidP="004E6124">
            <w:pPr>
              <w:spacing w:after="0"/>
              <w:jc w:val="center"/>
              <w:rPr>
                <w:rFonts w:ascii="Calibri" w:eastAsia="Times New Roman" w:hAnsi="Calibri" w:cs="Times New Roman"/>
                <w:b/>
                <w:bCs/>
                <w:color w:val="000000"/>
                <w:sz w:val="20"/>
                <w:szCs w:val="20"/>
              </w:rPr>
            </w:pPr>
            <w:r w:rsidRPr="004E6124">
              <w:rPr>
                <w:rFonts w:ascii="Calibri" w:eastAsia="Times New Roman" w:hAnsi="Calibri" w:cs="Times New Roman"/>
                <w:b/>
                <w:bCs/>
                <w:color w:val="000000"/>
                <w:sz w:val="20"/>
                <w:szCs w:val="20"/>
              </w:rPr>
              <w:t>2015</w:t>
            </w:r>
          </w:p>
        </w:tc>
        <w:tc>
          <w:tcPr>
            <w:tcW w:w="836" w:type="dxa"/>
            <w:tcBorders>
              <w:top w:val="nil"/>
              <w:left w:val="nil"/>
              <w:bottom w:val="single" w:sz="4" w:space="0" w:color="auto"/>
              <w:right w:val="single" w:sz="4" w:space="0" w:color="auto"/>
            </w:tcBorders>
            <w:shd w:val="clear" w:color="000000" w:fill="BFBFBF"/>
            <w:noWrap/>
            <w:vAlign w:val="center"/>
            <w:hideMark/>
          </w:tcPr>
          <w:p w:rsidR="004E6124" w:rsidRPr="004E6124" w:rsidRDefault="004E6124" w:rsidP="004E6124">
            <w:pPr>
              <w:spacing w:after="0"/>
              <w:jc w:val="center"/>
              <w:rPr>
                <w:rFonts w:ascii="Calibri" w:eastAsia="Times New Roman" w:hAnsi="Calibri" w:cs="Times New Roman"/>
                <w:b/>
                <w:bCs/>
                <w:color w:val="000000"/>
                <w:sz w:val="20"/>
                <w:szCs w:val="20"/>
              </w:rPr>
            </w:pPr>
            <w:r w:rsidRPr="004E6124">
              <w:rPr>
                <w:rFonts w:ascii="Calibri" w:eastAsia="Times New Roman" w:hAnsi="Calibri" w:cs="Times New Roman"/>
                <w:b/>
                <w:bCs/>
                <w:color w:val="000000"/>
                <w:sz w:val="20"/>
                <w:szCs w:val="20"/>
              </w:rPr>
              <w:t>2015/</w:t>
            </w:r>
            <w:r>
              <w:rPr>
                <w:rFonts w:ascii="Calibri" w:eastAsia="Times New Roman" w:hAnsi="Calibri" w:cs="Times New Roman"/>
                <w:b/>
                <w:bCs/>
                <w:color w:val="000000"/>
                <w:sz w:val="20"/>
                <w:szCs w:val="20"/>
              </w:rPr>
              <w:t xml:space="preserve"> </w:t>
            </w:r>
            <w:r w:rsidRPr="004E6124">
              <w:rPr>
                <w:rFonts w:ascii="Calibri" w:eastAsia="Times New Roman" w:hAnsi="Calibri" w:cs="Times New Roman"/>
                <w:b/>
                <w:bCs/>
                <w:color w:val="000000"/>
                <w:sz w:val="20"/>
                <w:szCs w:val="20"/>
              </w:rPr>
              <w:t>2016</w:t>
            </w:r>
          </w:p>
        </w:tc>
      </w:tr>
      <w:tr w:rsidR="004522FF" w:rsidRPr="004E6124" w:rsidTr="00776FDB">
        <w:trPr>
          <w:trHeight w:val="300"/>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rsidR="004E6124" w:rsidRPr="004E6124" w:rsidRDefault="004E6124" w:rsidP="004E6124">
            <w:pPr>
              <w:spacing w:after="0"/>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Jul</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5,919</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5,977</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6,341</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5,813</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5,258</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5,329</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5,623</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4,839</w:t>
            </w:r>
          </w:p>
        </w:tc>
        <w:tc>
          <w:tcPr>
            <w:tcW w:w="836"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4,877</w:t>
            </w:r>
          </w:p>
        </w:tc>
      </w:tr>
      <w:tr w:rsidR="004522FF" w:rsidRPr="004E6124" w:rsidTr="00776FDB">
        <w:trPr>
          <w:trHeight w:val="300"/>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rsidR="004E6124" w:rsidRPr="004E6124" w:rsidRDefault="004E6124" w:rsidP="004E6124">
            <w:pPr>
              <w:spacing w:after="0"/>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Aug</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6,512</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6,054</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5,795</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5,719</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5,876</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5,664</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5,318</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4,590</w:t>
            </w:r>
          </w:p>
        </w:tc>
        <w:tc>
          <w:tcPr>
            <w:tcW w:w="836"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4,619</w:t>
            </w:r>
          </w:p>
        </w:tc>
      </w:tr>
      <w:tr w:rsidR="004522FF" w:rsidRPr="004E6124" w:rsidTr="00776FDB">
        <w:trPr>
          <w:trHeight w:val="300"/>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rsidR="004E6124" w:rsidRPr="004E6124" w:rsidRDefault="004E6124" w:rsidP="004E6124">
            <w:pPr>
              <w:spacing w:after="0"/>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Sep</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6,178</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6,070</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6,133</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5,488</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5,221</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5,074</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4,959</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4,837</w:t>
            </w:r>
          </w:p>
        </w:tc>
        <w:tc>
          <w:tcPr>
            <w:tcW w:w="836"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4,560</w:t>
            </w:r>
          </w:p>
        </w:tc>
      </w:tr>
      <w:tr w:rsidR="004522FF" w:rsidRPr="004E6124" w:rsidTr="00776FDB">
        <w:trPr>
          <w:trHeight w:val="300"/>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rsidR="004E6124" w:rsidRPr="004E6124" w:rsidRDefault="004E6124" w:rsidP="004E6124">
            <w:pPr>
              <w:spacing w:after="0"/>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Oct</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6,297</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6,546</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5,981</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5,219</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5,191</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5,138</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5,459</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4,933</w:t>
            </w:r>
          </w:p>
        </w:tc>
        <w:tc>
          <w:tcPr>
            <w:tcW w:w="836"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4,555</w:t>
            </w:r>
          </w:p>
        </w:tc>
      </w:tr>
      <w:tr w:rsidR="004522FF" w:rsidRPr="004E6124" w:rsidTr="00776FDB">
        <w:trPr>
          <w:trHeight w:val="300"/>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rsidR="004E6124" w:rsidRPr="004E6124" w:rsidRDefault="004E6124" w:rsidP="004E6124">
            <w:pPr>
              <w:spacing w:after="0"/>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Nov</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6,164</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5,718</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5,727</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5,534</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5,201</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5,182</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4,731</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4,485</w:t>
            </w:r>
          </w:p>
        </w:tc>
        <w:tc>
          <w:tcPr>
            <w:tcW w:w="836"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4,409</w:t>
            </w:r>
          </w:p>
        </w:tc>
      </w:tr>
      <w:tr w:rsidR="004522FF" w:rsidRPr="004E6124" w:rsidTr="00776FDB">
        <w:trPr>
          <w:trHeight w:val="300"/>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rsidR="004E6124" w:rsidRPr="004E6124" w:rsidRDefault="004E6124" w:rsidP="004E6124">
            <w:pPr>
              <w:spacing w:after="0"/>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Dec</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5,280</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5,828</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5,567</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5,005</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4,902</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4,668</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4,508</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4,583</w:t>
            </w:r>
          </w:p>
        </w:tc>
        <w:tc>
          <w:tcPr>
            <w:tcW w:w="836"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4,060</w:t>
            </w:r>
          </w:p>
        </w:tc>
      </w:tr>
      <w:tr w:rsidR="004522FF" w:rsidRPr="004E6124" w:rsidTr="00776FDB">
        <w:trPr>
          <w:trHeight w:val="300"/>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rsidR="004E6124" w:rsidRPr="004E6124" w:rsidRDefault="004E6124" w:rsidP="004E6124">
            <w:pPr>
              <w:spacing w:after="0"/>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Jan</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6,518</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6,340</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5,644</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4,973</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5,404</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5,296</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5,283</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4,939</w:t>
            </w:r>
          </w:p>
        </w:tc>
        <w:tc>
          <w:tcPr>
            <w:tcW w:w="836"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4,353</w:t>
            </w:r>
          </w:p>
        </w:tc>
      </w:tr>
      <w:tr w:rsidR="004522FF" w:rsidRPr="004E6124" w:rsidTr="00776FDB">
        <w:trPr>
          <w:trHeight w:val="300"/>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rsidR="004E6124" w:rsidRPr="004E6124" w:rsidRDefault="004E6124" w:rsidP="004E6124">
            <w:pPr>
              <w:spacing w:after="0"/>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Feb</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6,289</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5,972</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5,528</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5,350</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5,405</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4,896</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4,959</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4,579</w:t>
            </w:r>
          </w:p>
        </w:tc>
        <w:tc>
          <w:tcPr>
            <w:tcW w:w="836"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776FDB">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4,358</w:t>
            </w:r>
          </w:p>
        </w:tc>
      </w:tr>
      <w:tr w:rsidR="004522FF" w:rsidRPr="004E6124" w:rsidTr="00776FDB">
        <w:trPr>
          <w:trHeight w:val="300"/>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rsidR="004E6124" w:rsidRPr="004E6124" w:rsidRDefault="004E6124" w:rsidP="004E6124">
            <w:pPr>
              <w:spacing w:after="0"/>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Mar</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4,901</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6,425</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5,998</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5,415</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5,119</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4,502</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4,533</w:t>
            </w:r>
          </w:p>
        </w:tc>
        <w:tc>
          <w:tcPr>
            <w:tcW w:w="900"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4,557</w:t>
            </w:r>
          </w:p>
        </w:tc>
        <w:tc>
          <w:tcPr>
            <w:tcW w:w="836"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776FDB">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4,290</w:t>
            </w:r>
          </w:p>
        </w:tc>
      </w:tr>
      <w:tr w:rsidR="00776FDB" w:rsidRPr="004E6124" w:rsidTr="00776FDB">
        <w:trPr>
          <w:trHeight w:val="300"/>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rsidR="00776FDB" w:rsidRPr="004E6124" w:rsidRDefault="00776FDB" w:rsidP="004E6124">
            <w:pPr>
              <w:spacing w:after="0"/>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Apr</w:t>
            </w:r>
          </w:p>
        </w:tc>
        <w:tc>
          <w:tcPr>
            <w:tcW w:w="900" w:type="dxa"/>
            <w:tcBorders>
              <w:top w:val="nil"/>
              <w:left w:val="nil"/>
              <w:bottom w:val="single" w:sz="4" w:space="0" w:color="auto"/>
              <w:right w:val="single" w:sz="4" w:space="0" w:color="auto"/>
            </w:tcBorders>
            <w:shd w:val="clear" w:color="auto" w:fill="auto"/>
            <w:noWrap/>
            <w:vAlign w:val="center"/>
            <w:hideMark/>
          </w:tcPr>
          <w:p w:rsidR="00776FDB" w:rsidRPr="004E6124" w:rsidRDefault="00776FDB"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6,019</w:t>
            </w:r>
          </w:p>
        </w:tc>
        <w:tc>
          <w:tcPr>
            <w:tcW w:w="900" w:type="dxa"/>
            <w:tcBorders>
              <w:top w:val="nil"/>
              <w:left w:val="nil"/>
              <w:bottom w:val="single" w:sz="4" w:space="0" w:color="auto"/>
              <w:right w:val="single" w:sz="4" w:space="0" w:color="auto"/>
            </w:tcBorders>
            <w:shd w:val="clear" w:color="auto" w:fill="auto"/>
            <w:noWrap/>
            <w:vAlign w:val="center"/>
            <w:hideMark/>
          </w:tcPr>
          <w:p w:rsidR="00776FDB" w:rsidRPr="004E6124" w:rsidRDefault="00776FDB"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5,572</w:t>
            </w:r>
          </w:p>
        </w:tc>
        <w:tc>
          <w:tcPr>
            <w:tcW w:w="900" w:type="dxa"/>
            <w:tcBorders>
              <w:top w:val="nil"/>
              <w:left w:val="nil"/>
              <w:bottom w:val="single" w:sz="4" w:space="0" w:color="auto"/>
              <w:right w:val="single" w:sz="4" w:space="0" w:color="auto"/>
            </w:tcBorders>
            <w:shd w:val="clear" w:color="auto" w:fill="auto"/>
            <w:noWrap/>
            <w:vAlign w:val="center"/>
            <w:hideMark/>
          </w:tcPr>
          <w:p w:rsidR="00776FDB" w:rsidRPr="004E6124" w:rsidRDefault="00776FDB"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4,754</w:t>
            </w:r>
          </w:p>
        </w:tc>
        <w:tc>
          <w:tcPr>
            <w:tcW w:w="900" w:type="dxa"/>
            <w:tcBorders>
              <w:top w:val="nil"/>
              <w:left w:val="nil"/>
              <w:bottom w:val="single" w:sz="4" w:space="0" w:color="auto"/>
              <w:right w:val="single" w:sz="4" w:space="0" w:color="auto"/>
            </w:tcBorders>
            <w:shd w:val="clear" w:color="auto" w:fill="auto"/>
            <w:noWrap/>
            <w:vAlign w:val="center"/>
            <w:hideMark/>
          </w:tcPr>
          <w:p w:rsidR="00776FDB" w:rsidRPr="004E6124" w:rsidRDefault="00776FDB"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4,340</w:t>
            </w:r>
          </w:p>
        </w:tc>
        <w:tc>
          <w:tcPr>
            <w:tcW w:w="900" w:type="dxa"/>
            <w:tcBorders>
              <w:top w:val="nil"/>
              <w:left w:val="nil"/>
              <w:bottom w:val="single" w:sz="4" w:space="0" w:color="auto"/>
              <w:right w:val="single" w:sz="4" w:space="0" w:color="auto"/>
            </w:tcBorders>
            <w:shd w:val="clear" w:color="auto" w:fill="auto"/>
            <w:noWrap/>
            <w:vAlign w:val="center"/>
            <w:hideMark/>
          </w:tcPr>
          <w:p w:rsidR="00776FDB" w:rsidRPr="004E6124" w:rsidRDefault="00776FDB"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4,525</w:t>
            </w:r>
          </w:p>
        </w:tc>
        <w:tc>
          <w:tcPr>
            <w:tcW w:w="900" w:type="dxa"/>
            <w:tcBorders>
              <w:top w:val="nil"/>
              <w:left w:val="nil"/>
              <w:bottom w:val="single" w:sz="4" w:space="0" w:color="auto"/>
              <w:right w:val="single" w:sz="4" w:space="0" w:color="auto"/>
            </w:tcBorders>
            <w:shd w:val="clear" w:color="auto" w:fill="auto"/>
            <w:noWrap/>
            <w:vAlign w:val="center"/>
            <w:hideMark/>
          </w:tcPr>
          <w:p w:rsidR="00776FDB" w:rsidRPr="004E6124" w:rsidRDefault="00776FDB"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4,719</w:t>
            </w:r>
          </w:p>
        </w:tc>
        <w:tc>
          <w:tcPr>
            <w:tcW w:w="900" w:type="dxa"/>
            <w:tcBorders>
              <w:top w:val="nil"/>
              <w:left w:val="nil"/>
              <w:bottom w:val="single" w:sz="4" w:space="0" w:color="auto"/>
              <w:right w:val="single" w:sz="4" w:space="0" w:color="auto"/>
            </w:tcBorders>
            <w:shd w:val="clear" w:color="auto" w:fill="auto"/>
            <w:noWrap/>
            <w:vAlign w:val="center"/>
            <w:hideMark/>
          </w:tcPr>
          <w:p w:rsidR="00776FDB" w:rsidRPr="004E6124" w:rsidRDefault="00776FDB"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4,212</w:t>
            </w:r>
          </w:p>
        </w:tc>
        <w:tc>
          <w:tcPr>
            <w:tcW w:w="900" w:type="dxa"/>
            <w:tcBorders>
              <w:top w:val="nil"/>
              <w:left w:val="nil"/>
              <w:bottom w:val="single" w:sz="4" w:space="0" w:color="auto"/>
              <w:right w:val="single" w:sz="4" w:space="0" w:color="auto"/>
            </w:tcBorders>
            <w:shd w:val="clear" w:color="auto" w:fill="auto"/>
            <w:noWrap/>
            <w:vAlign w:val="center"/>
            <w:hideMark/>
          </w:tcPr>
          <w:p w:rsidR="00776FDB" w:rsidRPr="004E6124" w:rsidRDefault="00776FDB"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3,987</w:t>
            </w:r>
          </w:p>
        </w:tc>
        <w:tc>
          <w:tcPr>
            <w:tcW w:w="836" w:type="dxa"/>
            <w:tcBorders>
              <w:top w:val="nil"/>
              <w:left w:val="nil"/>
              <w:bottom w:val="single" w:sz="4" w:space="0" w:color="auto"/>
              <w:right w:val="single" w:sz="4" w:space="0" w:color="auto"/>
            </w:tcBorders>
            <w:shd w:val="clear" w:color="auto" w:fill="auto"/>
            <w:noWrap/>
            <w:vAlign w:val="center"/>
            <w:hideMark/>
          </w:tcPr>
          <w:p w:rsidR="00776FDB" w:rsidRPr="004E6124" w:rsidRDefault="00776FDB" w:rsidP="00776FDB">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3,876 </w:t>
            </w:r>
          </w:p>
        </w:tc>
      </w:tr>
      <w:tr w:rsidR="00776FDB" w:rsidRPr="004E6124" w:rsidTr="00776FDB">
        <w:trPr>
          <w:trHeight w:val="300"/>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rsidR="00776FDB" w:rsidRPr="004E6124" w:rsidRDefault="00776FDB" w:rsidP="004E6124">
            <w:pPr>
              <w:spacing w:after="0"/>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May</w:t>
            </w:r>
          </w:p>
        </w:tc>
        <w:tc>
          <w:tcPr>
            <w:tcW w:w="900" w:type="dxa"/>
            <w:tcBorders>
              <w:top w:val="nil"/>
              <w:left w:val="nil"/>
              <w:bottom w:val="single" w:sz="4" w:space="0" w:color="auto"/>
              <w:right w:val="single" w:sz="4" w:space="0" w:color="auto"/>
            </w:tcBorders>
            <w:shd w:val="clear" w:color="auto" w:fill="auto"/>
            <w:noWrap/>
            <w:vAlign w:val="center"/>
            <w:hideMark/>
          </w:tcPr>
          <w:p w:rsidR="00776FDB" w:rsidRPr="004E6124" w:rsidRDefault="00776FDB"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6,124</w:t>
            </w:r>
          </w:p>
        </w:tc>
        <w:tc>
          <w:tcPr>
            <w:tcW w:w="900" w:type="dxa"/>
            <w:tcBorders>
              <w:top w:val="nil"/>
              <w:left w:val="nil"/>
              <w:bottom w:val="single" w:sz="4" w:space="0" w:color="auto"/>
              <w:right w:val="single" w:sz="4" w:space="0" w:color="auto"/>
            </w:tcBorders>
            <w:shd w:val="clear" w:color="auto" w:fill="auto"/>
            <w:noWrap/>
            <w:vAlign w:val="center"/>
            <w:hideMark/>
          </w:tcPr>
          <w:p w:rsidR="00776FDB" w:rsidRPr="004E6124" w:rsidRDefault="00776FDB"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6,035</w:t>
            </w:r>
          </w:p>
        </w:tc>
        <w:tc>
          <w:tcPr>
            <w:tcW w:w="900" w:type="dxa"/>
            <w:tcBorders>
              <w:top w:val="nil"/>
              <w:left w:val="nil"/>
              <w:bottom w:val="single" w:sz="4" w:space="0" w:color="auto"/>
              <w:right w:val="single" w:sz="4" w:space="0" w:color="auto"/>
            </w:tcBorders>
            <w:shd w:val="clear" w:color="auto" w:fill="auto"/>
            <w:noWrap/>
            <w:vAlign w:val="center"/>
            <w:hideMark/>
          </w:tcPr>
          <w:p w:rsidR="00776FDB" w:rsidRPr="004E6124" w:rsidRDefault="00776FDB"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5,590</w:t>
            </w:r>
          </w:p>
        </w:tc>
        <w:tc>
          <w:tcPr>
            <w:tcW w:w="900" w:type="dxa"/>
            <w:tcBorders>
              <w:top w:val="nil"/>
              <w:left w:val="nil"/>
              <w:bottom w:val="single" w:sz="4" w:space="0" w:color="auto"/>
              <w:right w:val="single" w:sz="4" w:space="0" w:color="auto"/>
            </w:tcBorders>
            <w:shd w:val="clear" w:color="auto" w:fill="auto"/>
            <w:noWrap/>
            <w:vAlign w:val="center"/>
            <w:hideMark/>
          </w:tcPr>
          <w:p w:rsidR="00776FDB" w:rsidRPr="004E6124" w:rsidRDefault="00776FDB"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5,131</w:t>
            </w:r>
          </w:p>
        </w:tc>
        <w:tc>
          <w:tcPr>
            <w:tcW w:w="900" w:type="dxa"/>
            <w:tcBorders>
              <w:top w:val="nil"/>
              <w:left w:val="nil"/>
              <w:bottom w:val="single" w:sz="4" w:space="0" w:color="auto"/>
              <w:right w:val="single" w:sz="4" w:space="0" w:color="auto"/>
            </w:tcBorders>
            <w:shd w:val="clear" w:color="auto" w:fill="auto"/>
            <w:noWrap/>
            <w:vAlign w:val="center"/>
            <w:hideMark/>
          </w:tcPr>
          <w:p w:rsidR="00776FDB" w:rsidRPr="004E6124" w:rsidRDefault="00776FDB"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5,302</w:t>
            </w:r>
          </w:p>
        </w:tc>
        <w:tc>
          <w:tcPr>
            <w:tcW w:w="900" w:type="dxa"/>
            <w:tcBorders>
              <w:top w:val="nil"/>
              <w:left w:val="nil"/>
              <w:bottom w:val="single" w:sz="4" w:space="0" w:color="auto"/>
              <w:right w:val="single" w:sz="4" w:space="0" w:color="auto"/>
            </w:tcBorders>
            <w:shd w:val="clear" w:color="auto" w:fill="auto"/>
            <w:noWrap/>
            <w:vAlign w:val="center"/>
            <w:hideMark/>
          </w:tcPr>
          <w:p w:rsidR="00776FDB" w:rsidRPr="004E6124" w:rsidRDefault="00776FDB"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5,170</w:t>
            </w:r>
          </w:p>
        </w:tc>
        <w:tc>
          <w:tcPr>
            <w:tcW w:w="900" w:type="dxa"/>
            <w:tcBorders>
              <w:top w:val="nil"/>
              <w:left w:val="nil"/>
              <w:bottom w:val="single" w:sz="4" w:space="0" w:color="auto"/>
              <w:right w:val="single" w:sz="4" w:space="0" w:color="auto"/>
            </w:tcBorders>
            <w:shd w:val="clear" w:color="auto" w:fill="auto"/>
            <w:noWrap/>
            <w:vAlign w:val="center"/>
            <w:hideMark/>
          </w:tcPr>
          <w:p w:rsidR="00776FDB" w:rsidRPr="004E6124" w:rsidRDefault="00776FDB"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4,940</w:t>
            </w:r>
          </w:p>
        </w:tc>
        <w:tc>
          <w:tcPr>
            <w:tcW w:w="900" w:type="dxa"/>
            <w:tcBorders>
              <w:top w:val="nil"/>
              <w:left w:val="nil"/>
              <w:bottom w:val="single" w:sz="4" w:space="0" w:color="auto"/>
              <w:right w:val="single" w:sz="4" w:space="0" w:color="auto"/>
            </w:tcBorders>
            <w:shd w:val="clear" w:color="auto" w:fill="auto"/>
            <w:noWrap/>
            <w:vAlign w:val="center"/>
            <w:hideMark/>
          </w:tcPr>
          <w:p w:rsidR="00776FDB" w:rsidRPr="004E6124" w:rsidRDefault="00776FDB"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4,410</w:t>
            </w:r>
          </w:p>
        </w:tc>
        <w:tc>
          <w:tcPr>
            <w:tcW w:w="836" w:type="dxa"/>
            <w:tcBorders>
              <w:top w:val="nil"/>
              <w:left w:val="nil"/>
              <w:bottom w:val="single" w:sz="4" w:space="0" w:color="auto"/>
              <w:right w:val="single" w:sz="4" w:space="0" w:color="auto"/>
            </w:tcBorders>
            <w:shd w:val="clear" w:color="auto" w:fill="auto"/>
            <w:noWrap/>
            <w:vAlign w:val="center"/>
            <w:hideMark/>
          </w:tcPr>
          <w:p w:rsidR="00776FDB" w:rsidRPr="004E6124" w:rsidRDefault="00776FDB" w:rsidP="00776FDB">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3,924 </w:t>
            </w:r>
          </w:p>
        </w:tc>
      </w:tr>
      <w:tr w:rsidR="00776FDB" w:rsidRPr="004E6124" w:rsidTr="00776FDB">
        <w:trPr>
          <w:trHeight w:val="300"/>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rsidR="00776FDB" w:rsidRPr="004E6124" w:rsidRDefault="00776FDB" w:rsidP="004E6124">
            <w:pPr>
              <w:spacing w:after="0"/>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Jun</w:t>
            </w:r>
          </w:p>
        </w:tc>
        <w:tc>
          <w:tcPr>
            <w:tcW w:w="900" w:type="dxa"/>
            <w:tcBorders>
              <w:top w:val="nil"/>
              <w:left w:val="nil"/>
              <w:bottom w:val="single" w:sz="4" w:space="0" w:color="auto"/>
              <w:right w:val="single" w:sz="4" w:space="0" w:color="auto"/>
            </w:tcBorders>
            <w:shd w:val="clear" w:color="auto" w:fill="auto"/>
            <w:noWrap/>
            <w:vAlign w:val="center"/>
            <w:hideMark/>
          </w:tcPr>
          <w:p w:rsidR="00776FDB" w:rsidRPr="004E6124" w:rsidRDefault="00776FDB"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5,756</w:t>
            </w:r>
          </w:p>
        </w:tc>
        <w:tc>
          <w:tcPr>
            <w:tcW w:w="900" w:type="dxa"/>
            <w:tcBorders>
              <w:top w:val="nil"/>
              <w:left w:val="nil"/>
              <w:bottom w:val="single" w:sz="4" w:space="0" w:color="auto"/>
              <w:right w:val="single" w:sz="4" w:space="0" w:color="auto"/>
            </w:tcBorders>
            <w:shd w:val="clear" w:color="auto" w:fill="auto"/>
            <w:noWrap/>
            <w:vAlign w:val="center"/>
            <w:hideMark/>
          </w:tcPr>
          <w:p w:rsidR="00776FDB" w:rsidRPr="004E6124" w:rsidRDefault="00776FDB"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5,666</w:t>
            </w:r>
          </w:p>
        </w:tc>
        <w:tc>
          <w:tcPr>
            <w:tcW w:w="900" w:type="dxa"/>
            <w:tcBorders>
              <w:top w:val="nil"/>
              <w:left w:val="nil"/>
              <w:bottom w:val="single" w:sz="4" w:space="0" w:color="auto"/>
              <w:right w:val="single" w:sz="4" w:space="0" w:color="auto"/>
            </w:tcBorders>
            <w:shd w:val="clear" w:color="auto" w:fill="auto"/>
            <w:noWrap/>
            <w:vAlign w:val="center"/>
            <w:hideMark/>
          </w:tcPr>
          <w:p w:rsidR="00776FDB" w:rsidRPr="004E6124" w:rsidRDefault="00776FDB"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5,199</w:t>
            </w:r>
          </w:p>
        </w:tc>
        <w:tc>
          <w:tcPr>
            <w:tcW w:w="900" w:type="dxa"/>
            <w:tcBorders>
              <w:top w:val="nil"/>
              <w:left w:val="nil"/>
              <w:bottom w:val="single" w:sz="4" w:space="0" w:color="auto"/>
              <w:right w:val="single" w:sz="4" w:space="0" w:color="auto"/>
            </w:tcBorders>
            <w:shd w:val="clear" w:color="auto" w:fill="auto"/>
            <w:noWrap/>
            <w:vAlign w:val="center"/>
            <w:hideMark/>
          </w:tcPr>
          <w:p w:rsidR="00776FDB" w:rsidRPr="004E6124" w:rsidRDefault="00776FDB"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5,273</w:t>
            </w:r>
          </w:p>
        </w:tc>
        <w:tc>
          <w:tcPr>
            <w:tcW w:w="900" w:type="dxa"/>
            <w:tcBorders>
              <w:top w:val="nil"/>
              <w:left w:val="nil"/>
              <w:bottom w:val="single" w:sz="4" w:space="0" w:color="auto"/>
              <w:right w:val="single" w:sz="4" w:space="0" w:color="auto"/>
            </w:tcBorders>
            <w:shd w:val="clear" w:color="auto" w:fill="auto"/>
            <w:noWrap/>
            <w:vAlign w:val="center"/>
            <w:hideMark/>
          </w:tcPr>
          <w:p w:rsidR="00776FDB" w:rsidRPr="004E6124" w:rsidRDefault="00776FDB"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4,783</w:t>
            </w:r>
          </w:p>
        </w:tc>
        <w:tc>
          <w:tcPr>
            <w:tcW w:w="900" w:type="dxa"/>
            <w:tcBorders>
              <w:top w:val="nil"/>
              <w:left w:val="nil"/>
              <w:bottom w:val="single" w:sz="4" w:space="0" w:color="auto"/>
              <w:right w:val="single" w:sz="4" w:space="0" w:color="auto"/>
            </w:tcBorders>
            <w:shd w:val="clear" w:color="auto" w:fill="auto"/>
            <w:noWrap/>
            <w:vAlign w:val="center"/>
            <w:hideMark/>
          </w:tcPr>
          <w:p w:rsidR="00776FDB" w:rsidRPr="004E6124" w:rsidRDefault="00776FDB"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4,607</w:t>
            </w:r>
          </w:p>
        </w:tc>
        <w:tc>
          <w:tcPr>
            <w:tcW w:w="900" w:type="dxa"/>
            <w:tcBorders>
              <w:top w:val="nil"/>
              <w:left w:val="nil"/>
              <w:bottom w:val="single" w:sz="4" w:space="0" w:color="auto"/>
              <w:right w:val="single" w:sz="4" w:space="0" w:color="auto"/>
            </w:tcBorders>
            <w:shd w:val="clear" w:color="auto" w:fill="auto"/>
            <w:noWrap/>
            <w:vAlign w:val="center"/>
            <w:hideMark/>
          </w:tcPr>
          <w:p w:rsidR="00776FDB" w:rsidRPr="004E6124" w:rsidRDefault="00776FDB"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4,477</w:t>
            </w:r>
          </w:p>
        </w:tc>
        <w:tc>
          <w:tcPr>
            <w:tcW w:w="900" w:type="dxa"/>
            <w:tcBorders>
              <w:top w:val="nil"/>
              <w:left w:val="nil"/>
              <w:bottom w:val="single" w:sz="4" w:space="0" w:color="auto"/>
              <w:right w:val="single" w:sz="4" w:space="0" w:color="auto"/>
            </w:tcBorders>
            <w:shd w:val="clear" w:color="auto" w:fill="auto"/>
            <w:noWrap/>
            <w:vAlign w:val="center"/>
            <w:hideMark/>
          </w:tcPr>
          <w:p w:rsidR="00776FDB" w:rsidRPr="004E6124" w:rsidRDefault="00776FDB"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4,437</w:t>
            </w:r>
          </w:p>
        </w:tc>
        <w:tc>
          <w:tcPr>
            <w:tcW w:w="836" w:type="dxa"/>
            <w:tcBorders>
              <w:top w:val="nil"/>
              <w:left w:val="nil"/>
              <w:bottom w:val="single" w:sz="4" w:space="0" w:color="auto"/>
              <w:right w:val="single" w:sz="4" w:space="0" w:color="auto"/>
            </w:tcBorders>
            <w:shd w:val="clear" w:color="auto" w:fill="auto"/>
            <w:noWrap/>
            <w:vAlign w:val="center"/>
            <w:hideMark/>
          </w:tcPr>
          <w:p w:rsidR="00776FDB" w:rsidRPr="004E6124" w:rsidRDefault="00776FDB" w:rsidP="00776FDB">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3,748 </w:t>
            </w:r>
          </w:p>
        </w:tc>
      </w:tr>
      <w:tr w:rsidR="00776FDB" w:rsidRPr="004E6124" w:rsidTr="00776FDB">
        <w:trPr>
          <w:trHeight w:val="525"/>
        </w:trPr>
        <w:tc>
          <w:tcPr>
            <w:tcW w:w="10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6FDB" w:rsidRPr="004E6124" w:rsidRDefault="00776FDB" w:rsidP="004E6124">
            <w:pPr>
              <w:spacing w:after="0"/>
              <w:rPr>
                <w:rFonts w:ascii="Calibri" w:eastAsia="Times New Roman" w:hAnsi="Calibri" w:cs="Times New Roman"/>
                <w:bCs/>
                <w:color w:val="000000"/>
                <w:sz w:val="20"/>
                <w:szCs w:val="20"/>
              </w:rPr>
            </w:pPr>
            <w:r w:rsidRPr="004E6124">
              <w:rPr>
                <w:rFonts w:ascii="Calibri" w:eastAsia="Times New Roman" w:hAnsi="Calibri" w:cs="Times New Roman"/>
                <w:bCs/>
                <w:color w:val="000000"/>
                <w:sz w:val="20"/>
                <w:szCs w:val="20"/>
              </w:rPr>
              <w:t xml:space="preserve">Financial Year Total </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776FDB" w:rsidRPr="004E6124" w:rsidRDefault="00776FDB"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71,957</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776FDB" w:rsidRPr="004E6124" w:rsidRDefault="00776FDB"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72,203</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776FDB" w:rsidRPr="004E6124" w:rsidRDefault="00776FDB"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68,257</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776FDB" w:rsidRPr="004E6124" w:rsidRDefault="00776FDB"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63,260</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776FDB" w:rsidRPr="004E6124" w:rsidRDefault="00776FDB"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62,187</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776FDB" w:rsidRPr="004E6124" w:rsidRDefault="00776FDB"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60,245</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776FDB" w:rsidRPr="004E6124" w:rsidRDefault="00776FDB"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59,002</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776FDB" w:rsidRPr="004E6124" w:rsidRDefault="00776FDB" w:rsidP="004E6124">
            <w:pPr>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55,176</w:t>
            </w:r>
          </w:p>
        </w:tc>
        <w:tc>
          <w:tcPr>
            <w:tcW w:w="836" w:type="dxa"/>
            <w:tcBorders>
              <w:top w:val="single" w:sz="4" w:space="0" w:color="auto"/>
              <w:left w:val="nil"/>
              <w:bottom w:val="single" w:sz="4" w:space="0" w:color="auto"/>
              <w:right w:val="single" w:sz="4" w:space="0" w:color="auto"/>
            </w:tcBorders>
            <w:shd w:val="clear" w:color="auto" w:fill="auto"/>
            <w:noWrap/>
            <w:vAlign w:val="center"/>
            <w:hideMark/>
          </w:tcPr>
          <w:p w:rsidR="00776FDB" w:rsidRPr="004E6124" w:rsidRDefault="00776FDB" w:rsidP="00776FDB">
            <w:pPr>
              <w:spacing w:after="0"/>
              <w:jc w:val="right"/>
              <w:rPr>
                <w:rFonts w:ascii="Calibri" w:eastAsia="Times New Roman" w:hAnsi="Calibri" w:cs="Times New Roman"/>
                <w:color w:val="000000"/>
                <w:sz w:val="20"/>
                <w:szCs w:val="20"/>
              </w:rPr>
            </w:pPr>
            <w:r>
              <w:rPr>
                <w:rFonts w:ascii="Calibri" w:hAnsi="Calibri"/>
                <w:color w:val="000000"/>
                <w:sz w:val="20"/>
                <w:szCs w:val="20"/>
              </w:rPr>
              <w:t xml:space="preserve">51,629 </w:t>
            </w:r>
          </w:p>
        </w:tc>
      </w:tr>
      <w:tr w:rsidR="004522FF" w:rsidRPr="00402E9F" w:rsidTr="00776FDB">
        <w:trPr>
          <w:trHeight w:val="525"/>
        </w:trPr>
        <w:tc>
          <w:tcPr>
            <w:tcW w:w="1051" w:type="dxa"/>
            <w:tcBorders>
              <w:top w:val="single" w:sz="4" w:space="0" w:color="auto"/>
              <w:left w:val="single" w:sz="4" w:space="0" w:color="auto"/>
              <w:bottom w:val="single" w:sz="4" w:space="0" w:color="auto"/>
              <w:right w:val="single" w:sz="4" w:space="0" w:color="auto"/>
            </w:tcBorders>
            <w:shd w:val="clear" w:color="auto" w:fill="auto"/>
            <w:vAlign w:val="bottom"/>
          </w:tcPr>
          <w:p w:rsidR="004522FF" w:rsidRPr="00402E9F" w:rsidRDefault="004522FF" w:rsidP="004E6124">
            <w:pPr>
              <w:spacing w:after="0"/>
              <w:rPr>
                <w:rFonts w:ascii="Calibri" w:eastAsia="Times New Roman" w:hAnsi="Calibri" w:cs="Times New Roman"/>
                <w:bCs/>
                <w:color w:val="000000"/>
                <w:sz w:val="20"/>
                <w:szCs w:val="20"/>
              </w:rPr>
            </w:pPr>
            <w:r w:rsidRPr="00402E9F">
              <w:rPr>
                <w:rFonts w:ascii="Calibri" w:hAnsi="Calibri"/>
                <w:color w:val="000000"/>
                <w:sz w:val="20"/>
                <w:szCs w:val="20"/>
              </w:rPr>
              <w:t xml:space="preserve">Estimated number of </w:t>
            </w:r>
            <w:r w:rsidR="007149B6" w:rsidRPr="00402E9F">
              <w:rPr>
                <w:rFonts w:ascii="Calibri" w:hAnsi="Calibri"/>
                <w:color w:val="000000"/>
                <w:sz w:val="20"/>
                <w:szCs w:val="20"/>
              </w:rPr>
              <w:t>S</w:t>
            </w:r>
            <w:r w:rsidRPr="00402E9F">
              <w:rPr>
                <w:rFonts w:ascii="Calibri" w:hAnsi="Calibri"/>
                <w:color w:val="000000"/>
                <w:sz w:val="20"/>
                <w:szCs w:val="20"/>
              </w:rPr>
              <w:t>TOPs</w:t>
            </w:r>
            <w:r w:rsidR="004655B1" w:rsidRPr="00402E9F">
              <w:rPr>
                <w:rFonts w:ascii="Calibri" w:hAnsi="Calibri"/>
                <w:color w:val="000000"/>
                <w:sz w:val="20"/>
                <w:szCs w:val="20"/>
              </w:rPr>
              <w:t xml:space="preserve"> (75%)</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4522FF" w:rsidRPr="00402E9F" w:rsidRDefault="004522FF" w:rsidP="004522FF">
            <w:pPr>
              <w:spacing w:after="0"/>
              <w:jc w:val="right"/>
              <w:rPr>
                <w:rFonts w:ascii="Calibri" w:eastAsia="Times New Roman" w:hAnsi="Calibri" w:cs="Times New Roman"/>
                <w:color w:val="000000"/>
                <w:sz w:val="20"/>
                <w:szCs w:val="20"/>
              </w:rPr>
            </w:pPr>
            <w:r w:rsidRPr="00402E9F">
              <w:rPr>
                <w:rFonts w:ascii="Calibri" w:hAnsi="Calibri"/>
                <w:color w:val="000000"/>
                <w:sz w:val="20"/>
                <w:szCs w:val="20"/>
              </w:rPr>
              <w:t>53,968</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4522FF" w:rsidRPr="00402E9F" w:rsidRDefault="004522FF" w:rsidP="004522FF">
            <w:pPr>
              <w:spacing w:after="0"/>
              <w:jc w:val="right"/>
              <w:rPr>
                <w:rFonts w:ascii="Calibri" w:eastAsia="Times New Roman" w:hAnsi="Calibri" w:cs="Times New Roman"/>
                <w:color w:val="000000"/>
                <w:sz w:val="20"/>
                <w:szCs w:val="20"/>
              </w:rPr>
            </w:pPr>
            <w:r w:rsidRPr="00402E9F">
              <w:rPr>
                <w:rFonts w:ascii="Calibri" w:hAnsi="Calibri"/>
                <w:color w:val="000000"/>
                <w:sz w:val="20"/>
                <w:szCs w:val="20"/>
              </w:rPr>
              <w:t>54,152</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4522FF" w:rsidRPr="00402E9F" w:rsidRDefault="004522FF" w:rsidP="004522FF">
            <w:pPr>
              <w:spacing w:after="0"/>
              <w:jc w:val="right"/>
              <w:rPr>
                <w:rFonts w:ascii="Calibri" w:eastAsia="Times New Roman" w:hAnsi="Calibri" w:cs="Times New Roman"/>
                <w:color w:val="000000"/>
                <w:sz w:val="20"/>
                <w:szCs w:val="20"/>
              </w:rPr>
            </w:pPr>
            <w:r w:rsidRPr="00402E9F">
              <w:rPr>
                <w:rFonts w:ascii="Calibri" w:hAnsi="Calibri"/>
                <w:color w:val="000000"/>
                <w:sz w:val="20"/>
                <w:szCs w:val="20"/>
              </w:rPr>
              <w:t>51,193</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4522FF" w:rsidRPr="00402E9F" w:rsidRDefault="004522FF" w:rsidP="004522FF">
            <w:pPr>
              <w:spacing w:after="0"/>
              <w:jc w:val="right"/>
              <w:rPr>
                <w:rFonts w:ascii="Calibri" w:eastAsia="Times New Roman" w:hAnsi="Calibri" w:cs="Times New Roman"/>
                <w:color w:val="000000"/>
                <w:sz w:val="20"/>
                <w:szCs w:val="20"/>
              </w:rPr>
            </w:pPr>
            <w:r w:rsidRPr="00402E9F">
              <w:rPr>
                <w:rFonts w:ascii="Calibri" w:hAnsi="Calibri"/>
                <w:color w:val="000000"/>
                <w:sz w:val="20"/>
                <w:szCs w:val="20"/>
              </w:rPr>
              <w:t>47,445</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4522FF" w:rsidRPr="00402E9F" w:rsidRDefault="004522FF" w:rsidP="004522FF">
            <w:pPr>
              <w:spacing w:after="0"/>
              <w:jc w:val="right"/>
              <w:rPr>
                <w:rFonts w:ascii="Calibri" w:eastAsia="Times New Roman" w:hAnsi="Calibri" w:cs="Times New Roman"/>
                <w:color w:val="000000"/>
                <w:sz w:val="20"/>
                <w:szCs w:val="20"/>
              </w:rPr>
            </w:pPr>
            <w:r w:rsidRPr="00402E9F">
              <w:rPr>
                <w:rFonts w:ascii="Calibri" w:hAnsi="Calibri"/>
                <w:color w:val="000000"/>
                <w:sz w:val="20"/>
                <w:szCs w:val="20"/>
              </w:rPr>
              <w:t>46,640</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4522FF" w:rsidRPr="00402E9F" w:rsidRDefault="004522FF" w:rsidP="004522FF">
            <w:pPr>
              <w:spacing w:after="0"/>
              <w:jc w:val="right"/>
              <w:rPr>
                <w:rFonts w:ascii="Calibri" w:eastAsia="Times New Roman" w:hAnsi="Calibri" w:cs="Times New Roman"/>
                <w:color w:val="000000"/>
                <w:sz w:val="20"/>
                <w:szCs w:val="20"/>
              </w:rPr>
            </w:pPr>
            <w:r w:rsidRPr="00402E9F">
              <w:rPr>
                <w:rFonts w:ascii="Calibri" w:hAnsi="Calibri"/>
                <w:color w:val="000000"/>
                <w:sz w:val="20"/>
                <w:szCs w:val="20"/>
              </w:rPr>
              <w:t>45,184</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4522FF" w:rsidRPr="00402E9F" w:rsidRDefault="004522FF" w:rsidP="004522FF">
            <w:pPr>
              <w:spacing w:after="0"/>
              <w:jc w:val="right"/>
              <w:rPr>
                <w:rFonts w:ascii="Calibri" w:eastAsia="Times New Roman" w:hAnsi="Calibri" w:cs="Times New Roman"/>
                <w:color w:val="000000"/>
                <w:sz w:val="20"/>
                <w:szCs w:val="20"/>
              </w:rPr>
            </w:pPr>
            <w:r w:rsidRPr="00402E9F">
              <w:rPr>
                <w:rFonts w:ascii="Calibri" w:hAnsi="Calibri"/>
                <w:color w:val="000000"/>
                <w:sz w:val="20"/>
                <w:szCs w:val="20"/>
              </w:rPr>
              <w:t>44,252</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4522FF" w:rsidRPr="00402E9F" w:rsidRDefault="004522FF" w:rsidP="004522FF">
            <w:pPr>
              <w:spacing w:after="0"/>
              <w:jc w:val="right"/>
              <w:rPr>
                <w:rFonts w:ascii="Calibri" w:eastAsia="Times New Roman" w:hAnsi="Calibri" w:cs="Times New Roman"/>
                <w:color w:val="000000"/>
                <w:sz w:val="20"/>
                <w:szCs w:val="20"/>
              </w:rPr>
            </w:pPr>
            <w:r w:rsidRPr="00402E9F">
              <w:rPr>
                <w:rFonts w:ascii="Calibri" w:hAnsi="Calibri"/>
                <w:color w:val="000000"/>
                <w:sz w:val="20"/>
                <w:szCs w:val="20"/>
              </w:rPr>
              <w:t>41,382</w:t>
            </w:r>
          </w:p>
        </w:tc>
        <w:tc>
          <w:tcPr>
            <w:tcW w:w="836" w:type="dxa"/>
            <w:tcBorders>
              <w:top w:val="single" w:sz="4" w:space="0" w:color="auto"/>
              <w:left w:val="nil"/>
              <w:bottom w:val="single" w:sz="4" w:space="0" w:color="auto"/>
              <w:right w:val="single" w:sz="4" w:space="0" w:color="auto"/>
            </w:tcBorders>
            <w:shd w:val="clear" w:color="auto" w:fill="auto"/>
            <w:noWrap/>
            <w:vAlign w:val="center"/>
          </w:tcPr>
          <w:p w:rsidR="004522FF" w:rsidRPr="00402E9F" w:rsidRDefault="00776FDB" w:rsidP="00776FDB">
            <w:pPr>
              <w:spacing w:after="0"/>
              <w:jc w:val="right"/>
              <w:rPr>
                <w:rFonts w:ascii="Calibri" w:hAnsi="Calibri"/>
                <w:color w:val="000000"/>
                <w:sz w:val="20"/>
                <w:szCs w:val="20"/>
              </w:rPr>
            </w:pPr>
            <w:r w:rsidRPr="00402E9F">
              <w:rPr>
                <w:rFonts w:ascii="Calibri" w:hAnsi="Calibri"/>
                <w:color w:val="000000"/>
                <w:sz w:val="20"/>
                <w:szCs w:val="20"/>
              </w:rPr>
              <w:t>38,722</w:t>
            </w:r>
          </w:p>
        </w:tc>
      </w:tr>
    </w:tbl>
    <w:p w:rsidR="00C33A93" w:rsidRDefault="003B48B9" w:rsidP="001A32F1">
      <w:pPr>
        <w:pStyle w:val="Heading5"/>
        <w:spacing w:before="0" w:after="0"/>
        <w:rPr>
          <w:sz w:val="20"/>
          <w:szCs w:val="20"/>
        </w:rPr>
      </w:pPr>
      <w:r w:rsidRPr="003B48B9">
        <w:rPr>
          <w:sz w:val="20"/>
          <w:szCs w:val="20"/>
        </w:rPr>
        <w:t xml:space="preserve">Source: DHS </w:t>
      </w:r>
      <w:r w:rsidRPr="00776FDB">
        <w:rPr>
          <w:sz w:val="20"/>
          <w:szCs w:val="20"/>
        </w:rPr>
        <w:t xml:space="preserve">Medicare data. </w:t>
      </w:r>
      <w:proofErr w:type="gramStart"/>
      <w:r w:rsidRPr="00776FDB">
        <w:rPr>
          <w:sz w:val="20"/>
          <w:szCs w:val="20"/>
        </w:rPr>
        <w:t>Extracted 30 August 2016.</w:t>
      </w:r>
      <w:proofErr w:type="gramEnd"/>
    </w:p>
    <w:p w:rsidR="00402E9F" w:rsidRDefault="00402E9F" w:rsidP="00C33A93">
      <w:pPr>
        <w:rPr>
          <w:b/>
        </w:rPr>
      </w:pPr>
    </w:p>
    <w:p w:rsidR="00C33A93" w:rsidRPr="00CA59C1" w:rsidRDefault="007F7ED0" w:rsidP="00C33A93">
      <w:pPr>
        <w:rPr>
          <w:b/>
        </w:rPr>
      </w:pPr>
      <w:r>
        <w:rPr>
          <w:b/>
        </w:rPr>
        <w:t>S</w:t>
      </w:r>
      <w:r w:rsidR="00C33A93" w:rsidRPr="00CA59C1">
        <w:rPr>
          <w:b/>
        </w:rPr>
        <w:t>TOPs in public sector</w:t>
      </w:r>
    </w:p>
    <w:p w:rsidR="00C33A93" w:rsidRDefault="00C33A93" w:rsidP="002C1B98">
      <w:r>
        <w:t>Data of the number of STOPs in the public sector was sourced from</w:t>
      </w:r>
      <w:r w:rsidRPr="009640C0">
        <w:t xml:space="preserve"> </w:t>
      </w:r>
      <w:r w:rsidRPr="006E45BC">
        <w:t xml:space="preserve">Activity Based Funding (ABF) Cost Weights </w:t>
      </w:r>
      <w:r w:rsidR="00960D77">
        <w:t>with details of hospital separations</w:t>
      </w:r>
      <w:r w:rsidR="00776FDB">
        <w:t xml:space="preserve"> of </w:t>
      </w:r>
      <w:r w:rsidR="002763EA">
        <w:t xml:space="preserve">DRG </w:t>
      </w:r>
      <w:r w:rsidR="00776FDB">
        <w:t>code O05Z (Abortion with</w:t>
      </w:r>
      <w:r w:rsidR="00776FDB" w:rsidRPr="00776FDB">
        <w:t xml:space="preserve"> OR Procedure</w:t>
      </w:r>
      <w:r w:rsidR="00776FDB">
        <w:t>)</w:t>
      </w:r>
      <w:r>
        <w:t xml:space="preserve">. </w:t>
      </w:r>
    </w:p>
    <w:p w:rsidR="00B9568A" w:rsidRDefault="00B9568A" w:rsidP="0088088C">
      <w:pPr>
        <w:pStyle w:val="Tabletitle"/>
        <w:keepNext/>
      </w:pPr>
      <w:r>
        <w:t>Table 5: Estimated number of STOPs in the public sector based on hospital separation statistics.</w:t>
      </w:r>
    </w:p>
    <w:tbl>
      <w:tblPr>
        <w:tblW w:w="9080" w:type="dxa"/>
        <w:tblInd w:w="93" w:type="dxa"/>
        <w:tblLayout w:type="fixed"/>
        <w:tblLook w:val="04A0" w:firstRow="1" w:lastRow="0" w:firstColumn="1" w:lastColumn="0" w:noHBand="0" w:noVBand="1"/>
        <w:tblCaption w:val="Estimated number of STOPs in the public sector based on hospital separation statistics."/>
        <w:tblDescription w:val="Estimated number of STOPs in the public sector based on hospital separation statistics."/>
      </w:tblPr>
      <w:tblGrid>
        <w:gridCol w:w="1291"/>
        <w:gridCol w:w="1112"/>
        <w:gridCol w:w="1113"/>
        <w:gridCol w:w="1113"/>
        <w:gridCol w:w="1112"/>
        <w:gridCol w:w="1113"/>
        <w:gridCol w:w="1113"/>
        <w:gridCol w:w="1113"/>
      </w:tblGrid>
      <w:tr w:rsidR="004E6124" w:rsidRPr="004E6124" w:rsidTr="00354EA5">
        <w:trPr>
          <w:trHeight w:val="600"/>
        </w:trPr>
        <w:tc>
          <w:tcPr>
            <w:tcW w:w="12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E6124" w:rsidRPr="004E6124" w:rsidRDefault="004E6124" w:rsidP="0088088C">
            <w:pPr>
              <w:keepNext/>
              <w:spacing w:after="0"/>
              <w:rPr>
                <w:rFonts w:ascii="Calibri" w:eastAsia="Times New Roman" w:hAnsi="Calibri" w:cs="Times New Roman"/>
                <w:b/>
                <w:color w:val="000000"/>
                <w:sz w:val="20"/>
                <w:szCs w:val="20"/>
              </w:rPr>
            </w:pPr>
            <w:r w:rsidRPr="004E6124">
              <w:rPr>
                <w:rFonts w:ascii="Calibri" w:eastAsia="Times New Roman" w:hAnsi="Calibri" w:cs="Times New Roman"/>
                <w:b/>
                <w:color w:val="000000"/>
                <w:sz w:val="20"/>
                <w:szCs w:val="20"/>
              </w:rPr>
              <w:t>Financial year</w:t>
            </w:r>
          </w:p>
        </w:tc>
        <w:tc>
          <w:tcPr>
            <w:tcW w:w="111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E6124" w:rsidRPr="004E6124" w:rsidRDefault="004E6124" w:rsidP="0088088C">
            <w:pPr>
              <w:keepNext/>
              <w:spacing w:after="0"/>
              <w:jc w:val="center"/>
              <w:rPr>
                <w:rFonts w:ascii="Calibri" w:eastAsia="Times New Roman" w:hAnsi="Calibri" w:cs="Times New Roman"/>
                <w:b/>
                <w:color w:val="000000"/>
                <w:sz w:val="20"/>
                <w:szCs w:val="20"/>
              </w:rPr>
            </w:pPr>
            <w:r w:rsidRPr="004E6124">
              <w:rPr>
                <w:rFonts w:ascii="Calibri" w:eastAsia="Times New Roman" w:hAnsi="Calibri" w:cs="Times New Roman"/>
                <w:b/>
                <w:color w:val="000000"/>
                <w:sz w:val="20"/>
                <w:szCs w:val="20"/>
              </w:rPr>
              <w:t>2007/ 2008</w:t>
            </w:r>
          </w:p>
        </w:tc>
        <w:tc>
          <w:tcPr>
            <w:tcW w:w="111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E6124" w:rsidRPr="004E6124" w:rsidRDefault="004E6124" w:rsidP="0088088C">
            <w:pPr>
              <w:keepNext/>
              <w:spacing w:after="0"/>
              <w:jc w:val="center"/>
              <w:rPr>
                <w:rFonts w:ascii="Calibri" w:eastAsia="Times New Roman" w:hAnsi="Calibri" w:cs="Times New Roman"/>
                <w:b/>
                <w:color w:val="000000"/>
                <w:sz w:val="20"/>
                <w:szCs w:val="20"/>
              </w:rPr>
            </w:pPr>
            <w:r w:rsidRPr="004E6124">
              <w:rPr>
                <w:rFonts w:ascii="Calibri" w:eastAsia="Times New Roman" w:hAnsi="Calibri" w:cs="Times New Roman"/>
                <w:b/>
                <w:color w:val="000000"/>
                <w:sz w:val="20"/>
                <w:szCs w:val="20"/>
              </w:rPr>
              <w:t>2008/ 2009</w:t>
            </w:r>
          </w:p>
        </w:tc>
        <w:tc>
          <w:tcPr>
            <w:tcW w:w="111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E6124" w:rsidRPr="004E6124" w:rsidRDefault="004E6124" w:rsidP="0088088C">
            <w:pPr>
              <w:keepNext/>
              <w:spacing w:after="0"/>
              <w:jc w:val="center"/>
              <w:rPr>
                <w:rFonts w:ascii="Calibri" w:eastAsia="Times New Roman" w:hAnsi="Calibri" w:cs="Times New Roman"/>
                <w:b/>
                <w:color w:val="000000"/>
                <w:sz w:val="20"/>
                <w:szCs w:val="20"/>
              </w:rPr>
            </w:pPr>
            <w:r w:rsidRPr="004E6124">
              <w:rPr>
                <w:rFonts w:ascii="Calibri" w:eastAsia="Times New Roman" w:hAnsi="Calibri" w:cs="Times New Roman"/>
                <w:b/>
                <w:color w:val="000000"/>
                <w:sz w:val="20"/>
                <w:szCs w:val="20"/>
              </w:rPr>
              <w:t>2009/ 2010</w:t>
            </w:r>
          </w:p>
        </w:tc>
        <w:tc>
          <w:tcPr>
            <w:tcW w:w="111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E6124" w:rsidRPr="004E6124" w:rsidRDefault="004E6124" w:rsidP="0088088C">
            <w:pPr>
              <w:keepNext/>
              <w:spacing w:after="0"/>
              <w:jc w:val="center"/>
              <w:rPr>
                <w:rFonts w:ascii="Calibri" w:eastAsia="Times New Roman" w:hAnsi="Calibri" w:cs="Times New Roman"/>
                <w:b/>
                <w:color w:val="000000"/>
                <w:sz w:val="20"/>
                <w:szCs w:val="20"/>
              </w:rPr>
            </w:pPr>
            <w:r w:rsidRPr="004E6124">
              <w:rPr>
                <w:rFonts w:ascii="Calibri" w:eastAsia="Times New Roman" w:hAnsi="Calibri" w:cs="Times New Roman"/>
                <w:b/>
                <w:color w:val="000000"/>
                <w:sz w:val="20"/>
                <w:szCs w:val="20"/>
              </w:rPr>
              <w:t>2010/ 2011</w:t>
            </w:r>
          </w:p>
        </w:tc>
        <w:tc>
          <w:tcPr>
            <w:tcW w:w="111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E6124" w:rsidRPr="004E6124" w:rsidRDefault="004E6124" w:rsidP="0088088C">
            <w:pPr>
              <w:keepNext/>
              <w:spacing w:after="0"/>
              <w:jc w:val="center"/>
              <w:rPr>
                <w:rFonts w:ascii="Calibri" w:eastAsia="Times New Roman" w:hAnsi="Calibri" w:cs="Times New Roman"/>
                <w:b/>
                <w:color w:val="000000"/>
                <w:sz w:val="20"/>
                <w:szCs w:val="20"/>
              </w:rPr>
            </w:pPr>
            <w:r w:rsidRPr="004E6124">
              <w:rPr>
                <w:rFonts w:ascii="Calibri" w:eastAsia="Times New Roman" w:hAnsi="Calibri" w:cs="Times New Roman"/>
                <w:b/>
                <w:color w:val="000000"/>
                <w:sz w:val="20"/>
                <w:szCs w:val="20"/>
              </w:rPr>
              <w:t>2011/ 2012</w:t>
            </w:r>
          </w:p>
        </w:tc>
        <w:tc>
          <w:tcPr>
            <w:tcW w:w="111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E6124" w:rsidRPr="004E6124" w:rsidRDefault="004E6124" w:rsidP="0088088C">
            <w:pPr>
              <w:keepNext/>
              <w:spacing w:after="0"/>
              <w:jc w:val="center"/>
              <w:rPr>
                <w:rFonts w:ascii="Calibri" w:eastAsia="Times New Roman" w:hAnsi="Calibri" w:cs="Times New Roman"/>
                <w:b/>
                <w:color w:val="000000"/>
                <w:sz w:val="20"/>
                <w:szCs w:val="20"/>
              </w:rPr>
            </w:pPr>
            <w:r w:rsidRPr="004E6124">
              <w:rPr>
                <w:rFonts w:ascii="Calibri" w:eastAsia="Times New Roman" w:hAnsi="Calibri" w:cs="Times New Roman"/>
                <w:b/>
                <w:color w:val="000000"/>
                <w:sz w:val="20"/>
                <w:szCs w:val="20"/>
              </w:rPr>
              <w:t>2012/ 2013</w:t>
            </w:r>
          </w:p>
        </w:tc>
        <w:tc>
          <w:tcPr>
            <w:tcW w:w="111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E6124" w:rsidRPr="004E6124" w:rsidRDefault="004E6124" w:rsidP="0088088C">
            <w:pPr>
              <w:keepNext/>
              <w:spacing w:after="0"/>
              <w:jc w:val="center"/>
              <w:rPr>
                <w:rFonts w:ascii="Calibri" w:eastAsia="Times New Roman" w:hAnsi="Calibri" w:cs="Times New Roman"/>
                <w:b/>
                <w:color w:val="000000"/>
                <w:sz w:val="20"/>
                <w:szCs w:val="20"/>
              </w:rPr>
            </w:pPr>
            <w:r w:rsidRPr="004E6124">
              <w:rPr>
                <w:rFonts w:ascii="Calibri" w:eastAsia="Times New Roman" w:hAnsi="Calibri" w:cs="Times New Roman"/>
                <w:b/>
                <w:color w:val="000000"/>
                <w:sz w:val="20"/>
                <w:szCs w:val="20"/>
              </w:rPr>
              <w:t>2013/ 2014</w:t>
            </w:r>
          </w:p>
        </w:tc>
      </w:tr>
      <w:tr w:rsidR="004E6124" w:rsidRPr="004E6124" w:rsidTr="004E6124">
        <w:trPr>
          <w:trHeight w:val="900"/>
        </w:trPr>
        <w:tc>
          <w:tcPr>
            <w:tcW w:w="1291" w:type="dxa"/>
            <w:tcBorders>
              <w:top w:val="nil"/>
              <w:left w:val="single" w:sz="4" w:space="0" w:color="auto"/>
              <w:bottom w:val="single" w:sz="4" w:space="0" w:color="auto"/>
              <w:right w:val="single" w:sz="4" w:space="0" w:color="auto"/>
            </w:tcBorders>
            <w:shd w:val="clear" w:color="auto" w:fill="auto"/>
            <w:vAlign w:val="center"/>
            <w:hideMark/>
          </w:tcPr>
          <w:p w:rsidR="004E6124" w:rsidRPr="004E6124" w:rsidRDefault="004E6124" w:rsidP="0088088C">
            <w:pPr>
              <w:keepNext/>
              <w:spacing w:after="0"/>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Number of separations</w:t>
            </w:r>
          </w:p>
        </w:tc>
        <w:tc>
          <w:tcPr>
            <w:tcW w:w="1112"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88088C">
            <w:pPr>
              <w:keepNext/>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 xml:space="preserve">26,670 </w:t>
            </w:r>
          </w:p>
        </w:tc>
        <w:tc>
          <w:tcPr>
            <w:tcW w:w="1113"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88088C">
            <w:pPr>
              <w:keepNext/>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 xml:space="preserve">29,172 </w:t>
            </w:r>
          </w:p>
        </w:tc>
        <w:tc>
          <w:tcPr>
            <w:tcW w:w="1113"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88088C">
            <w:pPr>
              <w:keepNext/>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 xml:space="preserve">28,349 </w:t>
            </w:r>
          </w:p>
        </w:tc>
        <w:tc>
          <w:tcPr>
            <w:tcW w:w="1112"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88088C">
            <w:pPr>
              <w:keepNext/>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 xml:space="preserve">26,318 </w:t>
            </w:r>
          </w:p>
        </w:tc>
        <w:tc>
          <w:tcPr>
            <w:tcW w:w="1113"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88088C">
            <w:pPr>
              <w:keepNext/>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 xml:space="preserve">25,914 </w:t>
            </w:r>
          </w:p>
        </w:tc>
        <w:tc>
          <w:tcPr>
            <w:tcW w:w="1113"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88088C">
            <w:pPr>
              <w:keepNext/>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 xml:space="preserve">25,484 </w:t>
            </w:r>
          </w:p>
        </w:tc>
        <w:tc>
          <w:tcPr>
            <w:tcW w:w="1113" w:type="dxa"/>
            <w:tcBorders>
              <w:top w:val="nil"/>
              <w:left w:val="nil"/>
              <w:bottom w:val="single" w:sz="4" w:space="0" w:color="auto"/>
              <w:right w:val="single" w:sz="4" w:space="0" w:color="auto"/>
            </w:tcBorders>
            <w:shd w:val="clear" w:color="auto" w:fill="auto"/>
            <w:noWrap/>
            <w:vAlign w:val="center"/>
            <w:hideMark/>
          </w:tcPr>
          <w:p w:rsidR="004E6124" w:rsidRPr="004E6124" w:rsidRDefault="004E6124" w:rsidP="0088088C">
            <w:pPr>
              <w:keepNext/>
              <w:spacing w:after="0"/>
              <w:jc w:val="right"/>
              <w:rPr>
                <w:rFonts w:ascii="Calibri" w:eastAsia="Times New Roman" w:hAnsi="Calibri" w:cs="Times New Roman"/>
                <w:color w:val="000000"/>
                <w:sz w:val="20"/>
                <w:szCs w:val="20"/>
              </w:rPr>
            </w:pPr>
            <w:r w:rsidRPr="004E6124">
              <w:rPr>
                <w:rFonts w:ascii="Calibri" w:eastAsia="Times New Roman" w:hAnsi="Calibri" w:cs="Times New Roman"/>
                <w:color w:val="000000"/>
                <w:sz w:val="20"/>
                <w:szCs w:val="20"/>
              </w:rPr>
              <w:t>25,300</w:t>
            </w:r>
          </w:p>
        </w:tc>
      </w:tr>
    </w:tbl>
    <w:p w:rsidR="004E6124" w:rsidRDefault="00B9568A" w:rsidP="0088088C">
      <w:pPr>
        <w:pStyle w:val="Notes"/>
      </w:pPr>
      <w:r w:rsidRPr="00B9568A">
        <w:t xml:space="preserve">Source: </w:t>
      </w:r>
      <w:r>
        <w:t xml:space="preserve">Department of Health and </w:t>
      </w:r>
      <w:r w:rsidRPr="00B9568A">
        <w:t>Independent Hospital Pricing Authority</w:t>
      </w:r>
    </w:p>
    <w:p w:rsidR="00412F4B" w:rsidRDefault="002A07F7" w:rsidP="0088088C">
      <w:r>
        <w:t>At the time this analysis was conducted, t</w:t>
      </w:r>
      <w:r w:rsidR="00412F4B" w:rsidRPr="00412F4B">
        <w:t xml:space="preserve">he most recent data of the number of STOPs in the public setting </w:t>
      </w:r>
      <w:r>
        <w:t>was</w:t>
      </w:r>
      <w:r w:rsidRPr="00412F4B">
        <w:t xml:space="preserve"> </w:t>
      </w:r>
      <w:r w:rsidR="00412F4B" w:rsidRPr="00412F4B">
        <w:t xml:space="preserve">available to the financial year ending June 2014. </w:t>
      </w:r>
      <w:r w:rsidR="00663FDF">
        <w:t xml:space="preserve">An extrapolation of </w:t>
      </w:r>
      <w:r>
        <w:t xml:space="preserve">these </w:t>
      </w:r>
      <w:r w:rsidR="00663FDF">
        <w:t xml:space="preserve">data to estimate STOPs in 2014/15 and 2015/16 </w:t>
      </w:r>
      <w:r>
        <w:t xml:space="preserve">was </w:t>
      </w:r>
      <w:r w:rsidR="00663FDF">
        <w:t xml:space="preserve">not undertaken as it </w:t>
      </w:r>
      <w:r>
        <w:t xml:space="preserve">was </w:t>
      </w:r>
      <w:r w:rsidR="00663FDF">
        <w:t xml:space="preserve">expected that the number of STOPS </w:t>
      </w:r>
      <w:r>
        <w:t xml:space="preserve">would </w:t>
      </w:r>
      <w:r w:rsidR="00663FDF">
        <w:t>have declined as a result of the PBS listing of mifepristone.</w:t>
      </w:r>
    </w:p>
    <w:p w:rsidR="00E44340" w:rsidRPr="00F002F7" w:rsidRDefault="00E44340" w:rsidP="0088088C">
      <w:r w:rsidRPr="00E44340">
        <w:t xml:space="preserve">The decrease in the number of </w:t>
      </w:r>
      <w:r>
        <w:t xml:space="preserve">public and private sector </w:t>
      </w:r>
      <w:r w:rsidRPr="00E44340">
        <w:t xml:space="preserve">STOPs in the 2010/2011 and 2011/2012 financial years </w:t>
      </w:r>
      <w:r w:rsidR="002A07F7">
        <w:t>was</w:t>
      </w:r>
      <w:r w:rsidR="002A07F7" w:rsidRPr="00E44340">
        <w:t xml:space="preserve"> </w:t>
      </w:r>
      <w:r w:rsidRPr="00E44340">
        <w:t xml:space="preserve">likely due to mifepristone and misoprostol being supplied through the TGA’s </w:t>
      </w:r>
      <w:r w:rsidR="00323524">
        <w:t>A</w:t>
      </w:r>
      <w:r w:rsidRPr="00E44340">
        <w:t xml:space="preserve">uthorised </w:t>
      </w:r>
      <w:r w:rsidR="00323524">
        <w:t>P</w:t>
      </w:r>
      <w:r w:rsidRPr="00E44340">
        <w:t>rescriber program before mifepristone was registered on the ARTG on 29 August 2012 .</w:t>
      </w:r>
    </w:p>
    <w:p w:rsidR="00D669A3" w:rsidRDefault="00D669A3" w:rsidP="00D669A3">
      <w:pPr>
        <w:pStyle w:val="Heading2"/>
      </w:pPr>
      <w:r>
        <w:t xml:space="preserve">Analysis </w:t>
      </w:r>
      <w:r w:rsidRPr="005E22C2">
        <w:t xml:space="preserve">of </w:t>
      </w:r>
      <w:r>
        <w:t>a</w:t>
      </w:r>
      <w:r w:rsidRPr="005E22C2">
        <w:t xml:space="preserve">ctual versus </w:t>
      </w:r>
      <w:r>
        <w:t>p</w:t>
      </w:r>
      <w:r w:rsidRPr="005E22C2">
        <w:t xml:space="preserve">redicted </w:t>
      </w:r>
      <w:r>
        <w:t>u</w:t>
      </w:r>
      <w:r w:rsidRPr="005E22C2">
        <w:t>tilisation</w:t>
      </w:r>
    </w:p>
    <w:p w:rsidR="00FB4CCF" w:rsidRDefault="00FB4CCF" w:rsidP="00FB4CCF">
      <w:r w:rsidRPr="005652F2">
        <w:t>The submission estimated that without a PBS listing for mifepristone and misoprostol between 14% and 20% of TOPs would be MTOPs. With a PBS listing, the proportion of TOPs by medical method would be 25% in year 1, increasing to 45% in year 5.</w:t>
      </w:r>
      <w:r>
        <w:t xml:space="preserve">  Predicted and actual use is presented in Table 6.</w:t>
      </w:r>
    </w:p>
    <w:p w:rsidR="00B95823" w:rsidRDefault="00B95823">
      <w:pPr>
        <w:spacing w:line="276" w:lineRule="auto"/>
        <w:rPr>
          <w:b/>
        </w:rPr>
      </w:pPr>
      <w:r>
        <w:br w:type="page"/>
      </w:r>
    </w:p>
    <w:p w:rsidR="00D669A3" w:rsidRPr="00592D79" w:rsidRDefault="00D669A3" w:rsidP="00D669A3">
      <w:pPr>
        <w:pStyle w:val="Tabletitle"/>
      </w:pPr>
      <w:r>
        <w:t xml:space="preserve">Table </w:t>
      </w:r>
      <w:r w:rsidR="00E96409">
        <w:t>6</w:t>
      </w:r>
      <w:r>
        <w:t xml:space="preserve">: Predicted </w:t>
      </w:r>
      <w:r w:rsidR="007D5907">
        <w:t>numbers of TOPs</w:t>
      </w:r>
      <w:r w:rsidR="00610679">
        <w:t xml:space="preserve"> compared </w:t>
      </w:r>
      <w:r w:rsidR="007D5907">
        <w:t>to actual</w:t>
      </w:r>
      <w:r>
        <w:t xml:space="preserve"> </w:t>
      </w:r>
    </w:p>
    <w:tbl>
      <w:tblPr>
        <w:tblW w:w="8237" w:type="dxa"/>
        <w:tblInd w:w="93" w:type="dxa"/>
        <w:tblLayout w:type="fixed"/>
        <w:tblLook w:val="04A0" w:firstRow="1" w:lastRow="0" w:firstColumn="1" w:lastColumn="0" w:noHBand="0" w:noVBand="1"/>
        <w:tblCaption w:val="Predicted numbers of TOPs compared to actual "/>
        <w:tblDescription w:val="Predicted numbers of TOPs compared to actual "/>
      </w:tblPr>
      <w:tblGrid>
        <w:gridCol w:w="2992"/>
        <w:gridCol w:w="1748"/>
        <w:gridCol w:w="1748"/>
        <w:gridCol w:w="1749"/>
      </w:tblGrid>
      <w:tr w:rsidR="009C1CDB" w:rsidRPr="006D32B9" w:rsidTr="00F75A88">
        <w:trPr>
          <w:trHeight w:val="300"/>
        </w:trPr>
        <w:tc>
          <w:tcPr>
            <w:tcW w:w="2992"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9C1CDB" w:rsidRPr="006D32B9" w:rsidRDefault="009C1CDB" w:rsidP="006D32B9">
            <w:pPr>
              <w:spacing w:after="0"/>
              <w:rPr>
                <w:rFonts w:ascii="Calibri" w:eastAsia="Times New Roman" w:hAnsi="Calibri" w:cs="Times New Roman"/>
                <w:b/>
                <w:bCs/>
                <w:color w:val="000000"/>
                <w:sz w:val="20"/>
                <w:szCs w:val="20"/>
              </w:rPr>
            </w:pPr>
            <w:r w:rsidRPr="006D32B9">
              <w:rPr>
                <w:rFonts w:ascii="Calibri" w:eastAsia="Times New Roman" w:hAnsi="Calibri" w:cs="Times New Roman"/>
                <w:b/>
                <w:bCs/>
                <w:color w:val="000000"/>
                <w:sz w:val="20"/>
                <w:szCs w:val="20"/>
              </w:rPr>
              <w:t> </w:t>
            </w:r>
          </w:p>
        </w:tc>
        <w:tc>
          <w:tcPr>
            <w:tcW w:w="1748" w:type="dxa"/>
            <w:tcBorders>
              <w:top w:val="single" w:sz="4" w:space="0" w:color="auto"/>
              <w:left w:val="nil"/>
              <w:bottom w:val="single" w:sz="4" w:space="0" w:color="auto"/>
              <w:right w:val="single" w:sz="4" w:space="0" w:color="auto"/>
            </w:tcBorders>
            <w:shd w:val="clear" w:color="000000" w:fill="BFBFBF"/>
            <w:noWrap/>
            <w:vAlign w:val="center"/>
            <w:hideMark/>
          </w:tcPr>
          <w:p w:rsidR="009C1CDB" w:rsidRPr="006D32B9" w:rsidRDefault="009C1CDB" w:rsidP="00F75A88">
            <w:pPr>
              <w:spacing w:after="0"/>
              <w:jc w:val="center"/>
              <w:rPr>
                <w:rFonts w:ascii="Calibri" w:eastAsia="Times New Roman" w:hAnsi="Calibri" w:cs="Times New Roman"/>
                <w:b/>
                <w:bCs/>
                <w:color w:val="000000"/>
                <w:sz w:val="20"/>
                <w:szCs w:val="20"/>
              </w:rPr>
            </w:pPr>
            <w:r>
              <w:rPr>
                <w:rFonts w:ascii="Calibri" w:hAnsi="Calibri"/>
                <w:b/>
                <w:bCs/>
                <w:color w:val="000000"/>
                <w:sz w:val="20"/>
                <w:szCs w:val="20"/>
              </w:rPr>
              <w:t>2013/2014</w:t>
            </w:r>
          </w:p>
        </w:tc>
        <w:tc>
          <w:tcPr>
            <w:tcW w:w="1748" w:type="dxa"/>
            <w:tcBorders>
              <w:top w:val="single" w:sz="4" w:space="0" w:color="auto"/>
              <w:left w:val="nil"/>
              <w:bottom w:val="single" w:sz="4" w:space="0" w:color="auto"/>
              <w:right w:val="single" w:sz="4" w:space="0" w:color="auto"/>
            </w:tcBorders>
            <w:shd w:val="clear" w:color="000000" w:fill="BFBFBF"/>
            <w:noWrap/>
            <w:vAlign w:val="center"/>
            <w:hideMark/>
          </w:tcPr>
          <w:p w:rsidR="009C1CDB" w:rsidRPr="006D32B9" w:rsidRDefault="009C1CDB" w:rsidP="00F75A88">
            <w:pPr>
              <w:spacing w:after="0"/>
              <w:jc w:val="center"/>
              <w:rPr>
                <w:rFonts w:ascii="Calibri" w:eastAsia="Times New Roman" w:hAnsi="Calibri" w:cs="Times New Roman"/>
                <w:b/>
                <w:bCs/>
                <w:color w:val="000000"/>
                <w:sz w:val="20"/>
                <w:szCs w:val="20"/>
              </w:rPr>
            </w:pPr>
            <w:r>
              <w:rPr>
                <w:rFonts w:ascii="Calibri" w:hAnsi="Calibri"/>
                <w:b/>
                <w:bCs/>
                <w:color w:val="000000"/>
                <w:sz w:val="20"/>
                <w:szCs w:val="20"/>
              </w:rPr>
              <w:t>2014/2015</w:t>
            </w:r>
          </w:p>
        </w:tc>
        <w:tc>
          <w:tcPr>
            <w:tcW w:w="1749" w:type="dxa"/>
            <w:tcBorders>
              <w:top w:val="single" w:sz="4" w:space="0" w:color="auto"/>
              <w:left w:val="nil"/>
              <w:bottom w:val="single" w:sz="4" w:space="0" w:color="auto"/>
              <w:right w:val="single" w:sz="4" w:space="0" w:color="auto"/>
            </w:tcBorders>
            <w:shd w:val="clear" w:color="000000" w:fill="BFBFBF"/>
            <w:noWrap/>
            <w:vAlign w:val="center"/>
            <w:hideMark/>
          </w:tcPr>
          <w:p w:rsidR="009C1CDB" w:rsidRPr="006D32B9" w:rsidRDefault="009C1CDB" w:rsidP="00F75A88">
            <w:pPr>
              <w:spacing w:after="0"/>
              <w:jc w:val="center"/>
              <w:rPr>
                <w:rFonts w:ascii="Calibri" w:eastAsia="Times New Roman" w:hAnsi="Calibri" w:cs="Times New Roman"/>
                <w:b/>
                <w:bCs/>
                <w:color w:val="000000"/>
                <w:sz w:val="20"/>
                <w:szCs w:val="20"/>
              </w:rPr>
            </w:pPr>
            <w:r>
              <w:rPr>
                <w:rFonts w:ascii="Calibri" w:hAnsi="Calibri"/>
                <w:b/>
                <w:bCs/>
                <w:color w:val="000000"/>
                <w:sz w:val="20"/>
                <w:szCs w:val="20"/>
              </w:rPr>
              <w:t>2015/2016</w:t>
            </w:r>
          </w:p>
        </w:tc>
      </w:tr>
      <w:tr w:rsidR="001A32F1" w:rsidRPr="006D32B9" w:rsidTr="00F75A88">
        <w:trPr>
          <w:trHeight w:val="300"/>
        </w:trPr>
        <w:tc>
          <w:tcPr>
            <w:tcW w:w="823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32F1" w:rsidRPr="006D32B9" w:rsidRDefault="001A32F1" w:rsidP="00F75A88">
            <w:pPr>
              <w:spacing w:after="0"/>
              <w:jc w:val="center"/>
              <w:rPr>
                <w:rFonts w:ascii="Calibri" w:eastAsia="Times New Roman" w:hAnsi="Calibri" w:cs="Times New Roman"/>
                <w:b/>
                <w:bCs/>
                <w:color w:val="000000"/>
                <w:sz w:val="20"/>
                <w:szCs w:val="20"/>
              </w:rPr>
            </w:pPr>
            <w:r w:rsidRPr="006D32B9">
              <w:rPr>
                <w:rFonts w:ascii="Calibri" w:eastAsia="Times New Roman" w:hAnsi="Calibri" w:cs="Times New Roman"/>
                <w:b/>
                <w:bCs/>
                <w:color w:val="000000"/>
                <w:sz w:val="20"/>
                <w:szCs w:val="20"/>
              </w:rPr>
              <w:t>Number of TOPs</w:t>
            </w:r>
          </w:p>
        </w:tc>
      </w:tr>
      <w:tr w:rsidR="001A32F1" w:rsidRPr="006D32B9" w:rsidTr="00F75A88">
        <w:trPr>
          <w:trHeight w:val="300"/>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1A32F1" w:rsidRPr="006D32B9" w:rsidRDefault="001A32F1" w:rsidP="00F75A88">
            <w:pPr>
              <w:spacing w:after="0"/>
              <w:rPr>
                <w:rFonts w:ascii="Calibri" w:eastAsia="Times New Roman" w:hAnsi="Calibri" w:cs="Times New Roman"/>
                <w:color w:val="000000"/>
                <w:sz w:val="20"/>
                <w:szCs w:val="20"/>
              </w:rPr>
            </w:pPr>
            <w:r w:rsidRPr="006D32B9">
              <w:rPr>
                <w:rFonts w:ascii="Calibri" w:eastAsia="Times New Roman" w:hAnsi="Calibri" w:cs="Times New Roman"/>
                <w:color w:val="000000"/>
                <w:sz w:val="20"/>
                <w:szCs w:val="20"/>
              </w:rPr>
              <w:t>Predicted</w:t>
            </w:r>
            <w:r>
              <w:rPr>
                <w:rFonts w:ascii="Calibri" w:eastAsia="Times New Roman" w:hAnsi="Calibri" w:cs="Times New Roman"/>
                <w:color w:val="000000"/>
                <w:sz w:val="20"/>
                <w:szCs w:val="20"/>
              </w:rPr>
              <w:t xml:space="preserve"> </w:t>
            </w:r>
            <w:r w:rsidRPr="001A32F1">
              <w:rPr>
                <w:rFonts w:ascii="Calibri" w:eastAsia="Times New Roman" w:hAnsi="Calibri" w:cs="Times New Roman"/>
                <w:color w:val="000000"/>
                <w:sz w:val="20"/>
                <w:szCs w:val="20"/>
              </w:rPr>
              <w:t xml:space="preserve">midpoint </w:t>
            </w:r>
            <w:r w:rsidR="00F75A88">
              <w:rPr>
                <w:rFonts w:ascii="Calibri" w:eastAsia="Times New Roman" w:hAnsi="Calibri" w:cs="Times New Roman"/>
                <w:color w:val="000000"/>
                <w:sz w:val="20"/>
                <w:szCs w:val="20"/>
              </w:rPr>
              <w:t xml:space="preserve">estimate </w:t>
            </w:r>
            <w:r>
              <w:rPr>
                <w:rFonts w:ascii="Calibri" w:eastAsia="Times New Roman" w:hAnsi="Calibri" w:cs="Times New Roman"/>
                <w:color w:val="000000"/>
                <w:sz w:val="20"/>
                <w:szCs w:val="20"/>
              </w:rPr>
              <w:t>(</w:t>
            </w:r>
            <w:r w:rsidR="00F75A88">
              <w:rPr>
                <w:rFonts w:ascii="Calibri" w:eastAsia="Times New Roman" w:hAnsi="Calibri" w:cs="Times New Roman"/>
                <w:color w:val="000000"/>
                <w:sz w:val="20"/>
                <w:szCs w:val="20"/>
              </w:rPr>
              <w:t xml:space="preserve">predicted </w:t>
            </w:r>
            <w:r>
              <w:rPr>
                <w:rFonts w:ascii="Calibri" w:eastAsia="Times New Roman" w:hAnsi="Calibri" w:cs="Times New Roman"/>
                <w:color w:val="000000"/>
                <w:sz w:val="20"/>
                <w:szCs w:val="20"/>
              </w:rPr>
              <w:t>plausible range)</w:t>
            </w:r>
          </w:p>
        </w:tc>
        <w:tc>
          <w:tcPr>
            <w:tcW w:w="1748" w:type="dxa"/>
            <w:tcBorders>
              <w:top w:val="nil"/>
              <w:left w:val="nil"/>
              <w:bottom w:val="single" w:sz="4" w:space="0" w:color="auto"/>
              <w:right w:val="single" w:sz="4" w:space="0" w:color="auto"/>
            </w:tcBorders>
            <w:shd w:val="clear" w:color="auto" w:fill="auto"/>
            <w:noWrap/>
            <w:vAlign w:val="center"/>
            <w:hideMark/>
          </w:tcPr>
          <w:p w:rsidR="00F75A88" w:rsidRDefault="00F75A88" w:rsidP="00F75A88">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83,943</w:t>
            </w:r>
          </w:p>
          <w:p w:rsidR="001A32F1" w:rsidRPr="006D32B9" w:rsidRDefault="00F75A88" w:rsidP="00F75A88">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(71,543 – 95,390)</w:t>
            </w:r>
          </w:p>
        </w:tc>
        <w:tc>
          <w:tcPr>
            <w:tcW w:w="1748" w:type="dxa"/>
            <w:tcBorders>
              <w:top w:val="nil"/>
              <w:left w:val="nil"/>
              <w:bottom w:val="single" w:sz="4" w:space="0" w:color="auto"/>
              <w:right w:val="single" w:sz="4" w:space="0" w:color="auto"/>
            </w:tcBorders>
            <w:shd w:val="clear" w:color="auto" w:fill="auto"/>
            <w:noWrap/>
            <w:vAlign w:val="center"/>
            <w:hideMark/>
          </w:tcPr>
          <w:p w:rsidR="00F75A88" w:rsidRDefault="00F75A88" w:rsidP="00F75A88">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84,666</w:t>
            </w:r>
          </w:p>
          <w:p w:rsidR="001A32F1" w:rsidRPr="006D32B9" w:rsidRDefault="00F75A88" w:rsidP="00F75A88">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(72,158 – 96,211)</w:t>
            </w:r>
          </w:p>
        </w:tc>
        <w:tc>
          <w:tcPr>
            <w:tcW w:w="1749" w:type="dxa"/>
            <w:tcBorders>
              <w:top w:val="nil"/>
              <w:left w:val="nil"/>
              <w:bottom w:val="single" w:sz="4" w:space="0" w:color="auto"/>
              <w:right w:val="single" w:sz="4" w:space="0" w:color="auto"/>
            </w:tcBorders>
            <w:shd w:val="clear" w:color="auto" w:fill="auto"/>
            <w:noWrap/>
            <w:vAlign w:val="center"/>
            <w:hideMark/>
          </w:tcPr>
          <w:p w:rsidR="001A32F1" w:rsidRDefault="00F75A88" w:rsidP="00F75A88">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85,202</w:t>
            </w:r>
          </w:p>
          <w:p w:rsidR="00F75A88" w:rsidRPr="006D32B9" w:rsidRDefault="00F75A88" w:rsidP="00F75A88">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(72,616 – 96,821)</w:t>
            </w:r>
          </w:p>
        </w:tc>
      </w:tr>
      <w:tr w:rsidR="001A32F1" w:rsidRPr="006D32B9" w:rsidTr="00F75A88">
        <w:trPr>
          <w:trHeight w:val="300"/>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1A32F1" w:rsidRPr="006D32B9" w:rsidRDefault="001A32F1" w:rsidP="000E19DC">
            <w:pPr>
              <w:spacing w:after="0"/>
              <w:rPr>
                <w:rFonts w:ascii="Calibri" w:eastAsia="Times New Roman" w:hAnsi="Calibri" w:cs="Times New Roman"/>
                <w:color w:val="000000"/>
                <w:sz w:val="20"/>
                <w:szCs w:val="20"/>
              </w:rPr>
            </w:pPr>
            <w:r w:rsidRPr="006D32B9">
              <w:rPr>
                <w:rFonts w:ascii="Calibri" w:eastAsia="Times New Roman" w:hAnsi="Calibri" w:cs="Times New Roman"/>
                <w:color w:val="000000"/>
                <w:sz w:val="20"/>
                <w:szCs w:val="20"/>
              </w:rPr>
              <w:t>Actual</w:t>
            </w:r>
          </w:p>
        </w:tc>
        <w:tc>
          <w:tcPr>
            <w:tcW w:w="1748" w:type="dxa"/>
            <w:tcBorders>
              <w:top w:val="nil"/>
              <w:left w:val="nil"/>
              <w:bottom w:val="single" w:sz="4" w:space="0" w:color="auto"/>
              <w:right w:val="single" w:sz="4" w:space="0" w:color="auto"/>
            </w:tcBorders>
            <w:shd w:val="clear" w:color="auto" w:fill="auto"/>
            <w:noWrap/>
            <w:vAlign w:val="center"/>
            <w:hideMark/>
          </w:tcPr>
          <w:p w:rsidR="001A32F1" w:rsidRPr="00F90FFB" w:rsidRDefault="001A32F1" w:rsidP="00F75A88">
            <w:pPr>
              <w:spacing w:after="0"/>
              <w:jc w:val="center"/>
              <w:rPr>
                <w:rFonts w:ascii="Calibri" w:eastAsia="Times New Roman" w:hAnsi="Calibri" w:cs="Times New Roman"/>
                <w:sz w:val="20"/>
                <w:szCs w:val="20"/>
              </w:rPr>
            </w:pPr>
            <w:r w:rsidRPr="00F90FFB">
              <w:rPr>
                <w:rFonts w:ascii="Calibri" w:eastAsia="Times New Roman" w:hAnsi="Calibri" w:cs="Times New Roman"/>
                <w:sz w:val="20"/>
                <w:szCs w:val="20"/>
              </w:rPr>
              <w:t>74,882</w:t>
            </w:r>
          </w:p>
        </w:tc>
        <w:tc>
          <w:tcPr>
            <w:tcW w:w="1748" w:type="dxa"/>
            <w:tcBorders>
              <w:top w:val="nil"/>
              <w:left w:val="nil"/>
              <w:bottom w:val="single" w:sz="4" w:space="0" w:color="auto"/>
              <w:right w:val="single" w:sz="4" w:space="0" w:color="auto"/>
            </w:tcBorders>
            <w:shd w:val="clear" w:color="auto" w:fill="auto"/>
            <w:noWrap/>
            <w:vAlign w:val="center"/>
          </w:tcPr>
          <w:p w:rsidR="001A32F1" w:rsidRPr="006D32B9" w:rsidRDefault="001A32F1" w:rsidP="00F75A88">
            <w:pPr>
              <w:spacing w:after="0"/>
              <w:jc w:val="center"/>
              <w:rPr>
                <w:rFonts w:ascii="Calibri" w:eastAsia="Times New Roman" w:hAnsi="Calibri" w:cs="Times New Roman"/>
                <w:sz w:val="20"/>
                <w:szCs w:val="20"/>
              </w:rPr>
            </w:pPr>
            <w:r>
              <w:rPr>
                <w:rFonts w:ascii="Calibri" w:eastAsia="Times New Roman" w:hAnsi="Calibri" w:cs="Times New Roman"/>
                <w:sz w:val="20"/>
                <w:szCs w:val="20"/>
              </w:rPr>
              <w:t>N/A</w:t>
            </w:r>
          </w:p>
        </w:tc>
        <w:tc>
          <w:tcPr>
            <w:tcW w:w="1749" w:type="dxa"/>
            <w:tcBorders>
              <w:top w:val="nil"/>
              <w:left w:val="nil"/>
              <w:bottom w:val="single" w:sz="4" w:space="0" w:color="auto"/>
              <w:right w:val="single" w:sz="4" w:space="0" w:color="auto"/>
            </w:tcBorders>
            <w:shd w:val="clear" w:color="auto" w:fill="auto"/>
            <w:noWrap/>
            <w:vAlign w:val="center"/>
          </w:tcPr>
          <w:p w:rsidR="001A32F1" w:rsidRPr="006D32B9" w:rsidRDefault="001A32F1" w:rsidP="00F75A88">
            <w:pPr>
              <w:spacing w:after="0"/>
              <w:jc w:val="center"/>
              <w:rPr>
                <w:rFonts w:ascii="Calibri" w:eastAsia="Times New Roman" w:hAnsi="Calibri" w:cs="Times New Roman"/>
                <w:sz w:val="20"/>
                <w:szCs w:val="20"/>
              </w:rPr>
            </w:pPr>
            <w:r>
              <w:rPr>
                <w:rFonts w:ascii="Calibri" w:eastAsia="Times New Roman" w:hAnsi="Calibri" w:cs="Times New Roman"/>
                <w:sz w:val="20"/>
                <w:szCs w:val="20"/>
              </w:rPr>
              <w:t>N/A</w:t>
            </w:r>
          </w:p>
        </w:tc>
      </w:tr>
      <w:tr w:rsidR="001A32F1" w:rsidRPr="006D32B9" w:rsidTr="00F75A88">
        <w:trPr>
          <w:trHeight w:val="300"/>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1A32F1" w:rsidRPr="006D32B9" w:rsidRDefault="001A32F1" w:rsidP="000E19DC">
            <w:pPr>
              <w:spacing w:after="0"/>
              <w:rPr>
                <w:rFonts w:ascii="Calibri" w:eastAsia="Times New Roman" w:hAnsi="Calibri" w:cs="Times New Roman"/>
                <w:color w:val="000000"/>
                <w:sz w:val="20"/>
                <w:szCs w:val="20"/>
              </w:rPr>
            </w:pPr>
            <w:r w:rsidRPr="006D32B9">
              <w:rPr>
                <w:rFonts w:ascii="Calibri" w:eastAsia="Times New Roman" w:hAnsi="Calibri" w:cs="Times New Roman"/>
                <w:color w:val="000000"/>
                <w:sz w:val="20"/>
                <w:szCs w:val="20"/>
              </w:rPr>
              <w:t>Difference</w:t>
            </w:r>
          </w:p>
        </w:tc>
        <w:tc>
          <w:tcPr>
            <w:tcW w:w="1748" w:type="dxa"/>
            <w:tcBorders>
              <w:top w:val="nil"/>
              <w:left w:val="nil"/>
              <w:bottom w:val="single" w:sz="4" w:space="0" w:color="auto"/>
              <w:right w:val="single" w:sz="4" w:space="0" w:color="auto"/>
            </w:tcBorders>
            <w:shd w:val="clear" w:color="auto" w:fill="auto"/>
            <w:noWrap/>
            <w:vAlign w:val="center"/>
            <w:hideMark/>
          </w:tcPr>
          <w:p w:rsidR="001A32F1" w:rsidRPr="005507BF" w:rsidRDefault="005507BF" w:rsidP="005507BF">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00B13120" w:rsidRPr="005507BF">
              <w:rPr>
                <w:rFonts w:ascii="Calibri" w:eastAsia="Times New Roman" w:hAnsi="Calibri" w:cs="Times New Roman"/>
                <w:color w:val="000000"/>
                <w:sz w:val="20"/>
                <w:szCs w:val="20"/>
              </w:rPr>
              <w:t>9,061</w:t>
            </w:r>
          </w:p>
        </w:tc>
        <w:tc>
          <w:tcPr>
            <w:tcW w:w="1748" w:type="dxa"/>
            <w:tcBorders>
              <w:top w:val="nil"/>
              <w:left w:val="nil"/>
              <w:bottom w:val="single" w:sz="4" w:space="0" w:color="auto"/>
              <w:right w:val="single" w:sz="4" w:space="0" w:color="auto"/>
            </w:tcBorders>
            <w:shd w:val="clear" w:color="auto" w:fill="auto"/>
            <w:noWrap/>
            <w:vAlign w:val="center"/>
          </w:tcPr>
          <w:p w:rsidR="001A32F1" w:rsidRPr="006D32B9" w:rsidRDefault="001A32F1" w:rsidP="00F75A88">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N/A</w:t>
            </w:r>
          </w:p>
        </w:tc>
        <w:tc>
          <w:tcPr>
            <w:tcW w:w="1749" w:type="dxa"/>
            <w:tcBorders>
              <w:top w:val="nil"/>
              <w:left w:val="nil"/>
              <w:bottom w:val="single" w:sz="4" w:space="0" w:color="auto"/>
              <w:right w:val="single" w:sz="4" w:space="0" w:color="auto"/>
            </w:tcBorders>
            <w:shd w:val="clear" w:color="auto" w:fill="auto"/>
            <w:noWrap/>
            <w:vAlign w:val="center"/>
          </w:tcPr>
          <w:p w:rsidR="001A32F1" w:rsidRPr="006D32B9" w:rsidRDefault="001A32F1" w:rsidP="00F75A88">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N/A</w:t>
            </w:r>
          </w:p>
        </w:tc>
      </w:tr>
      <w:tr w:rsidR="00FB333F" w:rsidRPr="006D32B9" w:rsidTr="00F75A88">
        <w:trPr>
          <w:trHeight w:val="300"/>
        </w:trPr>
        <w:tc>
          <w:tcPr>
            <w:tcW w:w="823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333F" w:rsidRPr="006D32B9" w:rsidRDefault="00FB333F" w:rsidP="00F75A88">
            <w:pPr>
              <w:spacing w:after="0"/>
              <w:jc w:val="center"/>
              <w:rPr>
                <w:rFonts w:ascii="Calibri" w:eastAsia="Times New Roman" w:hAnsi="Calibri" w:cs="Times New Roman"/>
                <w:b/>
                <w:bCs/>
                <w:color w:val="000000"/>
                <w:sz w:val="20"/>
                <w:szCs w:val="20"/>
              </w:rPr>
            </w:pPr>
            <w:r w:rsidRPr="006D32B9">
              <w:rPr>
                <w:rFonts w:ascii="Calibri" w:eastAsia="Times New Roman" w:hAnsi="Calibri" w:cs="Times New Roman"/>
                <w:b/>
                <w:bCs/>
                <w:color w:val="000000"/>
                <w:sz w:val="20"/>
                <w:szCs w:val="20"/>
              </w:rPr>
              <w:t>Number of MTOPs</w:t>
            </w:r>
          </w:p>
        </w:tc>
      </w:tr>
      <w:tr w:rsidR="00831EAD" w:rsidRPr="006D32B9" w:rsidTr="00F75A88">
        <w:trPr>
          <w:trHeight w:val="300"/>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31EAD" w:rsidRPr="006D32B9" w:rsidRDefault="00831EAD" w:rsidP="00F75A88">
            <w:pPr>
              <w:spacing w:after="0"/>
              <w:rPr>
                <w:rFonts w:ascii="Calibri" w:eastAsia="Times New Roman" w:hAnsi="Calibri" w:cs="Times New Roman"/>
                <w:color w:val="000000"/>
                <w:sz w:val="20"/>
                <w:szCs w:val="20"/>
              </w:rPr>
            </w:pPr>
            <w:r w:rsidRPr="006D32B9">
              <w:rPr>
                <w:rFonts w:ascii="Calibri" w:eastAsia="Times New Roman" w:hAnsi="Calibri" w:cs="Times New Roman"/>
                <w:color w:val="000000"/>
                <w:sz w:val="20"/>
                <w:szCs w:val="20"/>
              </w:rPr>
              <w:t>Predicted</w:t>
            </w:r>
            <w:r>
              <w:rPr>
                <w:rFonts w:ascii="Calibri" w:eastAsia="Times New Roman" w:hAnsi="Calibri" w:cs="Times New Roman"/>
                <w:color w:val="000000"/>
                <w:sz w:val="20"/>
                <w:szCs w:val="20"/>
              </w:rPr>
              <w:t xml:space="preserve"> &lt;50 days</w:t>
            </w:r>
            <w:r w:rsidR="0065121D">
              <w:rPr>
                <w:rFonts w:ascii="Calibri" w:eastAsia="Times New Roman" w:hAnsi="Calibri" w:cs="Times New Roman"/>
                <w:color w:val="000000"/>
                <w:sz w:val="20"/>
                <w:szCs w:val="20"/>
              </w:rPr>
              <w:t>’</w:t>
            </w:r>
            <w:r>
              <w:rPr>
                <w:rFonts w:ascii="Calibri" w:eastAsia="Times New Roman" w:hAnsi="Calibri" w:cs="Times New Roman"/>
                <w:color w:val="000000"/>
                <w:sz w:val="20"/>
                <w:szCs w:val="20"/>
              </w:rPr>
              <w:t xml:space="preserve"> gestation</w:t>
            </w:r>
          </w:p>
        </w:tc>
        <w:tc>
          <w:tcPr>
            <w:tcW w:w="1748" w:type="dxa"/>
            <w:tcBorders>
              <w:top w:val="nil"/>
              <w:left w:val="nil"/>
              <w:bottom w:val="single" w:sz="4" w:space="0" w:color="auto"/>
              <w:right w:val="single" w:sz="4" w:space="0" w:color="auto"/>
            </w:tcBorders>
            <w:shd w:val="clear" w:color="auto" w:fill="auto"/>
            <w:noWrap/>
            <w:vAlign w:val="center"/>
          </w:tcPr>
          <w:p w:rsidR="00831EAD" w:rsidRPr="006D32B9" w:rsidRDefault="00831EAD" w:rsidP="000E19DC">
            <w:pPr>
              <w:spacing w:after="0"/>
              <w:jc w:val="center"/>
              <w:rPr>
                <w:rFonts w:ascii="Calibri" w:eastAsia="Times New Roman" w:hAnsi="Calibri" w:cs="Times New Roman"/>
                <w:color w:val="000000"/>
                <w:sz w:val="20"/>
                <w:szCs w:val="20"/>
              </w:rPr>
            </w:pPr>
            <w:r w:rsidRPr="006D32B9">
              <w:rPr>
                <w:rFonts w:ascii="Calibri" w:eastAsia="Times New Roman" w:hAnsi="Calibri" w:cs="Times New Roman"/>
                <w:color w:val="000000"/>
                <w:sz w:val="20"/>
                <w:szCs w:val="20"/>
              </w:rPr>
              <w:t>19,265</w:t>
            </w:r>
          </w:p>
        </w:tc>
        <w:tc>
          <w:tcPr>
            <w:tcW w:w="1748" w:type="dxa"/>
            <w:tcBorders>
              <w:top w:val="nil"/>
              <w:left w:val="nil"/>
              <w:bottom w:val="single" w:sz="4" w:space="0" w:color="auto"/>
              <w:right w:val="single" w:sz="4" w:space="0" w:color="auto"/>
            </w:tcBorders>
            <w:shd w:val="clear" w:color="auto" w:fill="auto"/>
            <w:noWrap/>
            <w:vAlign w:val="center"/>
          </w:tcPr>
          <w:p w:rsidR="00831EAD" w:rsidRPr="006D32B9" w:rsidRDefault="00831EAD" w:rsidP="000E19DC">
            <w:pPr>
              <w:spacing w:after="0"/>
              <w:jc w:val="center"/>
              <w:rPr>
                <w:rFonts w:ascii="Calibri" w:eastAsia="Times New Roman" w:hAnsi="Calibri" w:cs="Times New Roman"/>
                <w:color w:val="000000"/>
                <w:sz w:val="20"/>
                <w:szCs w:val="20"/>
              </w:rPr>
            </w:pPr>
            <w:r w:rsidRPr="006D32B9">
              <w:rPr>
                <w:rFonts w:ascii="Calibri" w:eastAsia="Times New Roman" w:hAnsi="Calibri" w:cs="Times New Roman"/>
                <w:color w:val="000000"/>
                <w:sz w:val="20"/>
                <w:szCs w:val="20"/>
              </w:rPr>
              <w:t>22,669</w:t>
            </w:r>
          </w:p>
        </w:tc>
        <w:tc>
          <w:tcPr>
            <w:tcW w:w="1749" w:type="dxa"/>
            <w:tcBorders>
              <w:top w:val="nil"/>
              <w:left w:val="nil"/>
              <w:bottom w:val="single" w:sz="4" w:space="0" w:color="auto"/>
              <w:right w:val="single" w:sz="4" w:space="0" w:color="auto"/>
            </w:tcBorders>
            <w:shd w:val="clear" w:color="auto" w:fill="auto"/>
            <w:noWrap/>
            <w:vAlign w:val="center"/>
          </w:tcPr>
          <w:p w:rsidR="00831EAD" w:rsidRPr="006D32B9" w:rsidRDefault="00831EAD" w:rsidP="000E19DC">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26,072</w:t>
            </w:r>
          </w:p>
        </w:tc>
      </w:tr>
      <w:tr w:rsidR="00831EAD" w:rsidRPr="006D32B9" w:rsidTr="000E19DC">
        <w:trPr>
          <w:trHeight w:val="300"/>
        </w:trPr>
        <w:tc>
          <w:tcPr>
            <w:tcW w:w="2992" w:type="dxa"/>
            <w:tcBorders>
              <w:top w:val="nil"/>
              <w:left w:val="single" w:sz="4" w:space="0" w:color="auto"/>
              <w:bottom w:val="single" w:sz="4" w:space="0" w:color="auto"/>
              <w:right w:val="single" w:sz="4" w:space="0" w:color="auto"/>
            </w:tcBorders>
            <w:shd w:val="clear" w:color="auto" w:fill="auto"/>
            <w:noWrap/>
            <w:vAlign w:val="center"/>
          </w:tcPr>
          <w:p w:rsidR="00831EAD" w:rsidRPr="006D32B9" w:rsidRDefault="00831EAD" w:rsidP="000E19DC">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Predicted first trimester</w:t>
            </w:r>
          </w:p>
        </w:tc>
        <w:tc>
          <w:tcPr>
            <w:tcW w:w="1748" w:type="dxa"/>
            <w:tcBorders>
              <w:top w:val="nil"/>
              <w:left w:val="nil"/>
              <w:bottom w:val="single" w:sz="4" w:space="0" w:color="auto"/>
              <w:right w:val="single" w:sz="4" w:space="0" w:color="auto"/>
            </w:tcBorders>
            <w:shd w:val="clear" w:color="auto" w:fill="auto"/>
            <w:noWrap/>
            <w:vAlign w:val="center"/>
          </w:tcPr>
          <w:p w:rsidR="00831EAD" w:rsidRPr="006D32B9" w:rsidRDefault="00831EAD" w:rsidP="000E19DC">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22,665</w:t>
            </w:r>
          </w:p>
        </w:tc>
        <w:tc>
          <w:tcPr>
            <w:tcW w:w="1748" w:type="dxa"/>
            <w:tcBorders>
              <w:top w:val="nil"/>
              <w:left w:val="nil"/>
              <w:bottom w:val="single" w:sz="4" w:space="0" w:color="auto"/>
              <w:right w:val="single" w:sz="4" w:space="0" w:color="auto"/>
            </w:tcBorders>
            <w:shd w:val="clear" w:color="auto" w:fill="auto"/>
            <w:noWrap/>
            <w:vAlign w:val="center"/>
          </w:tcPr>
          <w:p w:rsidR="00831EAD" w:rsidRPr="006D32B9" w:rsidRDefault="00831EAD" w:rsidP="000E19DC">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26,670</w:t>
            </w:r>
          </w:p>
        </w:tc>
        <w:tc>
          <w:tcPr>
            <w:tcW w:w="1749" w:type="dxa"/>
            <w:tcBorders>
              <w:top w:val="nil"/>
              <w:left w:val="nil"/>
              <w:bottom w:val="single" w:sz="4" w:space="0" w:color="auto"/>
              <w:right w:val="single" w:sz="4" w:space="0" w:color="auto"/>
            </w:tcBorders>
            <w:shd w:val="clear" w:color="auto" w:fill="auto"/>
            <w:noWrap/>
            <w:vAlign w:val="center"/>
          </w:tcPr>
          <w:p w:rsidR="00831EAD" w:rsidRPr="006D32B9" w:rsidRDefault="00831EAD" w:rsidP="000E19DC">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30,673</w:t>
            </w:r>
          </w:p>
        </w:tc>
      </w:tr>
      <w:tr w:rsidR="005507BF" w:rsidRPr="006D32B9" w:rsidTr="000E19DC">
        <w:trPr>
          <w:trHeight w:val="300"/>
        </w:trPr>
        <w:tc>
          <w:tcPr>
            <w:tcW w:w="2992" w:type="dxa"/>
            <w:tcBorders>
              <w:top w:val="nil"/>
              <w:left w:val="single" w:sz="4" w:space="0" w:color="auto"/>
              <w:bottom w:val="single" w:sz="4" w:space="0" w:color="auto"/>
              <w:right w:val="single" w:sz="4" w:space="0" w:color="auto"/>
            </w:tcBorders>
            <w:shd w:val="clear" w:color="auto" w:fill="auto"/>
            <w:noWrap/>
            <w:vAlign w:val="center"/>
          </w:tcPr>
          <w:p w:rsidR="005507BF" w:rsidRPr="006D32B9" w:rsidRDefault="005507BF" w:rsidP="00443F9C">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Predicted </w:t>
            </w:r>
            <w:r w:rsidR="00443F9C">
              <w:rPr>
                <w:rFonts w:ascii="Calibri" w:eastAsia="Times New Roman" w:hAnsi="Calibri" w:cs="Times New Roman"/>
                <w:color w:val="000000"/>
                <w:sz w:val="20"/>
                <w:szCs w:val="20"/>
              </w:rPr>
              <w:t xml:space="preserve">estimate for </w:t>
            </w:r>
            <w:proofErr w:type="spellStart"/>
            <w:r w:rsidR="00443F9C">
              <w:rPr>
                <w:rFonts w:ascii="Calibri" w:eastAsia="Times New Roman" w:hAnsi="Calibri" w:cs="Times New Roman"/>
                <w:color w:val="000000"/>
                <w:sz w:val="20"/>
                <w:szCs w:val="20"/>
              </w:rPr>
              <w:t>comparison</w:t>
            </w:r>
            <w:r w:rsidR="00443F9C" w:rsidRPr="005507BF">
              <w:rPr>
                <w:rFonts w:ascii="Calibri" w:eastAsia="Times New Roman" w:hAnsi="Calibri" w:cs="Times New Roman"/>
                <w:color w:val="000000"/>
                <w:sz w:val="20"/>
                <w:szCs w:val="20"/>
                <w:vertAlign w:val="superscript"/>
              </w:rPr>
              <w:t>a</w:t>
            </w:r>
            <w:proofErr w:type="spellEnd"/>
          </w:p>
        </w:tc>
        <w:tc>
          <w:tcPr>
            <w:tcW w:w="1748" w:type="dxa"/>
            <w:tcBorders>
              <w:top w:val="nil"/>
              <w:left w:val="nil"/>
              <w:bottom w:val="single" w:sz="4" w:space="0" w:color="auto"/>
              <w:right w:val="single" w:sz="4" w:space="0" w:color="auto"/>
            </w:tcBorders>
            <w:shd w:val="clear" w:color="auto" w:fill="auto"/>
            <w:noWrap/>
            <w:vAlign w:val="center"/>
          </w:tcPr>
          <w:p w:rsidR="005507BF" w:rsidRPr="006D32B9" w:rsidRDefault="005507BF" w:rsidP="000E19DC">
            <w:pPr>
              <w:spacing w:after="0"/>
              <w:jc w:val="center"/>
              <w:rPr>
                <w:rFonts w:ascii="Calibri" w:eastAsia="Times New Roman" w:hAnsi="Calibri" w:cs="Times New Roman"/>
                <w:color w:val="000000"/>
                <w:sz w:val="20"/>
                <w:szCs w:val="20"/>
              </w:rPr>
            </w:pPr>
            <w:r>
              <w:rPr>
                <w:rFonts w:ascii="Calibri" w:hAnsi="Calibri"/>
                <w:color w:val="000000"/>
                <w:sz w:val="20"/>
                <w:szCs w:val="20"/>
              </w:rPr>
              <w:t>19,265</w:t>
            </w:r>
          </w:p>
        </w:tc>
        <w:tc>
          <w:tcPr>
            <w:tcW w:w="1748" w:type="dxa"/>
            <w:tcBorders>
              <w:top w:val="nil"/>
              <w:left w:val="nil"/>
              <w:bottom w:val="single" w:sz="4" w:space="0" w:color="auto"/>
              <w:right w:val="single" w:sz="4" w:space="0" w:color="auto"/>
            </w:tcBorders>
            <w:shd w:val="clear" w:color="auto" w:fill="auto"/>
            <w:noWrap/>
            <w:vAlign w:val="center"/>
          </w:tcPr>
          <w:p w:rsidR="005507BF" w:rsidRPr="006D32B9" w:rsidRDefault="005507BF" w:rsidP="000E19DC">
            <w:pPr>
              <w:spacing w:after="0"/>
              <w:jc w:val="center"/>
              <w:rPr>
                <w:rFonts w:ascii="Calibri" w:eastAsia="Times New Roman" w:hAnsi="Calibri" w:cs="Times New Roman"/>
                <w:color w:val="000000"/>
                <w:sz w:val="20"/>
                <w:szCs w:val="20"/>
              </w:rPr>
            </w:pPr>
            <w:r>
              <w:rPr>
                <w:rFonts w:ascii="Calibri" w:hAnsi="Calibri"/>
                <w:color w:val="000000"/>
                <w:sz w:val="20"/>
                <w:szCs w:val="20"/>
              </w:rPr>
              <w:t>24,336</w:t>
            </w:r>
          </w:p>
        </w:tc>
        <w:tc>
          <w:tcPr>
            <w:tcW w:w="1749" w:type="dxa"/>
            <w:tcBorders>
              <w:top w:val="nil"/>
              <w:left w:val="nil"/>
              <w:bottom w:val="single" w:sz="4" w:space="0" w:color="auto"/>
              <w:right w:val="single" w:sz="4" w:space="0" w:color="auto"/>
            </w:tcBorders>
            <w:shd w:val="clear" w:color="auto" w:fill="auto"/>
            <w:noWrap/>
            <w:vAlign w:val="center"/>
          </w:tcPr>
          <w:p w:rsidR="005507BF" w:rsidRPr="007D072E" w:rsidRDefault="005507BF" w:rsidP="000E19DC">
            <w:pPr>
              <w:spacing w:after="0"/>
              <w:jc w:val="center"/>
              <w:rPr>
                <w:rFonts w:ascii="Calibri" w:eastAsia="Times New Roman" w:hAnsi="Calibri" w:cs="Times New Roman"/>
                <w:color w:val="000000"/>
                <w:sz w:val="20"/>
                <w:szCs w:val="20"/>
              </w:rPr>
            </w:pPr>
            <w:r>
              <w:rPr>
                <w:rFonts w:ascii="Calibri" w:hAnsi="Calibri"/>
                <w:color w:val="000000"/>
                <w:sz w:val="20"/>
                <w:szCs w:val="20"/>
              </w:rPr>
              <w:t>30,673</w:t>
            </w:r>
          </w:p>
        </w:tc>
      </w:tr>
      <w:tr w:rsidR="00831EAD" w:rsidRPr="006D32B9" w:rsidTr="000E19DC">
        <w:trPr>
          <w:trHeight w:val="300"/>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31EAD" w:rsidRPr="006D32B9" w:rsidRDefault="00831EAD" w:rsidP="000E19DC">
            <w:pPr>
              <w:spacing w:after="0"/>
              <w:rPr>
                <w:rFonts w:ascii="Calibri" w:eastAsia="Times New Roman" w:hAnsi="Calibri" w:cs="Times New Roman"/>
                <w:color w:val="000000"/>
                <w:sz w:val="20"/>
                <w:szCs w:val="20"/>
              </w:rPr>
            </w:pPr>
            <w:r w:rsidRPr="006D32B9">
              <w:rPr>
                <w:rFonts w:ascii="Calibri" w:eastAsia="Times New Roman" w:hAnsi="Calibri" w:cs="Times New Roman"/>
                <w:color w:val="000000"/>
                <w:sz w:val="20"/>
                <w:szCs w:val="20"/>
              </w:rPr>
              <w:t>Actual</w:t>
            </w:r>
          </w:p>
        </w:tc>
        <w:tc>
          <w:tcPr>
            <w:tcW w:w="1748" w:type="dxa"/>
            <w:tcBorders>
              <w:top w:val="nil"/>
              <w:left w:val="nil"/>
              <w:bottom w:val="single" w:sz="4" w:space="0" w:color="auto"/>
              <w:right w:val="single" w:sz="4" w:space="0" w:color="auto"/>
            </w:tcBorders>
            <w:shd w:val="clear" w:color="auto" w:fill="auto"/>
            <w:noWrap/>
            <w:vAlign w:val="center"/>
            <w:hideMark/>
          </w:tcPr>
          <w:p w:rsidR="00831EAD" w:rsidRPr="006D32B9" w:rsidRDefault="00831EAD" w:rsidP="000E19DC">
            <w:pPr>
              <w:spacing w:after="0"/>
              <w:jc w:val="center"/>
              <w:rPr>
                <w:rFonts w:ascii="Calibri" w:eastAsia="Times New Roman" w:hAnsi="Calibri" w:cs="Times New Roman"/>
                <w:sz w:val="20"/>
                <w:szCs w:val="20"/>
              </w:rPr>
            </w:pPr>
            <w:r w:rsidRPr="006D32B9">
              <w:rPr>
                <w:rFonts w:ascii="Calibri" w:eastAsia="Times New Roman" w:hAnsi="Calibri" w:cs="Times New Roman"/>
                <w:color w:val="000000"/>
                <w:sz w:val="20"/>
                <w:szCs w:val="20"/>
              </w:rPr>
              <w:t>5,330</w:t>
            </w:r>
          </w:p>
        </w:tc>
        <w:tc>
          <w:tcPr>
            <w:tcW w:w="1748" w:type="dxa"/>
            <w:tcBorders>
              <w:top w:val="nil"/>
              <w:left w:val="nil"/>
              <w:bottom w:val="single" w:sz="4" w:space="0" w:color="auto"/>
              <w:right w:val="single" w:sz="4" w:space="0" w:color="auto"/>
            </w:tcBorders>
            <w:shd w:val="clear" w:color="auto" w:fill="auto"/>
            <w:noWrap/>
            <w:vAlign w:val="center"/>
          </w:tcPr>
          <w:p w:rsidR="00831EAD" w:rsidRPr="006D32B9" w:rsidRDefault="00831EAD" w:rsidP="000E19DC">
            <w:pPr>
              <w:spacing w:after="0"/>
              <w:jc w:val="center"/>
              <w:rPr>
                <w:rFonts w:ascii="Calibri" w:eastAsia="Times New Roman" w:hAnsi="Calibri" w:cs="Times New Roman"/>
                <w:sz w:val="20"/>
                <w:szCs w:val="20"/>
              </w:rPr>
            </w:pPr>
            <w:r w:rsidRPr="006D32B9">
              <w:rPr>
                <w:rFonts w:ascii="Calibri" w:eastAsia="Times New Roman" w:hAnsi="Calibri" w:cs="Times New Roman"/>
                <w:color w:val="000000"/>
                <w:sz w:val="20"/>
                <w:szCs w:val="20"/>
              </w:rPr>
              <w:t>8,921</w:t>
            </w:r>
          </w:p>
        </w:tc>
        <w:tc>
          <w:tcPr>
            <w:tcW w:w="1749" w:type="dxa"/>
            <w:tcBorders>
              <w:top w:val="nil"/>
              <w:left w:val="nil"/>
              <w:bottom w:val="single" w:sz="4" w:space="0" w:color="auto"/>
              <w:right w:val="single" w:sz="4" w:space="0" w:color="auto"/>
            </w:tcBorders>
            <w:shd w:val="clear" w:color="auto" w:fill="auto"/>
            <w:noWrap/>
            <w:vAlign w:val="center"/>
          </w:tcPr>
          <w:p w:rsidR="00831EAD" w:rsidRPr="006D32B9" w:rsidRDefault="007D072E" w:rsidP="000E19DC">
            <w:pPr>
              <w:spacing w:after="0"/>
              <w:jc w:val="center"/>
              <w:rPr>
                <w:rFonts w:ascii="Calibri" w:eastAsia="Times New Roman" w:hAnsi="Calibri" w:cs="Times New Roman"/>
                <w:sz w:val="20"/>
                <w:szCs w:val="20"/>
              </w:rPr>
            </w:pPr>
            <w:r w:rsidRPr="007D072E">
              <w:rPr>
                <w:rFonts w:ascii="Calibri" w:eastAsia="Times New Roman" w:hAnsi="Calibri" w:cs="Times New Roman"/>
                <w:color w:val="000000"/>
                <w:sz w:val="20"/>
                <w:szCs w:val="20"/>
              </w:rPr>
              <w:t>12,854</w:t>
            </w:r>
          </w:p>
        </w:tc>
      </w:tr>
      <w:tr w:rsidR="00647D50" w:rsidRPr="006D32B9" w:rsidTr="000E19DC">
        <w:trPr>
          <w:trHeight w:val="300"/>
        </w:trPr>
        <w:tc>
          <w:tcPr>
            <w:tcW w:w="2992" w:type="dxa"/>
            <w:tcBorders>
              <w:top w:val="nil"/>
              <w:left w:val="single" w:sz="4" w:space="0" w:color="auto"/>
              <w:bottom w:val="single" w:sz="4" w:space="0" w:color="auto"/>
              <w:right w:val="single" w:sz="4" w:space="0" w:color="auto"/>
            </w:tcBorders>
            <w:shd w:val="clear" w:color="auto" w:fill="auto"/>
            <w:noWrap/>
            <w:vAlign w:val="center"/>
          </w:tcPr>
          <w:p w:rsidR="00647D50" w:rsidRPr="006D32B9" w:rsidRDefault="00647D50" w:rsidP="00443F9C">
            <w:pPr>
              <w:spacing w:after="0"/>
              <w:rPr>
                <w:rFonts w:ascii="Calibri" w:eastAsia="Times New Roman" w:hAnsi="Calibri" w:cs="Times New Roman"/>
                <w:color w:val="000000"/>
                <w:sz w:val="20"/>
                <w:szCs w:val="20"/>
              </w:rPr>
            </w:pPr>
            <w:r w:rsidRPr="006D32B9">
              <w:rPr>
                <w:rFonts w:ascii="Calibri" w:eastAsia="Times New Roman" w:hAnsi="Calibri" w:cs="Times New Roman"/>
                <w:color w:val="000000"/>
                <w:sz w:val="20"/>
                <w:szCs w:val="20"/>
              </w:rPr>
              <w:t>Difference</w:t>
            </w:r>
          </w:p>
        </w:tc>
        <w:tc>
          <w:tcPr>
            <w:tcW w:w="1748" w:type="dxa"/>
            <w:tcBorders>
              <w:top w:val="nil"/>
              <w:left w:val="nil"/>
              <w:bottom w:val="single" w:sz="4" w:space="0" w:color="auto"/>
              <w:right w:val="single" w:sz="4" w:space="0" w:color="auto"/>
            </w:tcBorders>
            <w:shd w:val="clear" w:color="auto" w:fill="auto"/>
            <w:noWrap/>
            <w:vAlign w:val="center"/>
          </w:tcPr>
          <w:p w:rsidR="00647D50" w:rsidRPr="006D32B9" w:rsidRDefault="005507BF" w:rsidP="000E19DC">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00647D50">
              <w:rPr>
                <w:rFonts w:ascii="Calibri" w:hAnsi="Calibri"/>
                <w:color w:val="000000"/>
                <w:sz w:val="20"/>
                <w:szCs w:val="20"/>
              </w:rPr>
              <w:t>13,935</w:t>
            </w:r>
          </w:p>
        </w:tc>
        <w:tc>
          <w:tcPr>
            <w:tcW w:w="1748" w:type="dxa"/>
            <w:tcBorders>
              <w:top w:val="nil"/>
              <w:left w:val="nil"/>
              <w:bottom w:val="single" w:sz="4" w:space="0" w:color="auto"/>
              <w:right w:val="single" w:sz="4" w:space="0" w:color="auto"/>
            </w:tcBorders>
            <w:shd w:val="clear" w:color="auto" w:fill="auto"/>
            <w:noWrap/>
            <w:vAlign w:val="center"/>
          </w:tcPr>
          <w:p w:rsidR="00647D50" w:rsidRPr="00CA4868" w:rsidRDefault="005507BF" w:rsidP="000E19DC">
            <w:pPr>
              <w:spacing w:after="0"/>
              <w:jc w:val="center"/>
              <w:rPr>
                <w:rFonts w:ascii="Calibri" w:eastAsia="Times New Roman" w:hAnsi="Calibri" w:cs="Times New Roman"/>
                <w:color w:val="000000"/>
                <w:sz w:val="20"/>
                <w:szCs w:val="20"/>
                <w:vertAlign w:val="superscript"/>
              </w:rPr>
            </w:pPr>
            <w:r>
              <w:rPr>
                <w:rFonts w:ascii="Calibri" w:eastAsia="Times New Roman" w:hAnsi="Calibri" w:cs="Times New Roman"/>
                <w:color w:val="000000"/>
                <w:sz w:val="20"/>
                <w:szCs w:val="20"/>
              </w:rPr>
              <w:t xml:space="preserve">− </w:t>
            </w:r>
            <w:r w:rsidRPr="005507BF">
              <w:rPr>
                <w:rFonts w:ascii="Calibri" w:hAnsi="Calibri"/>
                <w:color w:val="000000"/>
                <w:sz w:val="20"/>
                <w:szCs w:val="20"/>
              </w:rPr>
              <w:t>15,415</w:t>
            </w:r>
          </w:p>
        </w:tc>
        <w:tc>
          <w:tcPr>
            <w:tcW w:w="1749" w:type="dxa"/>
            <w:tcBorders>
              <w:top w:val="nil"/>
              <w:left w:val="nil"/>
              <w:bottom w:val="single" w:sz="4" w:space="0" w:color="auto"/>
              <w:right w:val="single" w:sz="4" w:space="0" w:color="auto"/>
            </w:tcBorders>
            <w:shd w:val="clear" w:color="auto" w:fill="auto"/>
            <w:noWrap/>
            <w:vAlign w:val="center"/>
          </w:tcPr>
          <w:p w:rsidR="00647D50" w:rsidRDefault="005507BF" w:rsidP="000E19DC">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r w:rsidRPr="005507BF">
              <w:rPr>
                <w:rFonts w:ascii="Calibri" w:hAnsi="Calibri"/>
                <w:color w:val="000000"/>
                <w:sz w:val="20"/>
                <w:szCs w:val="20"/>
              </w:rPr>
              <w:t>17,819</w:t>
            </w:r>
          </w:p>
        </w:tc>
      </w:tr>
      <w:tr w:rsidR="00831EAD" w:rsidRPr="006D32B9" w:rsidTr="000E19DC">
        <w:trPr>
          <w:trHeight w:val="300"/>
        </w:trPr>
        <w:tc>
          <w:tcPr>
            <w:tcW w:w="823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1EAD" w:rsidRPr="006D32B9" w:rsidRDefault="00831EAD" w:rsidP="00831EAD">
            <w:pPr>
              <w:spacing w:after="0"/>
              <w:jc w:val="center"/>
              <w:rPr>
                <w:rFonts w:ascii="Calibri" w:eastAsia="Times New Roman" w:hAnsi="Calibri" w:cs="Times New Roman"/>
                <w:b/>
                <w:bCs/>
                <w:color w:val="000000"/>
                <w:sz w:val="20"/>
                <w:szCs w:val="20"/>
              </w:rPr>
            </w:pPr>
            <w:r w:rsidRPr="006D32B9">
              <w:rPr>
                <w:rFonts w:ascii="Calibri" w:eastAsia="Times New Roman" w:hAnsi="Calibri" w:cs="Times New Roman"/>
                <w:b/>
                <w:bCs/>
                <w:color w:val="000000"/>
                <w:sz w:val="20"/>
                <w:szCs w:val="20"/>
              </w:rPr>
              <w:t xml:space="preserve">Number of </w:t>
            </w:r>
            <w:r>
              <w:rPr>
                <w:rFonts w:ascii="Calibri" w:eastAsia="Times New Roman" w:hAnsi="Calibri" w:cs="Times New Roman"/>
                <w:b/>
                <w:bCs/>
                <w:color w:val="000000"/>
                <w:sz w:val="20"/>
                <w:szCs w:val="20"/>
              </w:rPr>
              <w:t>S</w:t>
            </w:r>
            <w:r w:rsidRPr="006D32B9">
              <w:rPr>
                <w:rFonts w:ascii="Calibri" w:eastAsia="Times New Roman" w:hAnsi="Calibri" w:cs="Times New Roman"/>
                <w:b/>
                <w:bCs/>
                <w:color w:val="000000"/>
                <w:sz w:val="20"/>
                <w:szCs w:val="20"/>
              </w:rPr>
              <w:t>TOPs</w:t>
            </w:r>
          </w:p>
        </w:tc>
      </w:tr>
      <w:tr w:rsidR="00831EAD" w:rsidRPr="006D32B9" w:rsidTr="000E19DC">
        <w:trPr>
          <w:trHeight w:val="300"/>
        </w:trPr>
        <w:tc>
          <w:tcPr>
            <w:tcW w:w="2992" w:type="dxa"/>
            <w:tcBorders>
              <w:top w:val="nil"/>
              <w:left w:val="single" w:sz="4" w:space="0" w:color="auto"/>
              <w:bottom w:val="single" w:sz="4" w:space="0" w:color="auto"/>
              <w:right w:val="single" w:sz="4" w:space="0" w:color="auto"/>
            </w:tcBorders>
            <w:shd w:val="clear" w:color="auto" w:fill="auto"/>
            <w:noWrap/>
            <w:vAlign w:val="center"/>
          </w:tcPr>
          <w:p w:rsidR="007149B6" w:rsidRPr="006D32B9" w:rsidRDefault="00894590" w:rsidP="007149B6">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Predicted</w:t>
            </w:r>
            <w:r w:rsidR="00831EAD">
              <w:rPr>
                <w:rFonts w:ascii="Calibri" w:eastAsia="Times New Roman" w:hAnsi="Calibri" w:cs="Times New Roman"/>
                <w:color w:val="000000"/>
                <w:sz w:val="20"/>
                <w:szCs w:val="20"/>
              </w:rPr>
              <w:t xml:space="preserve"> total STOPs</w:t>
            </w:r>
          </w:p>
        </w:tc>
        <w:tc>
          <w:tcPr>
            <w:tcW w:w="1748" w:type="dxa"/>
            <w:tcBorders>
              <w:top w:val="nil"/>
              <w:left w:val="nil"/>
              <w:bottom w:val="single" w:sz="4" w:space="0" w:color="auto"/>
              <w:right w:val="single" w:sz="4" w:space="0" w:color="auto"/>
            </w:tcBorders>
            <w:shd w:val="clear" w:color="auto" w:fill="auto"/>
            <w:noWrap/>
            <w:vAlign w:val="center"/>
          </w:tcPr>
          <w:p w:rsidR="007149B6" w:rsidRPr="006D32B9" w:rsidRDefault="00894590" w:rsidP="007149B6">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58,760</w:t>
            </w:r>
          </w:p>
        </w:tc>
        <w:tc>
          <w:tcPr>
            <w:tcW w:w="1748" w:type="dxa"/>
            <w:tcBorders>
              <w:top w:val="nil"/>
              <w:left w:val="nil"/>
              <w:bottom w:val="single" w:sz="4" w:space="0" w:color="auto"/>
              <w:right w:val="single" w:sz="4" w:space="0" w:color="auto"/>
            </w:tcBorders>
            <w:shd w:val="clear" w:color="auto" w:fill="auto"/>
            <w:noWrap/>
            <w:vAlign w:val="center"/>
          </w:tcPr>
          <w:p w:rsidR="00831EAD" w:rsidRDefault="00894590" w:rsidP="000E19DC">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55,033</w:t>
            </w:r>
          </w:p>
        </w:tc>
        <w:tc>
          <w:tcPr>
            <w:tcW w:w="1749" w:type="dxa"/>
            <w:tcBorders>
              <w:top w:val="nil"/>
              <w:left w:val="nil"/>
              <w:bottom w:val="single" w:sz="4" w:space="0" w:color="auto"/>
              <w:right w:val="single" w:sz="4" w:space="0" w:color="auto"/>
            </w:tcBorders>
            <w:shd w:val="clear" w:color="auto" w:fill="auto"/>
            <w:noWrap/>
            <w:vAlign w:val="center"/>
          </w:tcPr>
          <w:p w:rsidR="00831EAD" w:rsidRDefault="00894590" w:rsidP="000E19DC">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51,121</w:t>
            </w:r>
          </w:p>
        </w:tc>
      </w:tr>
      <w:tr w:rsidR="00894590" w:rsidRPr="006D32B9" w:rsidTr="000E19DC">
        <w:trPr>
          <w:trHeight w:val="300"/>
        </w:trPr>
        <w:tc>
          <w:tcPr>
            <w:tcW w:w="2992" w:type="dxa"/>
            <w:tcBorders>
              <w:top w:val="nil"/>
              <w:left w:val="single" w:sz="4" w:space="0" w:color="auto"/>
              <w:bottom w:val="single" w:sz="4" w:space="0" w:color="auto"/>
              <w:right w:val="single" w:sz="4" w:space="0" w:color="auto"/>
            </w:tcBorders>
            <w:shd w:val="clear" w:color="auto" w:fill="auto"/>
            <w:noWrap/>
            <w:vAlign w:val="center"/>
          </w:tcPr>
          <w:p w:rsidR="00894590" w:rsidRPr="006D32B9" w:rsidRDefault="00894590" w:rsidP="000E19DC">
            <w:pPr>
              <w:spacing w:after="0"/>
              <w:rPr>
                <w:rFonts w:ascii="Calibri" w:eastAsia="Times New Roman" w:hAnsi="Calibri" w:cs="Times New Roman"/>
                <w:color w:val="000000"/>
                <w:sz w:val="20"/>
                <w:szCs w:val="20"/>
              </w:rPr>
            </w:pPr>
            <w:r>
              <w:rPr>
                <w:rFonts w:ascii="Calibri" w:eastAsia="Times New Roman" w:hAnsi="Calibri" w:cs="Times New Roman"/>
                <w:color w:val="000000"/>
                <w:sz w:val="20"/>
                <w:szCs w:val="20"/>
              </w:rPr>
              <w:t>Actual STOPs</w:t>
            </w:r>
          </w:p>
        </w:tc>
        <w:tc>
          <w:tcPr>
            <w:tcW w:w="1748" w:type="dxa"/>
            <w:tcBorders>
              <w:top w:val="nil"/>
              <w:left w:val="nil"/>
              <w:bottom w:val="single" w:sz="4" w:space="0" w:color="auto"/>
              <w:right w:val="single" w:sz="4" w:space="0" w:color="auto"/>
            </w:tcBorders>
            <w:shd w:val="clear" w:color="auto" w:fill="auto"/>
            <w:noWrap/>
            <w:vAlign w:val="center"/>
          </w:tcPr>
          <w:p w:rsidR="00894590" w:rsidRPr="006D32B9" w:rsidRDefault="00E10969" w:rsidP="00E10969">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69,552</w:t>
            </w:r>
          </w:p>
        </w:tc>
        <w:tc>
          <w:tcPr>
            <w:tcW w:w="1748" w:type="dxa"/>
            <w:tcBorders>
              <w:top w:val="nil"/>
              <w:left w:val="nil"/>
              <w:bottom w:val="single" w:sz="4" w:space="0" w:color="auto"/>
              <w:right w:val="single" w:sz="4" w:space="0" w:color="auto"/>
            </w:tcBorders>
            <w:shd w:val="clear" w:color="auto" w:fill="auto"/>
            <w:noWrap/>
            <w:vAlign w:val="center"/>
          </w:tcPr>
          <w:p w:rsidR="00894590" w:rsidRDefault="007149B6" w:rsidP="000E19DC">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N/A</w:t>
            </w:r>
          </w:p>
        </w:tc>
        <w:tc>
          <w:tcPr>
            <w:tcW w:w="1749" w:type="dxa"/>
            <w:tcBorders>
              <w:top w:val="nil"/>
              <w:left w:val="nil"/>
              <w:bottom w:val="single" w:sz="4" w:space="0" w:color="auto"/>
              <w:right w:val="single" w:sz="4" w:space="0" w:color="auto"/>
            </w:tcBorders>
            <w:shd w:val="clear" w:color="auto" w:fill="auto"/>
            <w:noWrap/>
            <w:vAlign w:val="center"/>
          </w:tcPr>
          <w:p w:rsidR="00894590" w:rsidRDefault="007149B6" w:rsidP="000E19DC">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N/A</w:t>
            </w:r>
          </w:p>
        </w:tc>
      </w:tr>
      <w:tr w:rsidR="00894590" w:rsidRPr="006D32B9" w:rsidTr="00C25FCE">
        <w:trPr>
          <w:trHeight w:val="300"/>
        </w:trPr>
        <w:tc>
          <w:tcPr>
            <w:tcW w:w="2992" w:type="dxa"/>
            <w:tcBorders>
              <w:top w:val="nil"/>
              <w:left w:val="single" w:sz="4" w:space="0" w:color="auto"/>
              <w:bottom w:val="single" w:sz="4" w:space="0" w:color="auto"/>
              <w:right w:val="single" w:sz="4" w:space="0" w:color="auto"/>
            </w:tcBorders>
            <w:shd w:val="clear" w:color="auto" w:fill="auto"/>
            <w:noWrap/>
            <w:vAlign w:val="center"/>
          </w:tcPr>
          <w:p w:rsidR="00894590" w:rsidRPr="006D32B9" w:rsidRDefault="00894590" w:rsidP="002A4064">
            <w:pPr>
              <w:spacing w:after="0"/>
              <w:ind w:left="191"/>
              <w:rPr>
                <w:rFonts w:ascii="Calibri" w:eastAsia="Times New Roman" w:hAnsi="Calibri" w:cs="Times New Roman"/>
                <w:color w:val="000000"/>
                <w:sz w:val="20"/>
                <w:szCs w:val="20"/>
              </w:rPr>
            </w:pPr>
            <w:r>
              <w:rPr>
                <w:rFonts w:ascii="Calibri" w:eastAsia="Times New Roman" w:hAnsi="Calibri" w:cs="Times New Roman"/>
                <w:color w:val="000000"/>
                <w:sz w:val="20"/>
                <w:szCs w:val="20"/>
              </w:rPr>
              <w:t>Private STOPs</w:t>
            </w:r>
          </w:p>
        </w:tc>
        <w:tc>
          <w:tcPr>
            <w:tcW w:w="1748" w:type="dxa"/>
            <w:tcBorders>
              <w:top w:val="nil"/>
              <w:left w:val="nil"/>
              <w:bottom w:val="single" w:sz="4" w:space="0" w:color="auto"/>
              <w:right w:val="single" w:sz="4" w:space="0" w:color="auto"/>
            </w:tcBorders>
            <w:shd w:val="clear" w:color="auto" w:fill="auto"/>
            <w:noWrap/>
            <w:vAlign w:val="center"/>
          </w:tcPr>
          <w:p w:rsidR="00894590" w:rsidRPr="006D32B9" w:rsidRDefault="00894590" w:rsidP="00C25FCE">
            <w:pPr>
              <w:spacing w:after="0"/>
              <w:jc w:val="center"/>
              <w:rPr>
                <w:rFonts w:ascii="Calibri" w:eastAsia="Times New Roman" w:hAnsi="Calibri" w:cs="Times New Roman"/>
                <w:color w:val="000000"/>
                <w:sz w:val="20"/>
                <w:szCs w:val="20"/>
              </w:rPr>
            </w:pPr>
            <w:r w:rsidRPr="00894590">
              <w:rPr>
                <w:rFonts w:ascii="Calibri" w:eastAsia="Times New Roman" w:hAnsi="Calibri" w:cs="Times New Roman"/>
                <w:color w:val="000000"/>
                <w:sz w:val="20"/>
                <w:szCs w:val="20"/>
              </w:rPr>
              <w:t>44,252</w:t>
            </w:r>
          </w:p>
        </w:tc>
        <w:tc>
          <w:tcPr>
            <w:tcW w:w="1748" w:type="dxa"/>
            <w:tcBorders>
              <w:top w:val="nil"/>
              <w:left w:val="nil"/>
              <w:bottom w:val="single" w:sz="4" w:space="0" w:color="auto"/>
              <w:right w:val="single" w:sz="4" w:space="0" w:color="auto"/>
            </w:tcBorders>
            <w:shd w:val="clear" w:color="auto" w:fill="auto"/>
            <w:noWrap/>
            <w:vAlign w:val="center"/>
          </w:tcPr>
          <w:p w:rsidR="00894590" w:rsidRDefault="00894590" w:rsidP="00C25FCE">
            <w:pPr>
              <w:spacing w:after="0"/>
              <w:jc w:val="center"/>
              <w:rPr>
                <w:rFonts w:ascii="Calibri" w:eastAsia="Times New Roman" w:hAnsi="Calibri" w:cs="Times New Roman"/>
                <w:color w:val="000000"/>
                <w:sz w:val="20"/>
                <w:szCs w:val="20"/>
              </w:rPr>
            </w:pPr>
            <w:r w:rsidRPr="00894590">
              <w:rPr>
                <w:rFonts w:ascii="Calibri" w:eastAsia="Times New Roman" w:hAnsi="Calibri" w:cs="Times New Roman"/>
                <w:color w:val="000000"/>
                <w:sz w:val="20"/>
                <w:szCs w:val="20"/>
              </w:rPr>
              <w:t>41,382</w:t>
            </w:r>
          </w:p>
        </w:tc>
        <w:tc>
          <w:tcPr>
            <w:tcW w:w="1749" w:type="dxa"/>
            <w:tcBorders>
              <w:top w:val="nil"/>
              <w:left w:val="nil"/>
              <w:bottom w:val="single" w:sz="4" w:space="0" w:color="auto"/>
              <w:right w:val="single" w:sz="4" w:space="0" w:color="auto"/>
            </w:tcBorders>
            <w:shd w:val="clear" w:color="auto" w:fill="auto"/>
            <w:noWrap/>
            <w:vAlign w:val="center"/>
          </w:tcPr>
          <w:p w:rsidR="00894590" w:rsidRDefault="00647D50" w:rsidP="00C25FCE">
            <w:pPr>
              <w:spacing w:after="0"/>
              <w:jc w:val="center"/>
              <w:rPr>
                <w:rFonts w:ascii="Calibri" w:eastAsia="Times New Roman" w:hAnsi="Calibri" w:cs="Times New Roman"/>
                <w:color w:val="000000"/>
                <w:sz w:val="20"/>
                <w:szCs w:val="20"/>
              </w:rPr>
            </w:pPr>
            <w:r w:rsidRPr="00C25FCE">
              <w:rPr>
                <w:rFonts w:ascii="Calibri" w:eastAsia="Times New Roman" w:hAnsi="Calibri" w:cs="Times New Roman"/>
                <w:color w:val="000000"/>
                <w:sz w:val="20"/>
                <w:szCs w:val="20"/>
              </w:rPr>
              <w:t>38,722</w:t>
            </w:r>
          </w:p>
        </w:tc>
      </w:tr>
      <w:tr w:rsidR="00894590" w:rsidRPr="006D32B9" w:rsidTr="000E19DC">
        <w:trPr>
          <w:trHeight w:val="300"/>
        </w:trPr>
        <w:tc>
          <w:tcPr>
            <w:tcW w:w="2992" w:type="dxa"/>
            <w:tcBorders>
              <w:top w:val="nil"/>
              <w:left w:val="single" w:sz="4" w:space="0" w:color="auto"/>
              <w:bottom w:val="single" w:sz="4" w:space="0" w:color="auto"/>
              <w:right w:val="single" w:sz="4" w:space="0" w:color="auto"/>
            </w:tcBorders>
            <w:shd w:val="clear" w:color="auto" w:fill="auto"/>
            <w:noWrap/>
            <w:vAlign w:val="center"/>
          </w:tcPr>
          <w:p w:rsidR="00894590" w:rsidRPr="006D32B9" w:rsidRDefault="00894590" w:rsidP="002A4064">
            <w:pPr>
              <w:spacing w:after="0"/>
              <w:ind w:left="191"/>
              <w:rPr>
                <w:rFonts w:ascii="Calibri" w:eastAsia="Times New Roman" w:hAnsi="Calibri" w:cs="Times New Roman"/>
                <w:color w:val="000000"/>
                <w:sz w:val="20"/>
                <w:szCs w:val="20"/>
              </w:rPr>
            </w:pPr>
            <w:r>
              <w:rPr>
                <w:rFonts w:ascii="Calibri" w:eastAsia="Times New Roman" w:hAnsi="Calibri" w:cs="Times New Roman"/>
                <w:color w:val="000000"/>
                <w:sz w:val="20"/>
                <w:szCs w:val="20"/>
              </w:rPr>
              <w:t>Public STOPs</w:t>
            </w:r>
          </w:p>
        </w:tc>
        <w:tc>
          <w:tcPr>
            <w:tcW w:w="1748" w:type="dxa"/>
            <w:tcBorders>
              <w:top w:val="nil"/>
              <w:left w:val="nil"/>
              <w:bottom w:val="single" w:sz="4" w:space="0" w:color="auto"/>
              <w:right w:val="single" w:sz="4" w:space="0" w:color="auto"/>
            </w:tcBorders>
            <w:shd w:val="clear" w:color="auto" w:fill="auto"/>
            <w:noWrap/>
            <w:vAlign w:val="center"/>
          </w:tcPr>
          <w:p w:rsidR="00894590" w:rsidRPr="006D32B9" w:rsidRDefault="00E10969" w:rsidP="000E19DC">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25,300</w:t>
            </w:r>
          </w:p>
        </w:tc>
        <w:tc>
          <w:tcPr>
            <w:tcW w:w="1748" w:type="dxa"/>
            <w:tcBorders>
              <w:top w:val="nil"/>
              <w:left w:val="nil"/>
              <w:bottom w:val="single" w:sz="4" w:space="0" w:color="auto"/>
              <w:right w:val="single" w:sz="4" w:space="0" w:color="auto"/>
            </w:tcBorders>
            <w:shd w:val="clear" w:color="auto" w:fill="auto"/>
            <w:noWrap/>
            <w:vAlign w:val="center"/>
          </w:tcPr>
          <w:p w:rsidR="00894590" w:rsidRDefault="00E10969" w:rsidP="000E19DC">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N/A</w:t>
            </w:r>
          </w:p>
        </w:tc>
        <w:tc>
          <w:tcPr>
            <w:tcW w:w="1749" w:type="dxa"/>
            <w:tcBorders>
              <w:top w:val="nil"/>
              <w:left w:val="nil"/>
              <w:bottom w:val="single" w:sz="4" w:space="0" w:color="auto"/>
              <w:right w:val="single" w:sz="4" w:space="0" w:color="auto"/>
            </w:tcBorders>
            <w:shd w:val="clear" w:color="auto" w:fill="auto"/>
            <w:noWrap/>
            <w:vAlign w:val="center"/>
          </w:tcPr>
          <w:p w:rsidR="00894590" w:rsidRDefault="00E10969" w:rsidP="000E19DC">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N/A</w:t>
            </w:r>
          </w:p>
        </w:tc>
      </w:tr>
      <w:tr w:rsidR="00831EAD" w:rsidRPr="006D32B9" w:rsidTr="000E19DC">
        <w:trPr>
          <w:trHeight w:val="300"/>
        </w:trPr>
        <w:tc>
          <w:tcPr>
            <w:tcW w:w="2992" w:type="dxa"/>
            <w:tcBorders>
              <w:top w:val="nil"/>
              <w:left w:val="single" w:sz="4" w:space="0" w:color="auto"/>
              <w:bottom w:val="single" w:sz="4" w:space="0" w:color="auto"/>
              <w:right w:val="single" w:sz="4" w:space="0" w:color="auto"/>
            </w:tcBorders>
            <w:shd w:val="clear" w:color="auto" w:fill="auto"/>
            <w:noWrap/>
            <w:vAlign w:val="center"/>
            <w:hideMark/>
          </w:tcPr>
          <w:p w:rsidR="00831EAD" w:rsidRPr="006D32B9" w:rsidRDefault="00831EAD" w:rsidP="000E19DC">
            <w:pPr>
              <w:spacing w:after="0"/>
              <w:rPr>
                <w:rFonts w:ascii="Calibri" w:eastAsia="Times New Roman" w:hAnsi="Calibri" w:cs="Times New Roman"/>
                <w:color w:val="000000"/>
                <w:sz w:val="20"/>
                <w:szCs w:val="20"/>
              </w:rPr>
            </w:pPr>
            <w:r w:rsidRPr="006D32B9">
              <w:rPr>
                <w:rFonts w:ascii="Calibri" w:eastAsia="Times New Roman" w:hAnsi="Calibri" w:cs="Times New Roman"/>
                <w:color w:val="000000"/>
                <w:sz w:val="20"/>
                <w:szCs w:val="20"/>
              </w:rPr>
              <w:t>Difference</w:t>
            </w:r>
          </w:p>
        </w:tc>
        <w:tc>
          <w:tcPr>
            <w:tcW w:w="1748" w:type="dxa"/>
            <w:tcBorders>
              <w:top w:val="nil"/>
              <w:left w:val="nil"/>
              <w:bottom w:val="single" w:sz="4" w:space="0" w:color="auto"/>
              <w:right w:val="single" w:sz="4" w:space="0" w:color="auto"/>
            </w:tcBorders>
            <w:shd w:val="clear" w:color="auto" w:fill="auto"/>
            <w:noWrap/>
            <w:vAlign w:val="center"/>
            <w:hideMark/>
          </w:tcPr>
          <w:p w:rsidR="00831EAD" w:rsidRPr="006D32B9" w:rsidRDefault="00647D50" w:rsidP="00C25FCE">
            <w:pPr>
              <w:spacing w:after="0"/>
              <w:jc w:val="center"/>
              <w:rPr>
                <w:rFonts w:ascii="Calibri" w:eastAsia="Times New Roman" w:hAnsi="Calibri" w:cs="Times New Roman"/>
                <w:color w:val="000000"/>
                <w:sz w:val="20"/>
                <w:szCs w:val="20"/>
              </w:rPr>
            </w:pPr>
            <w:r w:rsidRPr="00C25FCE">
              <w:rPr>
                <w:rFonts w:ascii="Calibri" w:eastAsia="Times New Roman" w:hAnsi="Calibri" w:cs="Times New Roman"/>
                <w:color w:val="000000"/>
                <w:sz w:val="20"/>
                <w:szCs w:val="20"/>
              </w:rPr>
              <w:t xml:space="preserve">10,792 </w:t>
            </w:r>
          </w:p>
        </w:tc>
        <w:tc>
          <w:tcPr>
            <w:tcW w:w="1748" w:type="dxa"/>
            <w:tcBorders>
              <w:top w:val="nil"/>
              <w:left w:val="nil"/>
              <w:bottom w:val="single" w:sz="4" w:space="0" w:color="auto"/>
              <w:right w:val="single" w:sz="4" w:space="0" w:color="auto"/>
            </w:tcBorders>
            <w:shd w:val="clear" w:color="auto" w:fill="auto"/>
            <w:noWrap/>
            <w:vAlign w:val="center"/>
          </w:tcPr>
          <w:p w:rsidR="00831EAD" w:rsidRPr="006D32B9" w:rsidRDefault="00831EAD" w:rsidP="000E19DC">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N/A</w:t>
            </w:r>
          </w:p>
        </w:tc>
        <w:tc>
          <w:tcPr>
            <w:tcW w:w="1749" w:type="dxa"/>
            <w:tcBorders>
              <w:top w:val="nil"/>
              <w:left w:val="nil"/>
              <w:bottom w:val="single" w:sz="4" w:space="0" w:color="auto"/>
              <w:right w:val="single" w:sz="4" w:space="0" w:color="auto"/>
            </w:tcBorders>
            <w:shd w:val="clear" w:color="auto" w:fill="auto"/>
            <w:noWrap/>
            <w:vAlign w:val="center"/>
          </w:tcPr>
          <w:p w:rsidR="00831EAD" w:rsidRPr="006D32B9" w:rsidRDefault="00831EAD" w:rsidP="000E19DC">
            <w:pPr>
              <w:spacing w:after="0"/>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N/A</w:t>
            </w:r>
          </w:p>
        </w:tc>
      </w:tr>
    </w:tbl>
    <w:p w:rsidR="00FB333F" w:rsidRDefault="00F75A88" w:rsidP="00FB333F">
      <w:pPr>
        <w:pStyle w:val="Notes"/>
        <w:spacing w:after="0"/>
      </w:pPr>
      <w:r>
        <w:t>Source: predicted use for financial years from submission to March 2013 PBAC</w:t>
      </w:r>
      <w:r w:rsidR="00FB333F">
        <w:t xml:space="preserve">. </w:t>
      </w:r>
    </w:p>
    <w:p w:rsidR="00CA4868" w:rsidRDefault="00CA4868" w:rsidP="00CA4868">
      <w:pPr>
        <w:pStyle w:val="Notes"/>
        <w:spacing w:after="0"/>
      </w:pPr>
      <w:proofErr w:type="gramStart"/>
      <w:r w:rsidRPr="00CA4868">
        <w:rPr>
          <w:vertAlign w:val="superscript"/>
        </w:rPr>
        <w:t>a</w:t>
      </w:r>
      <w:r w:rsidR="00FB333F">
        <w:t>1</w:t>
      </w:r>
      <w:proofErr w:type="gramEnd"/>
      <w:r w:rsidR="00FB333F">
        <w:t xml:space="preserve"> August 2013</w:t>
      </w:r>
      <w:r>
        <w:t xml:space="preserve"> to 31 January 2015 </w:t>
      </w:r>
      <w:r w:rsidR="00FB333F">
        <w:t>the listing was for up to 49 days</w:t>
      </w:r>
      <w:r w:rsidR="0065121D">
        <w:t>’</w:t>
      </w:r>
      <w:r w:rsidR="00454069">
        <w:t xml:space="preserve"> gestation</w:t>
      </w:r>
      <w:r>
        <w:t xml:space="preserve">. From </w:t>
      </w:r>
      <w:r w:rsidR="00FB333F">
        <w:t xml:space="preserve">1 February 2015 </w:t>
      </w:r>
      <w:r w:rsidRPr="00CA4868">
        <w:t xml:space="preserve">the listing was for up to </w:t>
      </w:r>
      <w:r>
        <w:t>63</w:t>
      </w:r>
      <w:r w:rsidRPr="00CA4868">
        <w:t xml:space="preserve"> days</w:t>
      </w:r>
      <w:r w:rsidR="0065121D">
        <w:t>’</w:t>
      </w:r>
      <w:r w:rsidRPr="00CA4868">
        <w:t xml:space="preserve"> gestation </w:t>
      </w:r>
    </w:p>
    <w:p w:rsidR="00E96409" w:rsidRDefault="00E96409" w:rsidP="00CA4868">
      <w:pPr>
        <w:pStyle w:val="Notes"/>
        <w:spacing w:after="0"/>
      </w:pPr>
      <w:r>
        <w:t xml:space="preserve">N/A = </w:t>
      </w:r>
      <w:r w:rsidR="008B1506">
        <w:t xml:space="preserve">data on </w:t>
      </w:r>
      <w:r>
        <w:t>public sector STOP</w:t>
      </w:r>
      <w:r w:rsidR="0065121D">
        <w:t>s</w:t>
      </w:r>
      <w:r w:rsidR="00545D23">
        <w:t xml:space="preserve"> and therefore total STOPs</w:t>
      </w:r>
      <w:r>
        <w:t xml:space="preserve"> not </w:t>
      </w:r>
      <w:r w:rsidR="008B1506">
        <w:t xml:space="preserve">yet </w:t>
      </w:r>
      <w:r>
        <w:t>available</w:t>
      </w:r>
      <w:r w:rsidR="008B1506">
        <w:t xml:space="preserve"> for 2014/15 and 2015/1</w:t>
      </w:r>
      <w:r w:rsidR="00366127">
        <w:t>6</w:t>
      </w:r>
    </w:p>
    <w:p w:rsidR="00B13120" w:rsidRDefault="00B13120" w:rsidP="00CA4868">
      <w:pPr>
        <w:pStyle w:val="Notes"/>
        <w:spacing w:after="0"/>
      </w:pPr>
    </w:p>
    <w:p w:rsidR="00533277" w:rsidRDefault="00C936F8" w:rsidP="006D32B9">
      <w:r w:rsidRPr="00C936F8">
        <w:t>The number of MTOP</w:t>
      </w:r>
      <w:r w:rsidR="005652F2">
        <w:t>s</w:t>
      </w:r>
      <w:r w:rsidRPr="00C936F8">
        <w:t xml:space="preserve"> using mifepristone/misoprostol supplied through the PBS has been less than half of that expected. </w:t>
      </w:r>
      <w:r w:rsidR="00533277">
        <w:t>Th</w:t>
      </w:r>
      <w:r w:rsidR="005652F2">
        <w:t>is</w:t>
      </w:r>
      <w:r w:rsidR="00533277">
        <w:t xml:space="preserve"> may be due to a range of factors including that</w:t>
      </w:r>
      <w:r w:rsidR="00533277" w:rsidRPr="00533277">
        <w:t xml:space="preserve"> fewer women </w:t>
      </w:r>
      <w:r w:rsidR="00533277">
        <w:t xml:space="preserve">are </w:t>
      </w:r>
      <w:r w:rsidR="00533277" w:rsidRPr="00533277">
        <w:t>electing the medical method than anticipated</w:t>
      </w:r>
      <w:r w:rsidR="00EB72BD">
        <w:rPr>
          <w:rStyle w:val="FootnoteReference"/>
        </w:rPr>
        <w:footnoteReference w:id="8"/>
      </w:r>
      <w:r w:rsidR="00533277" w:rsidRPr="00533277">
        <w:t xml:space="preserve">, </w:t>
      </w:r>
      <w:r w:rsidR="00533277">
        <w:t>that s</w:t>
      </w:r>
      <w:r w:rsidR="00533277" w:rsidRPr="00533277">
        <w:t>ome mifepristone and misoprostol may be provided on private prescription</w:t>
      </w:r>
      <w:r w:rsidR="00533277">
        <w:t xml:space="preserve"> and not captured in PBS data,</w:t>
      </w:r>
      <w:r w:rsidR="00533277" w:rsidRPr="00533277">
        <w:t xml:space="preserve"> or </w:t>
      </w:r>
      <w:r w:rsidR="000A3542">
        <w:t xml:space="preserve">that there are </w:t>
      </w:r>
      <w:r w:rsidR="00533277" w:rsidRPr="00533277">
        <w:t>barriers to use including</w:t>
      </w:r>
      <w:r w:rsidR="000A3542">
        <w:t xml:space="preserve"> </w:t>
      </w:r>
      <w:r w:rsidR="00533277" w:rsidRPr="00533277">
        <w:t>jurisdictional</w:t>
      </w:r>
      <w:r w:rsidR="00FB4CCF">
        <w:t xml:space="preserve"> laws</w:t>
      </w:r>
      <w:r w:rsidR="00610679">
        <w:rPr>
          <w:rStyle w:val="FootnoteReference"/>
        </w:rPr>
        <w:footnoteReference w:id="9"/>
      </w:r>
      <w:r w:rsidR="00610679" w:rsidRPr="00610679">
        <w:rPr>
          <w:vertAlign w:val="superscript"/>
        </w:rPr>
        <w:t>,</w:t>
      </w:r>
      <w:r w:rsidR="00EB72BD">
        <w:rPr>
          <w:rStyle w:val="FootnoteReference"/>
        </w:rPr>
        <w:footnoteReference w:id="10"/>
      </w:r>
      <w:r w:rsidR="00EB72BD">
        <w:t xml:space="preserve"> </w:t>
      </w:r>
      <w:r w:rsidR="00FB4CCF">
        <w:t xml:space="preserve">or </w:t>
      </w:r>
      <w:r w:rsidR="00804066">
        <w:t xml:space="preserve">the </w:t>
      </w:r>
      <w:r w:rsidR="00FB4CCF">
        <w:t>number of registered prescriber</w:t>
      </w:r>
      <w:r w:rsidR="00533277" w:rsidRPr="00533277">
        <w:t>s</w:t>
      </w:r>
      <w:r w:rsidR="00533277">
        <w:t>.</w:t>
      </w:r>
      <w:r w:rsidR="00FB4CCF">
        <w:t xml:space="preserve"> A recent m</w:t>
      </w:r>
      <w:r w:rsidR="00804066">
        <w:t>e</w:t>
      </w:r>
      <w:r w:rsidR="00FB4CCF">
        <w:t>dia</w:t>
      </w:r>
      <w:r w:rsidR="00804066">
        <w:t xml:space="preserve"> article</w:t>
      </w:r>
      <w:r w:rsidR="00FB4CCF">
        <w:t xml:space="preserve"> stated that </w:t>
      </w:r>
      <w:r w:rsidR="00FB4CCF" w:rsidRPr="00FB4CCF">
        <w:t>only 1</w:t>
      </w:r>
      <w:r w:rsidR="00FB4CCF">
        <w:t>,</w:t>
      </w:r>
      <w:r w:rsidR="00FB4CCF" w:rsidRPr="00FB4CCF">
        <w:t xml:space="preserve">244 doctors have become certified </w:t>
      </w:r>
      <w:r w:rsidR="00FB4CCF" w:rsidRPr="004134F6">
        <w:t>prescribers</w:t>
      </w:r>
      <w:r w:rsidR="00AD0B9F">
        <w:t>.</w:t>
      </w:r>
      <w:r w:rsidR="00EB72BD" w:rsidRPr="004134F6">
        <w:rPr>
          <w:rStyle w:val="FootnoteReference"/>
        </w:rPr>
        <w:footnoteReference w:id="11"/>
      </w:r>
      <w:r w:rsidR="00FB4CCF" w:rsidRPr="004134F6">
        <w:t xml:space="preserve"> </w:t>
      </w:r>
      <w:r w:rsidR="00533277" w:rsidRPr="004134F6">
        <w:t xml:space="preserve">Between 1 August </w:t>
      </w:r>
      <w:r w:rsidR="00647D50" w:rsidRPr="004134F6">
        <w:t xml:space="preserve">2013 </w:t>
      </w:r>
      <w:r w:rsidR="00533277" w:rsidRPr="004134F6">
        <w:t xml:space="preserve">and 30 June 2016, </w:t>
      </w:r>
      <w:r w:rsidR="00647D50" w:rsidRPr="004134F6">
        <w:t>495</w:t>
      </w:r>
      <w:r w:rsidR="00533277" w:rsidRPr="004134F6">
        <w:t xml:space="preserve"> prescribers </w:t>
      </w:r>
      <w:r w:rsidR="00AD0B9F">
        <w:t>wrote</w:t>
      </w:r>
      <w:r w:rsidR="00533277">
        <w:t xml:space="preserve"> at least one prescription </w:t>
      </w:r>
      <w:r w:rsidR="00AD0B9F">
        <w:t xml:space="preserve">for </w:t>
      </w:r>
      <w:r w:rsidR="00533277">
        <w:t xml:space="preserve">mifepristone that </w:t>
      </w:r>
      <w:r w:rsidR="00AD0B9F">
        <w:t>was</w:t>
      </w:r>
      <w:r w:rsidR="00533277">
        <w:t xml:space="preserve"> supplied through the PBS.</w:t>
      </w:r>
    </w:p>
    <w:p w:rsidR="004613C5" w:rsidRDefault="00423430" w:rsidP="006D32B9">
      <w:r w:rsidRPr="00423430">
        <w:t xml:space="preserve">The 2013/14 data indicate that the introduction of mifepristone and misoprostol on the PBS has not increased the number of TOPs in Australia per year.  </w:t>
      </w:r>
      <w:r w:rsidR="0038019C">
        <w:t>In 2013/14 t</w:t>
      </w:r>
      <w:r w:rsidR="006D32B9">
        <w:t>he number of TOPs, estimated from all</w:t>
      </w:r>
      <w:r w:rsidR="00B13120">
        <w:t xml:space="preserve"> available</w:t>
      </w:r>
      <w:r w:rsidR="006D32B9">
        <w:t xml:space="preserve"> data sources</w:t>
      </w:r>
      <w:r w:rsidR="002159FE">
        <w:t>,</w:t>
      </w:r>
      <w:r w:rsidR="0038019C">
        <w:t xml:space="preserve"> was 74,882 (</w:t>
      </w:r>
      <w:r w:rsidR="00EF5793">
        <w:t xml:space="preserve">15.58 </w:t>
      </w:r>
      <w:r w:rsidR="0038019C">
        <w:t>per 1000 women aged 15-44 years</w:t>
      </w:r>
      <w:r w:rsidR="00EF5793">
        <w:rPr>
          <w:rStyle w:val="FootnoteReference"/>
        </w:rPr>
        <w:footnoteReference w:id="12"/>
      </w:r>
      <w:r w:rsidR="002159FE">
        <w:t>)</w:t>
      </w:r>
      <w:r w:rsidR="0038019C">
        <w:t xml:space="preserve">. This was </w:t>
      </w:r>
      <w:r w:rsidR="00B13120">
        <w:t>lower</w:t>
      </w:r>
      <w:r w:rsidR="0038019C">
        <w:t xml:space="preserve"> than predicted </w:t>
      </w:r>
      <w:r w:rsidR="00360C92">
        <w:t>and</w:t>
      </w:r>
      <w:r w:rsidR="002159FE">
        <w:t xml:space="preserve"> well within the upper and lower </w:t>
      </w:r>
      <w:r w:rsidR="004B6F85">
        <w:t>plausible</w:t>
      </w:r>
      <w:r w:rsidR="002159FE">
        <w:t xml:space="preserve"> </w:t>
      </w:r>
      <w:r w:rsidR="004B6F85">
        <w:t xml:space="preserve">range </w:t>
      </w:r>
      <w:r w:rsidR="002159FE">
        <w:t>estimated in the submission.</w:t>
      </w:r>
      <w:r w:rsidR="004613C5">
        <w:t xml:space="preserve"> It is important </w:t>
      </w:r>
      <w:r w:rsidR="00545D23">
        <w:t>to</w:t>
      </w:r>
      <w:r w:rsidR="004613C5">
        <w:t xml:space="preserve"> note that </w:t>
      </w:r>
      <w:r w:rsidR="00B13120">
        <w:t xml:space="preserve">this number will underestimate MTOPs </w:t>
      </w:r>
      <w:r w:rsidR="00643592">
        <w:t>with gestation age 50-</w:t>
      </w:r>
      <w:r w:rsidR="00643592" w:rsidRPr="00643592">
        <w:t>6</w:t>
      </w:r>
      <w:r w:rsidR="00643592">
        <w:t>2</w:t>
      </w:r>
      <w:r w:rsidR="00643592" w:rsidRPr="00643592">
        <w:t xml:space="preserve"> days</w:t>
      </w:r>
      <w:r w:rsidR="00643592">
        <w:t xml:space="preserve"> which was not PBS subsidised in </w:t>
      </w:r>
      <w:r w:rsidR="004B6F85">
        <w:t>2013/14</w:t>
      </w:r>
      <w:r w:rsidR="00643592">
        <w:t xml:space="preserve"> and may have been </w:t>
      </w:r>
      <w:r w:rsidR="00643592" w:rsidRPr="00643592">
        <w:t xml:space="preserve">supplied privately </w:t>
      </w:r>
      <w:r w:rsidR="00643592">
        <w:t>in some cases</w:t>
      </w:r>
      <w:r w:rsidR="00643592" w:rsidRPr="00643592">
        <w:t>.</w:t>
      </w:r>
      <w:r w:rsidR="00643592">
        <w:t xml:space="preserve"> </w:t>
      </w:r>
      <w:r w:rsidR="00402E9F">
        <w:t>The submission’s estimates</w:t>
      </w:r>
      <w:r w:rsidR="00443F9C">
        <w:t>,</w:t>
      </w:r>
      <w:r w:rsidR="00402E9F">
        <w:t xml:space="preserve"> presented</w:t>
      </w:r>
      <w:r w:rsidR="00443F9C">
        <w:t xml:space="preserve"> in</w:t>
      </w:r>
      <w:r w:rsidR="00402E9F">
        <w:t xml:space="preserve"> </w:t>
      </w:r>
      <w:r w:rsidR="00443F9C">
        <w:t>T</w:t>
      </w:r>
      <w:r w:rsidR="00402E9F">
        <w:t>able 2</w:t>
      </w:r>
      <w:r w:rsidR="00443F9C">
        <w:t>,</w:t>
      </w:r>
      <w:r w:rsidR="00402E9F">
        <w:t xml:space="preserve"> show that in 2013/2014 this may be </w:t>
      </w:r>
      <w:r w:rsidR="00443F9C">
        <w:t>about 3,4</w:t>
      </w:r>
      <w:r w:rsidR="00402E9F">
        <w:t>00 patients</w:t>
      </w:r>
      <w:r w:rsidR="00AD0B9F">
        <w:t>;</w:t>
      </w:r>
      <w:r w:rsidR="00402E9F">
        <w:t xml:space="preserve"> but given the low uptake of the medical method</w:t>
      </w:r>
      <w:r w:rsidR="00AD0B9F">
        <w:t xml:space="preserve"> the number of patients</w:t>
      </w:r>
      <w:r w:rsidR="00402E9F">
        <w:t xml:space="preserve"> is likely to be much lower than this. </w:t>
      </w:r>
      <w:r w:rsidR="004B6F85">
        <w:t xml:space="preserve">In addition, MTOPs conducted </w:t>
      </w:r>
      <w:r w:rsidR="00B13120">
        <w:t xml:space="preserve">after </w:t>
      </w:r>
      <w:r w:rsidR="008A7A63">
        <w:t>63 days of gestation</w:t>
      </w:r>
      <w:r w:rsidR="00B13120">
        <w:t xml:space="preserve"> </w:t>
      </w:r>
      <w:r w:rsidR="004B6F85">
        <w:t xml:space="preserve">will be underestimated with available data as this use is </w:t>
      </w:r>
      <w:r w:rsidR="00B13120">
        <w:t xml:space="preserve">not PBS subsidised. </w:t>
      </w:r>
      <w:r w:rsidR="00360C92">
        <w:t>This is</w:t>
      </w:r>
      <w:r>
        <w:t xml:space="preserve"> </w:t>
      </w:r>
      <w:r w:rsidR="00360C92">
        <w:t xml:space="preserve">likely to be </w:t>
      </w:r>
      <w:r w:rsidR="004B6F85">
        <w:t>a small component</w:t>
      </w:r>
      <w:r w:rsidR="00360C92">
        <w:t xml:space="preserve"> based on </w:t>
      </w:r>
      <w:r w:rsidR="0041327E">
        <w:t xml:space="preserve">2012 </w:t>
      </w:r>
      <w:r w:rsidR="00360C92">
        <w:t xml:space="preserve">data from the </w:t>
      </w:r>
      <w:r w:rsidR="00360C92" w:rsidRPr="00360C92">
        <w:t>South Australian Abortion Reporting Committee</w:t>
      </w:r>
      <w:r w:rsidR="00360C92">
        <w:t xml:space="preserve"> report</w:t>
      </w:r>
      <w:r w:rsidR="006948D6">
        <w:rPr>
          <w:rStyle w:val="FootnoteReference"/>
        </w:rPr>
        <w:footnoteReference w:id="13"/>
      </w:r>
      <w:r w:rsidR="0041327E">
        <w:t xml:space="preserve"> </w:t>
      </w:r>
      <w:r w:rsidR="00360C92">
        <w:t xml:space="preserve">that indicated that 2.8% of mifepristone and misoprostol was for second trimester terminations. </w:t>
      </w:r>
    </w:p>
    <w:p w:rsidR="006D32B9" w:rsidRDefault="00E156D9" w:rsidP="006632B9">
      <w:r>
        <w:t xml:space="preserve">A comparison of predicted and actual TOPs for 2014/15 and 2015/16 </w:t>
      </w:r>
      <w:r w:rsidR="009345FD">
        <w:t xml:space="preserve">cannot be completed at this stage </w:t>
      </w:r>
      <w:r>
        <w:t xml:space="preserve">because data on public sector STOPs is not </w:t>
      </w:r>
      <w:r w:rsidR="009345FD">
        <w:t xml:space="preserve">yet </w:t>
      </w:r>
      <w:r>
        <w:t xml:space="preserve">available. </w:t>
      </w:r>
      <w:r w:rsidR="006632B9">
        <w:t>Other data sources that could be used to supplement the PBS, private and public hospital data, such as the South Australian Abortion Reporting Committee Report, are also not yet avai</w:t>
      </w:r>
      <w:r w:rsidR="00423430">
        <w:t>lable</w:t>
      </w:r>
      <w:r w:rsidR="006632B9">
        <w:t xml:space="preserve"> for th</w:t>
      </w:r>
      <w:r w:rsidR="00423430">
        <w:t>is</w:t>
      </w:r>
      <w:r w:rsidR="006632B9">
        <w:t xml:space="preserve"> time period.</w:t>
      </w:r>
      <w:r w:rsidR="00423430">
        <w:t xml:space="preserve"> However, </w:t>
      </w:r>
      <w:r w:rsidR="006632B9">
        <w:t>t</w:t>
      </w:r>
      <w:r w:rsidR="002A7E10">
        <w:t>he decline in the number of ST</w:t>
      </w:r>
      <w:r w:rsidR="009345FD">
        <w:t>O</w:t>
      </w:r>
      <w:r w:rsidR="002A7E10">
        <w:t xml:space="preserve">PS in the private sector </w:t>
      </w:r>
      <w:r w:rsidR="00423430">
        <w:t xml:space="preserve">in </w:t>
      </w:r>
      <w:r w:rsidR="00423430" w:rsidRPr="00423430">
        <w:t>2014/15 and 2015/16</w:t>
      </w:r>
      <w:r w:rsidR="00423430">
        <w:t xml:space="preserve"> does </w:t>
      </w:r>
      <w:r w:rsidR="006632B9">
        <w:t xml:space="preserve">suggest </w:t>
      </w:r>
      <w:r w:rsidR="002A7E10">
        <w:t xml:space="preserve">that MTOP </w:t>
      </w:r>
      <w:r w:rsidR="009345FD">
        <w:t xml:space="preserve">is </w:t>
      </w:r>
      <w:r w:rsidR="00360C92">
        <w:t>providing an alternative to STOP</w:t>
      </w:r>
      <w:r w:rsidR="00643592">
        <w:t xml:space="preserve"> </w:t>
      </w:r>
      <w:r w:rsidR="004613C5">
        <w:t>rather than increasing the number of TOPs</w:t>
      </w:r>
      <w:r w:rsidR="00083075">
        <w:t>.</w:t>
      </w:r>
    </w:p>
    <w:p w:rsidR="00586589" w:rsidRDefault="00586589" w:rsidP="00586589">
      <w:pPr>
        <w:pStyle w:val="Heading1"/>
      </w:pPr>
      <w:r>
        <w:t>DUSC consideration</w:t>
      </w:r>
    </w:p>
    <w:p w:rsidR="002A4064" w:rsidRPr="002A4064" w:rsidRDefault="002A4064" w:rsidP="002A4064">
      <w:r w:rsidRPr="002A4064">
        <w:t xml:space="preserve">DUSC acknowledged the responses to the report from the sponsor MS Health, and from the Royal Australian and New Zealand College of Obstetricians and Gynaecologists (RANZCOG) and the Royal Australian College of General Practitioners (RACGP) which assisted in understanding the reasons why the proportion of TOPs undertaken by the medical method has been lower than expected. Possible reasons identified in the report were confirmed in the stakeholder responses, including that fewer women are choosing the method, jurisdictional laws in some states pose a barrier, there are a low number of certified prescribers, the requirement (pre-2015) by some insurers for general practitioners to have procedural medical indemnity insurance, and that there is some private prescribing not captured in the PBS dataset. </w:t>
      </w:r>
      <w:r w:rsidRPr="00B22AB6">
        <w:t xml:space="preserve">The sponsor provided additional data to assist in quantifying private prescribing. </w:t>
      </w:r>
      <w:r w:rsidR="00CA71F6">
        <w:rPr>
          <w:noProof/>
          <w:color w:val="000000"/>
          <w:highlight w:val="black"/>
        </w:rPr>
        <w:t>'''' ''''' ''''''''''''' ''''''''''''' '''''''''''' '''' '''''' ''''''''''''''''''''''' ''''' ''''''''''''''''''''''' ''''''' ''''' ''''''''''''''' ''''''''''''''''''''''' '''''''''''''' '''' '''''''''''''''''''''''' ''''''''''''''''' '''''''''''' '''''' '''''''''''' ''''' '''''' '''''''''''''' '''''''' ''''''''''''''''''' ''''''' '''''''''''''' ''''' ''' ''''''' '''''''''''</w:t>
      </w:r>
      <w:r w:rsidRPr="002A4064">
        <w:t xml:space="preserve"> However, the sponsor and DUSC recognised that </w:t>
      </w:r>
      <w:r w:rsidR="00724AAB">
        <w:t>it is not known to what</w:t>
      </w:r>
      <w:r w:rsidRPr="002A4064">
        <w:t xml:space="preserve"> extent private prescribing is due to </w:t>
      </w:r>
      <w:r w:rsidR="00EF780D">
        <w:t xml:space="preserve">patients being </w:t>
      </w:r>
      <w:r w:rsidR="00EF780D" w:rsidRPr="002A4064">
        <w:t xml:space="preserve">ineligible to receive medicines under the PBS (e.g. overseas visitors), </w:t>
      </w:r>
      <w:r w:rsidRPr="002A4064">
        <w:t xml:space="preserve">patient choice, or due to other reasons. </w:t>
      </w:r>
    </w:p>
    <w:p w:rsidR="002A4064" w:rsidRPr="00425E8E" w:rsidRDefault="002A4064" w:rsidP="00425E8E">
      <w:pPr>
        <w:rPr>
          <w:rFonts w:ascii="Calibri" w:hAnsi="Calibri"/>
          <w:iCs/>
        </w:rPr>
      </w:pPr>
      <w:r w:rsidRPr="00425E8E">
        <w:rPr>
          <w:rFonts w:ascii="Calibri" w:hAnsi="Calibri"/>
          <w:iCs/>
        </w:rPr>
        <w:t>Additional reasons identified in the responses that may contribute to the lower than expected use of the medical method for termination include the potential for low awareness of the availability of this option; there are limited support services and limited access to STOPs in the event of a failed MTOP</w:t>
      </w:r>
      <w:r w:rsidRPr="002A4064">
        <w:t xml:space="preserve"> </w:t>
      </w:r>
      <w:r w:rsidRPr="00425E8E">
        <w:rPr>
          <w:rFonts w:ascii="Calibri" w:hAnsi="Calibri"/>
          <w:iCs/>
        </w:rPr>
        <w:t xml:space="preserve">in some areas of Australia; that despite procedural medical indemnity insurance no longer being required, GPs may not have revisited their original decision not to offer MTOP or that medical defence organisations require GPs to have particular support requirements in place to manage adverse events; that there is no specific MBS item for medical termination services; and that MTOP may not be offered on commercial grounds. </w:t>
      </w:r>
    </w:p>
    <w:p w:rsidR="002A4064" w:rsidRPr="002A4064" w:rsidRDefault="002A4064" w:rsidP="00425E8E">
      <w:r w:rsidRPr="002A4064">
        <w:t>DUSC considered that the barriers to use were not sufficiently understood and factored into the estimated use at the time of listing on the PBS. DUSC considered that while utilisation of the medical methods is slowly increasing, predicted levels are unlikely to be reached in the next few years. DUSC also noted the stakeholder responses indicated that the proportion of TOPs by the medical method may grow in the next few years if barriers to use</w:t>
      </w:r>
      <w:r w:rsidRPr="0088088C">
        <w:t xml:space="preserve"> are addressed</w:t>
      </w:r>
      <w:r w:rsidRPr="002A4064">
        <w:t xml:space="preserve"> including awareness, education, </w:t>
      </w:r>
      <w:proofErr w:type="gramStart"/>
      <w:r w:rsidRPr="002A4064">
        <w:t>access</w:t>
      </w:r>
      <w:proofErr w:type="gramEnd"/>
      <w:r w:rsidRPr="002A4064">
        <w:t xml:space="preserve"> and law reform. The establishment of clinical care pathways designed via local Primary Health Networks (PHNs) was identified by the RACGP as a factor that may encourage GPs to become certified prescribers. </w:t>
      </w:r>
    </w:p>
    <w:p w:rsidR="00586589" w:rsidRDefault="00586589" w:rsidP="00586589">
      <w:pPr>
        <w:pStyle w:val="Heading1"/>
      </w:pPr>
      <w:r>
        <w:t>DUSC actions</w:t>
      </w:r>
    </w:p>
    <w:p w:rsidR="00586589" w:rsidRPr="002A4064" w:rsidRDefault="002A4064" w:rsidP="00586589">
      <w:pPr>
        <w:rPr>
          <w:highlight w:val="yellow"/>
        </w:rPr>
      </w:pPr>
      <w:r w:rsidRPr="00614497">
        <w:t>The DUSC requested that the report be provided to the PBAC.</w:t>
      </w:r>
    </w:p>
    <w:p w:rsidR="00586589" w:rsidRDefault="00586589" w:rsidP="00586589">
      <w:pPr>
        <w:pStyle w:val="Heading1"/>
      </w:pPr>
      <w:r w:rsidRPr="0092516A">
        <w:t>Context for analysis</w:t>
      </w:r>
    </w:p>
    <w:p w:rsidR="00586589" w:rsidRDefault="00586589" w:rsidP="00586589">
      <w:r>
        <w:t>The DUSC is a Sub Committee of the Pharmaceutical Benefits Advisory Committee (PBAC). The DUSC assesses estimates on projected usage and financial cost of medicines.</w:t>
      </w:r>
    </w:p>
    <w:p w:rsidR="00586589" w:rsidRDefault="00586589" w:rsidP="00586589">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586589" w:rsidRDefault="00586589" w:rsidP="00586589">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586589" w:rsidRDefault="00586589" w:rsidP="00586589">
      <w:r>
        <w:t>The utilisation analysis report was provided to the pharmaceutical sponsors of each drug and comments on the report were provided to DUSC prior to its consideration of the analysis.</w:t>
      </w:r>
    </w:p>
    <w:p w:rsidR="00586589" w:rsidRDefault="00586589" w:rsidP="00586589">
      <w:pPr>
        <w:pStyle w:val="Heading1"/>
      </w:pPr>
      <w:r>
        <w:t>Sponsor</w:t>
      </w:r>
      <w:r w:rsidRPr="0092516A">
        <w:t>s</w:t>
      </w:r>
      <w:r>
        <w:t>’</w:t>
      </w:r>
      <w:r w:rsidRPr="0092516A">
        <w:t xml:space="preserve"> comments</w:t>
      </w:r>
    </w:p>
    <w:p w:rsidR="007B69C3" w:rsidRDefault="00B50591" w:rsidP="007B69C3">
      <w:r w:rsidRPr="00B50591">
        <w:t>MS Health Pty Ltd</w:t>
      </w:r>
      <w:r>
        <w:t xml:space="preserve">: </w:t>
      </w:r>
      <w:r w:rsidRPr="00B50591">
        <w:t>The sponsor has no comment</w:t>
      </w:r>
      <w:r>
        <w:t>.</w:t>
      </w:r>
    </w:p>
    <w:p w:rsidR="00586589" w:rsidRDefault="00586589" w:rsidP="00586589">
      <w:pPr>
        <w:pStyle w:val="Heading1"/>
      </w:pPr>
      <w:r w:rsidRPr="00A4020E">
        <w:t>Disclaimer</w:t>
      </w:r>
    </w:p>
    <w:p w:rsidR="00586589" w:rsidRDefault="00586589" w:rsidP="00586589">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rsidR="00586589" w:rsidRDefault="00586589" w:rsidP="00586589">
      <w:r>
        <w:t>The Department of Health (</w:t>
      </w:r>
      <w:proofErr w:type="spellStart"/>
      <w:r>
        <w:t>DoH</w:t>
      </w:r>
      <w:proofErr w:type="spellEnd"/>
      <w:r>
        <w:t>)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rsidR="00586589" w:rsidRDefault="00586589" w:rsidP="00586589">
      <w:r>
        <w:t xml:space="preserve">To the extent provided by law, </w:t>
      </w:r>
      <w:proofErr w:type="spellStart"/>
      <w:r>
        <w:t>DoH</w:t>
      </w:r>
      <w:proofErr w:type="spellEnd"/>
      <w:r>
        <w:t xml:space="preserve"> makes no warranties or representations as to accuracy or completeness of information contained in this report. </w:t>
      </w:r>
    </w:p>
    <w:p w:rsidR="00586589" w:rsidRDefault="00586589" w:rsidP="00586589">
      <w:r>
        <w:t xml:space="preserve">To the fullest extent permitted by law, neither the </w:t>
      </w:r>
      <w:proofErr w:type="spellStart"/>
      <w:r>
        <w:t>DoH</w:t>
      </w:r>
      <w:proofErr w:type="spellEnd"/>
      <w:r>
        <w:t xml:space="preserve"> nor any </w:t>
      </w:r>
      <w:proofErr w:type="spellStart"/>
      <w:r>
        <w:t>DoH</w:t>
      </w:r>
      <w:proofErr w:type="spellEnd"/>
      <w:r>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rsidR="00586589" w:rsidRDefault="00586589" w:rsidP="006632B9"/>
    <w:sectPr w:rsidR="00586589" w:rsidSect="00DD188C">
      <w:headerReference w:type="default" r:id="rId15"/>
      <w:footerReference w:type="even" r:id="rId16"/>
      <w:footerReference w:type="default" r:id="rId17"/>
      <w:footerReference w:type="first" r:id="rId18"/>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1F6" w:rsidRDefault="00CA71F6" w:rsidP="00A35800">
      <w:r>
        <w:separator/>
      </w:r>
    </w:p>
  </w:endnote>
  <w:endnote w:type="continuationSeparator" w:id="0">
    <w:p w:rsidR="00CA71F6" w:rsidRDefault="00CA71F6"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Gotham XNarrow Book">
    <w:altName w:val="Gotham XNarrow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497" w:rsidRDefault="00614497"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614497" w:rsidRDefault="00614497"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535344"/>
      <w:docPartObj>
        <w:docPartGallery w:val="Page Numbers (Bottom of Page)"/>
        <w:docPartUnique/>
      </w:docPartObj>
    </w:sdtPr>
    <w:sdtEndPr/>
    <w:sdtContent>
      <w:sdt>
        <w:sdtPr>
          <w:id w:val="1492138670"/>
          <w:docPartObj>
            <w:docPartGallery w:val="Page Numbers (Top of Page)"/>
            <w:docPartUnique/>
          </w:docPartObj>
        </w:sdtPr>
        <w:sdtEndPr/>
        <w:sdtContent>
          <w:p w:rsidR="00614497" w:rsidRPr="000E72C6" w:rsidRDefault="00614497" w:rsidP="000E72C6">
            <w:pPr>
              <w:pStyle w:val="Footer"/>
              <w:jc w:val="center"/>
              <w:rPr>
                <w:i/>
                <w:sz w:val="20"/>
              </w:rPr>
            </w:pPr>
            <w:r>
              <w:rPr>
                <w:i/>
                <w:sz w:val="20"/>
              </w:rPr>
              <w:t>Public Release Document, September 2016 DUSC Meeting</w:t>
            </w:r>
          </w:p>
          <w:p w:rsidR="00614497" w:rsidRDefault="00614497"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211444">
              <w:rPr>
                <w:bCs/>
                <w:i/>
                <w:noProof/>
                <w:sz w:val="20"/>
              </w:rPr>
              <w:t>1</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211444">
              <w:rPr>
                <w:bCs/>
                <w:i/>
                <w:noProof/>
                <w:sz w:val="20"/>
              </w:rPr>
              <w:t>14</w:t>
            </w:r>
            <w:r w:rsidRPr="00DD188C">
              <w:rPr>
                <w:bCs/>
                <w:i/>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497" w:rsidRDefault="00614497" w:rsidP="007A5733">
    <w:pPr>
      <w:pStyle w:val="Footer"/>
      <w:jc w:val="center"/>
      <w:rPr>
        <w:rStyle w:val="PageNumber"/>
      </w:rPr>
    </w:pPr>
    <w:r>
      <w:rPr>
        <w:rStyle w:val="PageNumber"/>
      </w:rPr>
      <w:t>Committee-in-Confidence</w:t>
    </w:r>
  </w:p>
  <w:p w:rsidR="00614497" w:rsidRDefault="00614497" w:rsidP="007A5733">
    <w:pPr>
      <w:pStyle w:val="Footer"/>
      <w:jc w:val="cente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497" w:rsidRDefault="00614497"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614497" w:rsidRDefault="00614497" w:rsidP="00A3580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rsidR="00CA5FC3" w:rsidRPr="000E72C6" w:rsidRDefault="00CA5FC3" w:rsidP="00CA5FC3">
            <w:pPr>
              <w:pStyle w:val="Footer"/>
              <w:jc w:val="center"/>
              <w:rPr>
                <w:i/>
                <w:sz w:val="20"/>
              </w:rPr>
            </w:pPr>
            <w:r>
              <w:rPr>
                <w:i/>
                <w:sz w:val="20"/>
              </w:rPr>
              <w:t>Public Release Document, September 2016 DUSC Meeting</w:t>
            </w:r>
          </w:p>
          <w:p w:rsidR="00614497" w:rsidRDefault="00614497"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211444">
              <w:rPr>
                <w:bCs/>
                <w:i/>
                <w:noProof/>
                <w:sz w:val="20"/>
              </w:rPr>
              <w:t>14</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211444">
              <w:rPr>
                <w:bCs/>
                <w:i/>
                <w:noProof/>
                <w:sz w:val="20"/>
              </w:rPr>
              <w:t>14</w:t>
            </w:r>
            <w:r w:rsidRPr="00DD188C">
              <w:rPr>
                <w:bCs/>
                <w:i/>
                <w:sz w:val="20"/>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497" w:rsidRDefault="00614497" w:rsidP="007A5733">
    <w:pPr>
      <w:pStyle w:val="Footer"/>
      <w:jc w:val="center"/>
      <w:rPr>
        <w:rStyle w:val="PageNumber"/>
      </w:rPr>
    </w:pPr>
    <w:r>
      <w:rPr>
        <w:rStyle w:val="PageNumber"/>
      </w:rPr>
      <w:t>Committee-in-Confidence</w:t>
    </w:r>
  </w:p>
  <w:p w:rsidR="00614497" w:rsidRDefault="00614497" w:rsidP="007A5733">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1F6" w:rsidRDefault="00CA71F6" w:rsidP="00A35800">
      <w:r>
        <w:separator/>
      </w:r>
    </w:p>
  </w:footnote>
  <w:footnote w:type="continuationSeparator" w:id="0">
    <w:p w:rsidR="00CA71F6" w:rsidRDefault="00CA71F6" w:rsidP="00A35800">
      <w:r>
        <w:continuationSeparator/>
      </w:r>
    </w:p>
  </w:footnote>
  <w:footnote w:id="1">
    <w:p w:rsidR="00614497" w:rsidRDefault="00614497" w:rsidP="007C6EF3">
      <w:pPr>
        <w:pStyle w:val="FootnoteText"/>
      </w:pPr>
      <w:r>
        <w:rPr>
          <w:rStyle w:val="FootnoteReference"/>
        </w:rPr>
        <w:footnoteRef/>
      </w:r>
      <w:r>
        <w:t xml:space="preserve"> MS-2 Step (mifepristone) Australian approved consumer medicine information. Carlton VIC: MS Health. Leaflet prepared December 2014. </w:t>
      </w:r>
      <w:hyperlink r:id="rId1" w:history="1">
        <w:r w:rsidRPr="008C1E60">
          <w:rPr>
            <w:rStyle w:val="Hyperlink"/>
          </w:rPr>
          <w:t>https://www.ebs.tga.gov.au/ebs/picmi/picmirepository.nsf/pdf?OpenAgent&amp;id=CP-2015-CMI-01028-1&amp;d=2016070516114622483</w:t>
        </w:r>
      </w:hyperlink>
      <w:r>
        <w:t xml:space="preserve"> </w:t>
      </w:r>
    </w:p>
  </w:footnote>
  <w:footnote w:id="2">
    <w:p w:rsidR="00614497" w:rsidRDefault="00614497" w:rsidP="009242D4">
      <w:pPr>
        <w:pStyle w:val="FootnoteText"/>
      </w:pPr>
      <w:r>
        <w:rPr>
          <w:rStyle w:val="FootnoteReference"/>
        </w:rPr>
        <w:footnoteRef/>
      </w:r>
      <w:r>
        <w:t xml:space="preserve"> Mifepristone </w:t>
      </w:r>
      <w:proofErr w:type="spellStart"/>
      <w:r>
        <w:t>Linepharma</w:t>
      </w:r>
      <w:proofErr w:type="spellEnd"/>
      <w:r>
        <w:t xml:space="preserve"> (mifepristone) Australian approved product information. Carlton VIC: MS Health. Date of most recent amendment 12 May 2015. </w:t>
      </w:r>
      <w:hyperlink r:id="rId2" w:history="1">
        <w:r w:rsidRPr="00E03A7A">
          <w:rPr>
            <w:rStyle w:val="Hyperlink"/>
          </w:rPr>
          <w:t>https://www.ebs.tga.gov.au/ebs/picmi/picmirepository.nsf/pdf?OpenAgent&amp;id=CP-2012-PI-02513-1&amp;d=2016083116114622483</w:t>
        </w:r>
      </w:hyperlink>
      <w:r>
        <w:t xml:space="preserve"> </w:t>
      </w:r>
    </w:p>
  </w:footnote>
  <w:footnote w:id="3">
    <w:p w:rsidR="00614497" w:rsidRDefault="00614497">
      <w:pPr>
        <w:pStyle w:val="FootnoteText"/>
      </w:pPr>
      <w:r>
        <w:rPr>
          <w:rStyle w:val="FootnoteReference"/>
        </w:rPr>
        <w:footnoteRef/>
      </w:r>
      <w:r>
        <w:t xml:space="preserve"> </w:t>
      </w:r>
      <w:proofErr w:type="gramStart"/>
      <w:r>
        <w:t>Australian Medicines Handbook.</w:t>
      </w:r>
      <w:proofErr w:type="gramEnd"/>
      <w:r>
        <w:t xml:space="preserve"> 2016 </w:t>
      </w:r>
      <w:proofErr w:type="spellStart"/>
      <w:r>
        <w:t>pp</w:t>
      </w:r>
      <w:proofErr w:type="spellEnd"/>
      <w:r>
        <w:t xml:space="preserve"> 504-505.</w:t>
      </w:r>
    </w:p>
  </w:footnote>
  <w:footnote w:id="4">
    <w:p w:rsidR="00614497" w:rsidRDefault="00614497">
      <w:pPr>
        <w:pStyle w:val="FootnoteText"/>
      </w:pPr>
      <w:r>
        <w:rPr>
          <w:rStyle w:val="FootnoteReference"/>
        </w:rPr>
        <w:footnoteRef/>
      </w:r>
      <w:r>
        <w:t xml:space="preserve"> Pratt et al. </w:t>
      </w:r>
      <w:r w:rsidRPr="00F9229F">
        <w:t xml:space="preserve">How many abortions are there in Australia? </w:t>
      </w:r>
      <w:proofErr w:type="gramStart"/>
      <w:r w:rsidRPr="00F9229F">
        <w:t>A discussion of abortion statistics, their limitations, and options for improved statistical collection</w:t>
      </w:r>
      <w:r>
        <w:t>.</w:t>
      </w:r>
      <w:proofErr w:type="gramEnd"/>
      <w:r>
        <w:t xml:space="preserve"> </w:t>
      </w:r>
      <w:proofErr w:type="gramStart"/>
      <w:r>
        <w:t>Parliamentary Research Brief.</w:t>
      </w:r>
      <w:proofErr w:type="gramEnd"/>
      <w:r w:rsidRPr="00F9229F">
        <w:t xml:space="preserve"> 14 February 2005, no. 9, 2004–05, ISSN 1832-2883</w:t>
      </w:r>
    </w:p>
  </w:footnote>
  <w:footnote w:id="5">
    <w:p w:rsidR="00614497" w:rsidRDefault="00614497" w:rsidP="00F9229F">
      <w:pPr>
        <w:pStyle w:val="FootnoteText"/>
      </w:pPr>
      <w:r>
        <w:rPr>
          <w:rStyle w:val="FootnoteReference"/>
        </w:rPr>
        <w:footnoteRef/>
      </w:r>
      <w:r>
        <w:t xml:space="preserve"> Answers to Questions on notice Senate Community Affairs Committee Budget Estimates 2012-2013, 30 &amp; 31 May and 1 June 2012. </w:t>
      </w:r>
      <w:r w:rsidRPr="00F9229F">
        <w:t>Question: E 12-068</w:t>
      </w:r>
    </w:p>
    <w:p w:rsidR="00614497" w:rsidRDefault="00614497" w:rsidP="00F9229F">
      <w:pPr>
        <w:pStyle w:val="FootnoteText"/>
      </w:pPr>
    </w:p>
  </w:footnote>
  <w:footnote w:id="6">
    <w:p w:rsidR="00614497" w:rsidRDefault="00614497" w:rsidP="00F9229F">
      <w:pPr>
        <w:pStyle w:val="FootnoteText"/>
      </w:pPr>
      <w:r>
        <w:rPr>
          <w:rStyle w:val="FootnoteReference"/>
        </w:rPr>
        <w:footnoteRef/>
      </w:r>
      <w:r>
        <w:t xml:space="preserve"> South Australian Abortion Reporting Committee</w:t>
      </w:r>
      <w:proofErr w:type="gramStart"/>
      <w:r>
        <w:t>,  Eighth</w:t>
      </w:r>
      <w:proofErr w:type="gramEnd"/>
      <w:r>
        <w:t xml:space="preserve"> Annual Report - For the Year 2010. February 2012</w:t>
      </w:r>
    </w:p>
  </w:footnote>
  <w:footnote w:id="7">
    <w:p w:rsidR="00614497" w:rsidRPr="00BC5AE2" w:rsidRDefault="00614497" w:rsidP="00E41ABF">
      <w:pPr>
        <w:pStyle w:val="FootnoteText"/>
        <w:rPr>
          <w:sz w:val="20"/>
        </w:rPr>
      </w:pPr>
      <w:r w:rsidRPr="00BC5AE2">
        <w:rPr>
          <w:rStyle w:val="FootnoteReference"/>
          <w:sz w:val="20"/>
        </w:rPr>
        <w:footnoteRef/>
      </w:r>
      <w:r w:rsidRPr="00BC5AE2">
        <w:rPr>
          <w:sz w:val="20"/>
        </w:rPr>
        <w:t xml:space="preserve"> </w:t>
      </w:r>
      <w:proofErr w:type="gramStart"/>
      <w:r w:rsidRPr="00BC5AE2">
        <w:rPr>
          <w:sz w:val="20"/>
        </w:rPr>
        <w:t>PBS statistics</w:t>
      </w:r>
      <w:r>
        <w:rPr>
          <w:sz w:val="20"/>
        </w:rPr>
        <w:t>.</w:t>
      </w:r>
      <w:proofErr w:type="gramEnd"/>
      <w:r>
        <w:rPr>
          <w:sz w:val="20"/>
        </w:rPr>
        <w:t xml:space="preserve"> </w:t>
      </w:r>
      <w:proofErr w:type="gramStart"/>
      <w:r>
        <w:rPr>
          <w:sz w:val="20"/>
        </w:rPr>
        <w:t>Australian Government Department of Human Services Medicare.</w:t>
      </w:r>
      <w:proofErr w:type="gramEnd"/>
      <w:r>
        <w:rPr>
          <w:sz w:val="20"/>
        </w:rPr>
        <w:t xml:space="preserve"> Canberra. </w:t>
      </w:r>
      <w:proofErr w:type="gramStart"/>
      <w:r>
        <w:rPr>
          <w:sz w:val="20"/>
        </w:rPr>
        <w:t>Available from &lt;</w:t>
      </w:r>
      <w:hyperlink r:id="rId3" w:history="1">
        <w:r>
          <w:rPr>
            <w:rStyle w:val="Hyperlink"/>
            <w:sz w:val="20"/>
          </w:rPr>
          <w:t>http://www.medicareaustralia.gov.au/provider/pbs/stats.jsp</w:t>
        </w:r>
      </w:hyperlink>
      <w:r>
        <w:rPr>
          <w:sz w:val="20"/>
        </w:rPr>
        <w:t>&gt;.</w:t>
      </w:r>
      <w:proofErr w:type="gramEnd"/>
    </w:p>
  </w:footnote>
  <w:footnote w:id="8">
    <w:p w:rsidR="00614497" w:rsidRDefault="00614497" w:rsidP="00EB72BD">
      <w:pPr>
        <w:pStyle w:val="FootnoteText"/>
      </w:pPr>
      <w:r>
        <w:rPr>
          <w:rStyle w:val="FootnoteReference"/>
        </w:rPr>
        <w:footnoteRef/>
      </w:r>
      <w:r>
        <w:t xml:space="preserve"> </w:t>
      </w:r>
      <w:r w:rsidRPr="00EB72BD">
        <w:t>How do women seeking abortion choose between surgical and medical abortion? Perspectives from abortion service providers</w:t>
      </w:r>
      <w:r>
        <w:t xml:space="preserve">; Newton, D, </w:t>
      </w:r>
      <w:proofErr w:type="spellStart"/>
      <w:r>
        <w:t>Bayly</w:t>
      </w:r>
      <w:proofErr w:type="spellEnd"/>
      <w:r>
        <w:t xml:space="preserve">, C, McNamee, K, </w:t>
      </w:r>
      <w:proofErr w:type="spellStart"/>
      <w:r>
        <w:t>Hardiman</w:t>
      </w:r>
      <w:proofErr w:type="spellEnd"/>
      <w:r>
        <w:t xml:space="preserve">, A, </w:t>
      </w:r>
      <w:proofErr w:type="spellStart"/>
      <w:r>
        <w:t>Bismark</w:t>
      </w:r>
      <w:proofErr w:type="spellEnd"/>
      <w:r>
        <w:t xml:space="preserve">, M, Webster, A, Keogh, L;  </w:t>
      </w:r>
      <w:r w:rsidRPr="00EB72BD">
        <w:t>Australian and New Zealand Journal of Obstetrics and Gynaecology</w:t>
      </w:r>
      <w:r>
        <w:t xml:space="preserve"> 2016</w:t>
      </w:r>
    </w:p>
  </w:footnote>
  <w:footnote w:id="9">
    <w:p w:rsidR="00614497" w:rsidRDefault="00614497">
      <w:pPr>
        <w:pStyle w:val="FootnoteText"/>
      </w:pPr>
      <w:r>
        <w:rPr>
          <w:rStyle w:val="FootnoteReference"/>
        </w:rPr>
        <w:footnoteRef/>
      </w:r>
      <w:r>
        <w:t xml:space="preserve"> Abortion law in Australia: it’s time for national consistency and decriminalisation; de Costa C, Douglas H; Medical Journal of Australia;</w:t>
      </w:r>
      <w:r w:rsidRPr="00610679">
        <w:t xml:space="preserve"> 2015; 203 (9): 349-350.</w:t>
      </w:r>
    </w:p>
  </w:footnote>
  <w:footnote w:id="10">
    <w:p w:rsidR="00614497" w:rsidRDefault="00614497" w:rsidP="00EB72BD">
      <w:pPr>
        <w:pStyle w:val="FootnoteText"/>
      </w:pPr>
      <w:r>
        <w:rPr>
          <w:rStyle w:val="FootnoteReference"/>
        </w:rPr>
        <w:footnoteRef/>
      </w:r>
      <w:r>
        <w:t xml:space="preserve"> Abortion law across Australia – A review of nine jurisdictions; de Costa C, Douglas H, Hamblin J, Ramsay P, </w:t>
      </w:r>
      <w:proofErr w:type="spellStart"/>
      <w:r>
        <w:t>Shircore</w:t>
      </w:r>
      <w:proofErr w:type="spellEnd"/>
      <w:r>
        <w:t xml:space="preserve"> M; </w:t>
      </w:r>
      <w:r w:rsidRPr="00EB72BD">
        <w:t>Australian and New Zealand Journal of Obstetrics and Gynaecology</w:t>
      </w:r>
      <w:r>
        <w:t xml:space="preserve"> 2015</w:t>
      </w:r>
    </w:p>
  </w:footnote>
  <w:footnote w:id="11">
    <w:p w:rsidR="00614497" w:rsidRDefault="00614497">
      <w:pPr>
        <w:pStyle w:val="FootnoteText"/>
      </w:pPr>
      <w:r>
        <w:rPr>
          <w:rStyle w:val="FootnoteReference"/>
        </w:rPr>
        <w:footnoteRef/>
      </w:r>
      <w:r>
        <w:t xml:space="preserve"> </w:t>
      </w:r>
      <w:r w:rsidRPr="004134F6">
        <w:t>Doctors call for more GPs to provide abortion drug RU486</w:t>
      </w:r>
      <w:r>
        <w:t xml:space="preserve">; The Age; 27 August 2016; </w:t>
      </w:r>
      <w:hyperlink r:id="rId4" w:history="1">
        <w:r w:rsidRPr="00FD148F">
          <w:rPr>
            <w:rStyle w:val="Hyperlink"/>
          </w:rPr>
          <w:t>http://www.theage.com.au/victoria/doctors-call-for-more-gps-to-provide-abortion-drug-ru486-20160827-gr2kwh.html</w:t>
        </w:r>
      </w:hyperlink>
      <w:r>
        <w:t xml:space="preserve"> </w:t>
      </w:r>
    </w:p>
  </w:footnote>
  <w:footnote w:id="12">
    <w:p w:rsidR="00614497" w:rsidRDefault="00614497">
      <w:pPr>
        <w:pStyle w:val="FootnoteText"/>
      </w:pPr>
      <w:r>
        <w:rPr>
          <w:rStyle w:val="FootnoteReference"/>
        </w:rPr>
        <w:footnoteRef/>
      </w:r>
      <w:r>
        <w:t xml:space="preserve"> Australian Bureau of Statistics; Table</w:t>
      </w:r>
      <w:r w:rsidRPr="00EF5793">
        <w:t xml:space="preserve"> B9. Population projections, By age and sex, Australia - Series B</w:t>
      </w:r>
      <w:r>
        <w:t>; June 2013</w:t>
      </w:r>
    </w:p>
  </w:footnote>
  <w:footnote w:id="13">
    <w:p w:rsidR="00614497" w:rsidRDefault="00614497" w:rsidP="006948D6">
      <w:pPr>
        <w:pStyle w:val="FootnoteText"/>
      </w:pPr>
      <w:r>
        <w:rPr>
          <w:rStyle w:val="FootnoteReference"/>
        </w:rPr>
        <w:footnoteRef/>
      </w:r>
      <w:r>
        <w:t xml:space="preserve"> Annual report of the South Australian Abortion Reporting Committee </w:t>
      </w:r>
      <w:r w:rsidRPr="006948D6">
        <w:t>Tenth Annual Report - For the Year 2012</w:t>
      </w:r>
      <w:r>
        <w:t>; July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497" w:rsidRDefault="006144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497" w:rsidRDefault="006144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497" w:rsidRDefault="0061449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497" w:rsidRDefault="006144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B1873"/>
    <w:multiLevelType w:val="hybridMultilevel"/>
    <w:tmpl w:val="3268498C"/>
    <w:lvl w:ilvl="0" w:tplc="D04201CC">
      <w:start w:val="12"/>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1011873"/>
    <w:multiLevelType w:val="hybridMultilevel"/>
    <w:tmpl w:val="74626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72880EB7"/>
    <w:multiLevelType w:val="hybridMultilevel"/>
    <w:tmpl w:val="764013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7A80494A"/>
    <w:multiLevelType w:val="hybridMultilevel"/>
    <w:tmpl w:val="C840E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3089"/>
    <w:rsid w:val="00007E85"/>
    <w:rsid w:val="00013465"/>
    <w:rsid w:val="000226B3"/>
    <w:rsid w:val="00024549"/>
    <w:rsid w:val="000544B6"/>
    <w:rsid w:val="0005467C"/>
    <w:rsid w:val="00055D7E"/>
    <w:rsid w:val="000604AF"/>
    <w:rsid w:val="0006671A"/>
    <w:rsid w:val="00077717"/>
    <w:rsid w:val="00083075"/>
    <w:rsid w:val="00086C11"/>
    <w:rsid w:val="00094DCF"/>
    <w:rsid w:val="000956C6"/>
    <w:rsid w:val="000A3542"/>
    <w:rsid w:val="000A6CFD"/>
    <w:rsid w:val="000B0982"/>
    <w:rsid w:val="000B796C"/>
    <w:rsid w:val="000C3216"/>
    <w:rsid w:val="000C46BB"/>
    <w:rsid w:val="000C4D9D"/>
    <w:rsid w:val="000C7C4B"/>
    <w:rsid w:val="000C7D8B"/>
    <w:rsid w:val="000E19DC"/>
    <w:rsid w:val="000E485D"/>
    <w:rsid w:val="000E72C6"/>
    <w:rsid w:val="000F1893"/>
    <w:rsid w:val="000F2F51"/>
    <w:rsid w:val="000F64A1"/>
    <w:rsid w:val="001065CA"/>
    <w:rsid w:val="00106B13"/>
    <w:rsid w:val="00112A28"/>
    <w:rsid w:val="00113CF8"/>
    <w:rsid w:val="00113D74"/>
    <w:rsid w:val="00117C5C"/>
    <w:rsid w:val="00125062"/>
    <w:rsid w:val="001310AE"/>
    <w:rsid w:val="001420B3"/>
    <w:rsid w:val="00155ABF"/>
    <w:rsid w:val="0015691C"/>
    <w:rsid w:val="00157824"/>
    <w:rsid w:val="001621F7"/>
    <w:rsid w:val="001624D7"/>
    <w:rsid w:val="0016631C"/>
    <w:rsid w:val="00177B86"/>
    <w:rsid w:val="00182585"/>
    <w:rsid w:val="00191182"/>
    <w:rsid w:val="0019664D"/>
    <w:rsid w:val="001A32F1"/>
    <w:rsid w:val="001A382F"/>
    <w:rsid w:val="001A6103"/>
    <w:rsid w:val="001B5D37"/>
    <w:rsid w:val="001C2940"/>
    <w:rsid w:val="001C4016"/>
    <w:rsid w:val="001C548D"/>
    <w:rsid w:val="001C6A5D"/>
    <w:rsid w:val="001E2C2C"/>
    <w:rsid w:val="001E31A6"/>
    <w:rsid w:val="001E42C7"/>
    <w:rsid w:val="001E4CAB"/>
    <w:rsid w:val="001E54FC"/>
    <w:rsid w:val="001F2F3E"/>
    <w:rsid w:val="001F4906"/>
    <w:rsid w:val="001F4BB4"/>
    <w:rsid w:val="001F7C4A"/>
    <w:rsid w:val="0020578A"/>
    <w:rsid w:val="00206405"/>
    <w:rsid w:val="00207631"/>
    <w:rsid w:val="00211444"/>
    <w:rsid w:val="00211DD5"/>
    <w:rsid w:val="00214013"/>
    <w:rsid w:val="002159FE"/>
    <w:rsid w:val="00220FC1"/>
    <w:rsid w:val="00222E9A"/>
    <w:rsid w:val="0023179D"/>
    <w:rsid w:val="0025389D"/>
    <w:rsid w:val="002544EE"/>
    <w:rsid w:val="00254D81"/>
    <w:rsid w:val="00254E02"/>
    <w:rsid w:val="0026208F"/>
    <w:rsid w:val="0026265F"/>
    <w:rsid w:val="002763EA"/>
    <w:rsid w:val="00286C3A"/>
    <w:rsid w:val="002930F5"/>
    <w:rsid w:val="00296A6E"/>
    <w:rsid w:val="002A06B7"/>
    <w:rsid w:val="002A07F7"/>
    <w:rsid w:val="002A15CB"/>
    <w:rsid w:val="002A4064"/>
    <w:rsid w:val="002A7E10"/>
    <w:rsid w:val="002B3132"/>
    <w:rsid w:val="002B3271"/>
    <w:rsid w:val="002B45FD"/>
    <w:rsid w:val="002C1B98"/>
    <w:rsid w:val="002C6E0C"/>
    <w:rsid w:val="002D144A"/>
    <w:rsid w:val="002D6E33"/>
    <w:rsid w:val="002E19A3"/>
    <w:rsid w:val="002E212B"/>
    <w:rsid w:val="002E3337"/>
    <w:rsid w:val="002E6D03"/>
    <w:rsid w:val="002F49A8"/>
    <w:rsid w:val="002F5E66"/>
    <w:rsid w:val="002F61CA"/>
    <w:rsid w:val="0030010D"/>
    <w:rsid w:val="00323524"/>
    <w:rsid w:val="003337AC"/>
    <w:rsid w:val="0033504C"/>
    <w:rsid w:val="00336816"/>
    <w:rsid w:val="003370D0"/>
    <w:rsid w:val="00337355"/>
    <w:rsid w:val="003402E4"/>
    <w:rsid w:val="00340F95"/>
    <w:rsid w:val="00345F26"/>
    <w:rsid w:val="0034602C"/>
    <w:rsid w:val="003531ED"/>
    <w:rsid w:val="00354EA5"/>
    <w:rsid w:val="00357930"/>
    <w:rsid w:val="00360B9A"/>
    <w:rsid w:val="00360C92"/>
    <w:rsid w:val="00366127"/>
    <w:rsid w:val="0038019C"/>
    <w:rsid w:val="00383D42"/>
    <w:rsid w:val="0039017F"/>
    <w:rsid w:val="00394AEE"/>
    <w:rsid w:val="003B48B9"/>
    <w:rsid w:val="003C2D98"/>
    <w:rsid w:val="003D0A66"/>
    <w:rsid w:val="003D2C00"/>
    <w:rsid w:val="003D3A96"/>
    <w:rsid w:val="003D3B9C"/>
    <w:rsid w:val="003F1542"/>
    <w:rsid w:val="00402E9F"/>
    <w:rsid w:val="00404F03"/>
    <w:rsid w:val="00405E00"/>
    <w:rsid w:val="00412051"/>
    <w:rsid w:val="00412F4B"/>
    <w:rsid w:val="0041327E"/>
    <w:rsid w:val="004134F6"/>
    <w:rsid w:val="00422DAD"/>
    <w:rsid w:val="00423430"/>
    <w:rsid w:val="00423B94"/>
    <w:rsid w:val="00425E8E"/>
    <w:rsid w:val="0043147A"/>
    <w:rsid w:val="00443F9C"/>
    <w:rsid w:val="0044607C"/>
    <w:rsid w:val="004522FF"/>
    <w:rsid w:val="00454069"/>
    <w:rsid w:val="004613C5"/>
    <w:rsid w:val="00463667"/>
    <w:rsid w:val="00463731"/>
    <w:rsid w:val="0046400A"/>
    <w:rsid w:val="004655B1"/>
    <w:rsid w:val="00467B25"/>
    <w:rsid w:val="00481108"/>
    <w:rsid w:val="00482197"/>
    <w:rsid w:val="00486680"/>
    <w:rsid w:val="0049042B"/>
    <w:rsid w:val="00492BEF"/>
    <w:rsid w:val="00495473"/>
    <w:rsid w:val="004A458E"/>
    <w:rsid w:val="004B1E91"/>
    <w:rsid w:val="004B23E7"/>
    <w:rsid w:val="004B306F"/>
    <w:rsid w:val="004B6F85"/>
    <w:rsid w:val="004C3186"/>
    <w:rsid w:val="004C5042"/>
    <w:rsid w:val="004E4422"/>
    <w:rsid w:val="004E6124"/>
    <w:rsid w:val="00503998"/>
    <w:rsid w:val="0050623B"/>
    <w:rsid w:val="00521D88"/>
    <w:rsid w:val="00523181"/>
    <w:rsid w:val="00524D13"/>
    <w:rsid w:val="005316E2"/>
    <w:rsid w:val="00533277"/>
    <w:rsid w:val="005339F6"/>
    <w:rsid w:val="00542708"/>
    <w:rsid w:val="00545D23"/>
    <w:rsid w:val="005507BF"/>
    <w:rsid w:val="00555EC1"/>
    <w:rsid w:val="005652F2"/>
    <w:rsid w:val="00576B18"/>
    <w:rsid w:val="00582533"/>
    <w:rsid w:val="00586589"/>
    <w:rsid w:val="00587724"/>
    <w:rsid w:val="00591512"/>
    <w:rsid w:val="00592D79"/>
    <w:rsid w:val="005949CA"/>
    <w:rsid w:val="005A1C92"/>
    <w:rsid w:val="005B12E3"/>
    <w:rsid w:val="005B48B4"/>
    <w:rsid w:val="005C5DD9"/>
    <w:rsid w:val="005C6661"/>
    <w:rsid w:val="005C6E3B"/>
    <w:rsid w:val="005D474B"/>
    <w:rsid w:val="005E085C"/>
    <w:rsid w:val="005E147D"/>
    <w:rsid w:val="005E22C2"/>
    <w:rsid w:val="005E57BB"/>
    <w:rsid w:val="005F0017"/>
    <w:rsid w:val="006014F1"/>
    <w:rsid w:val="00610679"/>
    <w:rsid w:val="0061357B"/>
    <w:rsid w:val="00614497"/>
    <w:rsid w:val="00614A7D"/>
    <w:rsid w:val="0063631C"/>
    <w:rsid w:val="0063696C"/>
    <w:rsid w:val="0063757B"/>
    <w:rsid w:val="006377CE"/>
    <w:rsid w:val="00643592"/>
    <w:rsid w:val="00647D50"/>
    <w:rsid w:val="0065121D"/>
    <w:rsid w:val="006537D9"/>
    <w:rsid w:val="00655760"/>
    <w:rsid w:val="006632B9"/>
    <w:rsid w:val="00663FDF"/>
    <w:rsid w:val="00664A48"/>
    <w:rsid w:val="00665DEF"/>
    <w:rsid w:val="00675BB1"/>
    <w:rsid w:val="00675D56"/>
    <w:rsid w:val="006775F1"/>
    <w:rsid w:val="006812A6"/>
    <w:rsid w:val="006868C3"/>
    <w:rsid w:val="0069247C"/>
    <w:rsid w:val="00692AA7"/>
    <w:rsid w:val="006948D6"/>
    <w:rsid w:val="00697FEC"/>
    <w:rsid w:val="006A175F"/>
    <w:rsid w:val="006A2D59"/>
    <w:rsid w:val="006A44F5"/>
    <w:rsid w:val="006A565A"/>
    <w:rsid w:val="006B4537"/>
    <w:rsid w:val="006B5F85"/>
    <w:rsid w:val="006B6929"/>
    <w:rsid w:val="006B709B"/>
    <w:rsid w:val="006C3A13"/>
    <w:rsid w:val="006C54AF"/>
    <w:rsid w:val="006D32B9"/>
    <w:rsid w:val="006D497D"/>
    <w:rsid w:val="006E0181"/>
    <w:rsid w:val="006E45BC"/>
    <w:rsid w:val="006E66F4"/>
    <w:rsid w:val="006E6B02"/>
    <w:rsid w:val="006F0F55"/>
    <w:rsid w:val="00700C0E"/>
    <w:rsid w:val="007055B1"/>
    <w:rsid w:val="00705A4B"/>
    <w:rsid w:val="00705DAD"/>
    <w:rsid w:val="007149B6"/>
    <w:rsid w:val="007247B9"/>
    <w:rsid w:val="00724AAB"/>
    <w:rsid w:val="00727D85"/>
    <w:rsid w:val="007346C7"/>
    <w:rsid w:val="0073557C"/>
    <w:rsid w:val="00736041"/>
    <w:rsid w:val="00736A98"/>
    <w:rsid w:val="007408C7"/>
    <w:rsid w:val="00745AFD"/>
    <w:rsid w:val="007465DA"/>
    <w:rsid w:val="00752C7F"/>
    <w:rsid w:val="00753100"/>
    <w:rsid w:val="007562D7"/>
    <w:rsid w:val="00761DEC"/>
    <w:rsid w:val="00776598"/>
    <w:rsid w:val="00776FDB"/>
    <w:rsid w:val="007778D4"/>
    <w:rsid w:val="007859F9"/>
    <w:rsid w:val="007867AE"/>
    <w:rsid w:val="00792948"/>
    <w:rsid w:val="00796E84"/>
    <w:rsid w:val="007A1A5B"/>
    <w:rsid w:val="007A3ADE"/>
    <w:rsid w:val="007A5733"/>
    <w:rsid w:val="007A5774"/>
    <w:rsid w:val="007B69C3"/>
    <w:rsid w:val="007C51F8"/>
    <w:rsid w:val="007C6EF3"/>
    <w:rsid w:val="007D072E"/>
    <w:rsid w:val="007D2845"/>
    <w:rsid w:val="007D5907"/>
    <w:rsid w:val="007F3528"/>
    <w:rsid w:val="007F7ED0"/>
    <w:rsid w:val="00801E74"/>
    <w:rsid w:val="00804066"/>
    <w:rsid w:val="0080485E"/>
    <w:rsid w:val="00806AA6"/>
    <w:rsid w:val="00807043"/>
    <w:rsid w:val="008142B4"/>
    <w:rsid w:val="008162E2"/>
    <w:rsid w:val="00830769"/>
    <w:rsid w:val="008315D6"/>
    <w:rsid w:val="00831EAD"/>
    <w:rsid w:val="00832324"/>
    <w:rsid w:val="00835337"/>
    <w:rsid w:val="00846DCD"/>
    <w:rsid w:val="00851D85"/>
    <w:rsid w:val="00860CCB"/>
    <w:rsid w:val="00863883"/>
    <w:rsid w:val="008740A3"/>
    <w:rsid w:val="0088088C"/>
    <w:rsid w:val="00883CB2"/>
    <w:rsid w:val="008858D2"/>
    <w:rsid w:val="0089297B"/>
    <w:rsid w:val="00894590"/>
    <w:rsid w:val="008972E6"/>
    <w:rsid w:val="008979F2"/>
    <w:rsid w:val="008A7A63"/>
    <w:rsid w:val="008B1506"/>
    <w:rsid w:val="008B2F8D"/>
    <w:rsid w:val="008C36CA"/>
    <w:rsid w:val="008D4107"/>
    <w:rsid w:val="008E3F8C"/>
    <w:rsid w:val="009026B5"/>
    <w:rsid w:val="00902FD0"/>
    <w:rsid w:val="009053D3"/>
    <w:rsid w:val="0090691F"/>
    <w:rsid w:val="00910E70"/>
    <w:rsid w:val="009242D4"/>
    <w:rsid w:val="00926973"/>
    <w:rsid w:val="0093111F"/>
    <w:rsid w:val="009345FD"/>
    <w:rsid w:val="00935689"/>
    <w:rsid w:val="009430EE"/>
    <w:rsid w:val="009450F7"/>
    <w:rsid w:val="009452C6"/>
    <w:rsid w:val="00945A0E"/>
    <w:rsid w:val="00951D87"/>
    <w:rsid w:val="0095303B"/>
    <w:rsid w:val="009541AD"/>
    <w:rsid w:val="00960D77"/>
    <w:rsid w:val="009640C0"/>
    <w:rsid w:val="009663B6"/>
    <w:rsid w:val="00974A47"/>
    <w:rsid w:val="00980286"/>
    <w:rsid w:val="00986F82"/>
    <w:rsid w:val="00990DCF"/>
    <w:rsid w:val="009A4CD6"/>
    <w:rsid w:val="009A537C"/>
    <w:rsid w:val="009B7578"/>
    <w:rsid w:val="009C0886"/>
    <w:rsid w:val="009C19EE"/>
    <w:rsid w:val="009C1CDB"/>
    <w:rsid w:val="009C28D0"/>
    <w:rsid w:val="009C35F2"/>
    <w:rsid w:val="009C7782"/>
    <w:rsid w:val="009D1ED5"/>
    <w:rsid w:val="009D4C13"/>
    <w:rsid w:val="009D6137"/>
    <w:rsid w:val="009E21A7"/>
    <w:rsid w:val="00A103ED"/>
    <w:rsid w:val="00A13C60"/>
    <w:rsid w:val="00A1601E"/>
    <w:rsid w:val="00A341A3"/>
    <w:rsid w:val="00A35800"/>
    <w:rsid w:val="00A46D7E"/>
    <w:rsid w:val="00A52918"/>
    <w:rsid w:val="00A53733"/>
    <w:rsid w:val="00A547B3"/>
    <w:rsid w:val="00A61E23"/>
    <w:rsid w:val="00A70E82"/>
    <w:rsid w:val="00A84CAD"/>
    <w:rsid w:val="00A90E50"/>
    <w:rsid w:val="00A95FA5"/>
    <w:rsid w:val="00A96D92"/>
    <w:rsid w:val="00AA30B4"/>
    <w:rsid w:val="00AB1726"/>
    <w:rsid w:val="00AB3733"/>
    <w:rsid w:val="00AB7897"/>
    <w:rsid w:val="00AC06B7"/>
    <w:rsid w:val="00AC5054"/>
    <w:rsid w:val="00AD0B9F"/>
    <w:rsid w:val="00AD1202"/>
    <w:rsid w:val="00AE4BAC"/>
    <w:rsid w:val="00AF0C36"/>
    <w:rsid w:val="00B034FC"/>
    <w:rsid w:val="00B05310"/>
    <w:rsid w:val="00B10A0B"/>
    <w:rsid w:val="00B13120"/>
    <w:rsid w:val="00B22AB6"/>
    <w:rsid w:val="00B30D85"/>
    <w:rsid w:val="00B35A4A"/>
    <w:rsid w:val="00B46EA2"/>
    <w:rsid w:val="00B50591"/>
    <w:rsid w:val="00B50CA8"/>
    <w:rsid w:val="00B512EE"/>
    <w:rsid w:val="00B55D2D"/>
    <w:rsid w:val="00B60935"/>
    <w:rsid w:val="00B63FD7"/>
    <w:rsid w:val="00B74B43"/>
    <w:rsid w:val="00B816D9"/>
    <w:rsid w:val="00B82221"/>
    <w:rsid w:val="00B9120F"/>
    <w:rsid w:val="00B9216C"/>
    <w:rsid w:val="00B924A4"/>
    <w:rsid w:val="00B9568A"/>
    <w:rsid w:val="00B95823"/>
    <w:rsid w:val="00BA3E8D"/>
    <w:rsid w:val="00BA6F1A"/>
    <w:rsid w:val="00BB0D1A"/>
    <w:rsid w:val="00BB1D3B"/>
    <w:rsid w:val="00BC35ED"/>
    <w:rsid w:val="00BE205A"/>
    <w:rsid w:val="00BE3802"/>
    <w:rsid w:val="00BE4563"/>
    <w:rsid w:val="00BF238E"/>
    <w:rsid w:val="00BF2F4A"/>
    <w:rsid w:val="00BF544D"/>
    <w:rsid w:val="00C0076F"/>
    <w:rsid w:val="00C0301C"/>
    <w:rsid w:val="00C050B6"/>
    <w:rsid w:val="00C10F12"/>
    <w:rsid w:val="00C245EA"/>
    <w:rsid w:val="00C256F6"/>
    <w:rsid w:val="00C25FCE"/>
    <w:rsid w:val="00C3097E"/>
    <w:rsid w:val="00C33A93"/>
    <w:rsid w:val="00C35ECC"/>
    <w:rsid w:val="00C361A8"/>
    <w:rsid w:val="00C41246"/>
    <w:rsid w:val="00C431E8"/>
    <w:rsid w:val="00C45E5F"/>
    <w:rsid w:val="00C46291"/>
    <w:rsid w:val="00C5081D"/>
    <w:rsid w:val="00C5485E"/>
    <w:rsid w:val="00C63412"/>
    <w:rsid w:val="00C714D0"/>
    <w:rsid w:val="00C90EF4"/>
    <w:rsid w:val="00C936F8"/>
    <w:rsid w:val="00CA015A"/>
    <w:rsid w:val="00CA4868"/>
    <w:rsid w:val="00CA59C1"/>
    <w:rsid w:val="00CA5FC3"/>
    <w:rsid w:val="00CA71F6"/>
    <w:rsid w:val="00CB4A7B"/>
    <w:rsid w:val="00CC1AA3"/>
    <w:rsid w:val="00CC2328"/>
    <w:rsid w:val="00CD31F2"/>
    <w:rsid w:val="00CD4486"/>
    <w:rsid w:val="00CE045A"/>
    <w:rsid w:val="00CF02AC"/>
    <w:rsid w:val="00CF5E22"/>
    <w:rsid w:val="00CF62C1"/>
    <w:rsid w:val="00D06A44"/>
    <w:rsid w:val="00D151EB"/>
    <w:rsid w:val="00D2565F"/>
    <w:rsid w:val="00D300E0"/>
    <w:rsid w:val="00D374CD"/>
    <w:rsid w:val="00D57140"/>
    <w:rsid w:val="00D62AA6"/>
    <w:rsid w:val="00D650CE"/>
    <w:rsid w:val="00D65804"/>
    <w:rsid w:val="00D669A3"/>
    <w:rsid w:val="00D71719"/>
    <w:rsid w:val="00D776DA"/>
    <w:rsid w:val="00D81A16"/>
    <w:rsid w:val="00D8758B"/>
    <w:rsid w:val="00D942B3"/>
    <w:rsid w:val="00D94863"/>
    <w:rsid w:val="00DA7D09"/>
    <w:rsid w:val="00DB472E"/>
    <w:rsid w:val="00DC2630"/>
    <w:rsid w:val="00DC49E9"/>
    <w:rsid w:val="00DC55E4"/>
    <w:rsid w:val="00DC7D71"/>
    <w:rsid w:val="00DD188C"/>
    <w:rsid w:val="00DD29A3"/>
    <w:rsid w:val="00DD48EE"/>
    <w:rsid w:val="00DE0B96"/>
    <w:rsid w:val="00DE10B9"/>
    <w:rsid w:val="00DE2526"/>
    <w:rsid w:val="00DF0B13"/>
    <w:rsid w:val="00DF2EB8"/>
    <w:rsid w:val="00DF4A94"/>
    <w:rsid w:val="00DF5A2D"/>
    <w:rsid w:val="00DF6003"/>
    <w:rsid w:val="00E00095"/>
    <w:rsid w:val="00E066C3"/>
    <w:rsid w:val="00E06C99"/>
    <w:rsid w:val="00E10969"/>
    <w:rsid w:val="00E10D8C"/>
    <w:rsid w:val="00E1353A"/>
    <w:rsid w:val="00E1564B"/>
    <w:rsid w:val="00E156D9"/>
    <w:rsid w:val="00E208A0"/>
    <w:rsid w:val="00E221FA"/>
    <w:rsid w:val="00E25B49"/>
    <w:rsid w:val="00E371EA"/>
    <w:rsid w:val="00E37A15"/>
    <w:rsid w:val="00E40860"/>
    <w:rsid w:val="00E41ABF"/>
    <w:rsid w:val="00E44340"/>
    <w:rsid w:val="00E4527E"/>
    <w:rsid w:val="00E64429"/>
    <w:rsid w:val="00E677DD"/>
    <w:rsid w:val="00E7594B"/>
    <w:rsid w:val="00E8027E"/>
    <w:rsid w:val="00E81CAE"/>
    <w:rsid w:val="00E86E52"/>
    <w:rsid w:val="00E96409"/>
    <w:rsid w:val="00E9653A"/>
    <w:rsid w:val="00EA635C"/>
    <w:rsid w:val="00EB0BFD"/>
    <w:rsid w:val="00EB4688"/>
    <w:rsid w:val="00EB6C07"/>
    <w:rsid w:val="00EB72BD"/>
    <w:rsid w:val="00EC028D"/>
    <w:rsid w:val="00ED633B"/>
    <w:rsid w:val="00EE478C"/>
    <w:rsid w:val="00EF5793"/>
    <w:rsid w:val="00EF780D"/>
    <w:rsid w:val="00F002F7"/>
    <w:rsid w:val="00F06A97"/>
    <w:rsid w:val="00F1132C"/>
    <w:rsid w:val="00F15DD5"/>
    <w:rsid w:val="00F17D4B"/>
    <w:rsid w:val="00F23139"/>
    <w:rsid w:val="00F33FCA"/>
    <w:rsid w:val="00F47F8C"/>
    <w:rsid w:val="00F65232"/>
    <w:rsid w:val="00F66CD5"/>
    <w:rsid w:val="00F67A9A"/>
    <w:rsid w:val="00F70F4E"/>
    <w:rsid w:val="00F73113"/>
    <w:rsid w:val="00F7557A"/>
    <w:rsid w:val="00F756EB"/>
    <w:rsid w:val="00F75A88"/>
    <w:rsid w:val="00F75FC4"/>
    <w:rsid w:val="00F85981"/>
    <w:rsid w:val="00F87263"/>
    <w:rsid w:val="00F90FFB"/>
    <w:rsid w:val="00F9229F"/>
    <w:rsid w:val="00F93725"/>
    <w:rsid w:val="00F9782D"/>
    <w:rsid w:val="00FA4890"/>
    <w:rsid w:val="00FA6E8E"/>
    <w:rsid w:val="00FB333F"/>
    <w:rsid w:val="00FB4CCF"/>
    <w:rsid w:val="00FB77FA"/>
    <w:rsid w:val="00FC3C70"/>
    <w:rsid w:val="00FC4A73"/>
    <w:rsid w:val="00FC559C"/>
    <w:rsid w:val="00FC7F0D"/>
    <w:rsid w:val="00FD6D45"/>
    <w:rsid w:val="00FE0AB2"/>
    <w:rsid w:val="00FE3414"/>
    <w:rsid w:val="00FE645A"/>
    <w:rsid w:val="00FF34B1"/>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68A"/>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styleId="EndnoteText">
    <w:name w:val="endnote text"/>
    <w:basedOn w:val="Normal"/>
    <w:link w:val="EndnoteTextChar"/>
    <w:uiPriority w:val="99"/>
    <w:semiHidden/>
    <w:unhideWhenUsed/>
    <w:rsid w:val="006E6B02"/>
    <w:pPr>
      <w:spacing w:after="0"/>
    </w:pPr>
    <w:rPr>
      <w:sz w:val="20"/>
      <w:szCs w:val="20"/>
    </w:rPr>
  </w:style>
  <w:style w:type="character" w:customStyle="1" w:styleId="EndnoteTextChar">
    <w:name w:val="Endnote Text Char"/>
    <w:basedOn w:val="DefaultParagraphFont"/>
    <w:link w:val="EndnoteText"/>
    <w:uiPriority w:val="99"/>
    <w:semiHidden/>
    <w:rsid w:val="006E6B02"/>
    <w:rPr>
      <w:sz w:val="20"/>
      <w:szCs w:val="20"/>
    </w:rPr>
  </w:style>
  <w:style w:type="character" w:styleId="EndnoteReference">
    <w:name w:val="endnote reference"/>
    <w:basedOn w:val="DefaultParagraphFont"/>
    <w:uiPriority w:val="99"/>
    <w:semiHidden/>
    <w:unhideWhenUsed/>
    <w:rsid w:val="006E6B02"/>
    <w:rPr>
      <w:vertAlign w:val="superscript"/>
    </w:rPr>
  </w:style>
  <w:style w:type="paragraph" w:customStyle="1" w:styleId="Default">
    <w:name w:val="Default"/>
    <w:rsid w:val="00CA59C1"/>
    <w:pPr>
      <w:autoSpaceDE w:val="0"/>
      <w:autoSpaceDN w:val="0"/>
      <w:adjustRightInd w:val="0"/>
      <w:spacing w:after="0" w:line="240" w:lineRule="auto"/>
    </w:pPr>
    <w:rPr>
      <w:rFonts w:ascii="Gotham XNarrow Book" w:hAnsi="Gotham XNarrow Book" w:cs="Gotham XNarrow Book"/>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68A"/>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styleId="EndnoteText">
    <w:name w:val="endnote text"/>
    <w:basedOn w:val="Normal"/>
    <w:link w:val="EndnoteTextChar"/>
    <w:uiPriority w:val="99"/>
    <w:semiHidden/>
    <w:unhideWhenUsed/>
    <w:rsid w:val="006E6B02"/>
    <w:pPr>
      <w:spacing w:after="0"/>
    </w:pPr>
    <w:rPr>
      <w:sz w:val="20"/>
      <w:szCs w:val="20"/>
    </w:rPr>
  </w:style>
  <w:style w:type="character" w:customStyle="1" w:styleId="EndnoteTextChar">
    <w:name w:val="Endnote Text Char"/>
    <w:basedOn w:val="DefaultParagraphFont"/>
    <w:link w:val="EndnoteText"/>
    <w:uiPriority w:val="99"/>
    <w:semiHidden/>
    <w:rsid w:val="006E6B02"/>
    <w:rPr>
      <w:sz w:val="20"/>
      <w:szCs w:val="20"/>
    </w:rPr>
  </w:style>
  <w:style w:type="character" w:styleId="EndnoteReference">
    <w:name w:val="endnote reference"/>
    <w:basedOn w:val="DefaultParagraphFont"/>
    <w:uiPriority w:val="99"/>
    <w:semiHidden/>
    <w:unhideWhenUsed/>
    <w:rsid w:val="006E6B02"/>
    <w:rPr>
      <w:vertAlign w:val="superscript"/>
    </w:rPr>
  </w:style>
  <w:style w:type="paragraph" w:customStyle="1" w:styleId="Default">
    <w:name w:val="Default"/>
    <w:rsid w:val="00CA59C1"/>
    <w:pPr>
      <w:autoSpaceDE w:val="0"/>
      <w:autoSpaceDN w:val="0"/>
      <w:adjustRightInd w:val="0"/>
      <w:spacing w:after="0" w:line="240" w:lineRule="auto"/>
    </w:pPr>
    <w:rPr>
      <w:rFonts w:ascii="Gotham XNarrow Book" w:hAnsi="Gotham XNarrow Book" w:cs="Gotham XNarrow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429686">
      <w:bodyDiv w:val="1"/>
      <w:marLeft w:val="0"/>
      <w:marRight w:val="0"/>
      <w:marTop w:val="0"/>
      <w:marBottom w:val="0"/>
      <w:divBdr>
        <w:top w:val="none" w:sz="0" w:space="0" w:color="auto"/>
        <w:left w:val="none" w:sz="0" w:space="0" w:color="auto"/>
        <w:bottom w:val="none" w:sz="0" w:space="0" w:color="auto"/>
        <w:right w:val="none" w:sz="0" w:space="0" w:color="auto"/>
      </w:divBdr>
    </w:div>
    <w:div w:id="243884924">
      <w:bodyDiv w:val="1"/>
      <w:marLeft w:val="0"/>
      <w:marRight w:val="0"/>
      <w:marTop w:val="0"/>
      <w:marBottom w:val="0"/>
      <w:divBdr>
        <w:top w:val="none" w:sz="0" w:space="0" w:color="auto"/>
        <w:left w:val="none" w:sz="0" w:space="0" w:color="auto"/>
        <w:bottom w:val="none" w:sz="0" w:space="0" w:color="auto"/>
        <w:right w:val="none" w:sz="0" w:space="0" w:color="auto"/>
      </w:divBdr>
    </w:div>
    <w:div w:id="361126233">
      <w:bodyDiv w:val="1"/>
      <w:marLeft w:val="0"/>
      <w:marRight w:val="0"/>
      <w:marTop w:val="0"/>
      <w:marBottom w:val="0"/>
      <w:divBdr>
        <w:top w:val="none" w:sz="0" w:space="0" w:color="auto"/>
        <w:left w:val="none" w:sz="0" w:space="0" w:color="auto"/>
        <w:bottom w:val="none" w:sz="0" w:space="0" w:color="auto"/>
        <w:right w:val="none" w:sz="0" w:space="0" w:color="auto"/>
      </w:divBdr>
    </w:div>
    <w:div w:id="379522268">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45123485">
      <w:bodyDiv w:val="1"/>
      <w:marLeft w:val="0"/>
      <w:marRight w:val="0"/>
      <w:marTop w:val="0"/>
      <w:marBottom w:val="0"/>
      <w:divBdr>
        <w:top w:val="none" w:sz="0" w:space="0" w:color="auto"/>
        <w:left w:val="none" w:sz="0" w:space="0" w:color="auto"/>
        <w:bottom w:val="none" w:sz="0" w:space="0" w:color="auto"/>
        <w:right w:val="none" w:sz="0" w:space="0" w:color="auto"/>
      </w:divBdr>
    </w:div>
    <w:div w:id="456990827">
      <w:bodyDiv w:val="1"/>
      <w:marLeft w:val="0"/>
      <w:marRight w:val="0"/>
      <w:marTop w:val="0"/>
      <w:marBottom w:val="0"/>
      <w:divBdr>
        <w:top w:val="none" w:sz="0" w:space="0" w:color="auto"/>
        <w:left w:val="none" w:sz="0" w:space="0" w:color="auto"/>
        <w:bottom w:val="none" w:sz="0" w:space="0" w:color="auto"/>
        <w:right w:val="none" w:sz="0" w:space="0" w:color="auto"/>
      </w:divBdr>
    </w:div>
    <w:div w:id="553084366">
      <w:bodyDiv w:val="1"/>
      <w:marLeft w:val="0"/>
      <w:marRight w:val="0"/>
      <w:marTop w:val="0"/>
      <w:marBottom w:val="0"/>
      <w:divBdr>
        <w:top w:val="none" w:sz="0" w:space="0" w:color="auto"/>
        <w:left w:val="none" w:sz="0" w:space="0" w:color="auto"/>
        <w:bottom w:val="none" w:sz="0" w:space="0" w:color="auto"/>
        <w:right w:val="none" w:sz="0" w:space="0" w:color="auto"/>
      </w:divBdr>
    </w:div>
    <w:div w:id="568228126">
      <w:bodyDiv w:val="1"/>
      <w:marLeft w:val="0"/>
      <w:marRight w:val="0"/>
      <w:marTop w:val="0"/>
      <w:marBottom w:val="0"/>
      <w:divBdr>
        <w:top w:val="none" w:sz="0" w:space="0" w:color="auto"/>
        <w:left w:val="none" w:sz="0" w:space="0" w:color="auto"/>
        <w:bottom w:val="none" w:sz="0" w:space="0" w:color="auto"/>
        <w:right w:val="none" w:sz="0" w:space="0" w:color="auto"/>
      </w:divBdr>
    </w:div>
    <w:div w:id="772240732">
      <w:bodyDiv w:val="1"/>
      <w:marLeft w:val="0"/>
      <w:marRight w:val="0"/>
      <w:marTop w:val="0"/>
      <w:marBottom w:val="0"/>
      <w:divBdr>
        <w:top w:val="none" w:sz="0" w:space="0" w:color="auto"/>
        <w:left w:val="none" w:sz="0" w:space="0" w:color="auto"/>
        <w:bottom w:val="none" w:sz="0" w:space="0" w:color="auto"/>
        <w:right w:val="none" w:sz="0" w:space="0" w:color="auto"/>
      </w:divBdr>
    </w:div>
    <w:div w:id="775489153">
      <w:bodyDiv w:val="1"/>
      <w:marLeft w:val="0"/>
      <w:marRight w:val="0"/>
      <w:marTop w:val="0"/>
      <w:marBottom w:val="0"/>
      <w:divBdr>
        <w:top w:val="none" w:sz="0" w:space="0" w:color="auto"/>
        <w:left w:val="none" w:sz="0" w:space="0" w:color="auto"/>
        <w:bottom w:val="none" w:sz="0" w:space="0" w:color="auto"/>
        <w:right w:val="none" w:sz="0" w:space="0" w:color="auto"/>
      </w:divBdr>
    </w:div>
    <w:div w:id="967856744">
      <w:bodyDiv w:val="1"/>
      <w:marLeft w:val="0"/>
      <w:marRight w:val="0"/>
      <w:marTop w:val="0"/>
      <w:marBottom w:val="0"/>
      <w:divBdr>
        <w:top w:val="none" w:sz="0" w:space="0" w:color="auto"/>
        <w:left w:val="none" w:sz="0" w:space="0" w:color="auto"/>
        <w:bottom w:val="none" w:sz="0" w:space="0" w:color="auto"/>
        <w:right w:val="none" w:sz="0" w:space="0" w:color="auto"/>
      </w:divBdr>
    </w:div>
    <w:div w:id="1067993165">
      <w:bodyDiv w:val="1"/>
      <w:marLeft w:val="0"/>
      <w:marRight w:val="0"/>
      <w:marTop w:val="0"/>
      <w:marBottom w:val="0"/>
      <w:divBdr>
        <w:top w:val="none" w:sz="0" w:space="0" w:color="auto"/>
        <w:left w:val="none" w:sz="0" w:space="0" w:color="auto"/>
        <w:bottom w:val="none" w:sz="0" w:space="0" w:color="auto"/>
        <w:right w:val="none" w:sz="0" w:space="0" w:color="auto"/>
      </w:divBdr>
    </w:div>
    <w:div w:id="1163816972">
      <w:bodyDiv w:val="1"/>
      <w:marLeft w:val="0"/>
      <w:marRight w:val="0"/>
      <w:marTop w:val="0"/>
      <w:marBottom w:val="0"/>
      <w:divBdr>
        <w:top w:val="none" w:sz="0" w:space="0" w:color="auto"/>
        <w:left w:val="none" w:sz="0" w:space="0" w:color="auto"/>
        <w:bottom w:val="none" w:sz="0" w:space="0" w:color="auto"/>
        <w:right w:val="none" w:sz="0" w:space="0" w:color="auto"/>
      </w:divBdr>
    </w:div>
    <w:div w:id="1595242479">
      <w:bodyDiv w:val="1"/>
      <w:marLeft w:val="0"/>
      <w:marRight w:val="0"/>
      <w:marTop w:val="0"/>
      <w:marBottom w:val="0"/>
      <w:divBdr>
        <w:top w:val="none" w:sz="0" w:space="0" w:color="auto"/>
        <w:left w:val="none" w:sz="0" w:space="0" w:color="auto"/>
        <w:bottom w:val="none" w:sz="0" w:space="0" w:color="auto"/>
        <w:right w:val="none" w:sz="0" w:space="0" w:color="auto"/>
      </w:divBdr>
    </w:div>
    <w:div w:id="1625381620">
      <w:bodyDiv w:val="1"/>
      <w:marLeft w:val="0"/>
      <w:marRight w:val="0"/>
      <w:marTop w:val="0"/>
      <w:marBottom w:val="0"/>
      <w:divBdr>
        <w:top w:val="none" w:sz="0" w:space="0" w:color="auto"/>
        <w:left w:val="none" w:sz="0" w:space="0" w:color="auto"/>
        <w:bottom w:val="none" w:sz="0" w:space="0" w:color="auto"/>
        <w:right w:val="none" w:sz="0" w:space="0" w:color="auto"/>
      </w:divBdr>
    </w:div>
    <w:div w:id="1664890790">
      <w:bodyDiv w:val="1"/>
      <w:marLeft w:val="0"/>
      <w:marRight w:val="0"/>
      <w:marTop w:val="0"/>
      <w:marBottom w:val="0"/>
      <w:divBdr>
        <w:top w:val="none" w:sz="0" w:space="0" w:color="auto"/>
        <w:left w:val="none" w:sz="0" w:space="0" w:color="auto"/>
        <w:bottom w:val="none" w:sz="0" w:space="0" w:color="auto"/>
        <w:right w:val="none" w:sz="0" w:space="0" w:color="auto"/>
      </w:divBdr>
    </w:div>
    <w:div w:id="1782265946">
      <w:bodyDiv w:val="1"/>
      <w:marLeft w:val="0"/>
      <w:marRight w:val="0"/>
      <w:marTop w:val="0"/>
      <w:marBottom w:val="0"/>
      <w:divBdr>
        <w:top w:val="none" w:sz="0" w:space="0" w:color="auto"/>
        <w:left w:val="none" w:sz="0" w:space="0" w:color="auto"/>
        <w:bottom w:val="none" w:sz="0" w:space="0" w:color="auto"/>
        <w:right w:val="none" w:sz="0" w:space="0" w:color="auto"/>
      </w:divBdr>
    </w:div>
    <w:div w:id="1860389059">
      <w:bodyDiv w:val="1"/>
      <w:marLeft w:val="0"/>
      <w:marRight w:val="0"/>
      <w:marTop w:val="0"/>
      <w:marBottom w:val="0"/>
      <w:divBdr>
        <w:top w:val="none" w:sz="0" w:space="0" w:color="auto"/>
        <w:left w:val="none" w:sz="0" w:space="0" w:color="auto"/>
        <w:bottom w:val="none" w:sz="0" w:space="0" w:color="auto"/>
        <w:right w:val="none" w:sz="0" w:space="0" w:color="auto"/>
      </w:divBdr>
    </w:div>
    <w:div w:id="2043169228">
      <w:bodyDiv w:val="1"/>
      <w:marLeft w:val="0"/>
      <w:marRight w:val="0"/>
      <w:marTop w:val="0"/>
      <w:marBottom w:val="0"/>
      <w:divBdr>
        <w:top w:val="none" w:sz="0" w:space="0" w:color="auto"/>
        <w:left w:val="none" w:sz="0" w:space="0" w:color="auto"/>
        <w:bottom w:val="none" w:sz="0" w:space="0" w:color="auto"/>
        <w:right w:val="none" w:sz="0" w:space="0" w:color="auto"/>
      </w:divBdr>
    </w:div>
    <w:div w:id="208845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medicareaustralia.gov.au/provider/pbs/stats.jsp" TargetMode="External"/><Relationship Id="rId2" Type="http://schemas.openxmlformats.org/officeDocument/2006/relationships/hyperlink" Target="https://www.ebs.tga.gov.au/ebs/picmi/picmirepository.nsf/pdf?OpenAgent&amp;id=CP-2012-PI-02513-1&amp;d=2016083116114622483" TargetMode="External"/><Relationship Id="rId1" Type="http://schemas.openxmlformats.org/officeDocument/2006/relationships/hyperlink" Target="https://www.ebs.tga.gov.au/ebs/picmi/picmirepository.nsf/pdf?OpenAgent&amp;id=CP-2015-CMI-01028-1&amp;d=2016070516114622483" TargetMode="External"/><Relationship Id="rId4" Type="http://schemas.openxmlformats.org/officeDocument/2006/relationships/hyperlink" Target="http://www.theage.com.au/victoria/doctors-call-for-more-gps-to-provide-abortion-drug-ru486-20160827-gr2kw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Harvard – Anglia 2008">
  <b:Source>
    <b:Tag>gfg</b:Tag>
    <b:SourceType>InternetSite</b:SourceType>
    <b:Guid>{0B238AD9-C1E5-4D8D-B6BF-B24C299DEB78}</b:Guid>
    <b:Author>
      <b:Author>
        <b:NameList>
          <b:Person>
            <b:Last>gfgdf</b:Last>
          </b:Person>
        </b:NameList>
      </b:Author>
    </b:Author>
    <b:RefOrder>2</b:RefOrder>
  </b:Source>
</b:Sources>
</file>

<file path=customXml/itemProps1.xml><?xml version="1.0" encoding="utf-8"?>
<ds:datastoreItem xmlns:ds="http://schemas.openxmlformats.org/officeDocument/2006/customXml" ds:itemID="{1748D754-8FDE-4863-9FB8-907BBEC16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4035</Words>
  <Characters>23004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2017-02-21T22:18:00Z</dcterms:created>
  <dcterms:modified xsi:type="dcterms:W3CDTF">2017-02-21T22:19:00Z</dcterms:modified>
</cp:coreProperties>
</file>