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5A921D2A" w:rsidR="00832324" w:rsidRDefault="00D07D51" w:rsidP="00F73113">
      <w:pPr>
        <w:pStyle w:val="Title"/>
      </w:pPr>
      <w:r>
        <w:t xml:space="preserve">Antipsychotic medicines: </w:t>
      </w:r>
      <w:r w:rsidR="003134CE">
        <w:t xml:space="preserve">24 month review of </w:t>
      </w:r>
      <w:r w:rsidR="0013141E">
        <w:t xml:space="preserve">quetiapine 25 mg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E68537F" w:rsidR="009053D3" w:rsidRPr="001E05E6" w:rsidRDefault="007201D8" w:rsidP="001E05E6">
      <w:pPr>
        <w:rPr>
          <w:b/>
          <w:i/>
        </w:rPr>
      </w:pPr>
      <w:r w:rsidRPr="001E05E6">
        <w:rPr>
          <w:b/>
          <w:i/>
        </w:rPr>
        <w:t>September</w:t>
      </w:r>
      <w:r w:rsidR="003134CE" w:rsidRPr="001E05E6">
        <w:rPr>
          <w:b/>
          <w:i/>
        </w:rPr>
        <w:t xml:space="preserve"> 2016</w:t>
      </w:r>
    </w:p>
    <w:p w14:paraId="1494B8AD" w14:textId="77777777" w:rsidR="005C6661" w:rsidRPr="00CF5E22" w:rsidRDefault="005C6661" w:rsidP="00CF5E22">
      <w:pPr>
        <w:pStyle w:val="Heading2"/>
      </w:pPr>
      <w:r w:rsidRPr="00CF5E22">
        <w:t>Abstract</w:t>
      </w:r>
    </w:p>
    <w:p w14:paraId="053F3EA7" w14:textId="2C58E093" w:rsidR="003134CE" w:rsidRPr="00090638" w:rsidRDefault="005C6661" w:rsidP="00090638">
      <w:pPr>
        <w:pStyle w:val="Heading3"/>
      </w:pPr>
      <w:r w:rsidRPr="00CF5E22">
        <w:t>Purpose</w:t>
      </w:r>
    </w:p>
    <w:p w14:paraId="70A05845" w14:textId="3F73C706" w:rsidR="005C6661" w:rsidRDefault="001867BA" w:rsidP="003134CE">
      <w:r>
        <w:rPr>
          <w:rFonts w:cs="Arial"/>
          <w:color w:val="000000" w:themeColor="text1"/>
          <w:kern w:val="24"/>
        </w:rPr>
        <w:t xml:space="preserve">To review the </w:t>
      </w:r>
      <w:r w:rsidRPr="001867BA">
        <w:rPr>
          <w:rFonts w:cs="Arial"/>
          <w:color w:val="000000" w:themeColor="text1"/>
          <w:kern w:val="24"/>
        </w:rPr>
        <w:t xml:space="preserve">utilisation of PBS listed antipsychotic medicines, including </w:t>
      </w:r>
      <w:r>
        <w:rPr>
          <w:rFonts w:cs="Arial"/>
          <w:color w:val="000000" w:themeColor="text1"/>
          <w:kern w:val="24"/>
        </w:rPr>
        <w:t>changes in</w:t>
      </w:r>
      <w:r w:rsidRPr="001867BA">
        <w:rPr>
          <w:rFonts w:cs="Arial"/>
          <w:color w:val="000000" w:themeColor="text1"/>
          <w:kern w:val="24"/>
        </w:rPr>
        <w:t xml:space="preserve"> use of 25 mg quetiapine </w:t>
      </w:r>
      <w:r>
        <w:rPr>
          <w:rFonts w:cs="Arial"/>
          <w:color w:val="000000" w:themeColor="text1"/>
          <w:kern w:val="24"/>
        </w:rPr>
        <w:t xml:space="preserve">in the 24 months </w:t>
      </w:r>
      <w:r w:rsidRPr="001867BA">
        <w:rPr>
          <w:rFonts w:cs="Arial"/>
          <w:color w:val="000000" w:themeColor="text1"/>
          <w:kern w:val="24"/>
        </w:rPr>
        <w:t>after the restriction was altered to remove repeats from PBS prescriptions.</w:t>
      </w:r>
      <w:r>
        <w:rPr>
          <w:rFonts w:cs="Arial"/>
          <w:color w:val="000000" w:themeColor="text1"/>
          <w:kern w:val="24"/>
        </w:rPr>
        <w:t xml:space="preserve"> </w:t>
      </w:r>
    </w:p>
    <w:p w14:paraId="03538E7F" w14:textId="57A703C0" w:rsidR="002D144A" w:rsidRDefault="003D0BA2" w:rsidP="00CF5E22">
      <w:pPr>
        <w:pStyle w:val="Heading3"/>
      </w:pPr>
      <w:r>
        <w:t>L</w:t>
      </w:r>
      <w:r w:rsidR="002D144A">
        <w:t>isting on the P</w:t>
      </w:r>
      <w:r w:rsidR="00A95FA5">
        <w:t xml:space="preserve">harmaceutical </w:t>
      </w:r>
      <w:r w:rsidR="002D144A">
        <w:t>B</w:t>
      </w:r>
      <w:r w:rsidR="00A95FA5">
        <w:t xml:space="preserve">enefits </w:t>
      </w:r>
      <w:r w:rsidR="002D144A">
        <w:t>S</w:t>
      </w:r>
      <w:r w:rsidR="00A95FA5">
        <w:t>cheme (PBS)</w:t>
      </w:r>
    </w:p>
    <w:p w14:paraId="2003AA4F" w14:textId="2B29B927" w:rsidR="00C95091" w:rsidRDefault="00504590" w:rsidP="002D144A">
      <w:pPr>
        <w:rPr>
          <w:rFonts w:cs="Arial"/>
          <w:color w:val="000000" w:themeColor="text1"/>
          <w:kern w:val="24"/>
        </w:rPr>
      </w:pPr>
      <w:r>
        <w:rPr>
          <w:rFonts w:cs="Arial"/>
          <w:color w:val="000000" w:themeColor="text1"/>
          <w:kern w:val="24"/>
        </w:rPr>
        <w:t>Quetiapine</w:t>
      </w:r>
      <w:r w:rsidR="00F34D00">
        <w:rPr>
          <w:rFonts w:cs="Arial"/>
          <w:color w:val="000000" w:themeColor="text1"/>
          <w:kern w:val="24"/>
        </w:rPr>
        <w:t xml:space="preserve"> was</w:t>
      </w:r>
      <w:r>
        <w:rPr>
          <w:rFonts w:cs="Arial"/>
          <w:color w:val="000000" w:themeColor="text1"/>
          <w:kern w:val="24"/>
        </w:rPr>
        <w:t xml:space="preserve"> </w:t>
      </w:r>
      <w:r w:rsidR="00C95091">
        <w:rPr>
          <w:rFonts w:cs="Arial"/>
          <w:color w:val="000000" w:themeColor="text1"/>
          <w:kern w:val="24"/>
        </w:rPr>
        <w:t xml:space="preserve">listed on </w:t>
      </w:r>
      <w:r w:rsidR="00CD6EDC">
        <w:rPr>
          <w:rFonts w:cs="Arial"/>
          <w:color w:val="000000" w:themeColor="text1"/>
          <w:kern w:val="24"/>
        </w:rPr>
        <w:t>1 November 2000</w:t>
      </w:r>
      <w:r w:rsidR="001867BA">
        <w:rPr>
          <w:rFonts w:cs="Arial"/>
          <w:color w:val="000000" w:themeColor="text1"/>
          <w:kern w:val="24"/>
        </w:rPr>
        <w:t xml:space="preserve"> </w:t>
      </w:r>
      <w:r>
        <w:rPr>
          <w:rFonts w:cs="Arial"/>
          <w:color w:val="000000" w:themeColor="text1"/>
          <w:kern w:val="24"/>
        </w:rPr>
        <w:t>for schizophrenia, with extensions to the listing</w:t>
      </w:r>
      <w:r w:rsidR="00095B16">
        <w:rPr>
          <w:rFonts w:cs="Arial"/>
          <w:color w:val="000000" w:themeColor="text1"/>
          <w:kern w:val="24"/>
        </w:rPr>
        <w:t xml:space="preserve"> to include bipolar disorder </w:t>
      </w:r>
      <w:r>
        <w:rPr>
          <w:rFonts w:cs="Arial"/>
          <w:color w:val="000000" w:themeColor="text1"/>
          <w:kern w:val="24"/>
        </w:rPr>
        <w:t xml:space="preserve">from December 2007 and August 2009. </w:t>
      </w:r>
    </w:p>
    <w:p w14:paraId="004D10B5" w14:textId="77777777" w:rsidR="00EE7059" w:rsidRDefault="001867BA" w:rsidP="002D144A">
      <w:pPr>
        <w:rPr>
          <w:rFonts w:cs="Arial"/>
          <w:color w:val="000000" w:themeColor="text1"/>
          <w:kern w:val="24"/>
        </w:rPr>
      </w:pPr>
      <w:r w:rsidRPr="001867BA">
        <w:rPr>
          <w:rFonts w:cs="Arial"/>
          <w:color w:val="000000" w:themeColor="text1"/>
          <w:kern w:val="24"/>
        </w:rPr>
        <w:t>From 1 January 2014, the number of repeats for the listing of 25 mg strength of quetiapine was reduced from five to zero. The clinical criteria for the listing were also changed to include ‘The treatment must be for dose titration purposes’.</w:t>
      </w:r>
      <w:r w:rsidR="00423E92">
        <w:rPr>
          <w:rFonts w:cs="Arial"/>
          <w:color w:val="000000" w:themeColor="text1"/>
          <w:kern w:val="24"/>
        </w:rPr>
        <w:t xml:space="preserve"> </w:t>
      </w:r>
      <w:r w:rsidR="003D0BA2">
        <w:rPr>
          <w:rFonts w:cs="Arial"/>
          <w:color w:val="000000" w:themeColor="text1"/>
          <w:kern w:val="24"/>
        </w:rPr>
        <w:t xml:space="preserve">The PBAC recommended this change because there was evidence of </w:t>
      </w:r>
      <w:r w:rsidR="003D0BA2" w:rsidRPr="003D0BA2">
        <w:rPr>
          <w:rFonts w:cs="Arial"/>
          <w:color w:val="000000" w:themeColor="text1"/>
          <w:kern w:val="24"/>
        </w:rPr>
        <w:t xml:space="preserve">off-label and non-subsidised use of the 25mg strength of quetiapine. </w:t>
      </w:r>
      <w:r w:rsidR="003D0BA2">
        <w:rPr>
          <w:rFonts w:cs="Arial"/>
          <w:color w:val="000000" w:themeColor="text1"/>
          <w:kern w:val="24"/>
        </w:rPr>
        <w:t xml:space="preserve">A reduction in repeats from five to zero was considered to </w:t>
      </w:r>
      <w:r w:rsidR="003D0BA2" w:rsidRPr="003D0BA2">
        <w:rPr>
          <w:rFonts w:cs="Arial"/>
          <w:color w:val="000000" w:themeColor="text1"/>
          <w:kern w:val="24"/>
        </w:rPr>
        <w:t>be sufficient for dose titration in bipolar disease and schizophrenia, and would encourage regular prescriber review for patients treated for non-subsidised indications.</w:t>
      </w:r>
    </w:p>
    <w:p w14:paraId="401BDC4A" w14:textId="69CE3ED1" w:rsidR="00CD0163" w:rsidRDefault="00CD0163" w:rsidP="002D144A">
      <w:pPr>
        <w:rPr>
          <w:highlight w:val="yellow"/>
        </w:rPr>
      </w:pPr>
      <w:r>
        <w:rPr>
          <w:rFonts w:cs="Arial"/>
          <w:color w:val="000000" w:themeColor="text1"/>
          <w:kern w:val="24"/>
        </w:rPr>
        <w:t xml:space="preserve">Refer to </w:t>
      </w:r>
      <w:r w:rsidR="00F40C66">
        <w:rPr>
          <w:rFonts w:cs="Arial"/>
          <w:color w:val="000000" w:themeColor="text1"/>
          <w:kern w:val="24"/>
        </w:rPr>
        <w:t>Appendix</w:t>
      </w:r>
      <w:r>
        <w:rPr>
          <w:rFonts w:cs="Arial"/>
          <w:color w:val="000000" w:themeColor="text1"/>
          <w:kern w:val="24"/>
        </w:rPr>
        <w:t xml:space="preserve"> 3 for the listing dates of other antipsychotics examined in this review.</w:t>
      </w:r>
    </w:p>
    <w:p w14:paraId="526743BB" w14:textId="77777777" w:rsidR="005C6661" w:rsidRDefault="005C6661" w:rsidP="00CF5E22">
      <w:pPr>
        <w:pStyle w:val="Heading3"/>
      </w:pPr>
      <w:r>
        <w:t>Data Source / methodology</w:t>
      </w:r>
    </w:p>
    <w:p w14:paraId="56D79026" w14:textId="4B71DF4A" w:rsidR="00A5579C" w:rsidRPr="0093416F" w:rsidRDefault="002168B9" w:rsidP="002168B9">
      <w:r>
        <w:t>Patient counts and patient level analysis d</w:t>
      </w:r>
      <w:r w:rsidRPr="00EE42DE">
        <w:t xml:space="preserve">ata were extracted from the Department of Human Services (DHS) prescription database </w:t>
      </w:r>
      <w:r>
        <w:t xml:space="preserve">for prescriptions supplied </w:t>
      </w:r>
      <w:r w:rsidRPr="00EE42DE">
        <w:t xml:space="preserve">from the </w:t>
      </w:r>
      <w:r w:rsidR="009C01C1">
        <w:t>January</w:t>
      </w:r>
      <w:r w:rsidR="00AC3828">
        <w:t> </w:t>
      </w:r>
      <w:r w:rsidR="009C01C1">
        <w:t>2004</w:t>
      </w:r>
      <w:r w:rsidR="00164459">
        <w:t xml:space="preserve"> to May</w:t>
      </w:r>
      <w:r w:rsidRPr="00EE42DE">
        <w:t xml:space="preserve"> 201</w:t>
      </w:r>
      <w:r>
        <w:t>6</w:t>
      </w:r>
      <w:r w:rsidRPr="00EE42DE">
        <w:t>.</w:t>
      </w:r>
      <w:r>
        <w:t xml:space="preserve"> </w:t>
      </w:r>
      <w:r w:rsidR="00D07D51">
        <w:t>Aggregated p</w:t>
      </w:r>
      <w:r>
        <w:t xml:space="preserve">rescription data were extracted from the DUSC database (which contains estimates of private and under co-payment prescriptions) for prescriptions supplied from </w:t>
      </w:r>
      <w:r w:rsidR="006321A2">
        <w:t xml:space="preserve">January 2004 </w:t>
      </w:r>
      <w:r>
        <w:t xml:space="preserve">to March 2016. </w:t>
      </w:r>
    </w:p>
    <w:p w14:paraId="7599E7C1" w14:textId="77777777" w:rsidR="005C6661" w:rsidRDefault="005C6661" w:rsidP="00CF5E22">
      <w:pPr>
        <w:pStyle w:val="Heading3"/>
      </w:pPr>
      <w:r>
        <w:t>Key Findings</w:t>
      </w:r>
    </w:p>
    <w:p w14:paraId="013B8A7D" w14:textId="40DF23EC" w:rsidR="005C6661" w:rsidRDefault="00880AE9" w:rsidP="00880AE9">
      <w:pPr>
        <w:pStyle w:val="NoSpacing"/>
        <w:numPr>
          <w:ilvl w:val="0"/>
          <w:numId w:val="20"/>
        </w:numPr>
      </w:pPr>
      <w:r>
        <w:t>Growth in the use of typical and atypical antipsychotics had declined. In 2015 there were</w:t>
      </w:r>
      <w:r w:rsidR="00F24E90">
        <w:t xml:space="preserve"> 438,292</w:t>
      </w:r>
      <w:r w:rsidR="007006C6" w:rsidRPr="0011281F">
        <w:rPr>
          <w:rFonts w:ascii="Arial Narrow" w:eastAsia="Times New Roman" w:hAnsi="Arial Narrow" w:cs="Times New Roman"/>
          <w:sz w:val="20"/>
          <w:szCs w:val="20"/>
        </w:rPr>
        <w:t xml:space="preserve"> </w:t>
      </w:r>
      <w:r>
        <w:t>prevalent patients</w:t>
      </w:r>
      <w:r w:rsidR="007006C6">
        <w:t xml:space="preserve"> compared to </w:t>
      </w:r>
      <w:r w:rsidR="00F24E90">
        <w:t>428,130</w:t>
      </w:r>
      <w:r w:rsidR="007006C6" w:rsidRPr="007006C6">
        <w:t xml:space="preserve"> in 2014, a</w:t>
      </w:r>
      <w:r w:rsidR="00E1502A">
        <w:t xml:space="preserve"> year-on-year growth rate of 2.4</w:t>
      </w:r>
      <w:r w:rsidR="007006C6" w:rsidRPr="007006C6">
        <w:t>%. This compared w</w:t>
      </w:r>
      <w:r w:rsidR="00A5579C">
        <w:t>ith a year-on-year growth of 4.6</w:t>
      </w:r>
      <w:r w:rsidR="006818DD">
        <w:t>% between 2013 and 2014</w:t>
      </w:r>
      <w:r w:rsidR="007006C6" w:rsidRPr="007006C6">
        <w:t>. The slowing in the growth of the prevalent population was mainly attributed to negative growth in the incide</w:t>
      </w:r>
      <w:r w:rsidR="00A5579C">
        <w:t>nt population. There were 85,678</w:t>
      </w:r>
      <w:r w:rsidR="007006C6" w:rsidRPr="007006C6">
        <w:t xml:space="preserve"> patients initiated on an </w:t>
      </w:r>
      <w:r w:rsidR="007006C6" w:rsidRPr="007006C6">
        <w:lastRenderedPageBreak/>
        <w:t>antipsychotic during 2015</w:t>
      </w:r>
      <w:r w:rsidR="00F34D00">
        <w:t>,</w:t>
      </w:r>
      <w:r w:rsidR="007006C6" w:rsidRPr="007006C6">
        <w:t xml:space="preserve"> which was 1% less than the number of inci</w:t>
      </w:r>
      <w:r w:rsidR="00287B52">
        <w:t xml:space="preserve">dent patients presenting in </w:t>
      </w:r>
      <w:r w:rsidR="007006C6" w:rsidRPr="007006C6">
        <w:t xml:space="preserve">2014 </w:t>
      </w:r>
      <w:r w:rsidR="00A5579C">
        <w:t>(n=86</w:t>
      </w:r>
      <w:r w:rsidR="00F34D00">
        <w:t>,</w:t>
      </w:r>
      <w:r w:rsidR="00A5579C">
        <w:t>552</w:t>
      </w:r>
      <w:r>
        <w:t xml:space="preserve">). </w:t>
      </w:r>
    </w:p>
    <w:p w14:paraId="12B42880" w14:textId="7C495ECA" w:rsidR="007D3F9C" w:rsidRDefault="007D3F9C" w:rsidP="00880AE9">
      <w:pPr>
        <w:pStyle w:val="NoSpacing"/>
        <w:numPr>
          <w:ilvl w:val="0"/>
          <w:numId w:val="20"/>
        </w:numPr>
      </w:pPr>
      <w:r>
        <w:t>T</w:t>
      </w:r>
      <w:r w:rsidRPr="00224826">
        <w:t xml:space="preserve">he intervention to change the listing of the 25 mg strength </w:t>
      </w:r>
      <w:r w:rsidR="00E42DF6">
        <w:t xml:space="preserve">of quetiapine </w:t>
      </w:r>
      <w:r w:rsidRPr="00224826">
        <w:t xml:space="preserve">to allow no repeats from </w:t>
      </w:r>
      <w:bookmarkStart w:id="0" w:name="_GoBack"/>
      <w:bookmarkEnd w:id="0"/>
      <w:r w:rsidRPr="00224826">
        <w:t>1 January 2014 had been effective in supporting its intended use as a titrating dose for PBS-listed indications</w:t>
      </w:r>
      <w:r>
        <w:t>.</w:t>
      </w:r>
    </w:p>
    <w:p w14:paraId="2274B73D" w14:textId="0A20EED6" w:rsidR="007B761A" w:rsidRDefault="000F7CC7" w:rsidP="00880AE9">
      <w:pPr>
        <w:pStyle w:val="NoSpacing"/>
        <w:numPr>
          <w:ilvl w:val="0"/>
          <w:numId w:val="20"/>
        </w:numPr>
      </w:pPr>
      <w:r>
        <w:t xml:space="preserve">Expenditure on all antipsychotics in 2015 was $293.6 million. This was </w:t>
      </w:r>
      <w:r w:rsidR="003613D5">
        <w:t>significantly less</w:t>
      </w:r>
      <w:r w:rsidR="007B761A">
        <w:t xml:space="preserve"> </w:t>
      </w:r>
      <w:r>
        <w:t>compared to prior years</w:t>
      </w:r>
      <w:r w:rsidR="00F34D00">
        <w:t>,</w:t>
      </w:r>
      <w:r w:rsidR="003613D5">
        <w:t xml:space="preserve"> largely</w:t>
      </w:r>
      <w:r w:rsidR="00460B70">
        <w:t xml:space="preserve"> arising from price </w:t>
      </w:r>
      <w:r w:rsidR="003613D5">
        <w:t xml:space="preserve">reductions which </w:t>
      </w:r>
      <w:r w:rsidR="00460B70">
        <w:t xml:space="preserve">were applied from October 2014. </w:t>
      </w:r>
    </w:p>
    <w:p w14:paraId="3577782B" w14:textId="77777777" w:rsidR="00244FF2" w:rsidRPr="00880AE9" w:rsidRDefault="00244FF2" w:rsidP="00C52400">
      <w:pPr>
        <w:pStyle w:val="NoSpacing"/>
        <w:ind w:left="360"/>
      </w:pPr>
    </w:p>
    <w:p w14:paraId="53B445F8" w14:textId="32C24D81" w:rsidR="00570B49" w:rsidRDefault="00570B49">
      <w:pPr>
        <w:spacing w:line="276" w:lineRule="auto"/>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2A740F05" w14:textId="711E7EFD" w:rsidR="00CF62A3" w:rsidRDefault="00CF62A3" w:rsidP="00C95091">
      <w:r w:rsidRPr="00CF62A3">
        <w:t xml:space="preserve">To review the utilisation of PBS listed antipsychotic medicines, including changes in use of 25 mg quetiapine in the 24 months after the restriction was altered to remove repeats from PBS prescriptions. </w:t>
      </w:r>
    </w:p>
    <w:p w14:paraId="702A6E67" w14:textId="1BE445E5" w:rsidR="00C95091" w:rsidRDefault="00C95091" w:rsidP="00C95091">
      <w:r w:rsidRPr="00757E86">
        <w:t xml:space="preserve">The PBAC (August 2013) </w:t>
      </w:r>
      <w:r w:rsidR="000C3164" w:rsidRPr="00757E86">
        <w:t xml:space="preserve">requested that DUSC </w:t>
      </w:r>
      <w:r w:rsidR="00CF62A3">
        <w:t xml:space="preserve">undertake this review. </w:t>
      </w:r>
    </w:p>
    <w:p w14:paraId="0A7F0B57" w14:textId="034D22D5" w:rsidR="006537D9" w:rsidRDefault="00736041" w:rsidP="00CF5E22">
      <w:pPr>
        <w:pStyle w:val="Heading1"/>
      </w:pPr>
      <w:r w:rsidRPr="005E22C2">
        <w:t>Background</w:t>
      </w:r>
    </w:p>
    <w:p w14:paraId="06BD66E8" w14:textId="023F0410" w:rsidR="008D6F34" w:rsidRDefault="008D6F34" w:rsidP="008D6F34">
      <w:r w:rsidRPr="008D6F34">
        <w:t>At its August 2013 meeting the PBAC considered the 2013 DUSC review of the use of antipsychotics. The PBAC noted there was off-label and non-subsidised use of antipsychotics which was most evident with the use of the 25</w:t>
      </w:r>
      <w:r w:rsidR="00464029">
        <w:t xml:space="preserve"> </w:t>
      </w:r>
      <w:r w:rsidRPr="008D6F34">
        <w:t>mg strength of quetiapine. The PBAC considered that quetiapine 25</w:t>
      </w:r>
      <w:r w:rsidR="00464029">
        <w:t xml:space="preserve"> </w:t>
      </w:r>
      <w:r w:rsidRPr="008D6F34">
        <w:t>mg was not a therapeutic dose for any of its PBS listed indications and that the role for the 25</w:t>
      </w:r>
      <w:r w:rsidR="00464029">
        <w:t xml:space="preserve"> </w:t>
      </w:r>
      <w:r w:rsidRPr="008D6F34">
        <w:t>mg strength of quetiapine, within the PBS restrictions, should be for dose titration in older people with bipolar disease or schizophrenia. As such, the PBAC requested that the number of repeats of 25</w:t>
      </w:r>
      <w:r w:rsidR="00464029">
        <w:t xml:space="preserve"> </w:t>
      </w:r>
      <w:r w:rsidRPr="008D6F34">
        <w:t>mg quetiapine be reduced from five to zero. The PBAC considered that this listing would be sufficient for dose titration in bipolar disease and schizophrenia, and would encourage regular prescriber review for patients treated for non-subsidised indications.</w:t>
      </w:r>
    </w:p>
    <w:p w14:paraId="1B6C3244" w14:textId="56170018" w:rsidR="00C0046B" w:rsidRPr="00C0046B" w:rsidRDefault="008D6F34" w:rsidP="008170C2">
      <w:pPr>
        <w:rPr>
          <w:b/>
        </w:rPr>
      </w:pPr>
      <w:r w:rsidRPr="00C0046B">
        <w:t xml:space="preserve">For further details refer to the </w:t>
      </w:r>
      <w:hyperlink r:id="rId9" w:history="1">
        <w:r w:rsidR="003F7C09">
          <w:rPr>
            <w:rStyle w:val="Hyperlink"/>
          </w:rPr>
          <w:t>Public Summary Document for the August 2013 PBAC meeting.</w:t>
        </w:r>
      </w:hyperlink>
    </w:p>
    <w:p w14:paraId="0183A567" w14:textId="20D10843" w:rsidR="007247B9" w:rsidRDefault="007247B9" w:rsidP="00CF5E22">
      <w:pPr>
        <w:pStyle w:val="Heading2"/>
      </w:pPr>
      <w:r>
        <w:t>Pharmacology</w:t>
      </w:r>
    </w:p>
    <w:p w14:paraId="040404B6" w14:textId="466D2BBA" w:rsidR="00DC6272" w:rsidRPr="00AD1737" w:rsidRDefault="002B34C3" w:rsidP="00AE4BAC">
      <w:r w:rsidRPr="00AD1737">
        <w:t>Antipsychotic medications are used to treat</w:t>
      </w:r>
      <w:r w:rsidR="00570FF3">
        <w:t xml:space="preserve"> a range of conditions</w:t>
      </w:r>
      <w:r w:rsidRPr="00AD1737">
        <w:t xml:space="preserve">, including schizophrenia and bipolar disorder (or manic depression). </w:t>
      </w:r>
      <w:r w:rsidR="00DC6272" w:rsidRPr="00AD1737">
        <w:t>They act on chemicals which are used by cells in the brain to communicate with each other, called neurotransmitters. The main neurotransmitter affected by antipsychotics is dopamine which is involved in how we feel and also the control of muscle movements. If the dopamine system becomes overactive this may cause thought disorders, hallucinations and delusions</w:t>
      </w:r>
      <w:r w:rsidR="0023089D">
        <w:t xml:space="preserve"> (Tost et al., 2010)</w:t>
      </w:r>
      <w:r w:rsidR="00DC6272" w:rsidRPr="00AD1737">
        <w:t>.</w:t>
      </w:r>
    </w:p>
    <w:p w14:paraId="29355E02" w14:textId="3D8905B8" w:rsidR="00DC6272" w:rsidRPr="00AD1737" w:rsidRDefault="00534055" w:rsidP="00AE4BAC">
      <w:r w:rsidRPr="00AD1737">
        <w:t xml:space="preserve">Antipsychotics are referred to as ‘typical’ or ‘atypical’. A </w:t>
      </w:r>
      <w:r w:rsidR="009848C9">
        <w:t xml:space="preserve">typical drug </w:t>
      </w:r>
      <w:r w:rsidRPr="00AD1737">
        <w:t>is an older generation drug while newer drugs are called ‘atypical’. The actions of these drug classes are similar.</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C59B2D2" w14:textId="6144D551" w:rsidR="00423E92" w:rsidRDefault="00423E92" w:rsidP="00552C28">
      <w:pPr>
        <w:spacing w:after="0"/>
      </w:pPr>
      <w:r>
        <w:t>The approved indications vary for each antipsychotic medicine. Details can be found in the</w:t>
      </w:r>
      <w:r w:rsidR="00322B41">
        <w:t xml:space="preserve"> </w:t>
      </w:r>
      <w:hyperlink r:id="rId10" w:history="1">
        <w:r w:rsidRPr="00A51F34">
          <w:rPr>
            <w:rStyle w:val="Hyperlink"/>
          </w:rPr>
          <w:t>Product Information</w:t>
        </w:r>
      </w:hyperlink>
      <w:r w:rsidR="00322B41">
        <w:t xml:space="preserve"> available on the TGA website</w:t>
      </w:r>
      <w:r>
        <w:t>.</w:t>
      </w:r>
    </w:p>
    <w:p w14:paraId="46D58ABC" w14:textId="382DF5AF" w:rsidR="00423E92" w:rsidRDefault="00423E92" w:rsidP="00552C28">
      <w:pPr>
        <w:spacing w:after="0"/>
      </w:pPr>
      <w:r>
        <w:t xml:space="preserve"> </w:t>
      </w:r>
    </w:p>
    <w:p w14:paraId="7AE7163C" w14:textId="0362D505" w:rsidR="00AA16C0" w:rsidRDefault="00AA16C0" w:rsidP="00552C28">
      <w:pPr>
        <w:spacing w:after="0"/>
      </w:pPr>
      <w:r>
        <w:t>Quetiapine 25 mg is registere</w:t>
      </w:r>
      <w:r w:rsidR="00552C28">
        <w:t>d for the following indications:</w:t>
      </w:r>
    </w:p>
    <w:p w14:paraId="78D06509" w14:textId="3338446C" w:rsidR="00552C28" w:rsidRDefault="00552C28" w:rsidP="00552C28">
      <w:pPr>
        <w:pStyle w:val="ListParagraph"/>
        <w:numPr>
          <w:ilvl w:val="0"/>
          <w:numId w:val="1"/>
        </w:numPr>
        <w:spacing w:after="0"/>
      </w:pPr>
      <w:r>
        <w:t>In adults, maintenance treatment of bipolar I disorder as monotherapy or in combination with lithium or sodium valproate for the prevention of relapse/recurrence of manic, depressive or mixed episodes.</w:t>
      </w:r>
    </w:p>
    <w:p w14:paraId="725EA04B" w14:textId="2CE95CD7" w:rsidR="00552C28" w:rsidRDefault="00552C28" w:rsidP="00552C28">
      <w:pPr>
        <w:pStyle w:val="ListParagraph"/>
        <w:numPr>
          <w:ilvl w:val="0"/>
          <w:numId w:val="1"/>
        </w:numPr>
        <w:spacing w:after="0"/>
      </w:pPr>
      <w:r>
        <w:t>Treatment of depressive episodes associated with bipolar disorder.</w:t>
      </w:r>
    </w:p>
    <w:p w14:paraId="1F2D6E33" w14:textId="0B67A769" w:rsidR="00552C28" w:rsidRDefault="00552C28" w:rsidP="00552C28">
      <w:pPr>
        <w:pStyle w:val="ListParagraph"/>
        <w:numPr>
          <w:ilvl w:val="0"/>
          <w:numId w:val="1"/>
        </w:numPr>
        <w:spacing w:after="0"/>
      </w:pPr>
      <w:r>
        <w:lastRenderedPageBreak/>
        <w:t>Treatment of acute mania associated with bipolar I disorder as monotherapy or in combination with lithium or sodium valproate.</w:t>
      </w:r>
    </w:p>
    <w:p w14:paraId="2235F794" w14:textId="3C5D8949" w:rsidR="00552C28" w:rsidRDefault="00154E8A" w:rsidP="00552C28">
      <w:pPr>
        <w:pStyle w:val="ListParagraph"/>
        <w:numPr>
          <w:ilvl w:val="0"/>
          <w:numId w:val="1"/>
        </w:numPr>
        <w:spacing w:after="0"/>
      </w:pPr>
      <w:r>
        <w:t>In c</w:t>
      </w:r>
      <w:r w:rsidR="00552C28">
        <w:t>hildren and adolescents aged 10 to 17 years as monotherapy for the treatment of acute mania.</w:t>
      </w:r>
    </w:p>
    <w:p w14:paraId="7F0C2384" w14:textId="282E2CAF" w:rsidR="00B05B1E" w:rsidRDefault="00552C28" w:rsidP="00A35800">
      <w:pPr>
        <w:pStyle w:val="ListParagraph"/>
        <w:numPr>
          <w:ilvl w:val="0"/>
          <w:numId w:val="1"/>
        </w:numPr>
        <w:spacing w:after="0"/>
      </w:pPr>
      <w:r>
        <w:t>Treatment of schizophrenia.</w:t>
      </w:r>
    </w:p>
    <w:p w14:paraId="15E919C1" w14:textId="1B3BA560" w:rsidR="006B709B" w:rsidRDefault="006B709B" w:rsidP="00CF5E22">
      <w:pPr>
        <w:pStyle w:val="Heading2"/>
      </w:pPr>
      <w:r>
        <w:t>Dosage and administration</w:t>
      </w:r>
    </w:p>
    <w:p w14:paraId="336367A3" w14:textId="792E75EE" w:rsidR="00E97F1E" w:rsidRPr="00E20B1D" w:rsidRDefault="00AA43D1" w:rsidP="00E20B1D">
      <w:r>
        <w:t>A</w:t>
      </w:r>
      <w:r w:rsidR="00B364E2">
        <w:t>t</w:t>
      </w:r>
      <w:r w:rsidR="00171E43">
        <w:t>y</w:t>
      </w:r>
      <w:r w:rsidR="00BA6444">
        <w:t xml:space="preserve">pical </w:t>
      </w:r>
      <w:r w:rsidR="00B364E2">
        <w:t xml:space="preserve">and typical </w:t>
      </w:r>
      <w:r w:rsidR="00B05B1E">
        <w:t>anti</w:t>
      </w:r>
      <w:r w:rsidR="00BA6444">
        <w:t xml:space="preserve">psychotic medicines were included in this class review. </w:t>
      </w:r>
      <w:r w:rsidR="00B364E2">
        <w:t>The dosing and administration of the atypical medicines are s</w:t>
      </w:r>
      <w:r w:rsidR="00CB4947">
        <w:t>ummarised in Appendix</w:t>
      </w:r>
      <w:r w:rsidR="00E97F1E">
        <w:t xml:space="preserve"> 1. The atypical drugs considered in this review include</w:t>
      </w:r>
      <w:r w:rsidR="00B364E2">
        <w:t xml:space="preserve"> </w:t>
      </w:r>
      <w:r w:rsidR="00D0218F" w:rsidRPr="00D0218F">
        <w:t>amisulpride, aripiprazole, asenapine, clozapine, lurasidone, olanzapine, paliperidone, quetiapine, risperidone and ziprasidone</w:t>
      </w:r>
      <w:r w:rsidR="00BA6444">
        <w:t xml:space="preserve">. </w:t>
      </w:r>
      <w:r w:rsidR="00E97F1E">
        <w:t xml:space="preserve">The dosing and administration of the typical medicines are described in </w:t>
      </w:r>
      <w:r w:rsidR="00CB4947">
        <w:t>Appendix</w:t>
      </w:r>
      <w:r w:rsidR="00E97F1E">
        <w:t xml:space="preserve"> 2. The typical </w:t>
      </w:r>
      <w:r w:rsidR="00E20B1D">
        <w:t xml:space="preserve">medicines included chlorpromazine, flupenthixol, fluphenazine, haloperidol, periciazine, trifluoperazine, zuclopenthixol and thioridazine. </w:t>
      </w:r>
    </w:p>
    <w:p w14:paraId="6682A05C" w14:textId="078B9609" w:rsidR="00F17D4B" w:rsidRPr="002F61CA" w:rsidRDefault="00F17D4B" w:rsidP="00F17D4B">
      <w:r w:rsidRPr="002F61CA">
        <w:t xml:space="preserve">The current Product Information (PI) and Consumer Medicine Information (CMI) </w:t>
      </w:r>
      <w:r w:rsidR="00E97F1E">
        <w:t xml:space="preserve">for these drugs </w:t>
      </w:r>
      <w:r w:rsidRPr="002F61CA">
        <w:t xml:space="preserve">are available from </w:t>
      </w:r>
      <w:hyperlink r:id="rId11" w:history="1">
        <w:r>
          <w:rPr>
            <w:rStyle w:val="Hyperlink"/>
          </w:rPr>
          <w:t>the TGA (Product Information)</w:t>
        </w:r>
      </w:hyperlink>
      <w:r>
        <w:t xml:space="preserve"> and </w:t>
      </w:r>
      <w:hyperlink r:id="rId12" w:history="1">
        <w:r>
          <w:rPr>
            <w:rStyle w:val="Hyperlink"/>
          </w:rPr>
          <w:t>the TGA (Consumer Medicines Information)</w:t>
        </w:r>
      </w:hyperlink>
      <w:r>
        <w:t>.</w:t>
      </w:r>
    </w:p>
    <w:p w14:paraId="143CC403" w14:textId="5A441729" w:rsidR="001420B3" w:rsidRPr="007247B9" w:rsidRDefault="001420B3" w:rsidP="00CF5E22">
      <w:pPr>
        <w:pStyle w:val="Heading2"/>
      </w:pPr>
      <w:r w:rsidRPr="007247B9">
        <w:t>Clinical situation</w:t>
      </w:r>
    </w:p>
    <w:p w14:paraId="7767D8C5" w14:textId="71230D76" w:rsidR="002D0386" w:rsidRDefault="00F15F45" w:rsidP="000D153A">
      <w:r>
        <w:t>Several a</w:t>
      </w:r>
      <w:r w:rsidR="000D153A" w:rsidRPr="000D153A">
        <w:t xml:space="preserve">ntipsychotic medicines listed on the PBS are subsidised to treat the symptoms of schizophrenia, bipolar I disorder and the behavioural symptoms associated with dementia. </w:t>
      </w:r>
      <w:r w:rsidR="002D0386">
        <w:t>Risperidone is also indicated for behavioural disturbances in autism.</w:t>
      </w:r>
      <w:r>
        <w:t xml:space="preserve"> Further details are provided in A</w:t>
      </w:r>
      <w:r w:rsidR="00F40C66">
        <w:t xml:space="preserve">ppendix </w:t>
      </w:r>
      <w:r w:rsidR="00904B17">
        <w:t>3</w:t>
      </w:r>
      <w:r>
        <w:t>.</w:t>
      </w:r>
    </w:p>
    <w:p w14:paraId="291EFE6A" w14:textId="5BA15234" w:rsidR="000D153A" w:rsidRPr="000D153A" w:rsidRDefault="000D153A" w:rsidP="000D153A">
      <w:r w:rsidRPr="000D153A">
        <w:t>Schizophrenia is an illness which affects how a person feels, acts and thinks. Bipolar I disorder is a condition involving changes between elevated and depressed moods. When in an elevated mood, or mania state, patients may by overly elated or irritable and may become overactive. During states of depression patients may lack energy, feel guilty and be in a down mood, experience difficulty with sleeping and may lose their appetite.</w:t>
      </w:r>
    </w:p>
    <w:p w14:paraId="1332F76C" w14:textId="6DB5E114" w:rsidR="00C2341B" w:rsidRDefault="000D153A" w:rsidP="002D0386">
      <w:pPr>
        <w:spacing w:after="0"/>
      </w:pPr>
      <w:r w:rsidRPr="000D153A">
        <w:t xml:space="preserve">In addition to their subsidised indications, antipsychotics may be used to treat </w:t>
      </w:r>
      <w:r w:rsidR="002D0386">
        <w:t xml:space="preserve">non-psychotic conditions including </w:t>
      </w:r>
      <w:r w:rsidRPr="000D153A">
        <w:t xml:space="preserve">anxiety, depression and insomnia. </w:t>
      </w:r>
      <w:r w:rsidR="00C2341B">
        <w:t xml:space="preserve">Utilisation reviews undertaken by DUSC </w:t>
      </w:r>
      <w:r w:rsidR="002D0386">
        <w:t xml:space="preserve">in 2013 raised concerns that </w:t>
      </w:r>
      <w:r w:rsidR="00C2341B">
        <w:t xml:space="preserve">antipsychotics </w:t>
      </w:r>
      <w:r w:rsidR="002D0386">
        <w:t xml:space="preserve">were being used </w:t>
      </w:r>
      <w:r w:rsidR="00C2341B">
        <w:t>outside their PBS listed indications</w:t>
      </w:r>
      <w:r w:rsidR="00097B93">
        <w:t>, in particular the newer generation atypical antipsychotics</w:t>
      </w:r>
      <w:r w:rsidR="00C2341B">
        <w:t>.</w:t>
      </w:r>
      <w:r w:rsidR="00C2341B">
        <w:rPr>
          <w:rStyle w:val="FootnoteReference"/>
        </w:rPr>
        <w:footnoteReference w:id="1"/>
      </w:r>
      <w:r w:rsidR="00C2341B" w:rsidRPr="008B26AB">
        <w:rPr>
          <w:vertAlign w:val="superscript"/>
        </w:rPr>
        <w:t>,</w:t>
      </w:r>
      <w:r w:rsidR="00C2341B">
        <w:rPr>
          <w:rStyle w:val="FootnoteReference"/>
        </w:rPr>
        <w:footnoteReference w:id="2"/>
      </w:r>
      <w:r w:rsidR="00097B93">
        <w:t xml:space="preserve"> </w:t>
      </w:r>
      <w:r w:rsidR="00E707F9">
        <w:t>The main findings were:</w:t>
      </w:r>
    </w:p>
    <w:p w14:paraId="3A84E034" w14:textId="22A2354B" w:rsidR="00E707F9" w:rsidRDefault="00E707F9" w:rsidP="002D0386">
      <w:pPr>
        <w:pStyle w:val="ListParagraph"/>
        <w:numPr>
          <w:ilvl w:val="0"/>
          <w:numId w:val="1"/>
        </w:numPr>
        <w:spacing w:after="0"/>
        <w:contextualSpacing w:val="0"/>
      </w:pPr>
      <w:r>
        <w:t>a rapid increase in the utilisation of atypical antipsychotics in people aged 20 to 59</w:t>
      </w:r>
      <w:r w:rsidR="00C74EA0">
        <w:t> </w:t>
      </w:r>
      <w:r>
        <w:t>years beyond the prevalence of the listed indications; and</w:t>
      </w:r>
    </w:p>
    <w:p w14:paraId="169A034F" w14:textId="2A9A9088" w:rsidR="00E707F9" w:rsidRDefault="00E707F9" w:rsidP="00E707F9">
      <w:pPr>
        <w:pStyle w:val="ListParagraph"/>
        <w:numPr>
          <w:ilvl w:val="0"/>
          <w:numId w:val="1"/>
        </w:numPr>
        <w:spacing w:after="0"/>
      </w:pPr>
      <w:r w:rsidRPr="00BC1759">
        <w:t>a high level of</w:t>
      </w:r>
      <w:r w:rsidR="00170C31">
        <w:t xml:space="preserve"> the supply of quetiapine</w:t>
      </w:r>
      <w:r w:rsidRPr="00BC1759">
        <w:t xml:space="preserve"> </w:t>
      </w:r>
      <w:r w:rsidR="00170C31">
        <w:t xml:space="preserve">at doses </w:t>
      </w:r>
      <w:r w:rsidRPr="00BC1759">
        <w:t xml:space="preserve">below the minimum dose recommended for </w:t>
      </w:r>
      <w:r w:rsidR="00170C31">
        <w:t xml:space="preserve">its listed indications, </w:t>
      </w:r>
      <w:r w:rsidRPr="00BC36E0">
        <w:t>schizophrenia and bipolar disease.</w:t>
      </w:r>
    </w:p>
    <w:p w14:paraId="7E65615B" w14:textId="77777777" w:rsidR="00267263" w:rsidRDefault="00267263" w:rsidP="00092289">
      <w:pPr>
        <w:spacing w:after="0"/>
      </w:pPr>
    </w:p>
    <w:p w14:paraId="4A84E093" w14:textId="43E33937" w:rsidR="00282BE6" w:rsidRPr="005F41A7" w:rsidRDefault="00440290" w:rsidP="00092289">
      <w:pPr>
        <w:spacing w:after="0"/>
      </w:pPr>
      <w:r>
        <w:lastRenderedPageBreak/>
        <w:t>Quetiapine 25 mg tablets are listed on the PBS as Authority Required (</w:t>
      </w:r>
      <w:r w:rsidR="00C74EA0">
        <w:t>STREAMLINED</w:t>
      </w:r>
      <w:r>
        <w:t xml:space="preserve">) items. The intention of </w:t>
      </w:r>
      <w:r w:rsidR="00461A56">
        <w:t>its</w:t>
      </w:r>
      <w:r>
        <w:t xml:space="preserve"> listing is for use during the titration phase of quetiapine therapy for the treatment of schizophrenia, acute</w:t>
      </w:r>
      <w:r w:rsidR="00092289">
        <w:t xml:space="preserve"> mania and bipolar I disorder. </w:t>
      </w:r>
      <w:r w:rsidR="00A03E95">
        <w:t xml:space="preserve">As such, the 25 mg strength listing was changed from January 2014 to allow no repeats. </w:t>
      </w:r>
    </w:p>
    <w:p w14:paraId="46E2BB42" w14:textId="3EA85D36" w:rsidR="00DF0B13" w:rsidRPr="007247B9" w:rsidRDefault="00DF0B13" w:rsidP="00CF5E22">
      <w:pPr>
        <w:pStyle w:val="Heading2"/>
      </w:pPr>
      <w:r w:rsidRPr="007247B9">
        <w:t>PBS listing details</w:t>
      </w:r>
      <w:r w:rsidR="00B364E2">
        <w:t xml:space="preserve"> (as at July 2016</w:t>
      </w:r>
      <w:r w:rsidR="00D151EB">
        <w:t>)</w:t>
      </w:r>
    </w:p>
    <w:p w14:paraId="010A71B5" w14:textId="68337887" w:rsidR="003A3CD2" w:rsidRDefault="00292003" w:rsidP="00A35800">
      <w:r>
        <w:t xml:space="preserve">The listing details for the atypical and typical drugs included in this review are provided at </w:t>
      </w:r>
      <w:r w:rsidR="00F40C66">
        <w:t>Appendix</w:t>
      </w:r>
      <w:r>
        <w:t xml:space="preserve"> 3. </w:t>
      </w:r>
    </w:p>
    <w:p w14:paraId="5615DA10" w14:textId="1B3FEE36" w:rsidR="00AB6EBE" w:rsidRDefault="00AB6EBE" w:rsidP="00A35800">
      <w:r>
        <w:t>The registered indications and PBS restricted indications for each medicine are summarised below.</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of registered indications for PBS listed antipsychotics"/>
        <w:tblDescription w:val="Table of PBS listed antipsychotic drugs comparing their registered indications."/>
      </w:tblPr>
      <w:tblGrid>
        <w:gridCol w:w="1682"/>
        <w:gridCol w:w="1222"/>
        <w:gridCol w:w="1375"/>
        <w:gridCol w:w="1374"/>
        <w:gridCol w:w="1680"/>
        <w:gridCol w:w="1680"/>
      </w:tblGrid>
      <w:tr w:rsidR="00AB6EBE" w:rsidRPr="00AC55BF" w14:paraId="122FE1C6" w14:textId="77777777" w:rsidTr="00A959D8">
        <w:trPr>
          <w:trHeight w:val="662"/>
        </w:trPr>
        <w:tc>
          <w:tcPr>
            <w:tcW w:w="933" w:type="pct"/>
            <w:shd w:val="clear" w:color="auto" w:fill="auto"/>
          </w:tcPr>
          <w:p w14:paraId="153D41A6"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lang w:val="en-US"/>
              </w:rPr>
              <w:t>Generic name</w:t>
            </w:r>
          </w:p>
        </w:tc>
        <w:tc>
          <w:tcPr>
            <w:tcW w:w="678" w:type="pct"/>
            <w:shd w:val="clear" w:color="auto" w:fill="auto"/>
          </w:tcPr>
          <w:p w14:paraId="6A0C3DD1"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rPr>
              <w:t>Not restricted</w:t>
            </w:r>
          </w:p>
        </w:tc>
        <w:tc>
          <w:tcPr>
            <w:tcW w:w="763" w:type="pct"/>
            <w:shd w:val="clear" w:color="auto" w:fill="auto"/>
          </w:tcPr>
          <w:p w14:paraId="72AC63D3"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rPr>
              <w:t>Schizophrenia</w:t>
            </w:r>
          </w:p>
        </w:tc>
        <w:tc>
          <w:tcPr>
            <w:tcW w:w="762" w:type="pct"/>
            <w:shd w:val="clear" w:color="auto" w:fill="auto"/>
          </w:tcPr>
          <w:p w14:paraId="5A7E7AE1"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rPr>
              <w:t>Maintenance treatment of bipolar I disorder</w:t>
            </w:r>
          </w:p>
        </w:tc>
        <w:tc>
          <w:tcPr>
            <w:tcW w:w="932" w:type="pct"/>
            <w:tcBorders>
              <w:bottom w:val="single" w:sz="4" w:space="0" w:color="auto"/>
            </w:tcBorders>
            <w:shd w:val="clear" w:color="auto" w:fill="auto"/>
          </w:tcPr>
          <w:p w14:paraId="413CF2DD"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rPr>
              <w:t>Acute mania associated with bipolar I disorder</w:t>
            </w:r>
          </w:p>
        </w:tc>
        <w:tc>
          <w:tcPr>
            <w:tcW w:w="932" w:type="pct"/>
            <w:tcBorders>
              <w:bottom w:val="single" w:sz="4" w:space="0" w:color="auto"/>
            </w:tcBorders>
          </w:tcPr>
          <w:p w14:paraId="5A3DDC0E" w14:textId="77777777" w:rsidR="00AB6EBE" w:rsidRPr="00FE3D06" w:rsidRDefault="00AB6EBE" w:rsidP="00D110B1">
            <w:pPr>
              <w:spacing w:after="0"/>
              <w:jc w:val="center"/>
              <w:rPr>
                <w:rFonts w:ascii="Arial Narrow" w:eastAsia="Times New Roman" w:hAnsi="Arial Narrow" w:cs="Arial"/>
                <w:b/>
                <w:color w:val="000000"/>
                <w:sz w:val="20"/>
                <w:szCs w:val="20"/>
              </w:rPr>
            </w:pPr>
            <w:r w:rsidRPr="00FE3D06">
              <w:rPr>
                <w:rFonts w:ascii="Arial Narrow" w:eastAsia="Times New Roman" w:hAnsi="Arial Narrow" w:cs="Arial"/>
                <w:b/>
                <w:color w:val="000000"/>
                <w:sz w:val="20"/>
                <w:szCs w:val="20"/>
              </w:rPr>
              <w:t>Behavioural disturbances dementia and autism</w:t>
            </w:r>
          </w:p>
        </w:tc>
      </w:tr>
      <w:tr w:rsidR="00AB6EBE" w:rsidRPr="00AC55BF" w14:paraId="1BC2AED2" w14:textId="77777777" w:rsidTr="00A959D8">
        <w:trPr>
          <w:trHeight w:val="346"/>
        </w:trPr>
        <w:tc>
          <w:tcPr>
            <w:tcW w:w="933" w:type="pct"/>
            <w:shd w:val="clear" w:color="auto" w:fill="auto"/>
            <w:noWrap/>
            <w:vAlign w:val="center"/>
          </w:tcPr>
          <w:p w14:paraId="51F536DB"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Chlorpromazine</w:t>
            </w:r>
          </w:p>
        </w:tc>
        <w:tc>
          <w:tcPr>
            <w:tcW w:w="678" w:type="pct"/>
            <w:shd w:val="clear" w:color="auto" w:fill="auto"/>
            <w:noWrap/>
            <w:vAlign w:val="center"/>
          </w:tcPr>
          <w:p w14:paraId="474645CD"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6DF0A5EF"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2" w:type="pct"/>
            <w:shd w:val="clear" w:color="808080" w:themeColor="background1" w:themeShade="80" w:fill="auto"/>
            <w:noWrap/>
            <w:vAlign w:val="center"/>
          </w:tcPr>
          <w:p w14:paraId="441AA135"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808080" w:themeColor="background1" w:themeShade="80" w:fill="D9D9D9" w:themeFill="background1" w:themeFillShade="D9"/>
            <w:noWrap/>
            <w:vAlign w:val="center"/>
          </w:tcPr>
          <w:p w14:paraId="4CA750EF"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808080" w:themeColor="background1" w:themeShade="80" w:fill="D9D9D9" w:themeFill="background1" w:themeFillShade="D9"/>
            <w:vAlign w:val="center"/>
          </w:tcPr>
          <w:p w14:paraId="49D8C321"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78F3087D" w14:textId="77777777" w:rsidTr="00A959D8">
        <w:trPr>
          <w:trHeight w:val="300"/>
        </w:trPr>
        <w:tc>
          <w:tcPr>
            <w:tcW w:w="933" w:type="pct"/>
            <w:shd w:val="clear" w:color="auto" w:fill="auto"/>
            <w:noWrap/>
            <w:vAlign w:val="center"/>
          </w:tcPr>
          <w:p w14:paraId="16B95C00"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Fluphenazine</w:t>
            </w:r>
          </w:p>
        </w:tc>
        <w:tc>
          <w:tcPr>
            <w:tcW w:w="678" w:type="pct"/>
            <w:shd w:val="clear" w:color="auto" w:fill="auto"/>
            <w:noWrap/>
            <w:vAlign w:val="center"/>
          </w:tcPr>
          <w:p w14:paraId="600B17D5"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249E2A2F"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762" w:type="pct"/>
            <w:shd w:val="clear" w:color="auto" w:fill="auto"/>
            <w:noWrap/>
            <w:vAlign w:val="center"/>
          </w:tcPr>
          <w:p w14:paraId="62C524D0"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auto"/>
            <w:noWrap/>
            <w:vAlign w:val="center"/>
          </w:tcPr>
          <w:p w14:paraId="4022344D"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7B3D47A9"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6328E58C" w14:textId="77777777" w:rsidTr="00A959D8">
        <w:trPr>
          <w:trHeight w:val="300"/>
        </w:trPr>
        <w:tc>
          <w:tcPr>
            <w:tcW w:w="933" w:type="pct"/>
            <w:shd w:val="clear" w:color="auto" w:fill="auto"/>
            <w:noWrap/>
            <w:vAlign w:val="center"/>
          </w:tcPr>
          <w:p w14:paraId="1E99AB68"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Flupenthixol</w:t>
            </w:r>
          </w:p>
        </w:tc>
        <w:tc>
          <w:tcPr>
            <w:tcW w:w="678" w:type="pct"/>
            <w:shd w:val="clear" w:color="auto" w:fill="auto"/>
            <w:noWrap/>
            <w:vAlign w:val="center"/>
          </w:tcPr>
          <w:p w14:paraId="08518256"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3A01D0A5"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762" w:type="pct"/>
            <w:shd w:val="clear" w:color="auto" w:fill="auto"/>
            <w:noWrap/>
            <w:vAlign w:val="center"/>
          </w:tcPr>
          <w:p w14:paraId="72AE14A4"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auto"/>
            <w:noWrap/>
            <w:vAlign w:val="center"/>
          </w:tcPr>
          <w:p w14:paraId="1B5ADB74"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07A1BEFF"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7A4294A0" w14:textId="77777777" w:rsidTr="00A959D8">
        <w:trPr>
          <w:trHeight w:val="300"/>
        </w:trPr>
        <w:tc>
          <w:tcPr>
            <w:tcW w:w="933" w:type="pct"/>
            <w:shd w:val="clear" w:color="auto" w:fill="auto"/>
            <w:noWrap/>
            <w:vAlign w:val="center"/>
          </w:tcPr>
          <w:p w14:paraId="32FB0C71"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Haloperidol</w:t>
            </w:r>
          </w:p>
        </w:tc>
        <w:tc>
          <w:tcPr>
            <w:tcW w:w="678" w:type="pct"/>
            <w:shd w:val="clear" w:color="auto" w:fill="auto"/>
            <w:noWrap/>
            <w:vAlign w:val="center"/>
          </w:tcPr>
          <w:p w14:paraId="64192A0F"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346F6794"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762" w:type="pct"/>
            <w:shd w:val="clear" w:color="auto" w:fill="auto"/>
            <w:noWrap/>
            <w:vAlign w:val="center"/>
          </w:tcPr>
          <w:p w14:paraId="30E56259"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auto"/>
            <w:noWrap/>
            <w:vAlign w:val="center"/>
          </w:tcPr>
          <w:p w14:paraId="6AFAB20B"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2E8D354D"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5509FB14" w14:textId="77777777" w:rsidTr="00A959D8">
        <w:trPr>
          <w:trHeight w:val="300"/>
        </w:trPr>
        <w:tc>
          <w:tcPr>
            <w:tcW w:w="933" w:type="pct"/>
            <w:shd w:val="clear" w:color="auto" w:fill="auto"/>
            <w:noWrap/>
            <w:vAlign w:val="center"/>
          </w:tcPr>
          <w:p w14:paraId="674CAD2B"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Pericyazine</w:t>
            </w:r>
          </w:p>
        </w:tc>
        <w:tc>
          <w:tcPr>
            <w:tcW w:w="678" w:type="pct"/>
            <w:shd w:val="clear" w:color="auto" w:fill="auto"/>
            <w:noWrap/>
            <w:vAlign w:val="center"/>
          </w:tcPr>
          <w:p w14:paraId="039C2BCF"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194947DE"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762" w:type="pct"/>
            <w:shd w:val="clear" w:color="auto" w:fill="auto"/>
            <w:noWrap/>
            <w:vAlign w:val="center"/>
          </w:tcPr>
          <w:p w14:paraId="2B56D4CF"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shd w:val="clear" w:color="auto" w:fill="auto"/>
            <w:noWrap/>
            <w:vAlign w:val="center"/>
          </w:tcPr>
          <w:p w14:paraId="3D2ED5C7"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vAlign w:val="center"/>
          </w:tcPr>
          <w:p w14:paraId="48CBFF32"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9B0E79" w:rsidRPr="00AC55BF" w14:paraId="2E6FA444" w14:textId="77777777" w:rsidTr="00A959D8">
        <w:trPr>
          <w:trHeight w:val="313"/>
        </w:trPr>
        <w:tc>
          <w:tcPr>
            <w:tcW w:w="933" w:type="pct"/>
            <w:shd w:val="clear" w:color="auto" w:fill="auto"/>
            <w:noWrap/>
            <w:vAlign w:val="center"/>
          </w:tcPr>
          <w:p w14:paraId="587723A7" w14:textId="509358CF" w:rsidR="009B0E79" w:rsidRPr="00FE3D06" w:rsidRDefault="009B0E79" w:rsidP="00D110B1">
            <w:pPr>
              <w:spacing w:after="0"/>
              <w:rPr>
                <w:rFonts w:ascii="Arial Narrow" w:eastAsia="Times New Roman" w:hAnsi="Arial Narrow" w:cs="Arial"/>
                <w:color w:val="000000"/>
                <w:sz w:val="20"/>
                <w:szCs w:val="20"/>
                <w:vertAlign w:val="superscript"/>
              </w:rPr>
            </w:pPr>
            <w:r w:rsidRPr="00FE3D06">
              <w:rPr>
                <w:rFonts w:ascii="Arial Narrow" w:eastAsia="Times New Roman" w:hAnsi="Arial Narrow" w:cs="Arial"/>
                <w:color w:val="000000"/>
                <w:sz w:val="20"/>
                <w:szCs w:val="20"/>
              </w:rPr>
              <w:t>Thioridazine</w:t>
            </w:r>
            <w:r w:rsidR="000F0BFB" w:rsidRPr="00FE3D06">
              <w:rPr>
                <w:rFonts w:ascii="Arial Narrow" w:eastAsia="Times New Roman" w:hAnsi="Arial Narrow" w:cs="Arial"/>
                <w:color w:val="000000"/>
                <w:sz w:val="20"/>
                <w:szCs w:val="20"/>
                <w:vertAlign w:val="superscript"/>
              </w:rPr>
              <w:t>1</w:t>
            </w:r>
          </w:p>
        </w:tc>
        <w:tc>
          <w:tcPr>
            <w:tcW w:w="678" w:type="pct"/>
            <w:shd w:val="clear" w:color="auto" w:fill="auto"/>
            <w:noWrap/>
            <w:vAlign w:val="center"/>
          </w:tcPr>
          <w:p w14:paraId="6D9FA464" w14:textId="0998A238" w:rsidR="009B0E79" w:rsidRPr="00FE3D06" w:rsidRDefault="009B0E79" w:rsidP="00D110B1">
            <w:pPr>
              <w:spacing w:after="0"/>
              <w:jc w:val="center"/>
              <w:rPr>
                <w:rFonts w:ascii="Arial Narrow" w:eastAsia="Times New Roman" w:hAnsi="Arial Narrow" w:cs="Calibri"/>
                <w:color w:val="000000"/>
                <w:sz w:val="20"/>
                <w:szCs w:val="20"/>
                <w:lang w:val="en-US"/>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207291A8" w14:textId="77777777" w:rsidR="009B0E79" w:rsidRPr="00FE3D06" w:rsidRDefault="009B0E79" w:rsidP="00D110B1">
            <w:pPr>
              <w:spacing w:after="0"/>
              <w:jc w:val="center"/>
              <w:rPr>
                <w:rFonts w:ascii="Arial Narrow" w:eastAsia="Times New Roman" w:hAnsi="Arial Narrow" w:cs="Calibri"/>
                <w:color w:val="000000"/>
                <w:sz w:val="20"/>
                <w:szCs w:val="20"/>
              </w:rPr>
            </w:pPr>
          </w:p>
        </w:tc>
        <w:tc>
          <w:tcPr>
            <w:tcW w:w="762" w:type="pct"/>
            <w:shd w:val="clear" w:color="808080" w:themeColor="background1" w:themeShade="80" w:fill="D9D9D9" w:themeFill="background1" w:themeFillShade="D9"/>
            <w:noWrap/>
            <w:vAlign w:val="center"/>
          </w:tcPr>
          <w:p w14:paraId="664AA123" w14:textId="77777777" w:rsidR="009B0E79" w:rsidRPr="00FE3D06" w:rsidRDefault="009B0E79" w:rsidP="00D110B1">
            <w:pPr>
              <w:spacing w:after="0"/>
              <w:jc w:val="center"/>
              <w:rPr>
                <w:rFonts w:ascii="Arial Narrow" w:eastAsia="Times New Roman" w:hAnsi="Arial Narrow" w:cs="Calibri"/>
                <w:color w:val="000000"/>
                <w:sz w:val="20"/>
                <w:szCs w:val="20"/>
              </w:rPr>
            </w:pPr>
          </w:p>
        </w:tc>
        <w:tc>
          <w:tcPr>
            <w:tcW w:w="932" w:type="pct"/>
            <w:shd w:val="clear" w:color="auto" w:fill="D9D9D9" w:themeFill="background1" w:themeFillShade="D9"/>
            <w:noWrap/>
            <w:vAlign w:val="center"/>
          </w:tcPr>
          <w:p w14:paraId="5814A404" w14:textId="77777777" w:rsidR="009B0E79" w:rsidRPr="00FE3D06" w:rsidRDefault="009B0E79" w:rsidP="00D110B1">
            <w:pPr>
              <w:spacing w:after="0"/>
              <w:jc w:val="center"/>
              <w:rPr>
                <w:rFonts w:ascii="Arial Narrow" w:eastAsia="Times New Roman" w:hAnsi="Arial Narrow" w:cs="Calibri"/>
                <w:color w:val="000000"/>
                <w:sz w:val="20"/>
                <w:szCs w:val="20"/>
              </w:rPr>
            </w:pPr>
          </w:p>
        </w:tc>
        <w:tc>
          <w:tcPr>
            <w:tcW w:w="932" w:type="pct"/>
            <w:shd w:val="clear" w:color="808080" w:themeColor="background1" w:themeShade="80" w:fill="D9D9D9" w:themeFill="background1" w:themeFillShade="D9"/>
            <w:vAlign w:val="center"/>
          </w:tcPr>
          <w:p w14:paraId="2AE5014D" w14:textId="77777777" w:rsidR="009B0E79" w:rsidRPr="00FE3D06" w:rsidRDefault="009B0E79" w:rsidP="00D110B1">
            <w:pPr>
              <w:spacing w:after="0"/>
              <w:jc w:val="center"/>
              <w:rPr>
                <w:rFonts w:ascii="Arial Narrow" w:eastAsia="Times New Roman" w:hAnsi="Arial Narrow" w:cs="Arial"/>
                <w:color w:val="000000"/>
                <w:sz w:val="20"/>
                <w:szCs w:val="20"/>
              </w:rPr>
            </w:pPr>
          </w:p>
        </w:tc>
      </w:tr>
      <w:tr w:rsidR="00AB6EBE" w:rsidRPr="00AC55BF" w14:paraId="5CC6C069" w14:textId="77777777" w:rsidTr="00A959D8">
        <w:trPr>
          <w:trHeight w:val="274"/>
        </w:trPr>
        <w:tc>
          <w:tcPr>
            <w:tcW w:w="933" w:type="pct"/>
            <w:shd w:val="clear" w:color="auto" w:fill="auto"/>
            <w:noWrap/>
            <w:vAlign w:val="center"/>
          </w:tcPr>
          <w:p w14:paraId="7AF206E7"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Trifluoperazine</w:t>
            </w:r>
          </w:p>
        </w:tc>
        <w:tc>
          <w:tcPr>
            <w:tcW w:w="678" w:type="pct"/>
            <w:shd w:val="clear" w:color="auto" w:fill="auto"/>
            <w:noWrap/>
            <w:vAlign w:val="center"/>
          </w:tcPr>
          <w:p w14:paraId="31FFC78D"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3C973AD3"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2" w:type="pct"/>
            <w:shd w:val="clear" w:color="808080" w:themeColor="background1" w:themeShade="80" w:fill="D9D9D9" w:themeFill="background1" w:themeFillShade="D9"/>
            <w:noWrap/>
            <w:vAlign w:val="center"/>
          </w:tcPr>
          <w:p w14:paraId="10B878E3"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D9D9D9" w:themeFill="background1" w:themeFillShade="D9"/>
            <w:noWrap/>
            <w:vAlign w:val="center"/>
          </w:tcPr>
          <w:p w14:paraId="100253D7"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808080" w:themeColor="background1" w:themeShade="80" w:fill="D9D9D9" w:themeFill="background1" w:themeFillShade="D9"/>
            <w:vAlign w:val="center"/>
          </w:tcPr>
          <w:p w14:paraId="44571B7F"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3476FE13" w14:textId="77777777" w:rsidTr="00A959D8">
        <w:trPr>
          <w:trHeight w:val="265"/>
        </w:trPr>
        <w:tc>
          <w:tcPr>
            <w:tcW w:w="933" w:type="pct"/>
            <w:shd w:val="clear" w:color="auto" w:fill="auto"/>
            <w:noWrap/>
            <w:vAlign w:val="center"/>
          </w:tcPr>
          <w:p w14:paraId="4FD05DDA"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Zuclopenthixol</w:t>
            </w:r>
          </w:p>
        </w:tc>
        <w:tc>
          <w:tcPr>
            <w:tcW w:w="678" w:type="pct"/>
            <w:shd w:val="clear" w:color="auto" w:fill="auto"/>
            <w:noWrap/>
            <w:vAlign w:val="center"/>
          </w:tcPr>
          <w:p w14:paraId="07AD48A5" w14:textId="77777777" w:rsidR="00AB6EBE" w:rsidRPr="00FE3D06" w:rsidRDefault="00AB6EBE" w:rsidP="00D110B1">
            <w:pPr>
              <w:spacing w:after="0"/>
              <w:jc w:val="center"/>
              <w:rPr>
                <w:rFonts w:ascii="Arial Narrow" w:eastAsia="Times New Roman" w:hAnsi="Arial Narrow" w:cs="Calibri"/>
                <w:b/>
                <w:color w:val="000000"/>
                <w:sz w:val="20"/>
                <w:szCs w:val="20"/>
              </w:rPr>
            </w:pPr>
            <w:r w:rsidRPr="00FE3D06">
              <w:rPr>
                <w:rFonts w:ascii="Arial Narrow" w:eastAsia="Times New Roman" w:hAnsi="Arial Narrow" w:cs="Calibri"/>
                <w:b/>
                <w:color w:val="000000"/>
                <w:sz w:val="20"/>
                <w:szCs w:val="20"/>
                <w:lang w:val="en-US"/>
              </w:rPr>
              <w:t>Y</w:t>
            </w:r>
          </w:p>
        </w:tc>
        <w:tc>
          <w:tcPr>
            <w:tcW w:w="763" w:type="pct"/>
            <w:shd w:val="clear" w:color="auto" w:fill="D9D9D9" w:themeFill="background1" w:themeFillShade="D9"/>
            <w:noWrap/>
            <w:vAlign w:val="center"/>
          </w:tcPr>
          <w:p w14:paraId="1DC88A41"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2" w:type="pct"/>
            <w:shd w:val="clear" w:color="808080" w:themeColor="background1" w:themeShade="80" w:fill="D9D9D9" w:themeFill="background1" w:themeFillShade="D9"/>
            <w:noWrap/>
            <w:vAlign w:val="center"/>
          </w:tcPr>
          <w:p w14:paraId="316CAED0"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D9D9D9" w:themeFill="background1" w:themeFillShade="D9"/>
            <w:noWrap/>
            <w:vAlign w:val="center"/>
          </w:tcPr>
          <w:p w14:paraId="317B3B2E"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5F9A107A"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20A9188B" w14:textId="77777777" w:rsidTr="00A959D8">
        <w:trPr>
          <w:trHeight w:val="300"/>
        </w:trPr>
        <w:tc>
          <w:tcPr>
            <w:tcW w:w="933" w:type="pct"/>
            <w:shd w:val="clear" w:color="auto" w:fill="auto"/>
            <w:noWrap/>
            <w:vAlign w:val="center"/>
          </w:tcPr>
          <w:p w14:paraId="53FDEC01"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Amisulpride</w:t>
            </w:r>
          </w:p>
        </w:tc>
        <w:tc>
          <w:tcPr>
            <w:tcW w:w="678" w:type="pct"/>
            <w:shd w:val="clear" w:color="auto" w:fill="auto"/>
            <w:noWrap/>
            <w:vAlign w:val="center"/>
          </w:tcPr>
          <w:p w14:paraId="4F53B8AE"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vAlign w:val="center"/>
          </w:tcPr>
          <w:p w14:paraId="59E0CEA4"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762" w:type="pct"/>
            <w:shd w:val="clear" w:color="auto" w:fill="auto"/>
            <w:noWrap/>
            <w:vAlign w:val="center"/>
          </w:tcPr>
          <w:p w14:paraId="206444D8"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shd w:val="clear" w:color="auto" w:fill="auto"/>
            <w:noWrap/>
            <w:vAlign w:val="center"/>
          </w:tcPr>
          <w:p w14:paraId="41B1CF16"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5D6256CF"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3F191DD7" w14:textId="77777777" w:rsidTr="00A959D8">
        <w:trPr>
          <w:trHeight w:val="300"/>
        </w:trPr>
        <w:tc>
          <w:tcPr>
            <w:tcW w:w="933" w:type="pct"/>
            <w:shd w:val="clear" w:color="auto" w:fill="auto"/>
            <w:noWrap/>
            <w:vAlign w:val="center"/>
          </w:tcPr>
          <w:p w14:paraId="121F6211"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Aripiprazole</w:t>
            </w:r>
          </w:p>
        </w:tc>
        <w:tc>
          <w:tcPr>
            <w:tcW w:w="678" w:type="pct"/>
            <w:shd w:val="clear" w:color="auto" w:fill="auto"/>
            <w:noWrap/>
            <w:vAlign w:val="center"/>
          </w:tcPr>
          <w:p w14:paraId="5901EA49"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vAlign w:val="center"/>
          </w:tcPr>
          <w:p w14:paraId="3985D0A1"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762" w:type="pct"/>
            <w:shd w:val="clear" w:color="808080" w:themeColor="background1" w:themeShade="80" w:fill="D9D9D9" w:themeFill="background1" w:themeFillShade="D9"/>
            <w:noWrap/>
            <w:vAlign w:val="center"/>
          </w:tcPr>
          <w:p w14:paraId="5DA18FB8"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808080" w:themeColor="background1" w:themeShade="80" w:fill="D9D9D9" w:themeFill="background1" w:themeFillShade="D9"/>
            <w:noWrap/>
            <w:vAlign w:val="center"/>
          </w:tcPr>
          <w:p w14:paraId="1A1380E1"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7943F4F4"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4E83CBBB" w14:textId="77777777" w:rsidTr="00A959D8">
        <w:trPr>
          <w:trHeight w:val="362"/>
        </w:trPr>
        <w:tc>
          <w:tcPr>
            <w:tcW w:w="933" w:type="pct"/>
            <w:shd w:val="clear" w:color="auto" w:fill="auto"/>
            <w:noWrap/>
            <w:vAlign w:val="center"/>
          </w:tcPr>
          <w:p w14:paraId="419A9BD8"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Asenapine</w:t>
            </w:r>
          </w:p>
        </w:tc>
        <w:tc>
          <w:tcPr>
            <w:tcW w:w="678" w:type="pct"/>
            <w:shd w:val="clear" w:color="auto" w:fill="auto"/>
            <w:noWrap/>
            <w:vAlign w:val="center"/>
          </w:tcPr>
          <w:p w14:paraId="63598608"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763" w:type="pct"/>
            <w:shd w:val="clear" w:color="auto" w:fill="D9D9D9" w:themeFill="background1" w:themeFillShade="D9"/>
            <w:noWrap/>
          </w:tcPr>
          <w:p w14:paraId="7C77D591"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762" w:type="pct"/>
            <w:shd w:val="clear" w:color="808080" w:themeColor="background1" w:themeShade="80" w:fill="D9D9D9" w:themeFill="background1" w:themeFillShade="D9"/>
            <w:noWrap/>
          </w:tcPr>
          <w:p w14:paraId="1C4914C3"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shd w:val="clear" w:color="808080" w:themeColor="background1" w:themeShade="80" w:fill="D9D9D9" w:themeFill="background1" w:themeFillShade="D9"/>
            <w:noWrap/>
          </w:tcPr>
          <w:p w14:paraId="3AAE44B2"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vAlign w:val="center"/>
          </w:tcPr>
          <w:p w14:paraId="4A8E41EC"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22E6AF6E" w14:textId="77777777" w:rsidTr="00A959D8">
        <w:trPr>
          <w:trHeight w:val="354"/>
        </w:trPr>
        <w:tc>
          <w:tcPr>
            <w:tcW w:w="933" w:type="pct"/>
            <w:shd w:val="clear" w:color="auto" w:fill="auto"/>
            <w:noWrap/>
            <w:vAlign w:val="center"/>
          </w:tcPr>
          <w:p w14:paraId="312BAC56"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Clozapine</w:t>
            </w:r>
          </w:p>
        </w:tc>
        <w:tc>
          <w:tcPr>
            <w:tcW w:w="678" w:type="pct"/>
            <w:shd w:val="clear" w:color="auto" w:fill="auto"/>
            <w:noWrap/>
            <w:vAlign w:val="center"/>
          </w:tcPr>
          <w:p w14:paraId="737F2C31"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vAlign w:val="center"/>
          </w:tcPr>
          <w:p w14:paraId="70CF428B"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762" w:type="pct"/>
            <w:tcBorders>
              <w:bottom w:val="single" w:sz="4" w:space="0" w:color="auto"/>
            </w:tcBorders>
            <w:shd w:val="clear" w:color="auto" w:fill="auto"/>
            <w:noWrap/>
            <w:vAlign w:val="center"/>
          </w:tcPr>
          <w:p w14:paraId="5A38BA2B"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shd w:val="clear" w:color="auto" w:fill="auto"/>
            <w:noWrap/>
            <w:vAlign w:val="center"/>
          </w:tcPr>
          <w:p w14:paraId="4D4ADE35"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vAlign w:val="center"/>
          </w:tcPr>
          <w:p w14:paraId="4C3B883F"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2852840D" w14:textId="77777777" w:rsidTr="00A959D8">
        <w:trPr>
          <w:trHeight w:val="300"/>
        </w:trPr>
        <w:tc>
          <w:tcPr>
            <w:tcW w:w="933" w:type="pct"/>
            <w:shd w:val="clear" w:color="auto" w:fill="auto"/>
            <w:noWrap/>
            <w:vAlign w:val="center"/>
          </w:tcPr>
          <w:p w14:paraId="06E4E0F0"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Lurasidone</w:t>
            </w:r>
          </w:p>
        </w:tc>
        <w:tc>
          <w:tcPr>
            <w:tcW w:w="678" w:type="pct"/>
            <w:shd w:val="clear" w:color="auto" w:fill="auto"/>
            <w:noWrap/>
            <w:vAlign w:val="center"/>
          </w:tcPr>
          <w:p w14:paraId="1595FFBA"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tcBorders>
              <w:bottom w:val="single" w:sz="4" w:space="0" w:color="auto"/>
            </w:tcBorders>
            <w:shd w:val="clear" w:color="auto" w:fill="D9D9D9" w:themeFill="background1" w:themeFillShade="D9"/>
            <w:noWrap/>
            <w:vAlign w:val="center"/>
          </w:tcPr>
          <w:p w14:paraId="36804050"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r w:rsidRPr="00FE3D06">
              <w:rPr>
                <w:rFonts w:ascii="Arial Narrow" w:eastAsia="Times New Roman" w:hAnsi="Arial Narrow" w:cs="Calibri"/>
                <w:b/>
                <w:color w:val="000000"/>
                <w:sz w:val="20"/>
                <w:szCs w:val="20"/>
                <w:lang w:val="en-US"/>
              </w:rPr>
              <w:t>Y</w:t>
            </w:r>
          </w:p>
        </w:tc>
        <w:tc>
          <w:tcPr>
            <w:tcW w:w="762" w:type="pct"/>
            <w:tcBorders>
              <w:bottom w:val="single" w:sz="4" w:space="0" w:color="auto"/>
            </w:tcBorders>
            <w:shd w:val="clear" w:color="auto" w:fill="auto"/>
            <w:noWrap/>
            <w:vAlign w:val="center"/>
          </w:tcPr>
          <w:p w14:paraId="71300A50" w14:textId="77777777" w:rsidR="00AB6EBE" w:rsidRPr="00FE3D06" w:rsidRDefault="00AB6EBE" w:rsidP="00D110B1">
            <w:pPr>
              <w:spacing w:after="0"/>
              <w:jc w:val="center"/>
              <w:rPr>
                <w:rFonts w:ascii="Arial Narrow" w:eastAsia="Times New Roman" w:hAnsi="Arial Narrow" w:cs="Calibri"/>
                <w:color w:val="000000"/>
                <w:sz w:val="20"/>
                <w:szCs w:val="20"/>
                <w:lang w:val="en-US"/>
              </w:rPr>
            </w:pPr>
          </w:p>
        </w:tc>
        <w:tc>
          <w:tcPr>
            <w:tcW w:w="932" w:type="pct"/>
            <w:tcBorders>
              <w:bottom w:val="single" w:sz="4" w:space="0" w:color="auto"/>
            </w:tcBorders>
            <w:shd w:val="clear" w:color="auto" w:fill="auto"/>
            <w:noWrap/>
            <w:vAlign w:val="center"/>
          </w:tcPr>
          <w:p w14:paraId="5B088351"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auto"/>
            <w:vAlign w:val="center"/>
          </w:tcPr>
          <w:p w14:paraId="70A2959C"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2B8ADED3" w14:textId="77777777" w:rsidTr="00A959D8">
        <w:trPr>
          <w:trHeight w:val="236"/>
        </w:trPr>
        <w:tc>
          <w:tcPr>
            <w:tcW w:w="933" w:type="pct"/>
            <w:shd w:val="clear" w:color="auto" w:fill="auto"/>
            <w:noWrap/>
            <w:vAlign w:val="center"/>
          </w:tcPr>
          <w:p w14:paraId="00A09C4D"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Olanzapine</w:t>
            </w:r>
          </w:p>
        </w:tc>
        <w:tc>
          <w:tcPr>
            <w:tcW w:w="678" w:type="pct"/>
            <w:shd w:val="clear" w:color="auto" w:fill="auto"/>
            <w:noWrap/>
            <w:vAlign w:val="center"/>
          </w:tcPr>
          <w:p w14:paraId="2C98E494"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tcPr>
          <w:p w14:paraId="0085DADC"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762" w:type="pct"/>
            <w:shd w:val="clear" w:color="auto" w:fill="D9D9D9" w:themeFill="background1" w:themeFillShade="D9"/>
            <w:noWrap/>
          </w:tcPr>
          <w:p w14:paraId="2A29E7C7"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shd w:val="clear" w:color="auto" w:fill="D9D9D9" w:themeFill="background1" w:themeFillShade="D9"/>
            <w:noWrap/>
            <w:vAlign w:val="center"/>
          </w:tcPr>
          <w:p w14:paraId="24AD81D1"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2F5A0552"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17CEAD32" w14:textId="77777777" w:rsidTr="00A959D8">
        <w:trPr>
          <w:trHeight w:val="300"/>
        </w:trPr>
        <w:tc>
          <w:tcPr>
            <w:tcW w:w="933" w:type="pct"/>
            <w:shd w:val="clear" w:color="auto" w:fill="auto"/>
            <w:noWrap/>
            <w:vAlign w:val="center"/>
          </w:tcPr>
          <w:p w14:paraId="09931BCC"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Paliperidone</w:t>
            </w:r>
          </w:p>
        </w:tc>
        <w:tc>
          <w:tcPr>
            <w:tcW w:w="678" w:type="pct"/>
            <w:shd w:val="clear" w:color="auto" w:fill="auto"/>
            <w:noWrap/>
            <w:vAlign w:val="center"/>
          </w:tcPr>
          <w:p w14:paraId="6B9E1E19"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tcBorders>
              <w:bottom w:val="single" w:sz="4" w:space="0" w:color="auto"/>
            </w:tcBorders>
            <w:shd w:val="clear" w:color="auto" w:fill="D9D9D9" w:themeFill="background1" w:themeFillShade="D9"/>
            <w:noWrap/>
            <w:vAlign w:val="center"/>
          </w:tcPr>
          <w:p w14:paraId="2BF59FBE"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762" w:type="pct"/>
            <w:tcBorders>
              <w:bottom w:val="single" w:sz="4" w:space="0" w:color="auto"/>
            </w:tcBorders>
            <w:shd w:val="clear" w:color="auto" w:fill="auto"/>
            <w:noWrap/>
            <w:vAlign w:val="center"/>
          </w:tcPr>
          <w:p w14:paraId="08FDFCD7"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tcBorders>
              <w:bottom w:val="single" w:sz="4" w:space="0" w:color="auto"/>
            </w:tcBorders>
            <w:shd w:val="clear" w:color="auto" w:fill="auto"/>
            <w:noWrap/>
            <w:vAlign w:val="center"/>
          </w:tcPr>
          <w:p w14:paraId="12D97C28"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vAlign w:val="center"/>
          </w:tcPr>
          <w:p w14:paraId="3C7CB8EA"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rsidRPr="00AC55BF" w14:paraId="0CD4E96F" w14:textId="77777777" w:rsidTr="00A959D8">
        <w:trPr>
          <w:trHeight w:val="347"/>
        </w:trPr>
        <w:tc>
          <w:tcPr>
            <w:tcW w:w="933" w:type="pct"/>
            <w:shd w:val="clear" w:color="auto" w:fill="auto"/>
            <w:noWrap/>
            <w:vAlign w:val="center"/>
          </w:tcPr>
          <w:p w14:paraId="6ED715E0"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Quetiapine</w:t>
            </w:r>
          </w:p>
        </w:tc>
        <w:tc>
          <w:tcPr>
            <w:tcW w:w="678" w:type="pct"/>
            <w:shd w:val="clear" w:color="auto" w:fill="auto"/>
            <w:noWrap/>
            <w:vAlign w:val="center"/>
          </w:tcPr>
          <w:p w14:paraId="4C6F33DA"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tcBorders>
              <w:bottom w:val="single" w:sz="4" w:space="0" w:color="auto"/>
            </w:tcBorders>
            <w:shd w:val="clear" w:color="auto" w:fill="D9D9D9" w:themeFill="background1" w:themeFillShade="D9"/>
            <w:noWrap/>
          </w:tcPr>
          <w:p w14:paraId="6125073D"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762" w:type="pct"/>
            <w:tcBorders>
              <w:bottom w:val="single" w:sz="4" w:space="0" w:color="auto"/>
            </w:tcBorders>
            <w:shd w:val="clear" w:color="auto" w:fill="D9D9D9" w:themeFill="background1" w:themeFillShade="D9"/>
            <w:noWrap/>
          </w:tcPr>
          <w:p w14:paraId="64938F37"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tcBorders>
              <w:bottom w:val="single" w:sz="4" w:space="0" w:color="auto"/>
            </w:tcBorders>
            <w:shd w:val="clear" w:color="auto" w:fill="D9D9D9" w:themeFill="background1" w:themeFillShade="D9"/>
            <w:noWrap/>
          </w:tcPr>
          <w:p w14:paraId="0BEA2BF1"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tcBorders>
              <w:bottom w:val="single" w:sz="4" w:space="0" w:color="auto"/>
            </w:tcBorders>
            <w:vAlign w:val="center"/>
          </w:tcPr>
          <w:p w14:paraId="31A472CD" w14:textId="77777777" w:rsidR="00AB6EBE" w:rsidRPr="00FE3D06" w:rsidRDefault="00AB6EBE" w:rsidP="00D110B1">
            <w:pPr>
              <w:spacing w:after="0"/>
              <w:jc w:val="center"/>
              <w:rPr>
                <w:rFonts w:ascii="Arial Narrow" w:eastAsia="Times New Roman" w:hAnsi="Arial Narrow" w:cs="Arial"/>
                <w:color w:val="000000"/>
                <w:sz w:val="20"/>
                <w:szCs w:val="20"/>
              </w:rPr>
            </w:pPr>
          </w:p>
        </w:tc>
      </w:tr>
      <w:tr w:rsidR="00AB6EBE" w14:paraId="2420A11C" w14:textId="77777777" w:rsidTr="00A959D8">
        <w:trPr>
          <w:trHeight w:val="338"/>
        </w:trPr>
        <w:tc>
          <w:tcPr>
            <w:tcW w:w="933" w:type="pct"/>
            <w:shd w:val="clear" w:color="auto" w:fill="auto"/>
            <w:noWrap/>
            <w:vAlign w:val="center"/>
          </w:tcPr>
          <w:p w14:paraId="5F0BFB53"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Risperidone</w:t>
            </w:r>
          </w:p>
        </w:tc>
        <w:tc>
          <w:tcPr>
            <w:tcW w:w="678" w:type="pct"/>
            <w:shd w:val="clear" w:color="auto" w:fill="auto"/>
            <w:noWrap/>
            <w:vAlign w:val="center"/>
          </w:tcPr>
          <w:p w14:paraId="69B57B3D"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tcPr>
          <w:p w14:paraId="7245B610"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762" w:type="pct"/>
            <w:shd w:val="clear" w:color="auto" w:fill="D9D9D9" w:themeFill="background1" w:themeFillShade="D9"/>
            <w:noWrap/>
          </w:tcPr>
          <w:p w14:paraId="77667B05"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shd w:val="clear" w:color="auto" w:fill="D9D9D9" w:themeFill="background1" w:themeFillShade="D9"/>
            <w:noWrap/>
          </w:tcPr>
          <w:p w14:paraId="318A6EB8"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c>
          <w:tcPr>
            <w:tcW w:w="932" w:type="pct"/>
            <w:shd w:val="clear" w:color="auto" w:fill="D9D9D9" w:themeFill="background1" w:themeFillShade="D9"/>
          </w:tcPr>
          <w:p w14:paraId="26C66515" w14:textId="77777777" w:rsidR="00AB6EBE" w:rsidRPr="00FE3D06" w:rsidRDefault="00AB6EBE" w:rsidP="00D110B1">
            <w:pPr>
              <w:jc w:val="center"/>
              <w:rPr>
                <w:rFonts w:ascii="Arial Narrow" w:hAnsi="Arial Narrow"/>
                <w:sz w:val="20"/>
                <w:szCs w:val="20"/>
              </w:rPr>
            </w:pPr>
            <w:r w:rsidRPr="00FE3D06">
              <w:rPr>
                <w:rFonts w:ascii="Arial Narrow" w:eastAsia="Times New Roman" w:hAnsi="Arial Narrow" w:cs="Calibri"/>
                <w:b/>
                <w:color w:val="000000"/>
                <w:sz w:val="20"/>
                <w:szCs w:val="20"/>
                <w:lang w:val="en-US"/>
              </w:rPr>
              <w:t>Y</w:t>
            </w:r>
          </w:p>
        </w:tc>
      </w:tr>
      <w:tr w:rsidR="00AB6EBE" w:rsidRPr="00AC55BF" w14:paraId="3F864D04" w14:textId="77777777" w:rsidTr="00A959D8">
        <w:trPr>
          <w:trHeight w:val="330"/>
        </w:trPr>
        <w:tc>
          <w:tcPr>
            <w:tcW w:w="933" w:type="pct"/>
            <w:shd w:val="clear" w:color="auto" w:fill="auto"/>
            <w:noWrap/>
            <w:vAlign w:val="center"/>
          </w:tcPr>
          <w:p w14:paraId="12D177C8" w14:textId="77777777" w:rsidR="00AB6EBE" w:rsidRPr="00FE3D06" w:rsidRDefault="00AB6EBE" w:rsidP="00D110B1">
            <w:pPr>
              <w:spacing w:after="0"/>
              <w:rPr>
                <w:rFonts w:ascii="Arial Narrow" w:eastAsia="Times New Roman" w:hAnsi="Arial Narrow" w:cs="Arial"/>
                <w:color w:val="000000"/>
                <w:sz w:val="20"/>
                <w:szCs w:val="20"/>
              </w:rPr>
            </w:pPr>
            <w:r w:rsidRPr="00FE3D06">
              <w:rPr>
                <w:rFonts w:ascii="Arial Narrow" w:eastAsia="Times New Roman" w:hAnsi="Arial Narrow" w:cs="Arial"/>
                <w:color w:val="000000"/>
                <w:sz w:val="20"/>
                <w:szCs w:val="20"/>
              </w:rPr>
              <w:t>Ziprasidone</w:t>
            </w:r>
          </w:p>
        </w:tc>
        <w:tc>
          <w:tcPr>
            <w:tcW w:w="678" w:type="pct"/>
            <w:shd w:val="clear" w:color="auto" w:fill="auto"/>
            <w:noWrap/>
            <w:vAlign w:val="center"/>
          </w:tcPr>
          <w:p w14:paraId="08ECE783"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763" w:type="pct"/>
            <w:shd w:val="clear" w:color="auto" w:fill="D9D9D9" w:themeFill="background1" w:themeFillShade="D9"/>
            <w:noWrap/>
            <w:vAlign w:val="center"/>
          </w:tcPr>
          <w:p w14:paraId="037A3461"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762" w:type="pct"/>
            <w:shd w:val="clear" w:color="auto" w:fill="auto"/>
            <w:noWrap/>
            <w:vAlign w:val="center"/>
          </w:tcPr>
          <w:p w14:paraId="02383207" w14:textId="77777777" w:rsidR="00AB6EBE" w:rsidRPr="00FE3D06" w:rsidRDefault="00AB6EBE" w:rsidP="00D110B1">
            <w:pPr>
              <w:spacing w:after="0"/>
              <w:jc w:val="center"/>
              <w:rPr>
                <w:rFonts w:ascii="Arial Narrow" w:eastAsia="Times New Roman" w:hAnsi="Arial Narrow" w:cs="Calibri"/>
                <w:color w:val="000000"/>
                <w:sz w:val="20"/>
                <w:szCs w:val="20"/>
              </w:rPr>
            </w:pPr>
          </w:p>
        </w:tc>
        <w:tc>
          <w:tcPr>
            <w:tcW w:w="932" w:type="pct"/>
            <w:shd w:val="clear" w:color="auto" w:fill="D9D9D9" w:themeFill="background1" w:themeFillShade="D9"/>
            <w:noWrap/>
            <w:vAlign w:val="center"/>
          </w:tcPr>
          <w:p w14:paraId="40E3E047" w14:textId="77777777" w:rsidR="00AB6EBE" w:rsidRPr="00FE3D06" w:rsidRDefault="00AB6EBE" w:rsidP="00D110B1">
            <w:pPr>
              <w:spacing w:after="0"/>
              <w:jc w:val="center"/>
              <w:rPr>
                <w:rFonts w:ascii="Arial Narrow" w:eastAsia="Times New Roman" w:hAnsi="Arial Narrow" w:cs="Calibri"/>
                <w:color w:val="000000"/>
                <w:sz w:val="20"/>
                <w:szCs w:val="20"/>
              </w:rPr>
            </w:pPr>
            <w:r w:rsidRPr="00FE3D06">
              <w:rPr>
                <w:rFonts w:ascii="Arial Narrow" w:eastAsia="Times New Roman" w:hAnsi="Arial Narrow" w:cs="Calibri"/>
                <w:b/>
                <w:color w:val="000000"/>
                <w:sz w:val="20"/>
                <w:szCs w:val="20"/>
                <w:lang w:val="en-US"/>
              </w:rPr>
              <w:t>Y</w:t>
            </w:r>
          </w:p>
        </w:tc>
        <w:tc>
          <w:tcPr>
            <w:tcW w:w="932" w:type="pct"/>
            <w:vAlign w:val="center"/>
          </w:tcPr>
          <w:p w14:paraId="011FE44F" w14:textId="77777777" w:rsidR="00AB6EBE" w:rsidRPr="00FE3D06" w:rsidRDefault="00AB6EBE" w:rsidP="00D110B1">
            <w:pPr>
              <w:spacing w:after="0"/>
              <w:jc w:val="center"/>
              <w:rPr>
                <w:rFonts w:ascii="Arial Narrow" w:eastAsia="Times New Roman" w:hAnsi="Arial Narrow" w:cs="Arial"/>
                <w:color w:val="000000"/>
                <w:sz w:val="20"/>
                <w:szCs w:val="20"/>
              </w:rPr>
            </w:pPr>
          </w:p>
        </w:tc>
      </w:tr>
    </w:tbl>
    <w:p w14:paraId="12B12A33" w14:textId="0A2B65D0" w:rsidR="001240BF" w:rsidRDefault="001240BF" w:rsidP="001240BF">
      <w:pPr>
        <w:spacing w:after="0"/>
        <w:rPr>
          <w:sz w:val="20"/>
          <w:szCs w:val="20"/>
        </w:rPr>
      </w:pPr>
      <w:r>
        <w:rPr>
          <w:sz w:val="20"/>
          <w:szCs w:val="20"/>
        </w:rPr>
        <w:t xml:space="preserve">Source: Registered indications were sourced from the </w:t>
      </w:r>
      <w:hyperlink r:id="rId13" w:history="1">
        <w:r w:rsidRPr="001240BF">
          <w:rPr>
            <w:rStyle w:val="Hyperlink"/>
            <w:sz w:val="20"/>
            <w:szCs w:val="20"/>
          </w:rPr>
          <w:t>Australian Register of Therapeutic Goods</w:t>
        </w:r>
      </w:hyperlink>
      <w:r>
        <w:rPr>
          <w:sz w:val="20"/>
          <w:szCs w:val="20"/>
        </w:rPr>
        <w:t xml:space="preserve"> as of August</w:t>
      </w:r>
      <w:r w:rsidR="00C74EA0">
        <w:rPr>
          <w:sz w:val="20"/>
          <w:szCs w:val="20"/>
        </w:rPr>
        <w:t> </w:t>
      </w:r>
      <w:r>
        <w:rPr>
          <w:sz w:val="20"/>
          <w:szCs w:val="20"/>
        </w:rPr>
        <w:t>2016.</w:t>
      </w:r>
    </w:p>
    <w:p w14:paraId="1F5B8656" w14:textId="0CA6EAF0" w:rsidR="00AB6EBE" w:rsidRDefault="009D35F6" w:rsidP="001240BF">
      <w:pPr>
        <w:spacing w:after="0"/>
        <w:rPr>
          <w:sz w:val="20"/>
          <w:szCs w:val="20"/>
        </w:rPr>
      </w:pPr>
      <w:r w:rsidRPr="00170BF8">
        <w:rPr>
          <w:sz w:val="20"/>
          <w:szCs w:val="20"/>
        </w:rPr>
        <w:t>Note: Shaded cells indicate the medicine is registered for a given indication. PBS restricted indications are indicated by ‘</w:t>
      </w:r>
      <w:r w:rsidRPr="003764AD">
        <w:rPr>
          <w:b/>
          <w:sz w:val="20"/>
          <w:szCs w:val="20"/>
        </w:rPr>
        <w:t>Y</w:t>
      </w:r>
      <w:r w:rsidRPr="00170BF8">
        <w:rPr>
          <w:sz w:val="20"/>
          <w:szCs w:val="20"/>
        </w:rPr>
        <w:t>’.</w:t>
      </w:r>
    </w:p>
    <w:p w14:paraId="069D4EF3" w14:textId="0DBE9A84" w:rsidR="00E35DD7" w:rsidRPr="00C11FEC" w:rsidRDefault="000F0BFB" w:rsidP="00C11FEC">
      <w:pPr>
        <w:spacing w:after="0"/>
        <w:rPr>
          <w:sz w:val="20"/>
          <w:szCs w:val="20"/>
          <w:highlight w:val="yellow"/>
        </w:rPr>
      </w:pPr>
      <w:r>
        <w:rPr>
          <w:sz w:val="20"/>
          <w:szCs w:val="20"/>
          <w:vertAlign w:val="superscript"/>
        </w:rPr>
        <w:t>1</w:t>
      </w:r>
      <w:r>
        <w:rPr>
          <w:sz w:val="20"/>
          <w:szCs w:val="20"/>
        </w:rPr>
        <w:t xml:space="preserve"> Thioridazine is no longer listed on the PBS schedule.</w:t>
      </w:r>
    </w:p>
    <w:p w14:paraId="1AFA1485" w14:textId="18987978" w:rsidR="004C3186" w:rsidRDefault="004C3186" w:rsidP="00CF5E22">
      <w:pPr>
        <w:pStyle w:val="Heading3"/>
      </w:pPr>
      <w:r>
        <w:t>Restriction</w:t>
      </w:r>
      <w:r w:rsidR="00FC0F23">
        <w:t xml:space="preserve"> (Abridged)</w:t>
      </w:r>
    </w:p>
    <w:p w14:paraId="3534822A" w14:textId="2F443A86" w:rsidR="00BA4DF5" w:rsidRPr="00FC0F23" w:rsidRDefault="00BA4DF5" w:rsidP="00A35800">
      <w:r>
        <w:t xml:space="preserve">Quetiapine 25 mg is supplied through the PBS as an Authority Required (STREAMLINED) listing for the treatment of schizophrenia, acute mania and bipolar I disorder. </w:t>
      </w:r>
      <w:r w:rsidR="00FC0F23">
        <w:t>The medicine is provided as a pack of 60 tablets with no repeats.</w:t>
      </w:r>
    </w:p>
    <w:p w14:paraId="39BEEE99" w14:textId="3036D9A3" w:rsidR="006F78B5" w:rsidRPr="009C1E36" w:rsidRDefault="006F78B5" w:rsidP="006F78B5">
      <w:r w:rsidRPr="009C1E36">
        <w:lastRenderedPageBreak/>
        <w:t>Full wording of the restrictions, including notes, can be found at</w:t>
      </w:r>
      <w:r w:rsidR="00686410">
        <w:t xml:space="preserve"> the</w:t>
      </w:r>
      <w:r w:rsidRPr="009C1E36">
        <w:t xml:space="preserve"> </w:t>
      </w:r>
      <w:hyperlink r:id="rId14" w:history="1">
        <w:r w:rsidR="00686410">
          <w:rPr>
            <w:rStyle w:val="Hyperlink"/>
            <w:rFonts w:cs="Baskerville"/>
          </w:rPr>
          <w:t>PBS website.</w:t>
        </w:r>
      </w:hyperlink>
    </w:p>
    <w:p w14:paraId="509ADFEB" w14:textId="5D8DB94B" w:rsidR="009C35F2" w:rsidRDefault="009C35F2" w:rsidP="00CF5E22">
      <w:pPr>
        <w:pStyle w:val="Heading3"/>
      </w:pPr>
      <w:r w:rsidRPr="00675BB1">
        <w:t>Date of listing on PBS</w:t>
      </w:r>
    </w:p>
    <w:p w14:paraId="5BC81FAA" w14:textId="561F6866" w:rsidR="00B52876" w:rsidRPr="00B52876" w:rsidRDefault="00B52876" w:rsidP="00B52876">
      <w:r>
        <w:t>The 25 mg strength of quetiapine was first listed on 1 November 2000.</w:t>
      </w:r>
    </w:p>
    <w:p w14:paraId="39EF75ED" w14:textId="210A5F9B" w:rsidR="00675BB1" w:rsidRPr="00675BB1" w:rsidRDefault="00675BB1" w:rsidP="00CF5E22">
      <w:pPr>
        <w:pStyle w:val="Heading3"/>
      </w:pPr>
      <w:r w:rsidRPr="00675BB1">
        <w:t>Changes to listing</w:t>
      </w:r>
    </w:p>
    <w:p w14:paraId="1CF843E6" w14:textId="51CB7B88" w:rsidR="000C3792" w:rsidRPr="00F315AD" w:rsidRDefault="000C3792" w:rsidP="00A35800">
      <w:r>
        <w:t>From 1 January 2014, the number of repeats for the listing of 25 mg strength of quetiapine was reduce</w:t>
      </w:r>
      <w:r w:rsidR="008149AA">
        <w:t>d from five</w:t>
      </w:r>
      <w:r>
        <w:t xml:space="preserve"> to zero. </w:t>
      </w:r>
      <w:r w:rsidR="0006678C">
        <w:t>The clini</w:t>
      </w:r>
      <w:r w:rsidR="00C969EB">
        <w:t>cal criteria for the listing were</w:t>
      </w:r>
      <w:r w:rsidR="0006678C">
        <w:t xml:space="preserve"> also changed to include ‘The treatment must be for dose titration purposes’.</w:t>
      </w:r>
    </w:p>
    <w:p w14:paraId="64C94A85" w14:textId="11A11212" w:rsidR="00BF544D" w:rsidRPr="002F61CA" w:rsidRDefault="00BF544D" w:rsidP="00BF544D">
      <w:r w:rsidRPr="002F61CA">
        <w:t xml:space="preserve">Current PBS listing details are available from </w:t>
      </w:r>
      <w:r>
        <w:t xml:space="preserve">the </w:t>
      </w:r>
      <w:hyperlink r:id="rId15" w:history="1">
        <w:r w:rsidRPr="00645D51">
          <w:rPr>
            <w:rStyle w:val="Hyperlink"/>
          </w:rPr>
          <w:t>PBS website</w:t>
        </w:r>
      </w:hyperlink>
      <w:r>
        <w:t>.</w:t>
      </w:r>
    </w:p>
    <w:p w14:paraId="0DEBD50F" w14:textId="69B931E7" w:rsidR="00094DCF" w:rsidRDefault="00ED633B" w:rsidP="00CF5E22">
      <w:pPr>
        <w:pStyle w:val="Heading2"/>
      </w:pPr>
      <w:r>
        <w:t xml:space="preserve">Previous reviews by </w:t>
      </w:r>
      <w:r w:rsidR="00177B86">
        <w:t xml:space="preserve">the </w:t>
      </w:r>
      <w:r>
        <w:t>DUSC</w:t>
      </w:r>
    </w:p>
    <w:p w14:paraId="5A0F78FD" w14:textId="5A79743D" w:rsidR="00A35E02" w:rsidRDefault="00A35E02" w:rsidP="00A35800">
      <w:pPr>
        <w:rPr>
          <w:highlight w:val="yellow"/>
        </w:rPr>
      </w:pPr>
      <w:r>
        <w:t>Separate utilisation reviews on the use of antipsychotics in children and adolescents and in the middle aged were considered by DUSC in 2013 at its February and June meetings.</w:t>
      </w:r>
      <w:r w:rsidR="00486D18">
        <w:t xml:space="preserve"> For children and adolescents, while of low prevalence</w:t>
      </w:r>
      <w:r w:rsidR="00C74EA0">
        <w:t>,</w:t>
      </w:r>
      <w:r w:rsidR="00486D18">
        <w:t xml:space="preserve"> concerns were raised about the use of risperidone in very young patients. DUSC was also concerned about the high use of low dose quetiapine which ma</w:t>
      </w:r>
      <w:r w:rsidR="003B3264">
        <w:t>y have been used off-label for sedation or as an agent to treat anxiety</w:t>
      </w:r>
      <w:r w:rsidR="00486D18" w:rsidRPr="00486D18">
        <w:t>.</w:t>
      </w:r>
      <w:r w:rsidR="00486D18">
        <w:t xml:space="preserve"> </w:t>
      </w:r>
      <w:r w:rsidR="003B3264">
        <w:t>A higher than expected use of low dose quetiapine was also found for middle aged patients</w:t>
      </w:r>
      <w:r w:rsidR="00C74EA0">
        <w:t>,</w:t>
      </w:r>
      <w:r w:rsidR="003B3264">
        <w:t xml:space="preserve"> which was thought to reflect its use as a sedative or as an </w:t>
      </w:r>
      <w:r w:rsidR="003B3264" w:rsidRPr="003B3264">
        <w:t>anxiolytic.</w:t>
      </w:r>
      <w:r w:rsidR="003B3264" w:rsidRPr="00702E90">
        <w:t xml:space="preserve"> </w:t>
      </w:r>
      <w:r w:rsidR="00702E90" w:rsidRPr="00702E90">
        <w:t>Additional use of quetiapine 25 mg as an adjunct treatment to manage depression and to manage the side effects of antidepressants was also noted.</w:t>
      </w:r>
    </w:p>
    <w:p w14:paraId="58B505AA" w14:textId="588363E8" w:rsidR="00793207" w:rsidRPr="00ED633B" w:rsidRDefault="009D1ED5" w:rsidP="00A35800">
      <w:r>
        <w:t xml:space="preserve">For details of the DUSC consideration of </w:t>
      </w:r>
      <w:r w:rsidR="00A35E02">
        <w:t>antipsychotics</w:t>
      </w:r>
      <w:r>
        <w:t xml:space="preserve"> refer to the </w:t>
      </w:r>
      <w:r w:rsidR="00A35E02">
        <w:t xml:space="preserve">Public Release Documents for the </w:t>
      </w:r>
      <w:hyperlink r:id="rId16" w:history="1">
        <w:r w:rsidR="00A35E02" w:rsidRPr="00A35E02">
          <w:rPr>
            <w:rStyle w:val="Hyperlink"/>
          </w:rPr>
          <w:t>children and adolescents</w:t>
        </w:r>
      </w:hyperlink>
      <w:r w:rsidR="00A35E02">
        <w:t xml:space="preserve"> and </w:t>
      </w:r>
      <w:hyperlink r:id="rId17" w:history="1">
        <w:r w:rsidR="00A35E02" w:rsidRPr="00A35E02">
          <w:rPr>
            <w:rStyle w:val="Hyperlink"/>
          </w:rPr>
          <w:t>middle aged</w:t>
        </w:r>
      </w:hyperlink>
      <w:r w:rsidR="00A35E02">
        <w:t xml:space="preserve"> reports </w:t>
      </w:r>
      <w:r>
        <w:t xml:space="preserve">from the </w:t>
      </w:r>
      <w:r w:rsidR="00A35E02">
        <w:t>February</w:t>
      </w:r>
      <w:r w:rsidR="00C74EA0">
        <w:t> </w:t>
      </w:r>
      <w:r w:rsidR="00A35E02">
        <w:t>2013 and June 2013</w:t>
      </w:r>
      <w:r>
        <w:t xml:space="preserve"> DUSC meeting</w:t>
      </w:r>
      <w:r w:rsidR="00A35E02">
        <w:t>s</w:t>
      </w:r>
      <w:r w:rsidR="00612C26">
        <w:t xml:space="preserve"> a</w:t>
      </w:r>
      <w:r w:rsidR="00793207">
        <w:t xml:space="preserve">re available on the </w:t>
      </w:r>
      <w:hyperlink r:id="rId18" w:history="1">
        <w:r w:rsidR="00793207" w:rsidRPr="00C74EA0">
          <w:rPr>
            <w:rStyle w:val="Hyperlink"/>
          </w:rPr>
          <w:t>PBS website</w:t>
        </w:r>
      </w:hyperlink>
      <w:r w:rsidR="00793207">
        <w:t>.</w:t>
      </w:r>
    </w:p>
    <w:p w14:paraId="234552BE" w14:textId="6395D090" w:rsidR="00B30475" w:rsidRDefault="00E677DD" w:rsidP="00B30475">
      <w:pPr>
        <w:pStyle w:val="Heading1"/>
      </w:pPr>
      <w:r w:rsidRPr="005E22C2">
        <w:t>Method</w:t>
      </w:r>
      <w:r w:rsidR="001B5D37" w:rsidRPr="005E22C2">
        <w:t>s</w:t>
      </w:r>
    </w:p>
    <w:p w14:paraId="1B71C51A" w14:textId="15FA23DC" w:rsidR="0017125D" w:rsidRDefault="00804D2D" w:rsidP="00B30475">
      <w:pPr>
        <w:pStyle w:val="Heading2"/>
        <w:rPr>
          <w:sz w:val="24"/>
        </w:rPr>
      </w:pPr>
      <w:r>
        <w:rPr>
          <w:sz w:val="24"/>
        </w:rPr>
        <w:t>Drugs</w:t>
      </w:r>
      <w:r w:rsidR="0017125D">
        <w:rPr>
          <w:sz w:val="24"/>
        </w:rPr>
        <w:t xml:space="preserve"> included in the analysis</w:t>
      </w:r>
    </w:p>
    <w:p w14:paraId="59963347" w14:textId="77696FC9" w:rsidR="0017125D" w:rsidRDefault="00261F1C" w:rsidP="0017125D">
      <w:r>
        <w:t>The f</w:t>
      </w:r>
      <w:r w:rsidR="00A90FB2">
        <w:t>ollowing typical and atypical antipsychotic drugs were included in the analyse</w:t>
      </w:r>
      <w:r w:rsidR="00A90FB2" w:rsidRPr="003276F9">
        <w:t>s:</w:t>
      </w:r>
    </w:p>
    <w:p w14:paraId="58C48D61" w14:textId="439C939F" w:rsidR="00A90FB2" w:rsidRDefault="00A90FB2" w:rsidP="0017125D">
      <w:r w:rsidRPr="007C6264">
        <w:rPr>
          <w:u w:val="single"/>
        </w:rPr>
        <w:t>Typical antipsychotics</w:t>
      </w:r>
      <w:r>
        <w:t xml:space="preserve">: </w:t>
      </w:r>
      <w:r w:rsidR="00C74EA0">
        <w:t>c</w:t>
      </w:r>
      <w:r w:rsidR="007C6264">
        <w:t xml:space="preserve">hlorpromazine; flupenthixol; fluphenazine; haloperidol; </w:t>
      </w:r>
      <w:r w:rsidR="00AF689A" w:rsidRPr="00AF689A">
        <w:t>pericyazine</w:t>
      </w:r>
      <w:r w:rsidR="007C6264">
        <w:t>; trifluoperazine; zuclopenthixol; and thioridazine.</w:t>
      </w:r>
    </w:p>
    <w:p w14:paraId="5BF80AAB" w14:textId="68D81A85" w:rsidR="007C6264" w:rsidRDefault="007C6264" w:rsidP="0017125D">
      <w:r w:rsidRPr="007C6264">
        <w:rPr>
          <w:u w:val="single"/>
        </w:rPr>
        <w:t>Atypical antipsychotics</w:t>
      </w:r>
      <w:r>
        <w:t xml:space="preserve">: </w:t>
      </w:r>
      <w:r w:rsidR="00C74EA0">
        <w:t>a</w:t>
      </w:r>
      <w:r>
        <w:t>misulpride; aripiprazole; asenapine; clozapine; lurasidone; olanzapine; paliperidone; quetiapine;</w:t>
      </w:r>
      <w:r w:rsidRPr="00D0218F">
        <w:t xml:space="preserve"> risperidone</w:t>
      </w:r>
      <w:r>
        <w:t>;</w:t>
      </w:r>
      <w:r w:rsidRPr="00D0218F">
        <w:t xml:space="preserve"> and ziprasidone</w:t>
      </w:r>
      <w:r>
        <w:t>.</w:t>
      </w:r>
    </w:p>
    <w:p w14:paraId="2727B6D9" w14:textId="72001550" w:rsidR="00B30475" w:rsidRPr="00B30475" w:rsidRDefault="00B30475" w:rsidP="00B30475">
      <w:pPr>
        <w:pStyle w:val="Heading2"/>
        <w:rPr>
          <w:sz w:val="24"/>
        </w:rPr>
      </w:pPr>
      <w:r w:rsidRPr="00B30475">
        <w:rPr>
          <w:sz w:val="24"/>
        </w:rPr>
        <w:t xml:space="preserve">Number of </w:t>
      </w:r>
      <w:r>
        <w:rPr>
          <w:sz w:val="24"/>
        </w:rPr>
        <w:t>PBS/RPBS prescriptions supplied</w:t>
      </w:r>
      <w:r w:rsidR="00632B51">
        <w:rPr>
          <w:sz w:val="24"/>
        </w:rPr>
        <w:t xml:space="preserve"> and benefits paid</w:t>
      </w:r>
    </w:p>
    <w:p w14:paraId="6DBBCEB4" w14:textId="6113777C" w:rsidR="00415492" w:rsidRDefault="00B30475" w:rsidP="00090638">
      <w:pPr>
        <w:spacing w:after="0" w:line="280" w:lineRule="atLeast"/>
        <w:jc w:val="both"/>
      </w:pPr>
      <w:r>
        <w:t>The number of PBS/RPBS prescriptions supplied</w:t>
      </w:r>
      <w:r w:rsidR="00632B51">
        <w:t xml:space="preserve"> for atypical and typical antipsychotic medicines</w:t>
      </w:r>
      <w:r>
        <w:t xml:space="preserve"> was sourced from the DUSC database. </w:t>
      </w:r>
      <w:r w:rsidRPr="00CF7365">
        <w:t>The DU</w:t>
      </w:r>
      <w:r>
        <w:t>SC database combines data on</w:t>
      </w:r>
      <w:r w:rsidRPr="00CF7365">
        <w:t xml:space="preserve"> prescriptions submitted to the Department of Human Services (DHS) for payment of a PBS/RPBS subsidy by the Govern</w:t>
      </w:r>
      <w:r>
        <w:t>ment with an estimate of under</w:t>
      </w:r>
      <w:r w:rsidRPr="00CF7365">
        <w:t xml:space="preserve"> </w:t>
      </w:r>
      <w:r>
        <w:t xml:space="preserve">patient </w:t>
      </w:r>
      <w:r w:rsidRPr="00CF7365">
        <w:t xml:space="preserve">co-payment </w:t>
      </w:r>
      <w:r w:rsidRPr="00CF7365">
        <w:lastRenderedPageBreak/>
        <w:t>prescriptions based on dispensing data from a sample of pharmacies to the end of August</w:t>
      </w:r>
      <w:r w:rsidR="00C74EA0">
        <w:t> </w:t>
      </w:r>
      <w:r w:rsidRPr="00CF7365">
        <w:t>2012</w:t>
      </w:r>
      <w:r>
        <w:t>. This was</w:t>
      </w:r>
      <w:r w:rsidRPr="00CF7365">
        <w:t xml:space="preserve"> replaced by actual under </w:t>
      </w:r>
      <w:r>
        <w:t xml:space="preserve">patient </w:t>
      </w:r>
      <w:r w:rsidRPr="00CF7365">
        <w:t xml:space="preserve">co-payment </w:t>
      </w:r>
      <w:r>
        <w:t xml:space="preserve">prescription </w:t>
      </w:r>
      <w:r w:rsidRPr="00CF7365">
        <w:t xml:space="preserve">data from 1 April 2012. </w:t>
      </w:r>
    </w:p>
    <w:p w14:paraId="5205BC84" w14:textId="77777777" w:rsidR="00415492" w:rsidRDefault="00415492" w:rsidP="00090638">
      <w:pPr>
        <w:spacing w:after="0" w:line="280" w:lineRule="atLeast"/>
        <w:jc w:val="both"/>
      </w:pPr>
    </w:p>
    <w:p w14:paraId="292E56CE" w14:textId="42DBC0F7" w:rsidR="00B30475" w:rsidRPr="00415492" w:rsidRDefault="00415492" w:rsidP="00415492">
      <w:pPr>
        <w:rPr>
          <w:rFonts w:eastAsia="Calibri" w:cs="Times New Roman"/>
        </w:rPr>
      </w:pPr>
      <w:r>
        <w:rPr>
          <w:rFonts w:eastAsia="Calibri" w:cs="Times New Roman"/>
        </w:rPr>
        <w:t xml:space="preserve">From 1 July 2013 there was complete prescription data capture for Highly Specialised Drugs (HSD) prescriptions for clozapine dispensed by public and private hospital pharmacies.  Prior to 1 July 2013, </w:t>
      </w:r>
      <w:r w:rsidRPr="00AC5054">
        <w:rPr>
          <w:rFonts w:eastAsia="Calibri" w:cs="Times New Roman"/>
        </w:rPr>
        <w:t xml:space="preserve">prescriptions </w:t>
      </w:r>
      <w:r w:rsidR="00AC2E65">
        <w:rPr>
          <w:rFonts w:eastAsia="Calibri" w:cs="Times New Roman"/>
        </w:rPr>
        <w:t xml:space="preserve">for clozapine </w:t>
      </w:r>
      <w:r>
        <w:rPr>
          <w:rFonts w:eastAsia="Calibri" w:cs="Times New Roman"/>
        </w:rPr>
        <w:t xml:space="preserve">supplied through public hospitals </w:t>
      </w:r>
      <w:r w:rsidRPr="00AC5054">
        <w:rPr>
          <w:rFonts w:eastAsia="Calibri" w:cs="Times New Roman"/>
        </w:rPr>
        <w:t>were processed through the DHS Offline processing system,</w:t>
      </w:r>
      <w:r>
        <w:rPr>
          <w:rFonts w:eastAsia="Calibri" w:cs="Times New Roman"/>
        </w:rPr>
        <w:t xml:space="preserve"> for which only </w:t>
      </w:r>
      <w:r w:rsidRPr="00495473">
        <w:rPr>
          <w:rFonts w:eastAsia="Calibri" w:cs="Times New Roman"/>
        </w:rPr>
        <w:t xml:space="preserve">aggregated </w:t>
      </w:r>
      <w:r>
        <w:rPr>
          <w:rFonts w:eastAsia="Calibri" w:cs="Times New Roman"/>
        </w:rPr>
        <w:t>data was available</w:t>
      </w:r>
      <w:r w:rsidR="00C74EA0">
        <w:rPr>
          <w:rFonts w:eastAsia="Calibri" w:cs="Times New Roman"/>
        </w:rPr>
        <w:t>;</w:t>
      </w:r>
      <w:r w:rsidRPr="00495473">
        <w:rPr>
          <w:rFonts w:eastAsia="Calibri" w:cs="Times New Roman"/>
        </w:rPr>
        <w:t xml:space="preserve"> i.e. the number of packs</w:t>
      </w:r>
      <w:r>
        <w:rPr>
          <w:rFonts w:eastAsia="Calibri" w:cs="Times New Roman"/>
        </w:rPr>
        <w:t xml:space="preserve"> supplied and the cost per </w:t>
      </w:r>
      <w:r w:rsidR="00AC2E65">
        <w:rPr>
          <w:rFonts w:eastAsia="Calibri" w:cs="Times New Roman"/>
        </w:rPr>
        <w:t xml:space="preserve">quarter. </w:t>
      </w:r>
      <w:r w:rsidR="00D84EF0">
        <w:rPr>
          <w:rFonts w:eastAsia="Calibri" w:cs="Times New Roman"/>
        </w:rPr>
        <w:t>Prior to 1 July 2013 expenditure data for clozapine was sourced from the DUSC Highly Specialised Drugs database</w:t>
      </w:r>
      <w:r w:rsidR="00C74EA0">
        <w:rPr>
          <w:rFonts w:eastAsia="Calibri" w:cs="Times New Roman"/>
        </w:rPr>
        <w:t>,</w:t>
      </w:r>
      <w:r w:rsidR="00D84EF0">
        <w:rPr>
          <w:rFonts w:eastAsia="Calibri" w:cs="Times New Roman"/>
        </w:rPr>
        <w:t xml:space="preserve"> which combines public hospital offline with public and private Hospital online processed prescription data.</w:t>
      </w:r>
    </w:p>
    <w:p w14:paraId="121E00EE" w14:textId="608B059C" w:rsidR="00B30475" w:rsidRDefault="00CD0DA7" w:rsidP="00090638">
      <w:pPr>
        <w:spacing w:after="0" w:line="280" w:lineRule="atLeast"/>
        <w:jc w:val="both"/>
      </w:pPr>
      <w:r>
        <w:t>The analyses in this report are based on date of supply prescription data. As such, there may be small differences compared with publicly available DHS date of processing data.</w:t>
      </w:r>
      <w:r>
        <w:rPr>
          <w:rStyle w:val="FootnoteReference"/>
        </w:rPr>
        <w:footnoteReference w:id="3"/>
      </w:r>
      <w:r>
        <w:t xml:space="preserve">  </w:t>
      </w:r>
    </w:p>
    <w:p w14:paraId="6E66A839" w14:textId="08B40391" w:rsidR="00CD0DA7" w:rsidRPr="00CD0DA7" w:rsidRDefault="00CD0DA7" w:rsidP="00CD0DA7">
      <w:pPr>
        <w:pStyle w:val="Heading2"/>
        <w:rPr>
          <w:sz w:val="24"/>
        </w:rPr>
      </w:pPr>
      <w:r w:rsidRPr="00CD0DA7">
        <w:rPr>
          <w:sz w:val="24"/>
        </w:rPr>
        <w:t>Patient-level analyses</w:t>
      </w:r>
    </w:p>
    <w:p w14:paraId="0B93F7C1" w14:textId="242E95CB" w:rsidR="00EB21BF" w:rsidRPr="005442EA" w:rsidRDefault="00EB7800" w:rsidP="005442EA">
      <w:pPr>
        <w:rPr>
          <w:rFonts w:eastAsia="Calibri" w:cs="Times New Roman"/>
        </w:rPr>
      </w:pPr>
      <w:r>
        <w:t xml:space="preserve">For the patient level analyses and counts of patients supplied with an atypical or typical antipsychotic medicine, PBS and RPBS </w:t>
      </w:r>
      <w:r>
        <w:rPr>
          <w:rFonts w:eastAsia="Calibri" w:cs="Times New Roman"/>
        </w:rPr>
        <w:t xml:space="preserve">prescription data were extracted from the </w:t>
      </w:r>
      <w:r w:rsidR="00512F87">
        <w:t>DHS</w:t>
      </w:r>
      <w:r w:rsidR="00512F87" w:rsidRPr="00090638">
        <w:t xml:space="preserve"> </w:t>
      </w:r>
      <w:r w:rsidR="00CB50F9">
        <w:t>Prescriptions</w:t>
      </w:r>
      <w:r w:rsidR="00512F87" w:rsidRPr="00090638">
        <w:t xml:space="preserve"> database</w:t>
      </w:r>
      <w:r>
        <w:rPr>
          <w:rFonts w:eastAsia="Calibri" w:cs="Times New Roman"/>
        </w:rPr>
        <w:t>. 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117C29A2" w14:textId="0386934F" w:rsidR="005442EA" w:rsidRDefault="005442EA" w:rsidP="005442EA">
      <w:pPr>
        <w:spacing w:after="0" w:line="280" w:lineRule="atLeast"/>
        <w:jc w:val="both"/>
      </w:pPr>
      <w:r>
        <w:t xml:space="preserve">The number of patients initiating on an atypical antipsychotic by their age at initiation was derived </w:t>
      </w:r>
      <w:r w:rsidR="00EE726E">
        <w:t xml:space="preserve">for </w:t>
      </w:r>
      <w:r w:rsidR="00552FF6">
        <w:t>the 2013 and</w:t>
      </w:r>
      <w:r>
        <w:t xml:space="preserve"> 2015</w:t>
      </w:r>
      <w:r w:rsidR="00552FF6">
        <w:t xml:space="preserve"> calendar years. These calendar years were selected to examine the impact pre- and post- the change in the restriction for quetiapine 25 mg from 1 January 2014 to allow no repeats</w:t>
      </w:r>
      <w:r>
        <w:t>. The age at initiation was determined as the patient’s age when they were first supplied any atypical antipsychotic medicine. A look</w:t>
      </w:r>
      <w:r w:rsidR="00C74EA0">
        <w:t>-</w:t>
      </w:r>
      <w:r>
        <w:t>back period of two years was used to identify f</w:t>
      </w:r>
      <w:r w:rsidR="00E94B4A">
        <w:t>irst-time initiators to antipsychotic</w:t>
      </w:r>
      <w:r>
        <w:t xml:space="preserve"> therapy</w:t>
      </w:r>
      <w:r w:rsidR="00552FF6">
        <w:t xml:space="preserve"> for each calendar year cohort</w:t>
      </w:r>
      <w:r>
        <w:t>. Patients were grouped into five-year age categ</w:t>
      </w:r>
      <w:r w:rsidR="00DD38F7">
        <w:t xml:space="preserve">ories </w:t>
      </w:r>
      <w:r w:rsidR="00B4067A">
        <w:t xml:space="preserve">up to 84 years and </w:t>
      </w:r>
      <w:r w:rsidR="00DD38F7">
        <w:t xml:space="preserve"> 85 years and over. The initiation ra</w:t>
      </w:r>
      <w:r w:rsidR="00E94B4A">
        <w:t>tes were age standardised using the</w:t>
      </w:r>
      <w:r>
        <w:t xml:space="preserve"> </w:t>
      </w:r>
      <w:r w:rsidR="00DD38F7" w:rsidRPr="00DE232E">
        <w:t>Direct Method</w:t>
      </w:r>
      <w:r w:rsidR="00DD38F7" w:rsidRPr="00DE232E">
        <w:rPr>
          <w:vertAlign w:val="superscript"/>
        </w:rPr>
        <w:footnoteReference w:id="4"/>
      </w:r>
      <w:r w:rsidR="00DD38F7" w:rsidRPr="00DE232E">
        <w:t xml:space="preserve"> and</w:t>
      </w:r>
      <w:r w:rsidR="00DD38F7">
        <w:t xml:space="preserve"> were based on the Australian age distribution of the Australian Bureau of Statistics (ABS) estimated resident population in the reference year 2011.</w:t>
      </w:r>
    </w:p>
    <w:p w14:paraId="6E2D219A" w14:textId="77777777" w:rsidR="005442EA" w:rsidRDefault="005442EA" w:rsidP="00090638">
      <w:pPr>
        <w:spacing w:after="0" w:line="280" w:lineRule="atLeast"/>
        <w:jc w:val="both"/>
      </w:pPr>
    </w:p>
    <w:p w14:paraId="5932ED10" w14:textId="5CCDED6D" w:rsidR="00C15157" w:rsidRDefault="00C15157" w:rsidP="008170C2">
      <w:pPr>
        <w:rPr>
          <w:b/>
          <w:i/>
        </w:rPr>
      </w:pPr>
      <w:r>
        <w:t>From 1 January 2014, the number of repeats allowed for quetiapine 25 mg was reduced f</w:t>
      </w:r>
      <w:r w:rsidR="004D2655">
        <w:t xml:space="preserve">rom </w:t>
      </w:r>
      <w:r w:rsidR="00C74EA0">
        <w:t xml:space="preserve">five </w:t>
      </w:r>
      <w:r w:rsidR="004D2655">
        <w:t>to zero. The impact of this listing change was examined by comparing the number of scripts received by patients who commenced this treatment before and after the introduction of the new listing. The number of scripts was derived for</w:t>
      </w:r>
      <w:r>
        <w:t xml:space="preserve"> the following initiating cohorts where quetiapine</w:t>
      </w:r>
      <w:r w:rsidR="004D2655">
        <w:t xml:space="preserve"> 25 mg</w:t>
      </w:r>
      <w:r>
        <w:t xml:space="preserve"> wa</w:t>
      </w:r>
      <w:r w:rsidR="004D2655">
        <w:t>s the</w:t>
      </w:r>
      <w:r>
        <w:t xml:space="preserve"> first episode of PBS/RPBS antipsychotic treatment:</w:t>
      </w:r>
    </w:p>
    <w:p w14:paraId="11BD51E9" w14:textId="53E36D44" w:rsidR="00C15157" w:rsidRDefault="00BC3A02" w:rsidP="00C15157">
      <w:pPr>
        <w:pStyle w:val="ListParagraph"/>
        <w:numPr>
          <w:ilvl w:val="0"/>
          <w:numId w:val="1"/>
        </w:numPr>
        <w:spacing w:after="0"/>
      </w:pPr>
      <w:r>
        <w:lastRenderedPageBreak/>
        <w:t xml:space="preserve">over six months </w:t>
      </w:r>
      <w:r w:rsidR="00C15157">
        <w:t>between July to December 2012</w:t>
      </w:r>
      <w:r w:rsidR="004D2655">
        <w:t xml:space="preserve"> (the pre listing change cohort)</w:t>
      </w:r>
      <w:r w:rsidR="00C15157">
        <w:t>; and</w:t>
      </w:r>
    </w:p>
    <w:p w14:paraId="26FC1BFB" w14:textId="79CBB1B6" w:rsidR="00C15157" w:rsidRDefault="00BC3A02" w:rsidP="00C15157">
      <w:pPr>
        <w:pStyle w:val="ListParagraph"/>
        <w:numPr>
          <w:ilvl w:val="0"/>
          <w:numId w:val="1"/>
        </w:numPr>
        <w:spacing w:after="0"/>
      </w:pPr>
      <w:r>
        <w:t xml:space="preserve">over six months </w:t>
      </w:r>
      <w:r w:rsidR="00C15157">
        <w:t>between December 2014 and May 2015</w:t>
      </w:r>
      <w:r w:rsidR="004D2655">
        <w:t xml:space="preserve"> (the post listing change cohort)</w:t>
      </w:r>
      <w:r w:rsidR="00C15157">
        <w:t>.</w:t>
      </w:r>
    </w:p>
    <w:p w14:paraId="30CA38D6" w14:textId="3ABE3658" w:rsidR="00C15157" w:rsidRDefault="00C15157" w:rsidP="00C15157">
      <w:r>
        <w:t>For each initiating cohort, the number of prescriptions supplied per patient was derived over 12 months from the date of initiation. The pre-initiating cohort included patients up to December 2012 to allow at least 12 months of follow-up prior to the change in the restriction from 1 January 2014. The post-initiating cohort included patients up to May</w:t>
      </w:r>
      <w:r w:rsidR="00C74EA0">
        <w:t> </w:t>
      </w:r>
      <w:r>
        <w:t xml:space="preserve">2015 to allow up to 12 months follow-up to the most complete month of PBS data at the time of this report (i.e. May 2016). The number of scripts received per patient was also compared between the pre- and post- cohorts based on the patient’s age at initiation. </w:t>
      </w:r>
    </w:p>
    <w:p w14:paraId="096FA66E" w14:textId="188D87D6" w:rsidR="000B789D" w:rsidRDefault="000B789D" w:rsidP="00C15157">
      <w:r>
        <w:t>The frequency of refilling was also investigated in the pre</w:t>
      </w:r>
      <w:r w:rsidR="00C74EA0">
        <w:t>-</w:t>
      </w:r>
      <w:r>
        <w:t>listing change and post</w:t>
      </w:r>
      <w:r w:rsidR="00C74EA0">
        <w:t>-</w:t>
      </w:r>
      <w:r>
        <w:t>listing change cohorts whose first initiation to PBS therapy was quetiapine 25 mg. Supplies received by these cohorts were analysed over a 12</w:t>
      </w:r>
      <w:r w:rsidR="00C74EA0">
        <w:t>-</w:t>
      </w:r>
      <w:r>
        <w:t>month period from the date they first initiated on quetiapine 25 mg.</w:t>
      </w:r>
    </w:p>
    <w:p w14:paraId="00FB95B9" w14:textId="08A0DFE2" w:rsidR="008E5DCF" w:rsidRDefault="008E5DCF" w:rsidP="00697A5B">
      <w:r>
        <w:t xml:space="preserve">The use of low dose quetiapine (25 mg) with an antidepressant was examined. Due to the large number of supply records, a 10% sample of antidepressant </w:t>
      </w:r>
      <w:r w:rsidR="00100A14">
        <w:t xml:space="preserve">claims </w:t>
      </w:r>
      <w:r>
        <w:t xml:space="preserve">data was obtained from 1 January 2013 to December 2015. A separate dataset of quetiapine supply records was extracted from 1 January 2013. Patient identifiers in the antidepressant and quetiapine datasets were matched to identify patients supplied an antipsychotic who were also supplied quetiapine 25 mg. An analysis </w:t>
      </w:r>
      <w:r w:rsidR="00FD63FD">
        <w:t xml:space="preserve">dataset </w:t>
      </w:r>
      <w:r>
        <w:t>was then created by stacking the full quetiapine 25 mg dataset to the set of antidepressant records including patients who were identified as having also received quetiapi</w:t>
      </w:r>
      <w:r w:rsidR="001A77F9">
        <w:t>ne. Initiators between July</w:t>
      </w:r>
      <w:r>
        <w:t xml:space="preserve"> to December 2014 were identified as </w:t>
      </w:r>
      <w:r w:rsidR="008067B2">
        <w:t>having no prior supply of quetiapine 25 mg or an antidepressant</w:t>
      </w:r>
      <w:r>
        <w:t xml:space="preserve"> in the period 1 January 2013 to 30 June 2014. </w:t>
      </w:r>
      <w:r w:rsidR="00100A14">
        <w:t>The supply of quetiapine 25 mg and antidepressants for th</w:t>
      </w:r>
      <w:r w:rsidR="008067B2">
        <w:t>ese initiators was then analysed over a 12</w:t>
      </w:r>
      <w:r w:rsidR="00C74EA0">
        <w:t>-</w:t>
      </w:r>
      <w:r w:rsidR="008067B2">
        <w:t>month period from</w:t>
      </w:r>
      <w:r w:rsidR="00100A14">
        <w:t xml:space="preserve"> the date of initiation on either quetiapine or an antidepressant.</w:t>
      </w:r>
      <w:r w:rsidR="00BC581D">
        <w:t xml:space="preserve"> The sequence of therapy was assessed for the supply of quetiapine and an </w:t>
      </w:r>
      <w:r w:rsidR="005E6D4E">
        <w:t xml:space="preserve">antidepressant on the same day or </w:t>
      </w:r>
      <w:r w:rsidR="00BC581D">
        <w:t>co-supplied with</w:t>
      </w:r>
      <w:r w:rsidR="00352AE7">
        <w:t>in</w:t>
      </w:r>
      <w:r w:rsidR="00BC581D">
        <w:t xml:space="preserve"> 35 days (i.e. the median number of days of re-supply be</w:t>
      </w:r>
      <w:r w:rsidR="003F0E7B">
        <w:t>tween quetiapine prescriptions)</w:t>
      </w:r>
      <w:r w:rsidR="005E6D4E">
        <w:t xml:space="preserve">. The results are presented in </w:t>
      </w:r>
      <w:r w:rsidR="00F40C66">
        <w:t>Appendix 4</w:t>
      </w:r>
      <w:r w:rsidR="005E6D4E">
        <w:t>.</w:t>
      </w:r>
    </w:p>
    <w:p w14:paraId="457CEED5" w14:textId="64E33FDD" w:rsidR="002829A4" w:rsidRDefault="002829A4">
      <w:pPr>
        <w:spacing w:line="276" w:lineRule="auto"/>
      </w:pPr>
      <w:r>
        <w:br w:type="page"/>
      </w:r>
    </w:p>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C7212F" w:rsidRDefault="00736041" w:rsidP="00CF5E22">
      <w:pPr>
        <w:pStyle w:val="Heading3"/>
      </w:pPr>
      <w:r w:rsidRPr="00C7212F">
        <w:t>Overall utilisation</w:t>
      </w:r>
    </w:p>
    <w:p w14:paraId="4BD7FFF5" w14:textId="4ACDD072" w:rsidR="00C3665A" w:rsidRDefault="008832B0" w:rsidP="00A35800">
      <w:r>
        <w:t>A summary of the market for PBS</w:t>
      </w:r>
      <w:r w:rsidR="00E06A5F">
        <w:t>/RPBS</w:t>
      </w:r>
      <w:r>
        <w:t xml:space="preserve"> listed atypical and typical antipsychotic drugs is </w:t>
      </w:r>
      <w:r w:rsidR="00C3449A">
        <w:t>presented</w:t>
      </w:r>
      <w:r w:rsidR="002D2925">
        <w:t xml:space="preserve"> in Table 1 and Figure 1. Atypicals ha</w:t>
      </w:r>
      <w:r w:rsidR="00582DD2">
        <w:t>d</w:t>
      </w:r>
      <w:r w:rsidR="002D2925">
        <w:t xml:space="preserve"> the majority of the market share</w:t>
      </w:r>
      <w:r w:rsidR="002B5523">
        <w:t xml:space="preserve">. </w:t>
      </w:r>
    </w:p>
    <w:p w14:paraId="1C5E9984" w14:textId="0A380D0B" w:rsidR="0084741A" w:rsidRPr="00373C57" w:rsidRDefault="00373C57" w:rsidP="00A35800">
      <w:pPr>
        <w:rPr>
          <w:b/>
        </w:rPr>
      </w:pPr>
      <w:r>
        <w:rPr>
          <w:b/>
        </w:rPr>
        <w:t>Table 1. Utilisation of PBS/RPBS listed atypical and typical antipsychotics</w:t>
      </w:r>
    </w:p>
    <w:tbl>
      <w:tblPr>
        <w:tblW w:w="8900" w:type="dxa"/>
        <w:tblInd w:w="93" w:type="dxa"/>
        <w:tblLook w:val="04A0" w:firstRow="1" w:lastRow="0" w:firstColumn="1" w:lastColumn="0" w:noHBand="0" w:noVBand="1"/>
        <w:tblCaption w:val="Table 1"/>
        <w:tblDescription w:val="A table presenting utilisation figures for PBS listed atypical and typical antipsychotics by calendar year from 2011 to 2015. This includes counts of incident and prevalent patients, the number of prescriptions dispensed grouped separately for the PBS and RPBS. The above utilisation figures are also shown separately for quetiapine 25 mg."/>
      </w:tblPr>
      <w:tblGrid>
        <w:gridCol w:w="4126"/>
        <w:gridCol w:w="946"/>
        <w:gridCol w:w="992"/>
        <w:gridCol w:w="946"/>
        <w:gridCol w:w="993"/>
        <w:gridCol w:w="992"/>
      </w:tblGrid>
      <w:tr w:rsidR="0011281F" w:rsidRPr="0011281F" w14:paraId="6F375F90" w14:textId="77777777" w:rsidTr="005D4BB0">
        <w:trPr>
          <w:trHeight w:val="300"/>
          <w:tblHeader/>
        </w:trPr>
        <w:tc>
          <w:tcPr>
            <w:tcW w:w="4126" w:type="dxa"/>
            <w:tcBorders>
              <w:top w:val="nil"/>
              <w:left w:val="nil"/>
              <w:bottom w:val="nil"/>
              <w:right w:val="nil"/>
            </w:tcBorders>
            <w:shd w:val="clear" w:color="auto" w:fill="auto"/>
            <w:noWrap/>
            <w:vAlign w:val="bottom"/>
            <w:hideMark/>
          </w:tcPr>
          <w:p w14:paraId="46B547C3" w14:textId="77777777" w:rsidR="0011281F" w:rsidRPr="0011281F" w:rsidRDefault="0011281F" w:rsidP="0011281F">
            <w:pPr>
              <w:spacing w:after="0"/>
              <w:rPr>
                <w:rFonts w:ascii="Arial Narrow" w:eastAsia="Times New Roman" w:hAnsi="Arial Narrow"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E6F9" w14:textId="77777777" w:rsidR="0011281F" w:rsidRPr="0011281F" w:rsidRDefault="0011281F" w:rsidP="0011281F">
            <w:pPr>
              <w:spacing w:after="0"/>
              <w:jc w:val="center"/>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2011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C3F9DDA" w14:textId="77777777" w:rsidR="0011281F" w:rsidRPr="0011281F" w:rsidRDefault="0011281F" w:rsidP="0011281F">
            <w:pPr>
              <w:spacing w:after="0"/>
              <w:jc w:val="center"/>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2012</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7F975AEE" w14:textId="77777777" w:rsidR="0011281F" w:rsidRPr="0011281F" w:rsidRDefault="0011281F" w:rsidP="0011281F">
            <w:pPr>
              <w:spacing w:after="0"/>
              <w:jc w:val="center"/>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2013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C885924" w14:textId="77777777" w:rsidR="0011281F" w:rsidRPr="0011281F" w:rsidRDefault="0011281F" w:rsidP="0011281F">
            <w:pPr>
              <w:spacing w:after="0"/>
              <w:jc w:val="center"/>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2014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09D82" w14:textId="77777777" w:rsidR="0011281F" w:rsidRPr="0011281F" w:rsidRDefault="0011281F" w:rsidP="0011281F">
            <w:pPr>
              <w:spacing w:after="0"/>
              <w:jc w:val="center"/>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2015</w:t>
            </w:r>
          </w:p>
        </w:tc>
      </w:tr>
      <w:tr w:rsidR="0011281F" w:rsidRPr="0011281F" w14:paraId="29EF3B09" w14:textId="77777777" w:rsidTr="005D4BB0">
        <w:trPr>
          <w:trHeight w:val="300"/>
        </w:trPr>
        <w:tc>
          <w:tcPr>
            <w:tcW w:w="8900" w:type="dxa"/>
            <w:gridSpan w:val="6"/>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3A5A0143" w14:textId="77777777" w:rsidR="0011281F" w:rsidRPr="0011281F" w:rsidRDefault="0011281F" w:rsidP="0011281F">
            <w:pPr>
              <w:spacing w:after="0"/>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Typical and atypical listings</w:t>
            </w:r>
          </w:p>
        </w:tc>
      </w:tr>
      <w:tr w:rsidR="00F05E75" w:rsidRPr="0011281F" w14:paraId="09A8547D"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59B89DFC"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1A91C4F6" w14:textId="4C9E04FF" w:rsidR="00F05E75" w:rsidRPr="00490C3C"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78,463</w:t>
            </w:r>
          </w:p>
        </w:tc>
        <w:tc>
          <w:tcPr>
            <w:tcW w:w="992" w:type="dxa"/>
            <w:tcBorders>
              <w:top w:val="nil"/>
              <w:left w:val="nil"/>
              <w:bottom w:val="single" w:sz="4" w:space="0" w:color="auto"/>
              <w:right w:val="single" w:sz="4" w:space="0" w:color="auto"/>
            </w:tcBorders>
            <w:shd w:val="clear" w:color="auto" w:fill="auto"/>
            <w:noWrap/>
            <w:vAlign w:val="center"/>
            <w:hideMark/>
          </w:tcPr>
          <w:p w14:paraId="653DC0DF" w14:textId="5EB206C0" w:rsidR="00F05E75" w:rsidRPr="00490C3C"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83,624</w:t>
            </w:r>
          </w:p>
        </w:tc>
        <w:tc>
          <w:tcPr>
            <w:tcW w:w="946" w:type="dxa"/>
            <w:tcBorders>
              <w:top w:val="nil"/>
              <w:left w:val="nil"/>
              <w:bottom w:val="single" w:sz="4" w:space="0" w:color="auto"/>
              <w:right w:val="single" w:sz="4" w:space="0" w:color="auto"/>
            </w:tcBorders>
            <w:shd w:val="clear" w:color="auto" w:fill="auto"/>
            <w:noWrap/>
            <w:vAlign w:val="center"/>
            <w:hideMark/>
          </w:tcPr>
          <w:p w14:paraId="0D1D0B00" w14:textId="68E8AD56" w:rsidR="00F05E75" w:rsidRPr="00490C3C"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87,294</w:t>
            </w:r>
          </w:p>
        </w:tc>
        <w:tc>
          <w:tcPr>
            <w:tcW w:w="993" w:type="dxa"/>
            <w:tcBorders>
              <w:top w:val="nil"/>
              <w:left w:val="nil"/>
              <w:bottom w:val="single" w:sz="4" w:space="0" w:color="auto"/>
              <w:right w:val="single" w:sz="4" w:space="0" w:color="auto"/>
            </w:tcBorders>
            <w:shd w:val="clear" w:color="auto" w:fill="auto"/>
            <w:noWrap/>
            <w:vAlign w:val="center"/>
            <w:hideMark/>
          </w:tcPr>
          <w:p w14:paraId="2E3BA644" w14:textId="01B4D4B7" w:rsidR="00F05E75" w:rsidRPr="00490C3C"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86,552</w:t>
            </w:r>
          </w:p>
        </w:tc>
        <w:tc>
          <w:tcPr>
            <w:tcW w:w="992" w:type="dxa"/>
            <w:tcBorders>
              <w:top w:val="nil"/>
              <w:left w:val="nil"/>
              <w:bottom w:val="single" w:sz="4" w:space="0" w:color="auto"/>
              <w:right w:val="single" w:sz="4" w:space="0" w:color="auto"/>
            </w:tcBorders>
            <w:shd w:val="clear" w:color="auto" w:fill="auto"/>
            <w:noWrap/>
            <w:vAlign w:val="center"/>
            <w:hideMark/>
          </w:tcPr>
          <w:p w14:paraId="41663913" w14:textId="7064851B" w:rsidR="00F05E75" w:rsidRPr="00490C3C"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85,678</w:t>
            </w:r>
          </w:p>
        </w:tc>
      </w:tr>
      <w:tr w:rsidR="00F05E75" w:rsidRPr="0011281F" w14:paraId="0F07B8C2"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9BDF6EF"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27B6F928" w14:textId="28B6A72B"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5.2%</w:t>
            </w:r>
          </w:p>
        </w:tc>
        <w:tc>
          <w:tcPr>
            <w:tcW w:w="992" w:type="dxa"/>
            <w:tcBorders>
              <w:top w:val="nil"/>
              <w:left w:val="nil"/>
              <w:bottom w:val="single" w:sz="4" w:space="0" w:color="auto"/>
              <w:right w:val="single" w:sz="4" w:space="0" w:color="auto"/>
            </w:tcBorders>
            <w:shd w:val="clear" w:color="auto" w:fill="auto"/>
            <w:noWrap/>
            <w:vAlign w:val="center"/>
            <w:hideMark/>
          </w:tcPr>
          <w:p w14:paraId="31812E34" w14:textId="35255F00"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6.6%</w:t>
            </w:r>
          </w:p>
        </w:tc>
        <w:tc>
          <w:tcPr>
            <w:tcW w:w="946" w:type="dxa"/>
            <w:tcBorders>
              <w:top w:val="nil"/>
              <w:left w:val="nil"/>
              <w:bottom w:val="single" w:sz="4" w:space="0" w:color="auto"/>
              <w:right w:val="single" w:sz="4" w:space="0" w:color="auto"/>
            </w:tcBorders>
            <w:shd w:val="clear" w:color="auto" w:fill="auto"/>
            <w:noWrap/>
            <w:vAlign w:val="center"/>
            <w:hideMark/>
          </w:tcPr>
          <w:p w14:paraId="43D63CFC" w14:textId="0940B004"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4.4%</w:t>
            </w:r>
          </w:p>
        </w:tc>
        <w:tc>
          <w:tcPr>
            <w:tcW w:w="993" w:type="dxa"/>
            <w:tcBorders>
              <w:top w:val="nil"/>
              <w:left w:val="nil"/>
              <w:bottom w:val="single" w:sz="4" w:space="0" w:color="auto"/>
              <w:right w:val="single" w:sz="4" w:space="0" w:color="auto"/>
            </w:tcBorders>
            <w:shd w:val="clear" w:color="auto" w:fill="auto"/>
            <w:noWrap/>
            <w:vAlign w:val="center"/>
            <w:hideMark/>
          </w:tcPr>
          <w:p w14:paraId="0CEE5CF4" w14:textId="408B2B2A"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-0.9%</w:t>
            </w:r>
          </w:p>
        </w:tc>
        <w:tc>
          <w:tcPr>
            <w:tcW w:w="992" w:type="dxa"/>
            <w:tcBorders>
              <w:top w:val="nil"/>
              <w:left w:val="nil"/>
              <w:bottom w:val="single" w:sz="4" w:space="0" w:color="auto"/>
              <w:right w:val="single" w:sz="4" w:space="0" w:color="auto"/>
            </w:tcBorders>
            <w:shd w:val="clear" w:color="auto" w:fill="auto"/>
            <w:noWrap/>
            <w:vAlign w:val="center"/>
            <w:hideMark/>
          </w:tcPr>
          <w:p w14:paraId="2F70A21B" w14:textId="491989AB"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w:t>
            </w:r>
          </w:p>
        </w:tc>
      </w:tr>
      <w:tr w:rsidR="00F05E75" w:rsidRPr="0011281F" w14:paraId="6914FB18"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3647A0E0"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74F38644" w14:textId="24BAB063"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357,451</w:t>
            </w:r>
          </w:p>
        </w:tc>
        <w:tc>
          <w:tcPr>
            <w:tcW w:w="992" w:type="dxa"/>
            <w:tcBorders>
              <w:top w:val="nil"/>
              <w:left w:val="nil"/>
              <w:bottom w:val="single" w:sz="4" w:space="0" w:color="auto"/>
              <w:right w:val="single" w:sz="4" w:space="0" w:color="auto"/>
            </w:tcBorders>
            <w:shd w:val="clear" w:color="auto" w:fill="auto"/>
            <w:noWrap/>
            <w:vAlign w:val="center"/>
            <w:hideMark/>
          </w:tcPr>
          <w:p w14:paraId="3D72D730" w14:textId="05AAEDB5"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384,918</w:t>
            </w:r>
          </w:p>
        </w:tc>
        <w:tc>
          <w:tcPr>
            <w:tcW w:w="946" w:type="dxa"/>
            <w:tcBorders>
              <w:top w:val="nil"/>
              <w:left w:val="nil"/>
              <w:bottom w:val="single" w:sz="4" w:space="0" w:color="auto"/>
              <w:right w:val="single" w:sz="4" w:space="0" w:color="auto"/>
            </w:tcBorders>
            <w:shd w:val="clear" w:color="auto" w:fill="auto"/>
            <w:noWrap/>
            <w:vAlign w:val="center"/>
            <w:hideMark/>
          </w:tcPr>
          <w:p w14:paraId="79B62945" w14:textId="5AEF4F61"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409,238</w:t>
            </w:r>
          </w:p>
        </w:tc>
        <w:tc>
          <w:tcPr>
            <w:tcW w:w="993" w:type="dxa"/>
            <w:tcBorders>
              <w:top w:val="nil"/>
              <w:left w:val="nil"/>
              <w:bottom w:val="single" w:sz="4" w:space="0" w:color="auto"/>
              <w:right w:val="single" w:sz="4" w:space="0" w:color="auto"/>
            </w:tcBorders>
            <w:shd w:val="clear" w:color="auto" w:fill="auto"/>
            <w:noWrap/>
            <w:vAlign w:val="center"/>
            <w:hideMark/>
          </w:tcPr>
          <w:p w14:paraId="5C5A3E4A" w14:textId="089692D2"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428,130</w:t>
            </w:r>
          </w:p>
        </w:tc>
        <w:tc>
          <w:tcPr>
            <w:tcW w:w="992" w:type="dxa"/>
            <w:tcBorders>
              <w:top w:val="nil"/>
              <w:left w:val="nil"/>
              <w:bottom w:val="single" w:sz="4" w:space="0" w:color="auto"/>
              <w:right w:val="single" w:sz="4" w:space="0" w:color="auto"/>
            </w:tcBorders>
            <w:shd w:val="clear" w:color="auto" w:fill="auto"/>
            <w:noWrap/>
            <w:vAlign w:val="center"/>
            <w:hideMark/>
          </w:tcPr>
          <w:p w14:paraId="0D149140" w14:textId="5FD0E3E8"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438,292</w:t>
            </w:r>
          </w:p>
        </w:tc>
      </w:tr>
      <w:tr w:rsidR="00F05E75" w:rsidRPr="0011281F" w14:paraId="49DC4B34"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64F1C66C"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2A55FCFF" w14:textId="5EA43E53"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6.3%</w:t>
            </w:r>
          </w:p>
        </w:tc>
        <w:tc>
          <w:tcPr>
            <w:tcW w:w="992" w:type="dxa"/>
            <w:tcBorders>
              <w:top w:val="nil"/>
              <w:left w:val="nil"/>
              <w:bottom w:val="single" w:sz="4" w:space="0" w:color="auto"/>
              <w:right w:val="single" w:sz="4" w:space="0" w:color="auto"/>
            </w:tcBorders>
            <w:shd w:val="clear" w:color="auto" w:fill="auto"/>
            <w:noWrap/>
            <w:vAlign w:val="center"/>
            <w:hideMark/>
          </w:tcPr>
          <w:p w14:paraId="3FD77B5C" w14:textId="0B14E55B"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7.7%</w:t>
            </w:r>
          </w:p>
        </w:tc>
        <w:tc>
          <w:tcPr>
            <w:tcW w:w="946" w:type="dxa"/>
            <w:tcBorders>
              <w:top w:val="nil"/>
              <w:left w:val="nil"/>
              <w:bottom w:val="single" w:sz="4" w:space="0" w:color="auto"/>
              <w:right w:val="single" w:sz="4" w:space="0" w:color="auto"/>
            </w:tcBorders>
            <w:shd w:val="clear" w:color="auto" w:fill="auto"/>
            <w:noWrap/>
            <w:vAlign w:val="center"/>
            <w:hideMark/>
          </w:tcPr>
          <w:p w14:paraId="48A43F27" w14:textId="5A90062E"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6.3%</w:t>
            </w:r>
          </w:p>
        </w:tc>
        <w:tc>
          <w:tcPr>
            <w:tcW w:w="993" w:type="dxa"/>
            <w:tcBorders>
              <w:top w:val="nil"/>
              <w:left w:val="nil"/>
              <w:bottom w:val="single" w:sz="4" w:space="0" w:color="auto"/>
              <w:right w:val="single" w:sz="4" w:space="0" w:color="auto"/>
            </w:tcBorders>
            <w:shd w:val="clear" w:color="auto" w:fill="auto"/>
            <w:noWrap/>
            <w:vAlign w:val="center"/>
            <w:hideMark/>
          </w:tcPr>
          <w:p w14:paraId="6017A6FD" w14:textId="482A38B9"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4.6%</w:t>
            </w:r>
          </w:p>
        </w:tc>
        <w:tc>
          <w:tcPr>
            <w:tcW w:w="992" w:type="dxa"/>
            <w:tcBorders>
              <w:top w:val="nil"/>
              <w:left w:val="nil"/>
              <w:bottom w:val="single" w:sz="4" w:space="0" w:color="auto"/>
              <w:right w:val="single" w:sz="4" w:space="0" w:color="auto"/>
            </w:tcBorders>
            <w:shd w:val="clear" w:color="auto" w:fill="auto"/>
            <w:noWrap/>
            <w:vAlign w:val="center"/>
            <w:hideMark/>
          </w:tcPr>
          <w:p w14:paraId="066E205D" w14:textId="1BFC32F2"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2.4%</w:t>
            </w:r>
          </w:p>
        </w:tc>
      </w:tr>
      <w:tr w:rsidR="00F05E75" w:rsidRPr="0011281F" w14:paraId="52C0F8C0"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33DE54E"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Total number of prescriptions</w:t>
            </w:r>
          </w:p>
        </w:tc>
        <w:tc>
          <w:tcPr>
            <w:tcW w:w="851" w:type="dxa"/>
            <w:tcBorders>
              <w:top w:val="nil"/>
              <w:left w:val="nil"/>
              <w:bottom w:val="single" w:sz="4" w:space="0" w:color="auto"/>
              <w:right w:val="single" w:sz="4" w:space="0" w:color="auto"/>
            </w:tcBorders>
            <w:shd w:val="clear" w:color="auto" w:fill="auto"/>
            <w:noWrap/>
            <w:vAlign w:val="center"/>
            <w:hideMark/>
          </w:tcPr>
          <w:p w14:paraId="1892ABE4" w14:textId="3BFDA2A7"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3,958,416</w:t>
            </w:r>
          </w:p>
        </w:tc>
        <w:tc>
          <w:tcPr>
            <w:tcW w:w="992" w:type="dxa"/>
            <w:tcBorders>
              <w:top w:val="nil"/>
              <w:left w:val="nil"/>
              <w:bottom w:val="single" w:sz="4" w:space="0" w:color="auto"/>
              <w:right w:val="single" w:sz="4" w:space="0" w:color="auto"/>
            </w:tcBorders>
            <w:shd w:val="clear" w:color="auto" w:fill="auto"/>
            <w:noWrap/>
            <w:vAlign w:val="center"/>
            <w:hideMark/>
          </w:tcPr>
          <w:p w14:paraId="4DD91967" w14:textId="4CD8C1D1"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4,211,732</w:t>
            </w:r>
          </w:p>
        </w:tc>
        <w:tc>
          <w:tcPr>
            <w:tcW w:w="946" w:type="dxa"/>
            <w:tcBorders>
              <w:top w:val="nil"/>
              <w:left w:val="nil"/>
              <w:bottom w:val="single" w:sz="4" w:space="0" w:color="auto"/>
              <w:right w:val="single" w:sz="4" w:space="0" w:color="auto"/>
            </w:tcBorders>
            <w:shd w:val="clear" w:color="auto" w:fill="auto"/>
            <w:noWrap/>
            <w:vAlign w:val="center"/>
            <w:hideMark/>
          </w:tcPr>
          <w:p w14:paraId="1CB05A83" w14:textId="6438D964"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4,484,592</w:t>
            </w:r>
          </w:p>
        </w:tc>
        <w:tc>
          <w:tcPr>
            <w:tcW w:w="993" w:type="dxa"/>
            <w:tcBorders>
              <w:top w:val="nil"/>
              <w:left w:val="nil"/>
              <w:bottom w:val="single" w:sz="4" w:space="0" w:color="auto"/>
              <w:right w:val="single" w:sz="4" w:space="0" w:color="auto"/>
            </w:tcBorders>
            <w:shd w:val="clear" w:color="auto" w:fill="auto"/>
            <w:noWrap/>
            <w:vAlign w:val="center"/>
            <w:hideMark/>
          </w:tcPr>
          <w:p w14:paraId="348D221E" w14:textId="2832869E"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4,746,344</w:t>
            </w:r>
          </w:p>
        </w:tc>
        <w:tc>
          <w:tcPr>
            <w:tcW w:w="992" w:type="dxa"/>
            <w:tcBorders>
              <w:top w:val="nil"/>
              <w:left w:val="nil"/>
              <w:bottom w:val="single" w:sz="4" w:space="0" w:color="auto"/>
              <w:right w:val="single" w:sz="4" w:space="0" w:color="auto"/>
            </w:tcBorders>
            <w:shd w:val="clear" w:color="auto" w:fill="auto"/>
            <w:noWrap/>
            <w:vAlign w:val="center"/>
            <w:hideMark/>
          </w:tcPr>
          <w:p w14:paraId="25629A2A" w14:textId="39FE36D5"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4,745,384</w:t>
            </w:r>
          </w:p>
        </w:tc>
      </w:tr>
      <w:tr w:rsidR="00F05E75" w:rsidRPr="0011281F" w14:paraId="079B379B"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5013C021"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PBS</w:t>
            </w:r>
          </w:p>
        </w:tc>
        <w:tc>
          <w:tcPr>
            <w:tcW w:w="851" w:type="dxa"/>
            <w:tcBorders>
              <w:top w:val="nil"/>
              <w:left w:val="nil"/>
              <w:bottom w:val="single" w:sz="4" w:space="0" w:color="auto"/>
              <w:right w:val="single" w:sz="4" w:space="0" w:color="auto"/>
            </w:tcBorders>
            <w:shd w:val="clear" w:color="auto" w:fill="auto"/>
            <w:noWrap/>
            <w:vAlign w:val="center"/>
            <w:hideMark/>
          </w:tcPr>
          <w:p w14:paraId="20BE9EC9" w14:textId="1FFBEDCB"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3,554,250</w:t>
            </w:r>
          </w:p>
        </w:tc>
        <w:tc>
          <w:tcPr>
            <w:tcW w:w="992" w:type="dxa"/>
            <w:tcBorders>
              <w:top w:val="nil"/>
              <w:left w:val="nil"/>
              <w:bottom w:val="single" w:sz="4" w:space="0" w:color="auto"/>
              <w:right w:val="single" w:sz="4" w:space="0" w:color="auto"/>
            </w:tcBorders>
            <w:shd w:val="clear" w:color="auto" w:fill="auto"/>
            <w:noWrap/>
            <w:vAlign w:val="center"/>
            <w:hideMark/>
          </w:tcPr>
          <w:p w14:paraId="4BDE54F8" w14:textId="51C30A7A"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3,760,738</w:t>
            </w:r>
          </w:p>
        </w:tc>
        <w:tc>
          <w:tcPr>
            <w:tcW w:w="946" w:type="dxa"/>
            <w:tcBorders>
              <w:top w:val="nil"/>
              <w:left w:val="nil"/>
              <w:bottom w:val="single" w:sz="4" w:space="0" w:color="auto"/>
              <w:right w:val="single" w:sz="4" w:space="0" w:color="auto"/>
            </w:tcBorders>
            <w:shd w:val="clear" w:color="auto" w:fill="auto"/>
            <w:noWrap/>
            <w:vAlign w:val="center"/>
            <w:hideMark/>
          </w:tcPr>
          <w:p w14:paraId="2B6E80AB" w14:textId="3C015E69"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3,987,178</w:t>
            </w:r>
          </w:p>
        </w:tc>
        <w:tc>
          <w:tcPr>
            <w:tcW w:w="993" w:type="dxa"/>
            <w:tcBorders>
              <w:top w:val="nil"/>
              <w:left w:val="nil"/>
              <w:bottom w:val="single" w:sz="4" w:space="0" w:color="auto"/>
              <w:right w:val="single" w:sz="4" w:space="0" w:color="auto"/>
            </w:tcBorders>
            <w:shd w:val="clear" w:color="auto" w:fill="auto"/>
            <w:noWrap/>
            <w:vAlign w:val="center"/>
            <w:hideMark/>
          </w:tcPr>
          <w:p w14:paraId="494ADA0A" w14:textId="738A8B75"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4,136,940</w:t>
            </w:r>
          </w:p>
        </w:tc>
        <w:tc>
          <w:tcPr>
            <w:tcW w:w="992" w:type="dxa"/>
            <w:tcBorders>
              <w:top w:val="nil"/>
              <w:left w:val="nil"/>
              <w:bottom w:val="single" w:sz="4" w:space="0" w:color="auto"/>
              <w:right w:val="single" w:sz="4" w:space="0" w:color="auto"/>
            </w:tcBorders>
            <w:shd w:val="clear" w:color="auto" w:fill="auto"/>
            <w:noWrap/>
            <w:vAlign w:val="center"/>
            <w:hideMark/>
          </w:tcPr>
          <w:p w14:paraId="579B9B21" w14:textId="32DB3C3E"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4,065,939</w:t>
            </w:r>
          </w:p>
        </w:tc>
      </w:tr>
      <w:tr w:rsidR="00F05E75" w:rsidRPr="0011281F" w14:paraId="4C742F58"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68B0D706"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RPBS</w:t>
            </w:r>
          </w:p>
        </w:tc>
        <w:tc>
          <w:tcPr>
            <w:tcW w:w="851" w:type="dxa"/>
            <w:tcBorders>
              <w:top w:val="nil"/>
              <w:left w:val="nil"/>
              <w:bottom w:val="single" w:sz="4" w:space="0" w:color="auto"/>
              <w:right w:val="single" w:sz="4" w:space="0" w:color="auto"/>
            </w:tcBorders>
            <w:shd w:val="clear" w:color="auto" w:fill="auto"/>
            <w:noWrap/>
            <w:vAlign w:val="center"/>
            <w:hideMark/>
          </w:tcPr>
          <w:p w14:paraId="6335F757" w14:textId="48A9D46E"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133,614</w:t>
            </w:r>
          </w:p>
        </w:tc>
        <w:tc>
          <w:tcPr>
            <w:tcW w:w="992" w:type="dxa"/>
            <w:tcBorders>
              <w:top w:val="nil"/>
              <w:left w:val="nil"/>
              <w:bottom w:val="single" w:sz="4" w:space="0" w:color="auto"/>
              <w:right w:val="single" w:sz="4" w:space="0" w:color="auto"/>
            </w:tcBorders>
            <w:shd w:val="clear" w:color="auto" w:fill="auto"/>
            <w:noWrap/>
            <w:vAlign w:val="center"/>
            <w:hideMark/>
          </w:tcPr>
          <w:p w14:paraId="285EAF9B" w14:textId="6CF060C0"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126,091</w:t>
            </w:r>
          </w:p>
        </w:tc>
        <w:tc>
          <w:tcPr>
            <w:tcW w:w="946" w:type="dxa"/>
            <w:tcBorders>
              <w:top w:val="nil"/>
              <w:left w:val="nil"/>
              <w:bottom w:val="single" w:sz="4" w:space="0" w:color="auto"/>
              <w:right w:val="single" w:sz="4" w:space="0" w:color="auto"/>
            </w:tcBorders>
            <w:shd w:val="clear" w:color="auto" w:fill="auto"/>
            <w:noWrap/>
            <w:vAlign w:val="center"/>
            <w:hideMark/>
          </w:tcPr>
          <w:p w14:paraId="53838F78" w14:textId="4ABEC441"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119,959</w:t>
            </w:r>
          </w:p>
        </w:tc>
        <w:tc>
          <w:tcPr>
            <w:tcW w:w="993" w:type="dxa"/>
            <w:tcBorders>
              <w:top w:val="nil"/>
              <w:left w:val="nil"/>
              <w:bottom w:val="single" w:sz="4" w:space="0" w:color="auto"/>
              <w:right w:val="single" w:sz="4" w:space="0" w:color="auto"/>
            </w:tcBorders>
            <w:shd w:val="clear" w:color="auto" w:fill="auto"/>
            <w:noWrap/>
            <w:vAlign w:val="center"/>
            <w:hideMark/>
          </w:tcPr>
          <w:p w14:paraId="7923D757" w14:textId="0F920ECF"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113,565</w:t>
            </w:r>
          </w:p>
        </w:tc>
        <w:tc>
          <w:tcPr>
            <w:tcW w:w="992" w:type="dxa"/>
            <w:tcBorders>
              <w:top w:val="nil"/>
              <w:left w:val="nil"/>
              <w:bottom w:val="single" w:sz="4" w:space="0" w:color="auto"/>
              <w:right w:val="single" w:sz="4" w:space="0" w:color="auto"/>
            </w:tcBorders>
            <w:shd w:val="clear" w:color="auto" w:fill="auto"/>
            <w:noWrap/>
            <w:vAlign w:val="center"/>
            <w:hideMark/>
          </w:tcPr>
          <w:p w14:paraId="6F092242" w14:textId="75648B26"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106,377</w:t>
            </w:r>
          </w:p>
        </w:tc>
      </w:tr>
      <w:tr w:rsidR="00F05E75" w:rsidRPr="0011281F" w14:paraId="609E7A8F"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0491611" w14:textId="77777777" w:rsidR="00F05E75" w:rsidRPr="0011281F" w:rsidRDefault="00F05E75"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Under co-payment</w:t>
            </w:r>
          </w:p>
        </w:tc>
        <w:tc>
          <w:tcPr>
            <w:tcW w:w="851" w:type="dxa"/>
            <w:tcBorders>
              <w:top w:val="nil"/>
              <w:left w:val="nil"/>
              <w:bottom w:val="single" w:sz="4" w:space="0" w:color="auto"/>
              <w:right w:val="single" w:sz="4" w:space="0" w:color="auto"/>
            </w:tcBorders>
            <w:shd w:val="clear" w:color="auto" w:fill="auto"/>
            <w:noWrap/>
            <w:vAlign w:val="center"/>
            <w:hideMark/>
          </w:tcPr>
          <w:p w14:paraId="2EE04E83" w14:textId="519D7971"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270,552</w:t>
            </w:r>
          </w:p>
        </w:tc>
        <w:tc>
          <w:tcPr>
            <w:tcW w:w="992" w:type="dxa"/>
            <w:tcBorders>
              <w:top w:val="nil"/>
              <w:left w:val="nil"/>
              <w:bottom w:val="single" w:sz="4" w:space="0" w:color="auto"/>
              <w:right w:val="single" w:sz="4" w:space="0" w:color="auto"/>
            </w:tcBorders>
            <w:shd w:val="clear" w:color="auto" w:fill="auto"/>
            <w:noWrap/>
            <w:vAlign w:val="center"/>
            <w:hideMark/>
          </w:tcPr>
          <w:p w14:paraId="6E30C43D" w14:textId="7D5954A1"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324,903</w:t>
            </w:r>
          </w:p>
        </w:tc>
        <w:tc>
          <w:tcPr>
            <w:tcW w:w="946" w:type="dxa"/>
            <w:tcBorders>
              <w:top w:val="nil"/>
              <w:left w:val="nil"/>
              <w:bottom w:val="single" w:sz="4" w:space="0" w:color="auto"/>
              <w:right w:val="single" w:sz="4" w:space="0" w:color="auto"/>
            </w:tcBorders>
            <w:shd w:val="clear" w:color="auto" w:fill="auto"/>
            <w:noWrap/>
            <w:vAlign w:val="center"/>
            <w:hideMark/>
          </w:tcPr>
          <w:p w14:paraId="5FE55164" w14:textId="01FE6955"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377,455</w:t>
            </w:r>
          </w:p>
        </w:tc>
        <w:tc>
          <w:tcPr>
            <w:tcW w:w="993" w:type="dxa"/>
            <w:tcBorders>
              <w:top w:val="nil"/>
              <w:left w:val="nil"/>
              <w:bottom w:val="single" w:sz="4" w:space="0" w:color="auto"/>
              <w:right w:val="single" w:sz="4" w:space="0" w:color="auto"/>
            </w:tcBorders>
            <w:shd w:val="clear" w:color="auto" w:fill="auto"/>
            <w:noWrap/>
            <w:vAlign w:val="center"/>
            <w:hideMark/>
          </w:tcPr>
          <w:p w14:paraId="7B70657B" w14:textId="77629D07"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495,839</w:t>
            </w:r>
          </w:p>
        </w:tc>
        <w:tc>
          <w:tcPr>
            <w:tcW w:w="992" w:type="dxa"/>
            <w:tcBorders>
              <w:top w:val="nil"/>
              <w:left w:val="nil"/>
              <w:bottom w:val="single" w:sz="4" w:space="0" w:color="auto"/>
              <w:right w:val="single" w:sz="4" w:space="0" w:color="auto"/>
            </w:tcBorders>
            <w:shd w:val="clear" w:color="auto" w:fill="auto"/>
            <w:noWrap/>
            <w:vAlign w:val="center"/>
            <w:hideMark/>
          </w:tcPr>
          <w:p w14:paraId="21F21F10" w14:textId="32C98D7B" w:rsidR="00F05E75" w:rsidRPr="0011281F" w:rsidRDefault="00F05E75"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573,068</w:t>
            </w:r>
          </w:p>
        </w:tc>
      </w:tr>
      <w:tr w:rsidR="0011281F" w:rsidRPr="0011281F" w14:paraId="70A2C0CD" w14:textId="77777777" w:rsidTr="005D4BB0">
        <w:trPr>
          <w:trHeight w:val="300"/>
        </w:trPr>
        <w:tc>
          <w:tcPr>
            <w:tcW w:w="8900" w:type="dxa"/>
            <w:gridSpan w:val="6"/>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3AD0A04F" w14:textId="77777777" w:rsidR="0011281F" w:rsidRPr="0011281F" w:rsidRDefault="0011281F" w:rsidP="0011281F">
            <w:pPr>
              <w:spacing w:after="0"/>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Atypical listings only</w:t>
            </w:r>
          </w:p>
        </w:tc>
      </w:tr>
      <w:tr w:rsidR="00CE71C1" w:rsidRPr="0011281F" w14:paraId="21CA04E0"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ECB6AF7"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4CD34E30" w14:textId="1BAA6623"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73,185</w:t>
            </w:r>
          </w:p>
        </w:tc>
        <w:tc>
          <w:tcPr>
            <w:tcW w:w="992" w:type="dxa"/>
            <w:tcBorders>
              <w:top w:val="nil"/>
              <w:left w:val="nil"/>
              <w:bottom w:val="single" w:sz="4" w:space="0" w:color="auto"/>
              <w:right w:val="single" w:sz="4" w:space="0" w:color="auto"/>
            </w:tcBorders>
            <w:shd w:val="clear" w:color="auto" w:fill="auto"/>
            <w:noWrap/>
            <w:vAlign w:val="center"/>
            <w:hideMark/>
          </w:tcPr>
          <w:p w14:paraId="616B53B6" w14:textId="3EDE9875"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74,901</w:t>
            </w:r>
          </w:p>
        </w:tc>
        <w:tc>
          <w:tcPr>
            <w:tcW w:w="946" w:type="dxa"/>
            <w:tcBorders>
              <w:top w:val="nil"/>
              <w:left w:val="nil"/>
              <w:bottom w:val="single" w:sz="4" w:space="0" w:color="auto"/>
              <w:right w:val="single" w:sz="4" w:space="0" w:color="auto"/>
            </w:tcBorders>
            <w:shd w:val="clear" w:color="auto" w:fill="auto"/>
            <w:noWrap/>
            <w:vAlign w:val="center"/>
            <w:hideMark/>
          </w:tcPr>
          <w:p w14:paraId="6D7769DF" w14:textId="14452148"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79,407</w:t>
            </w:r>
          </w:p>
        </w:tc>
        <w:tc>
          <w:tcPr>
            <w:tcW w:w="993" w:type="dxa"/>
            <w:tcBorders>
              <w:top w:val="nil"/>
              <w:left w:val="nil"/>
              <w:bottom w:val="single" w:sz="4" w:space="0" w:color="auto"/>
              <w:right w:val="single" w:sz="4" w:space="0" w:color="auto"/>
            </w:tcBorders>
            <w:shd w:val="clear" w:color="auto" w:fill="auto"/>
            <w:noWrap/>
            <w:vAlign w:val="center"/>
            <w:hideMark/>
          </w:tcPr>
          <w:p w14:paraId="19257A6A" w14:textId="00587C1E"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78,674</w:t>
            </w:r>
          </w:p>
        </w:tc>
        <w:tc>
          <w:tcPr>
            <w:tcW w:w="992" w:type="dxa"/>
            <w:tcBorders>
              <w:top w:val="nil"/>
              <w:left w:val="nil"/>
              <w:bottom w:val="single" w:sz="4" w:space="0" w:color="auto"/>
              <w:right w:val="single" w:sz="4" w:space="0" w:color="auto"/>
            </w:tcBorders>
            <w:shd w:val="clear" w:color="auto" w:fill="auto"/>
            <w:noWrap/>
            <w:vAlign w:val="center"/>
            <w:hideMark/>
          </w:tcPr>
          <w:p w14:paraId="4DD5E549" w14:textId="187B9531"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78,089</w:t>
            </w:r>
          </w:p>
        </w:tc>
      </w:tr>
      <w:tr w:rsidR="00CE71C1" w:rsidRPr="0011281F" w14:paraId="1ADCD90F"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5E29D9AB"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06905C3A" w14:textId="0EDED0E1"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6.49%</w:t>
            </w:r>
          </w:p>
        </w:tc>
        <w:tc>
          <w:tcPr>
            <w:tcW w:w="992" w:type="dxa"/>
            <w:tcBorders>
              <w:top w:val="nil"/>
              <w:left w:val="nil"/>
              <w:bottom w:val="single" w:sz="4" w:space="0" w:color="auto"/>
              <w:right w:val="single" w:sz="4" w:space="0" w:color="auto"/>
            </w:tcBorders>
            <w:shd w:val="clear" w:color="auto" w:fill="auto"/>
            <w:noWrap/>
            <w:vAlign w:val="center"/>
            <w:hideMark/>
          </w:tcPr>
          <w:p w14:paraId="6B2ECE25" w14:textId="3ADC8416"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2.34%</w:t>
            </w:r>
          </w:p>
        </w:tc>
        <w:tc>
          <w:tcPr>
            <w:tcW w:w="946" w:type="dxa"/>
            <w:tcBorders>
              <w:top w:val="nil"/>
              <w:left w:val="nil"/>
              <w:bottom w:val="single" w:sz="4" w:space="0" w:color="auto"/>
              <w:right w:val="single" w:sz="4" w:space="0" w:color="auto"/>
            </w:tcBorders>
            <w:shd w:val="clear" w:color="auto" w:fill="auto"/>
            <w:noWrap/>
            <w:vAlign w:val="center"/>
            <w:hideMark/>
          </w:tcPr>
          <w:p w14:paraId="7DA760AB" w14:textId="533FF328"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6.02%</w:t>
            </w:r>
          </w:p>
        </w:tc>
        <w:tc>
          <w:tcPr>
            <w:tcW w:w="993" w:type="dxa"/>
            <w:tcBorders>
              <w:top w:val="nil"/>
              <w:left w:val="nil"/>
              <w:bottom w:val="single" w:sz="4" w:space="0" w:color="auto"/>
              <w:right w:val="single" w:sz="4" w:space="0" w:color="auto"/>
            </w:tcBorders>
            <w:shd w:val="clear" w:color="auto" w:fill="auto"/>
            <w:noWrap/>
            <w:vAlign w:val="center"/>
            <w:hideMark/>
          </w:tcPr>
          <w:p w14:paraId="19346A4C" w14:textId="206EF0D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-0.92%</w:t>
            </w:r>
          </w:p>
        </w:tc>
        <w:tc>
          <w:tcPr>
            <w:tcW w:w="992" w:type="dxa"/>
            <w:tcBorders>
              <w:top w:val="nil"/>
              <w:left w:val="nil"/>
              <w:bottom w:val="single" w:sz="4" w:space="0" w:color="auto"/>
              <w:right w:val="single" w:sz="4" w:space="0" w:color="auto"/>
            </w:tcBorders>
            <w:shd w:val="clear" w:color="auto" w:fill="auto"/>
            <w:noWrap/>
            <w:vAlign w:val="center"/>
            <w:hideMark/>
          </w:tcPr>
          <w:p w14:paraId="0ADEA7ED" w14:textId="2B636326"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-0.74%</w:t>
            </w:r>
          </w:p>
        </w:tc>
      </w:tr>
      <w:tr w:rsidR="00CE71C1" w:rsidRPr="0011281F" w14:paraId="4FB3573B"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57FE380"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3647712E" w14:textId="7DD21A90"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322,971</w:t>
            </w:r>
          </w:p>
        </w:tc>
        <w:tc>
          <w:tcPr>
            <w:tcW w:w="992" w:type="dxa"/>
            <w:tcBorders>
              <w:top w:val="nil"/>
              <w:left w:val="nil"/>
              <w:bottom w:val="single" w:sz="4" w:space="0" w:color="auto"/>
              <w:right w:val="single" w:sz="4" w:space="0" w:color="auto"/>
            </w:tcBorders>
            <w:shd w:val="clear" w:color="auto" w:fill="auto"/>
            <w:noWrap/>
            <w:vAlign w:val="center"/>
            <w:hideMark/>
          </w:tcPr>
          <w:p w14:paraId="6DCDB6B8" w14:textId="624FF00C"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344,891</w:t>
            </w:r>
          </w:p>
        </w:tc>
        <w:tc>
          <w:tcPr>
            <w:tcW w:w="946" w:type="dxa"/>
            <w:tcBorders>
              <w:top w:val="nil"/>
              <w:left w:val="nil"/>
              <w:bottom w:val="single" w:sz="4" w:space="0" w:color="auto"/>
              <w:right w:val="single" w:sz="4" w:space="0" w:color="auto"/>
            </w:tcBorders>
            <w:shd w:val="clear" w:color="auto" w:fill="auto"/>
            <w:noWrap/>
            <w:vAlign w:val="center"/>
            <w:hideMark/>
          </w:tcPr>
          <w:p w14:paraId="07E795DA" w14:textId="64EF3531"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368,515</w:t>
            </w:r>
          </w:p>
        </w:tc>
        <w:tc>
          <w:tcPr>
            <w:tcW w:w="993" w:type="dxa"/>
            <w:tcBorders>
              <w:top w:val="nil"/>
              <w:left w:val="nil"/>
              <w:bottom w:val="single" w:sz="4" w:space="0" w:color="auto"/>
              <w:right w:val="single" w:sz="4" w:space="0" w:color="auto"/>
            </w:tcBorders>
            <w:shd w:val="clear" w:color="auto" w:fill="auto"/>
            <w:noWrap/>
            <w:vAlign w:val="center"/>
            <w:hideMark/>
          </w:tcPr>
          <w:p w14:paraId="5A6C79FA" w14:textId="569BA4C6"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387,182</w:t>
            </w:r>
          </w:p>
        </w:tc>
        <w:tc>
          <w:tcPr>
            <w:tcW w:w="992" w:type="dxa"/>
            <w:tcBorders>
              <w:top w:val="nil"/>
              <w:left w:val="nil"/>
              <w:bottom w:val="single" w:sz="4" w:space="0" w:color="auto"/>
              <w:right w:val="single" w:sz="4" w:space="0" w:color="auto"/>
            </w:tcBorders>
            <w:shd w:val="clear" w:color="auto" w:fill="auto"/>
            <w:noWrap/>
            <w:vAlign w:val="center"/>
            <w:hideMark/>
          </w:tcPr>
          <w:p w14:paraId="0E9044FD" w14:textId="0F48F93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397,716</w:t>
            </w:r>
          </w:p>
        </w:tc>
      </w:tr>
      <w:tr w:rsidR="00CE71C1" w:rsidRPr="0011281F" w14:paraId="250A2E89"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E264A8D"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0E06CE14" w14:textId="4CC1B241"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7.8%</w:t>
            </w:r>
          </w:p>
        </w:tc>
        <w:tc>
          <w:tcPr>
            <w:tcW w:w="992" w:type="dxa"/>
            <w:tcBorders>
              <w:top w:val="nil"/>
              <w:left w:val="nil"/>
              <w:bottom w:val="single" w:sz="4" w:space="0" w:color="auto"/>
              <w:right w:val="single" w:sz="4" w:space="0" w:color="auto"/>
            </w:tcBorders>
            <w:shd w:val="clear" w:color="auto" w:fill="auto"/>
            <w:noWrap/>
            <w:vAlign w:val="center"/>
            <w:hideMark/>
          </w:tcPr>
          <w:p w14:paraId="361C9A5A" w14:textId="600AC780"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6.8%</w:t>
            </w:r>
          </w:p>
        </w:tc>
        <w:tc>
          <w:tcPr>
            <w:tcW w:w="946" w:type="dxa"/>
            <w:tcBorders>
              <w:top w:val="nil"/>
              <w:left w:val="nil"/>
              <w:bottom w:val="single" w:sz="4" w:space="0" w:color="auto"/>
              <w:right w:val="single" w:sz="4" w:space="0" w:color="auto"/>
            </w:tcBorders>
            <w:shd w:val="clear" w:color="auto" w:fill="auto"/>
            <w:noWrap/>
            <w:vAlign w:val="center"/>
            <w:hideMark/>
          </w:tcPr>
          <w:p w14:paraId="025A344F" w14:textId="0EC3B178"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6.8%</w:t>
            </w:r>
          </w:p>
        </w:tc>
        <w:tc>
          <w:tcPr>
            <w:tcW w:w="993" w:type="dxa"/>
            <w:tcBorders>
              <w:top w:val="nil"/>
              <w:left w:val="nil"/>
              <w:bottom w:val="single" w:sz="4" w:space="0" w:color="auto"/>
              <w:right w:val="single" w:sz="4" w:space="0" w:color="auto"/>
            </w:tcBorders>
            <w:shd w:val="clear" w:color="auto" w:fill="auto"/>
            <w:noWrap/>
            <w:vAlign w:val="center"/>
            <w:hideMark/>
          </w:tcPr>
          <w:p w14:paraId="5995645C" w14:textId="23A48EA9"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5.1%</w:t>
            </w:r>
          </w:p>
        </w:tc>
        <w:tc>
          <w:tcPr>
            <w:tcW w:w="992" w:type="dxa"/>
            <w:tcBorders>
              <w:top w:val="nil"/>
              <w:left w:val="nil"/>
              <w:bottom w:val="single" w:sz="4" w:space="0" w:color="auto"/>
              <w:right w:val="single" w:sz="4" w:space="0" w:color="auto"/>
            </w:tcBorders>
            <w:shd w:val="clear" w:color="auto" w:fill="auto"/>
            <w:noWrap/>
            <w:vAlign w:val="center"/>
            <w:hideMark/>
          </w:tcPr>
          <w:p w14:paraId="5337F6F6" w14:textId="0BF0FA63"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2.7%</w:t>
            </w:r>
          </w:p>
        </w:tc>
      </w:tr>
      <w:tr w:rsidR="00CE71C1" w:rsidRPr="0011281F" w14:paraId="328195C3"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2A7F837"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Total number of prescriptions</w:t>
            </w:r>
          </w:p>
        </w:tc>
        <w:tc>
          <w:tcPr>
            <w:tcW w:w="851" w:type="dxa"/>
            <w:tcBorders>
              <w:top w:val="nil"/>
              <w:left w:val="nil"/>
              <w:bottom w:val="single" w:sz="4" w:space="0" w:color="auto"/>
              <w:right w:val="single" w:sz="4" w:space="0" w:color="auto"/>
            </w:tcBorders>
            <w:shd w:val="clear" w:color="auto" w:fill="auto"/>
            <w:noWrap/>
            <w:vAlign w:val="center"/>
            <w:hideMark/>
          </w:tcPr>
          <w:p w14:paraId="50EA2388" w14:textId="5C48AC8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2,733,423</w:t>
            </w:r>
          </w:p>
        </w:tc>
        <w:tc>
          <w:tcPr>
            <w:tcW w:w="992" w:type="dxa"/>
            <w:tcBorders>
              <w:top w:val="nil"/>
              <w:left w:val="nil"/>
              <w:bottom w:val="single" w:sz="4" w:space="0" w:color="auto"/>
              <w:right w:val="single" w:sz="4" w:space="0" w:color="auto"/>
            </w:tcBorders>
            <w:shd w:val="clear" w:color="auto" w:fill="auto"/>
            <w:noWrap/>
            <w:vAlign w:val="center"/>
            <w:hideMark/>
          </w:tcPr>
          <w:p w14:paraId="4161F22C" w14:textId="6AA183F5"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2,946,396</w:t>
            </w:r>
          </w:p>
        </w:tc>
        <w:tc>
          <w:tcPr>
            <w:tcW w:w="946" w:type="dxa"/>
            <w:tcBorders>
              <w:top w:val="nil"/>
              <w:left w:val="nil"/>
              <w:bottom w:val="single" w:sz="4" w:space="0" w:color="auto"/>
              <w:right w:val="single" w:sz="4" w:space="0" w:color="auto"/>
            </w:tcBorders>
            <w:shd w:val="clear" w:color="auto" w:fill="auto"/>
            <w:noWrap/>
            <w:vAlign w:val="center"/>
            <w:hideMark/>
          </w:tcPr>
          <w:p w14:paraId="65944CB0" w14:textId="0EE6AF2C"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3,190,439</w:t>
            </w:r>
          </w:p>
        </w:tc>
        <w:tc>
          <w:tcPr>
            <w:tcW w:w="993" w:type="dxa"/>
            <w:tcBorders>
              <w:top w:val="nil"/>
              <w:left w:val="nil"/>
              <w:bottom w:val="single" w:sz="4" w:space="0" w:color="auto"/>
              <w:right w:val="single" w:sz="4" w:space="0" w:color="auto"/>
            </w:tcBorders>
            <w:shd w:val="clear" w:color="auto" w:fill="auto"/>
            <w:noWrap/>
            <w:vAlign w:val="center"/>
            <w:hideMark/>
          </w:tcPr>
          <w:p w14:paraId="054ED974" w14:textId="644147C2"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3,458,808</w:t>
            </w:r>
          </w:p>
        </w:tc>
        <w:tc>
          <w:tcPr>
            <w:tcW w:w="992" w:type="dxa"/>
            <w:tcBorders>
              <w:top w:val="nil"/>
              <w:left w:val="nil"/>
              <w:bottom w:val="single" w:sz="4" w:space="0" w:color="auto"/>
              <w:right w:val="single" w:sz="4" w:space="0" w:color="auto"/>
            </w:tcBorders>
            <w:shd w:val="clear" w:color="auto" w:fill="auto"/>
            <w:noWrap/>
            <w:vAlign w:val="center"/>
            <w:hideMark/>
          </w:tcPr>
          <w:p w14:paraId="3CF8DEA1" w14:textId="1674542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3,473,651</w:t>
            </w:r>
          </w:p>
        </w:tc>
      </w:tr>
      <w:tr w:rsidR="00CE71C1" w:rsidRPr="0011281F" w14:paraId="456CE202"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305B3A6C"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PBS</w:t>
            </w:r>
          </w:p>
        </w:tc>
        <w:tc>
          <w:tcPr>
            <w:tcW w:w="851" w:type="dxa"/>
            <w:tcBorders>
              <w:top w:val="nil"/>
              <w:left w:val="nil"/>
              <w:bottom w:val="single" w:sz="4" w:space="0" w:color="auto"/>
              <w:right w:val="single" w:sz="4" w:space="0" w:color="auto"/>
            </w:tcBorders>
            <w:shd w:val="clear" w:color="auto" w:fill="auto"/>
            <w:noWrap/>
            <w:vAlign w:val="center"/>
            <w:hideMark/>
          </w:tcPr>
          <w:p w14:paraId="36DD203F" w14:textId="76A0C3FA"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2,635,201</w:t>
            </w:r>
          </w:p>
        </w:tc>
        <w:tc>
          <w:tcPr>
            <w:tcW w:w="992" w:type="dxa"/>
            <w:tcBorders>
              <w:top w:val="nil"/>
              <w:left w:val="nil"/>
              <w:bottom w:val="single" w:sz="4" w:space="0" w:color="auto"/>
              <w:right w:val="single" w:sz="4" w:space="0" w:color="auto"/>
            </w:tcBorders>
            <w:shd w:val="clear" w:color="auto" w:fill="auto"/>
            <w:noWrap/>
            <w:vAlign w:val="center"/>
            <w:hideMark/>
          </w:tcPr>
          <w:p w14:paraId="5C2AD0A6" w14:textId="4A1D9ADC"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2,848,755</w:t>
            </w:r>
          </w:p>
        </w:tc>
        <w:tc>
          <w:tcPr>
            <w:tcW w:w="946" w:type="dxa"/>
            <w:tcBorders>
              <w:top w:val="nil"/>
              <w:left w:val="nil"/>
              <w:bottom w:val="single" w:sz="4" w:space="0" w:color="auto"/>
              <w:right w:val="single" w:sz="4" w:space="0" w:color="auto"/>
            </w:tcBorders>
            <w:shd w:val="clear" w:color="auto" w:fill="auto"/>
            <w:noWrap/>
            <w:vAlign w:val="center"/>
            <w:hideMark/>
          </w:tcPr>
          <w:p w14:paraId="7193603F" w14:textId="39438755"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3,080,462</w:t>
            </w:r>
          </w:p>
        </w:tc>
        <w:tc>
          <w:tcPr>
            <w:tcW w:w="993" w:type="dxa"/>
            <w:tcBorders>
              <w:top w:val="nil"/>
              <w:left w:val="nil"/>
              <w:bottom w:val="single" w:sz="4" w:space="0" w:color="auto"/>
              <w:right w:val="single" w:sz="4" w:space="0" w:color="auto"/>
            </w:tcBorders>
            <w:shd w:val="clear" w:color="auto" w:fill="auto"/>
            <w:noWrap/>
            <w:vAlign w:val="center"/>
            <w:hideMark/>
          </w:tcPr>
          <w:p w14:paraId="3DE038F6" w14:textId="48652D28"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3,235,956</w:t>
            </w:r>
          </w:p>
        </w:tc>
        <w:tc>
          <w:tcPr>
            <w:tcW w:w="992" w:type="dxa"/>
            <w:tcBorders>
              <w:top w:val="nil"/>
              <w:left w:val="nil"/>
              <w:bottom w:val="single" w:sz="4" w:space="0" w:color="auto"/>
              <w:right w:val="single" w:sz="4" w:space="0" w:color="auto"/>
            </w:tcBorders>
            <w:shd w:val="clear" w:color="auto" w:fill="auto"/>
            <w:noWrap/>
            <w:vAlign w:val="center"/>
            <w:hideMark/>
          </w:tcPr>
          <w:p w14:paraId="5DF61ABE" w14:textId="57B2F1F2"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3,181,770</w:t>
            </w:r>
          </w:p>
        </w:tc>
      </w:tr>
      <w:tr w:rsidR="00CE71C1" w:rsidRPr="0011281F" w14:paraId="7EEE499E"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7D2751A5"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RPBS</w:t>
            </w:r>
          </w:p>
        </w:tc>
        <w:tc>
          <w:tcPr>
            <w:tcW w:w="851" w:type="dxa"/>
            <w:tcBorders>
              <w:top w:val="nil"/>
              <w:left w:val="nil"/>
              <w:bottom w:val="single" w:sz="4" w:space="0" w:color="auto"/>
              <w:right w:val="single" w:sz="4" w:space="0" w:color="auto"/>
            </w:tcBorders>
            <w:shd w:val="clear" w:color="auto" w:fill="auto"/>
            <w:noWrap/>
            <w:vAlign w:val="center"/>
            <w:hideMark/>
          </w:tcPr>
          <w:p w14:paraId="68742EDC" w14:textId="0C2046C6"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82,900</w:t>
            </w:r>
          </w:p>
        </w:tc>
        <w:tc>
          <w:tcPr>
            <w:tcW w:w="992" w:type="dxa"/>
            <w:tcBorders>
              <w:top w:val="nil"/>
              <w:left w:val="nil"/>
              <w:bottom w:val="single" w:sz="4" w:space="0" w:color="auto"/>
              <w:right w:val="single" w:sz="4" w:space="0" w:color="auto"/>
            </w:tcBorders>
            <w:shd w:val="clear" w:color="auto" w:fill="auto"/>
            <w:noWrap/>
            <w:vAlign w:val="center"/>
            <w:hideMark/>
          </w:tcPr>
          <w:p w14:paraId="4C369ACB" w14:textId="55696E6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79,684</w:t>
            </w:r>
          </w:p>
        </w:tc>
        <w:tc>
          <w:tcPr>
            <w:tcW w:w="946" w:type="dxa"/>
            <w:tcBorders>
              <w:top w:val="nil"/>
              <w:left w:val="nil"/>
              <w:bottom w:val="single" w:sz="4" w:space="0" w:color="auto"/>
              <w:right w:val="single" w:sz="4" w:space="0" w:color="auto"/>
            </w:tcBorders>
            <w:shd w:val="clear" w:color="auto" w:fill="auto"/>
            <w:noWrap/>
            <w:vAlign w:val="center"/>
            <w:hideMark/>
          </w:tcPr>
          <w:p w14:paraId="65DD34A9" w14:textId="3993A8BC"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78,163</w:t>
            </w:r>
          </w:p>
        </w:tc>
        <w:tc>
          <w:tcPr>
            <w:tcW w:w="993" w:type="dxa"/>
            <w:tcBorders>
              <w:top w:val="nil"/>
              <w:left w:val="nil"/>
              <w:bottom w:val="single" w:sz="4" w:space="0" w:color="auto"/>
              <w:right w:val="single" w:sz="4" w:space="0" w:color="auto"/>
            </w:tcBorders>
            <w:shd w:val="clear" w:color="auto" w:fill="auto"/>
            <w:noWrap/>
            <w:vAlign w:val="center"/>
            <w:hideMark/>
          </w:tcPr>
          <w:p w14:paraId="723A2C34" w14:textId="1D394465"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74,849</w:t>
            </w:r>
          </w:p>
        </w:tc>
        <w:tc>
          <w:tcPr>
            <w:tcW w:w="992" w:type="dxa"/>
            <w:tcBorders>
              <w:top w:val="nil"/>
              <w:left w:val="nil"/>
              <w:bottom w:val="single" w:sz="4" w:space="0" w:color="auto"/>
              <w:right w:val="single" w:sz="4" w:space="0" w:color="auto"/>
            </w:tcBorders>
            <w:shd w:val="clear" w:color="auto" w:fill="auto"/>
            <w:noWrap/>
            <w:vAlign w:val="center"/>
            <w:hideMark/>
          </w:tcPr>
          <w:p w14:paraId="3CBECDE9" w14:textId="0A9A2B3F"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71,454</w:t>
            </w:r>
          </w:p>
        </w:tc>
      </w:tr>
      <w:tr w:rsidR="00CE71C1" w:rsidRPr="0011281F" w14:paraId="625FEA32"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68B3AC5" w14:textId="77777777" w:rsidR="00CE71C1" w:rsidRPr="0011281F" w:rsidRDefault="00CE71C1"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Under co-payment</w:t>
            </w:r>
          </w:p>
        </w:tc>
        <w:tc>
          <w:tcPr>
            <w:tcW w:w="851" w:type="dxa"/>
            <w:tcBorders>
              <w:top w:val="nil"/>
              <w:left w:val="nil"/>
              <w:bottom w:val="single" w:sz="4" w:space="0" w:color="auto"/>
              <w:right w:val="single" w:sz="4" w:space="0" w:color="auto"/>
            </w:tcBorders>
            <w:shd w:val="clear" w:color="auto" w:fill="auto"/>
            <w:noWrap/>
            <w:vAlign w:val="center"/>
            <w:hideMark/>
          </w:tcPr>
          <w:p w14:paraId="765A6185" w14:textId="74E11D1C"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15,322</w:t>
            </w:r>
          </w:p>
        </w:tc>
        <w:tc>
          <w:tcPr>
            <w:tcW w:w="992" w:type="dxa"/>
            <w:tcBorders>
              <w:top w:val="nil"/>
              <w:left w:val="nil"/>
              <w:bottom w:val="single" w:sz="4" w:space="0" w:color="auto"/>
              <w:right w:val="single" w:sz="4" w:space="0" w:color="auto"/>
            </w:tcBorders>
            <w:shd w:val="clear" w:color="auto" w:fill="auto"/>
            <w:noWrap/>
            <w:vAlign w:val="center"/>
            <w:hideMark/>
          </w:tcPr>
          <w:p w14:paraId="045C0FE0" w14:textId="171A6D32"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17,957</w:t>
            </w:r>
          </w:p>
        </w:tc>
        <w:tc>
          <w:tcPr>
            <w:tcW w:w="946" w:type="dxa"/>
            <w:tcBorders>
              <w:top w:val="nil"/>
              <w:left w:val="nil"/>
              <w:bottom w:val="single" w:sz="4" w:space="0" w:color="auto"/>
              <w:right w:val="single" w:sz="4" w:space="0" w:color="auto"/>
            </w:tcBorders>
            <w:shd w:val="clear" w:color="auto" w:fill="auto"/>
            <w:noWrap/>
            <w:vAlign w:val="center"/>
            <w:hideMark/>
          </w:tcPr>
          <w:p w14:paraId="5AD9AEB5" w14:textId="6AABFF3B"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31,814</w:t>
            </w:r>
          </w:p>
        </w:tc>
        <w:tc>
          <w:tcPr>
            <w:tcW w:w="993" w:type="dxa"/>
            <w:tcBorders>
              <w:top w:val="nil"/>
              <w:left w:val="nil"/>
              <w:bottom w:val="single" w:sz="4" w:space="0" w:color="auto"/>
              <w:right w:val="single" w:sz="4" w:space="0" w:color="auto"/>
            </w:tcBorders>
            <w:shd w:val="clear" w:color="auto" w:fill="auto"/>
            <w:noWrap/>
            <w:vAlign w:val="center"/>
            <w:hideMark/>
          </w:tcPr>
          <w:p w14:paraId="6C1047A4" w14:textId="296FBD60"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148,003</w:t>
            </w:r>
          </w:p>
        </w:tc>
        <w:tc>
          <w:tcPr>
            <w:tcW w:w="992" w:type="dxa"/>
            <w:tcBorders>
              <w:top w:val="nil"/>
              <w:left w:val="nil"/>
              <w:bottom w:val="single" w:sz="4" w:space="0" w:color="auto"/>
              <w:right w:val="single" w:sz="4" w:space="0" w:color="auto"/>
            </w:tcBorders>
            <w:shd w:val="clear" w:color="auto" w:fill="auto"/>
            <w:noWrap/>
            <w:vAlign w:val="center"/>
            <w:hideMark/>
          </w:tcPr>
          <w:p w14:paraId="47996260" w14:textId="08E33309" w:rsidR="00CE71C1" w:rsidRPr="0011281F" w:rsidRDefault="00CE71C1"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220,427</w:t>
            </w:r>
          </w:p>
        </w:tc>
      </w:tr>
      <w:tr w:rsidR="0011281F" w:rsidRPr="0011281F" w14:paraId="19A5C922" w14:textId="77777777" w:rsidTr="005D4BB0">
        <w:trPr>
          <w:trHeight w:val="300"/>
        </w:trPr>
        <w:tc>
          <w:tcPr>
            <w:tcW w:w="8900" w:type="dxa"/>
            <w:gridSpan w:val="6"/>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14A85A88" w14:textId="77777777" w:rsidR="0011281F" w:rsidRPr="0011281F" w:rsidRDefault="0011281F" w:rsidP="0011281F">
            <w:pPr>
              <w:spacing w:after="0"/>
              <w:rPr>
                <w:rFonts w:ascii="Arial Narrow" w:eastAsia="Times New Roman" w:hAnsi="Arial Narrow" w:cs="Times New Roman"/>
                <w:b/>
                <w:bCs/>
                <w:sz w:val="20"/>
                <w:szCs w:val="20"/>
              </w:rPr>
            </w:pPr>
            <w:r w:rsidRPr="0011281F">
              <w:rPr>
                <w:rFonts w:ascii="Arial Narrow" w:eastAsia="Times New Roman" w:hAnsi="Arial Narrow" w:cs="Times New Roman"/>
                <w:b/>
                <w:bCs/>
                <w:sz w:val="20"/>
                <w:szCs w:val="20"/>
              </w:rPr>
              <w:t>Quetiapine 25 mg</w:t>
            </w:r>
          </w:p>
        </w:tc>
      </w:tr>
      <w:tr w:rsidR="00C23C08" w:rsidRPr="0011281F" w14:paraId="0BBF7FA4"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0821D9E6"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15B0F70B" w14:textId="674AAFBC"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16,787</w:t>
            </w:r>
          </w:p>
        </w:tc>
        <w:tc>
          <w:tcPr>
            <w:tcW w:w="992" w:type="dxa"/>
            <w:tcBorders>
              <w:top w:val="nil"/>
              <w:left w:val="nil"/>
              <w:bottom w:val="single" w:sz="4" w:space="0" w:color="auto"/>
              <w:right w:val="single" w:sz="4" w:space="0" w:color="auto"/>
            </w:tcBorders>
            <w:shd w:val="clear" w:color="auto" w:fill="auto"/>
            <w:noWrap/>
            <w:vAlign w:val="center"/>
            <w:hideMark/>
          </w:tcPr>
          <w:p w14:paraId="41021419" w14:textId="602EE8CE"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18,404</w:t>
            </w:r>
          </w:p>
        </w:tc>
        <w:tc>
          <w:tcPr>
            <w:tcW w:w="946" w:type="dxa"/>
            <w:tcBorders>
              <w:top w:val="nil"/>
              <w:left w:val="nil"/>
              <w:bottom w:val="single" w:sz="4" w:space="0" w:color="auto"/>
              <w:right w:val="single" w:sz="4" w:space="0" w:color="auto"/>
            </w:tcBorders>
            <w:shd w:val="clear" w:color="auto" w:fill="auto"/>
            <w:noWrap/>
            <w:vAlign w:val="center"/>
            <w:hideMark/>
          </w:tcPr>
          <w:p w14:paraId="07C9D847" w14:textId="36E1CE19"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21,223</w:t>
            </w:r>
          </w:p>
        </w:tc>
        <w:tc>
          <w:tcPr>
            <w:tcW w:w="993" w:type="dxa"/>
            <w:tcBorders>
              <w:top w:val="nil"/>
              <w:left w:val="nil"/>
              <w:bottom w:val="single" w:sz="4" w:space="0" w:color="auto"/>
              <w:right w:val="single" w:sz="4" w:space="0" w:color="auto"/>
            </w:tcBorders>
            <w:shd w:val="clear" w:color="auto" w:fill="auto"/>
            <w:noWrap/>
            <w:vAlign w:val="center"/>
            <w:hideMark/>
          </w:tcPr>
          <w:p w14:paraId="657AE36C" w14:textId="616547BB"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18,954</w:t>
            </w:r>
          </w:p>
        </w:tc>
        <w:tc>
          <w:tcPr>
            <w:tcW w:w="992" w:type="dxa"/>
            <w:tcBorders>
              <w:top w:val="nil"/>
              <w:left w:val="nil"/>
              <w:bottom w:val="single" w:sz="4" w:space="0" w:color="auto"/>
              <w:right w:val="single" w:sz="4" w:space="0" w:color="auto"/>
            </w:tcBorders>
            <w:shd w:val="clear" w:color="auto" w:fill="auto"/>
            <w:noWrap/>
            <w:vAlign w:val="center"/>
            <w:hideMark/>
          </w:tcPr>
          <w:p w14:paraId="367398F3" w14:textId="454BCEB7"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20,456</w:t>
            </w:r>
          </w:p>
        </w:tc>
      </w:tr>
      <w:tr w:rsidR="00C23C08" w:rsidRPr="0011281F" w14:paraId="0CD35D42"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C90767E"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incident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5D1E974A" w14:textId="06ECAE1E"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18.33%</w:t>
            </w:r>
          </w:p>
        </w:tc>
        <w:tc>
          <w:tcPr>
            <w:tcW w:w="992" w:type="dxa"/>
            <w:tcBorders>
              <w:top w:val="nil"/>
              <w:left w:val="nil"/>
              <w:bottom w:val="single" w:sz="4" w:space="0" w:color="auto"/>
              <w:right w:val="single" w:sz="4" w:space="0" w:color="auto"/>
            </w:tcBorders>
            <w:shd w:val="clear" w:color="auto" w:fill="auto"/>
            <w:noWrap/>
            <w:vAlign w:val="center"/>
            <w:hideMark/>
          </w:tcPr>
          <w:p w14:paraId="799ED1B7" w14:textId="7BAF40F1"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9.63%</w:t>
            </w:r>
          </w:p>
        </w:tc>
        <w:tc>
          <w:tcPr>
            <w:tcW w:w="946" w:type="dxa"/>
            <w:tcBorders>
              <w:top w:val="nil"/>
              <w:left w:val="nil"/>
              <w:bottom w:val="single" w:sz="4" w:space="0" w:color="auto"/>
              <w:right w:val="single" w:sz="4" w:space="0" w:color="auto"/>
            </w:tcBorders>
            <w:shd w:val="clear" w:color="auto" w:fill="auto"/>
            <w:noWrap/>
            <w:vAlign w:val="center"/>
            <w:hideMark/>
          </w:tcPr>
          <w:p w14:paraId="5CE03F88" w14:textId="03179EA9"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15.32%</w:t>
            </w:r>
          </w:p>
        </w:tc>
        <w:tc>
          <w:tcPr>
            <w:tcW w:w="993" w:type="dxa"/>
            <w:tcBorders>
              <w:top w:val="nil"/>
              <w:left w:val="nil"/>
              <w:bottom w:val="single" w:sz="4" w:space="0" w:color="auto"/>
              <w:right w:val="single" w:sz="4" w:space="0" w:color="auto"/>
            </w:tcBorders>
            <w:shd w:val="clear" w:color="auto" w:fill="auto"/>
            <w:noWrap/>
            <w:vAlign w:val="center"/>
            <w:hideMark/>
          </w:tcPr>
          <w:p w14:paraId="21F22D62" w14:textId="5BB49CF4"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-10.69%</w:t>
            </w:r>
          </w:p>
        </w:tc>
        <w:tc>
          <w:tcPr>
            <w:tcW w:w="992" w:type="dxa"/>
            <w:tcBorders>
              <w:top w:val="nil"/>
              <w:left w:val="nil"/>
              <w:bottom w:val="single" w:sz="4" w:space="0" w:color="auto"/>
              <w:right w:val="single" w:sz="4" w:space="0" w:color="auto"/>
            </w:tcBorders>
            <w:shd w:val="clear" w:color="auto" w:fill="auto"/>
            <w:noWrap/>
            <w:vAlign w:val="center"/>
            <w:hideMark/>
          </w:tcPr>
          <w:p w14:paraId="62C3CE6F" w14:textId="0E8CB591"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7.92%</w:t>
            </w:r>
          </w:p>
        </w:tc>
      </w:tr>
      <w:tr w:rsidR="00C23C08" w:rsidRPr="0011281F" w14:paraId="51B0D978"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23AD53CB"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4B7449AB" w14:textId="6A3211CA"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55,903</w:t>
            </w:r>
          </w:p>
        </w:tc>
        <w:tc>
          <w:tcPr>
            <w:tcW w:w="992" w:type="dxa"/>
            <w:tcBorders>
              <w:top w:val="nil"/>
              <w:left w:val="nil"/>
              <w:bottom w:val="single" w:sz="4" w:space="0" w:color="auto"/>
              <w:right w:val="single" w:sz="4" w:space="0" w:color="auto"/>
            </w:tcBorders>
            <w:shd w:val="clear" w:color="auto" w:fill="auto"/>
            <w:noWrap/>
            <w:vAlign w:val="center"/>
            <w:hideMark/>
          </w:tcPr>
          <w:p w14:paraId="473B046E" w14:textId="6974DE83"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64,350</w:t>
            </w:r>
          </w:p>
        </w:tc>
        <w:tc>
          <w:tcPr>
            <w:tcW w:w="946" w:type="dxa"/>
            <w:tcBorders>
              <w:top w:val="nil"/>
              <w:left w:val="nil"/>
              <w:bottom w:val="single" w:sz="4" w:space="0" w:color="auto"/>
              <w:right w:val="single" w:sz="4" w:space="0" w:color="auto"/>
            </w:tcBorders>
            <w:shd w:val="clear" w:color="auto" w:fill="auto"/>
            <w:noWrap/>
            <w:vAlign w:val="center"/>
            <w:hideMark/>
          </w:tcPr>
          <w:p w14:paraId="3E25CB99" w14:textId="01B9E945"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74,335</w:t>
            </w:r>
          </w:p>
        </w:tc>
        <w:tc>
          <w:tcPr>
            <w:tcW w:w="993" w:type="dxa"/>
            <w:tcBorders>
              <w:top w:val="nil"/>
              <w:left w:val="nil"/>
              <w:bottom w:val="single" w:sz="4" w:space="0" w:color="auto"/>
              <w:right w:val="single" w:sz="4" w:space="0" w:color="auto"/>
            </w:tcBorders>
            <w:shd w:val="clear" w:color="auto" w:fill="auto"/>
            <w:noWrap/>
            <w:vAlign w:val="center"/>
            <w:hideMark/>
          </w:tcPr>
          <w:p w14:paraId="4B008C0A" w14:textId="528BA710"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73,499</w:t>
            </w:r>
          </w:p>
        </w:tc>
        <w:tc>
          <w:tcPr>
            <w:tcW w:w="992" w:type="dxa"/>
            <w:tcBorders>
              <w:top w:val="nil"/>
              <w:left w:val="nil"/>
              <w:bottom w:val="single" w:sz="4" w:space="0" w:color="auto"/>
              <w:right w:val="single" w:sz="4" w:space="0" w:color="auto"/>
            </w:tcBorders>
            <w:shd w:val="clear" w:color="auto" w:fill="auto"/>
            <w:noWrap/>
            <w:vAlign w:val="center"/>
            <w:hideMark/>
          </w:tcPr>
          <w:p w14:paraId="6F094534" w14:textId="39229600"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67,380</w:t>
            </w:r>
          </w:p>
        </w:tc>
      </w:tr>
      <w:tr w:rsidR="00C23C08" w:rsidRPr="0011281F" w14:paraId="4238FF11"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0893BAEC"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Year-on-year growth in prevalent patients</w:t>
            </w:r>
          </w:p>
        </w:tc>
        <w:tc>
          <w:tcPr>
            <w:tcW w:w="851" w:type="dxa"/>
            <w:tcBorders>
              <w:top w:val="nil"/>
              <w:left w:val="nil"/>
              <w:bottom w:val="single" w:sz="4" w:space="0" w:color="auto"/>
              <w:right w:val="single" w:sz="4" w:space="0" w:color="auto"/>
            </w:tcBorders>
            <w:shd w:val="clear" w:color="auto" w:fill="auto"/>
            <w:noWrap/>
            <w:vAlign w:val="center"/>
            <w:hideMark/>
          </w:tcPr>
          <w:p w14:paraId="2676998C" w14:textId="24D151D7"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19.67%</w:t>
            </w:r>
          </w:p>
        </w:tc>
        <w:tc>
          <w:tcPr>
            <w:tcW w:w="992" w:type="dxa"/>
            <w:tcBorders>
              <w:top w:val="nil"/>
              <w:left w:val="nil"/>
              <w:bottom w:val="single" w:sz="4" w:space="0" w:color="auto"/>
              <w:right w:val="single" w:sz="4" w:space="0" w:color="auto"/>
            </w:tcBorders>
            <w:shd w:val="clear" w:color="auto" w:fill="auto"/>
            <w:noWrap/>
            <w:vAlign w:val="center"/>
            <w:hideMark/>
          </w:tcPr>
          <w:p w14:paraId="2EED50F9" w14:textId="0A502632"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15.11%</w:t>
            </w:r>
          </w:p>
        </w:tc>
        <w:tc>
          <w:tcPr>
            <w:tcW w:w="946" w:type="dxa"/>
            <w:tcBorders>
              <w:top w:val="nil"/>
              <w:left w:val="nil"/>
              <w:bottom w:val="single" w:sz="4" w:space="0" w:color="auto"/>
              <w:right w:val="single" w:sz="4" w:space="0" w:color="auto"/>
            </w:tcBorders>
            <w:shd w:val="clear" w:color="auto" w:fill="auto"/>
            <w:noWrap/>
            <w:vAlign w:val="center"/>
            <w:hideMark/>
          </w:tcPr>
          <w:p w14:paraId="61483460" w14:textId="0E9215B4"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15.52%</w:t>
            </w:r>
          </w:p>
        </w:tc>
        <w:tc>
          <w:tcPr>
            <w:tcW w:w="993" w:type="dxa"/>
            <w:tcBorders>
              <w:top w:val="nil"/>
              <w:left w:val="nil"/>
              <w:bottom w:val="single" w:sz="4" w:space="0" w:color="auto"/>
              <w:right w:val="single" w:sz="4" w:space="0" w:color="auto"/>
            </w:tcBorders>
            <w:shd w:val="clear" w:color="auto" w:fill="auto"/>
            <w:noWrap/>
            <w:vAlign w:val="center"/>
            <w:hideMark/>
          </w:tcPr>
          <w:p w14:paraId="2A0E3180" w14:textId="523EC4B7"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-1.12%</w:t>
            </w:r>
          </w:p>
        </w:tc>
        <w:tc>
          <w:tcPr>
            <w:tcW w:w="992" w:type="dxa"/>
            <w:tcBorders>
              <w:top w:val="nil"/>
              <w:left w:val="nil"/>
              <w:bottom w:val="single" w:sz="4" w:space="0" w:color="auto"/>
              <w:right w:val="single" w:sz="4" w:space="0" w:color="auto"/>
            </w:tcBorders>
            <w:shd w:val="clear" w:color="auto" w:fill="auto"/>
            <w:noWrap/>
            <w:vAlign w:val="center"/>
            <w:hideMark/>
          </w:tcPr>
          <w:p w14:paraId="7D8DC12E" w14:textId="1A22E191"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-8.33%</w:t>
            </w:r>
          </w:p>
        </w:tc>
      </w:tr>
      <w:tr w:rsidR="00C23C08" w:rsidRPr="0011281F" w14:paraId="25F5A0AE"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F9E04AC"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Total number of prescriptions</w:t>
            </w:r>
          </w:p>
        </w:tc>
        <w:tc>
          <w:tcPr>
            <w:tcW w:w="851" w:type="dxa"/>
            <w:tcBorders>
              <w:top w:val="nil"/>
              <w:left w:val="nil"/>
              <w:bottom w:val="single" w:sz="4" w:space="0" w:color="auto"/>
              <w:right w:val="single" w:sz="4" w:space="0" w:color="auto"/>
            </w:tcBorders>
            <w:shd w:val="clear" w:color="auto" w:fill="auto"/>
            <w:noWrap/>
            <w:vAlign w:val="center"/>
            <w:hideMark/>
          </w:tcPr>
          <w:p w14:paraId="0C25F7A1" w14:textId="380381DB"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253,369</w:t>
            </w:r>
          </w:p>
        </w:tc>
        <w:tc>
          <w:tcPr>
            <w:tcW w:w="992" w:type="dxa"/>
            <w:tcBorders>
              <w:top w:val="nil"/>
              <w:left w:val="nil"/>
              <w:bottom w:val="single" w:sz="4" w:space="0" w:color="auto"/>
              <w:right w:val="single" w:sz="4" w:space="0" w:color="auto"/>
            </w:tcBorders>
            <w:shd w:val="clear" w:color="auto" w:fill="auto"/>
            <w:noWrap/>
            <w:vAlign w:val="center"/>
            <w:hideMark/>
          </w:tcPr>
          <w:p w14:paraId="2799975C" w14:textId="13267650"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294,292</w:t>
            </w:r>
          </w:p>
        </w:tc>
        <w:tc>
          <w:tcPr>
            <w:tcW w:w="946" w:type="dxa"/>
            <w:tcBorders>
              <w:top w:val="nil"/>
              <w:left w:val="nil"/>
              <w:bottom w:val="single" w:sz="4" w:space="0" w:color="auto"/>
              <w:right w:val="single" w:sz="4" w:space="0" w:color="auto"/>
            </w:tcBorders>
            <w:shd w:val="clear" w:color="auto" w:fill="auto"/>
            <w:noWrap/>
            <w:vAlign w:val="center"/>
            <w:hideMark/>
          </w:tcPr>
          <w:p w14:paraId="4A505CEB" w14:textId="196CA910"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342,675</w:t>
            </w:r>
          </w:p>
        </w:tc>
        <w:tc>
          <w:tcPr>
            <w:tcW w:w="993" w:type="dxa"/>
            <w:tcBorders>
              <w:top w:val="nil"/>
              <w:left w:val="nil"/>
              <w:bottom w:val="single" w:sz="4" w:space="0" w:color="auto"/>
              <w:right w:val="single" w:sz="4" w:space="0" w:color="auto"/>
            </w:tcBorders>
            <w:shd w:val="clear" w:color="auto" w:fill="auto"/>
            <w:noWrap/>
            <w:vAlign w:val="center"/>
            <w:hideMark/>
          </w:tcPr>
          <w:p w14:paraId="08097B91" w14:textId="72573A73"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247,944</w:t>
            </w:r>
          </w:p>
        </w:tc>
        <w:tc>
          <w:tcPr>
            <w:tcW w:w="992" w:type="dxa"/>
            <w:tcBorders>
              <w:top w:val="nil"/>
              <w:left w:val="nil"/>
              <w:bottom w:val="single" w:sz="4" w:space="0" w:color="auto"/>
              <w:right w:val="single" w:sz="4" w:space="0" w:color="auto"/>
            </w:tcBorders>
            <w:shd w:val="clear" w:color="auto" w:fill="auto"/>
            <w:noWrap/>
            <w:vAlign w:val="center"/>
            <w:hideMark/>
          </w:tcPr>
          <w:p w14:paraId="6ED61522" w14:textId="6380B077"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206,175</w:t>
            </w:r>
          </w:p>
        </w:tc>
      </w:tr>
      <w:tr w:rsidR="00C23C08" w:rsidRPr="0011281F" w14:paraId="731BB5BC"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5B21F944"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Proportion of overall atypical prescriptions</w:t>
            </w:r>
          </w:p>
        </w:tc>
        <w:tc>
          <w:tcPr>
            <w:tcW w:w="851" w:type="dxa"/>
            <w:tcBorders>
              <w:top w:val="nil"/>
              <w:left w:val="nil"/>
              <w:bottom w:val="single" w:sz="4" w:space="0" w:color="auto"/>
              <w:right w:val="single" w:sz="4" w:space="0" w:color="auto"/>
            </w:tcBorders>
            <w:shd w:val="clear" w:color="auto" w:fill="auto"/>
            <w:noWrap/>
            <w:vAlign w:val="center"/>
            <w:hideMark/>
          </w:tcPr>
          <w:p w14:paraId="41649F89" w14:textId="76A79602"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9.30%</w:t>
            </w:r>
          </w:p>
        </w:tc>
        <w:tc>
          <w:tcPr>
            <w:tcW w:w="992" w:type="dxa"/>
            <w:tcBorders>
              <w:top w:val="nil"/>
              <w:left w:val="nil"/>
              <w:bottom w:val="single" w:sz="4" w:space="0" w:color="auto"/>
              <w:right w:val="single" w:sz="4" w:space="0" w:color="auto"/>
            </w:tcBorders>
            <w:shd w:val="clear" w:color="auto" w:fill="auto"/>
            <w:noWrap/>
            <w:vAlign w:val="center"/>
            <w:hideMark/>
          </w:tcPr>
          <w:p w14:paraId="4C4931F2" w14:textId="33E811EC"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10.00%</w:t>
            </w:r>
          </w:p>
        </w:tc>
        <w:tc>
          <w:tcPr>
            <w:tcW w:w="946" w:type="dxa"/>
            <w:tcBorders>
              <w:top w:val="nil"/>
              <w:left w:val="nil"/>
              <w:bottom w:val="single" w:sz="4" w:space="0" w:color="auto"/>
              <w:right w:val="single" w:sz="4" w:space="0" w:color="auto"/>
            </w:tcBorders>
            <w:shd w:val="clear" w:color="auto" w:fill="auto"/>
            <w:noWrap/>
            <w:vAlign w:val="center"/>
            <w:hideMark/>
          </w:tcPr>
          <w:p w14:paraId="2F0DEF53" w14:textId="65433339"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10.70%</w:t>
            </w:r>
          </w:p>
        </w:tc>
        <w:tc>
          <w:tcPr>
            <w:tcW w:w="993" w:type="dxa"/>
            <w:tcBorders>
              <w:top w:val="nil"/>
              <w:left w:val="nil"/>
              <w:bottom w:val="single" w:sz="4" w:space="0" w:color="auto"/>
              <w:right w:val="single" w:sz="4" w:space="0" w:color="auto"/>
            </w:tcBorders>
            <w:shd w:val="clear" w:color="auto" w:fill="auto"/>
            <w:noWrap/>
            <w:vAlign w:val="center"/>
            <w:hideMark/>
          </w:tcPr>
          <w:p w14:paraId="44A317E5" w14:textId="4E0E9EA8"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7.20%</w:t>
            </w:r>
          </w:p>
        </w:tc>
        <w:tc>
          <w:tcPr>
            <w:tcW w:w="992" w:type="dxa"/>
            <w:tcBorders>
              <w:top w:val="nil"/>
              <w:left w:val="nil"/>
              <w:bottom w:val="single" w:sz="4" w:space="0" w:color="auto"/>
              <w:right w:val="single" w:sz="4" w:space="0" w:color="auto"/>
            </w:tcBorders>
            <w:shd w:val="clear" w:color="auto" w:fill="auto"/>
            <w:noWrap/>
            <w:vAlign w:val="center"/>
            <w:hideMark/>
          </w:tcPr>
          <w:p w14:paraId="3FD896BD" w14:textId="115BEBB3"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5.90%</w:t>
            </w:r>
          </w:p>
        </w:tc>
      </w:tr>
      <w:tr w:rsidR="00C23C08" w:rsidRPr="0011281F" w14:paraId="1001FC60"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0917EEC7"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PBS</w:t>
            </w:r>
          </w:p>
        </w:tc>
        <w:tc>
          <w:tcPr>
            <w:tcW w:w="851" w:type="dxa"/>
            <w:tcBorders>
              <w:top w:val="nil"/>
              <w:left w:val="nil"/>
              <w:bottom w:val="single" w:sz="4" w:space="0" w:color="auto"/>
              <w:right w:val="single" w:sz="4" w:space="0" w:color="auto"/>
            </w:tcBorders>
            <w:shd w:val="clear" w:color="auto" w:fill="auto"/>
            <w:noWrap/>
            <w:vAlign w:val="center"/>
            <w:hideMark/>
          </w:tcPr>
          <w:p w14:paraId="762FF6F8" w14:textId="27C58627"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242,179</w:t>
            </w:r>
          </w:p>
        </w:tc>
        <w:tc>
          <w:tcPr>
            <w:tcW w:w="992" w:type="dxa"/>
            <w:tcBorders>
              <w:top w:val="nil"/>
              <w:left w:val="nil"/>
              <w:bottom w:val="single" w:sz="4" w:space="0" w:color="auto"/>
              <w:right w:val="single" w:sz="4" w:space="0" w:color="auto"/>
            </w:tcBorders>
            <w:shd w:val="clear" w:color="auto" w:fill="auto"/>
            <w:noWrap/>
            <w:vAlign w:val="center"/>
            <w:hideMark/>
          </w:tcPr>
          <w:p w14:paraId="29228E84" w14:textId="3A431835"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281,556</w:t>
            </w:r>
          </w:p>
        </w:tc>
        <w:tc>
          <w:tcPr>
            <w:tcW w:w="946" w:type="dxa"/>
            <w:tcBorders>
              <w:top w:val="nil"/>
              <w:left w:val="nil"/>
              <w:bottom w:val="single" w:sz="4" w:space="0" w:color="auto"/>
              <w:right w:val="single" w:sz="4" w:space="0" w:color="auto"/>
            </w:tcBorders>
            <w:shd w:val="clear" w:color="auto" w:fill="auto"/>
            <w:noWrap/>
            <w:vAlign w:val="center"/>
            <w:hideMark/>
          </w:tcPr>
          <w:p w14:paraId="2DC2328C" w14:textId="372EA101"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328,463</w:t>
            </w:r>
          </w:p>
        </w:tc>
        <w:tc>
          <w:tcPr>
            <w:tcW w:w="993" w:type="dxa"/>
            <w:tcBorders>
              <w:top w:val="nil"/>
              <w:left w:val="nil"/>
              <w:bottom w:val="single" w:sz="4" w:space="0" w:color="auto"/>
              <w:right w:val="single" w:sz="4" w:space="0" w:color="auto"/>
            </w:tcBorders>
            <w:shd w:val="clear" w:color="auto" w:fill="auto"/>
            <w:noWrap/>
            <w:vAlign w:val="center"/>
            <w:hideMark/>
          </w:tcPr>
          <w:p w14:paraId="0E1A0179" w14:textId="3A5B7BAE"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183,618</w:t>
            </w:r>
          </w:p>
        </w:tc>
        <w:tc>
          <w:tcPr>
            <w:tcW w:w="992" w:type="dxa"/>
            <w:tcBorders>
              <w:top w:val="nil"/>
              <w:left w:val="nil"/>
              <w:bottom w:val="single" w:sz="4" w:space="0" w:color="auto"/>
              <w:right w:val="single" w:sz="4" w:space="0" w:color="auto"/>
            </w:tcBorders>
            <w:shd w:val="clear" w:color="auto" w:fill="auto"/>
            <w:noWrap/>
            <w:vAlign w:val="center"/>
            <w:hideMark/>
          </w:tcPr>
          <w:p w14:paraId="16B745EB" w14:textId="5C51BAF1"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153,592</w:t>
            </w:r>
          </w:p>
        </w:tc>
      </w:tr>
      <w:tr w:rsidR="00C23C08" w:rsidRPr="0011281F" w14:paraId="01C2678B"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373BA499"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RPBS</w:t>
            </w:r>
          </w:p>
        </w:tc>
        <w:tc>
          <w:tcPr>
            <w:tcW w:w="851" w:type="dxa"/>
            <w:tcBorders>
              <w:top w:val="nil"/>
              <w:left w:val="nil"/>
              <w:bottom w:val="single" w:sz="4" w:space="0" w:color="auto"/>
              <w:right w:val="single" w:sz="4" w:space="0" w:color="auto"/>
            </w:tcBorders>
            <w:shd w:val="clear" w:color="auto" w:fill="auto"/>
            <w:noWrap/>
            <w:vAlign w:val="center"/>
            <w:hideMark/>
          </w:tcPr>
          <w:p w14:paraId="0626647E" w14:textId="5AF25D24"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11,017</w:t>
            </w:r>
          </w:p>
        </w:tc>
        <w:tc>
          <w:tcPr>
            <w:tcW w:w="992" w:type="dxa"/>
            <w:tcBorders>
              <w:top w:val="nil"/>
              <w:left w:val="nil"/>
              <w:bottom w:val="single" w:sz="4" w:space="0" w:color="auto"/>
              <w:right w:val="single" w:sz="4" w:space="0" w:color="auto"/>
            </w:tcBorders>
            <w:shd w:val="clear" w:color="auto" w:fill="auto"/>
            <w:noWrap/>
            <w:vAlign w:val="center"/>
            <w:hideMark/>
          </w:tcPr>
          <w:p w14:paraId="09E9E043" w14:textId="64C3FCD2"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11,860</w:t>
            </w:r>
          </w:p>
        </w:tc>
        <w:tc>
          <w:tcPr>
            <w:tcW w:w="946" w:type="dxa"/>
            <w:tcBorders>
              <w:top w:val="nil"/>
              <w:left w:val="nil"/>
              <w:bottom w:val="single" w:sz="4" w:space="0" w:color="auto"/>
              <w:right w:val="single" w:sz="4" w:space="0" w:color="auto"/>
            </w:tcBorders>
            <w:shd w:val="clear" w:color="auto" w:fill="auto"/>
            <w:noWrap/>
            <w:vAlign w:val="center"/>
            <w:hideMark/>
          </w:tcPr>
          <w:p w14:paraId="6C4D1D70" w14:textId="61F3C1C5"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12,871</w:t>
            </w:r>
          </w:p>
        </w:tc>
        <w:tc>
          <w:tcPr>
            <w:tcW w:w="993" w:type="dxa"/>
            <w:tcBorders>
              <w:top w:val="nil"/>
              <w:left w:val="nil"/>
              <w:bottom w:val="single" w:sz="4" w:space="0" w:color="auto"/>
              <w:right w:val="single" w:sz="4" w:space="0" w:color="auto"/>
            </w:tcBorders>
            <w:shd w:val="clear" w:color="auto" w:fill="auto"/>
            <w:noWrap/>
            <w:vAlign w:val="center"/>
            <w:hideMark/>
          </w:tcPr>
          <w:p w14:paraId="656F4D3E" w14:textId="22FB769E"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11,151</w:t>
            </w:r>
          </w:p>
        </w:tc>
        <w:tc>
          <w:tcPr>
            <w:tcW w:w="992" w:type="dxa"/>
            <w:tcBorders>
              <w:top w:val="nil"/>
              <w:left w:val="nil"/>
              <w:bottom w:val="single" w:sz="4" w:space="0" w:color="auto"/>
              <w:right w:val="single" w:sz="4" w:space="0" w:color="auto"/>
            </w:tcBorders>
            <w:shd w:val="clear" w:color="auto" w:fill="auto"/>
            <w:noWrap/>
            <w:vAlign w:val="center"/>
            <w:hideMark/>
          </w:tcPr>
          <w:p w14:paraId="79F33197" w14:textId="0563C6DA"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10,280</w:t>
            </w:r>
          </w:p>
        </w:tc>
      </w:tr>
      <w:tr w:rsidR="00C23C08" w:rsidRPr="0011281F" w14:paraId="5DE8579B" w14:textId="77777777" w:rsidTr="005D4BB0">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1A0AF260" w14:textId="77777777" w:rsidR="00C23C08" w:rsidRPr="0011281F" w:rsidRDefault="00C23C08" w:rsidP="0011281F">
            <w:pPr>
              <w:spacing w:after="0"/>
              <w:rPr>
                <w:rFonts w:ascii="Arial Narrow" w:eastAsia="Times New Roman" w:hAnsi="Arial Narrow" w:cs="Times New Roman"/>
                <w:sz w:val="20"/>
                <w:szCs w:val="20"/>
              </w:rPr>
            </w:pPr>
            <w:r w:rsidRPr="0011281F">
              <w:rPr>
                <w:rFonts w:ascii="Arial Narrow" w:eastAsia="Times New Roman" w:hAnsi="Arial Narrow" w:cs="Times New Roman"/>
                <w:sz w:val="20"/>
                <w:szCs w:val="20"/>
              </w:rPr>
              <w:t>Prescriptions - Under co-payment</w:t>
            </w:r>
          </w:p>
        </w:tc>
        <w:tc>
          <w:tcPr>
            <w:tcW w:w="851" w:type="dxa"/>
            <w:tcBorders>
              <w:top w:val="nil"/>
              <w:left w:val="nil"/>
              <w:bottom w:val="single" w:sz="4" w:space="0" w:color="auto"/>
              <w:right w:val="single" w:sz="4" w:space="0" w:color="auto"/>
            </w:tcBorders>
            <w:shd w:val="clear" w:color="auto" w:fill="auto"/>
            <w:noWrap/>
            <w:vAlign w:val="center"/>
            <w:hideMark/>
          </w:tcPr>
          <w:p w14:paraId="31010D2B" w14:textId="5608C96C"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 xml:space="preserve">173 </w:t>
            </w:r>
            <w:r>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1062EF42" w14:textId="44A71BCA"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876</w:t>
            </w:r>
          </w:p>
        </w:tc>
        <w:tc>
          <w:tcPr>
            <w:tcW w:w="946" w:type="dxa"/>
            <w:tcBorders>
              <w:top w:val="nil"/>
              <w:left w:val="nil"/>
              <w:bottom w:val="single" w:sz="4" w:space="0" w:color="auto"/>
              <w:right w:val="single" w:sz="4" w:space="0" w:color="auto"/>
            </w:tcBorders>
            <w:shd w:val="clear" w:color="auto" w:fill="auto"/>
            <w:noWrap/>
            <w:vAlign w:val="center"/>
            <w:hideMark/>
          </w:tcPr>
          <w:p w14:paraId="3E817923" w14:textId="4B90F179"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1,341</w:t>
            </w:r>
          </w:p>
        </w:tc>
        <w:tc>
          <w:tcPr>
            <w:tcW w:w="993" w:type="dxa"/>
            <w:tcBorders>
              <w:top w:val="nil"/>
              <w:left w:val="nil"/>
              <w:bottom w:val="single" w:sz="4" w:space="0" w:color="auto"/>
              <w:right w:val="single" w:sz="4" w:space="0" w:color="auto"/>
            </w:tcBorders>
            <w:shd w:val="clear" w:color="auto" w:fill="auto"/>
            <w:noWrap/>
            <w:vAlign w:val="center"/>
            <w:hideMark/>
          </w:tcPr>
          <w:p w14:paraId="08111C78" w14:textId="35C49C22"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53,175</w:t>
            </w:r>
          </w:p>
        </w:tc>
        <w:tc>
          <w:tcPr>
            <w:tcW w:w="992" w:type="dxa"/>
            <w:tcBorders>
              <w:top w:val="nil"/>
              <w:left w:val="nil"/>
              <w:bottom w:val="single" w:sz="4" w:space="0" w:color="auto"/>
              <w:right w:val="single" w:sz="4" w:space="0" w:color="auto"/>
            </w:tcBorders>
            <w:shd w:val="clear" w:color="auto" w:fill="auto"/>
            <w:noWrap/>
            <w:vAlign w:val="center"/>
            <w:hideMark/>
          </w:tcPr>
          <w:p w14:paraId="137DD886" w14:textId="5D01301E" w:rsidR="00C23C08" w:rsidRPr="0011281F" w:rsidRDefault="00C23C08" w:rsidP="00B603E8">
            <w:pPr>
              <w:spacing w:after="0"/>
              <w:jc w:val="right"/>
              <w:rPr>
                <w:rFonts w:ascii="Arial Narrow" w:eastAsia="Times New Roman" w:hAnsi="Arial Narrow" w:cs="Times New Roman"/>
                <w:sz w:val="20"/>
                <w:szCs w:val="20"/>
              </w:rPr>
            </w:pPr>
            <w:r>
              <w:rPr>
                <w:rFonts w:ascii="Arial Narrow" w:hAnsi="Arial Narrow"/>
                <w:color w:val="000000"/>
                <w:sz w:val="20"/>
                <w:szCs w:val="20"/>
              </w:rPr>
              <w:t>42,303</w:t>
            </w:r>
          </w:p>
        </w:tc>
      </w:tr>
    </w:tbl>
    <w:p w14:paraId="433F81DB" w14:textId="3E4A6653" w:rsidR="006260B8" w:rsidRDefault="00B86672" w:rsidP="000F482C">
      <w:pPr>
        <w:spacing w:after="0"/>
        <w:rPr>
          <w:sz w:val="20"/>
          <w:szCs w:val="20"/>
        </w:rPr>
      </w:pPr>
      <w:r w:rsidRPr="00EC758D">
        <w:rPr>
          <w:sz w:val="20"/>
          <w:szCs w:val="20"/>
        </w:rPr>
        <w:t xml:space="preserve">Source: </w:t>
      </w:r>
      <w:r>
        <w:rPr>
          <w:sz w:val="20"/>
          <w:szCs w:val="20"/>
        </w:rPr>
        <w:t>PBS/RPBS prescriptions data was obtained from the DUSC Database</w:t>
      </w:r>
      <w:r w:rsidRPr="00EC758D">
        <w:rPr>
          <w:sz w:val="20"/>
          <w:szCs w:val="20"/>
        </w:rPr>
        <w:t>.</w:t>
      </w:r>
      <w:r>
        <w:rPr>
          <w:sz w:val="20"/>
          <w:szCs w:val="20"/>
        </w:rPr>
        <w:t xml:space="preserve"> Incident and prevalent patient counts were derived from the DHS Prescriptions Database. Both sources were accessed on 7 July 2016.</w:t>
      </w:r>
    </w:p>
    <w:p w14:paraId="7010AFA5" w14:textId="38507E8F" w:rsidR="002D2925" w:rsidRDefault="00753311" w:rsidP="000F482C">
      <w:pPr>
        <w:spacing w:after="0"/>
        <w:rPr>
          <w:sz w:val="20"/>
          <w:szCs w:val="20"/>
        </w:rPr>
      </w:pPr>
      <w:r>
        <w:rPr>
          <w:sz w:val="20"/>
          <w:szCs w:val="20"/>
        </w:rPr>
        <w:t xml:space="preserve">Note: Undercopayment data for the 2011 and 2012 calendar years was estimated as this data is only available from the DHS </w:t>
      </w:r>
      <w:r w:rsidR="00CB50F9">
        <w:rPr>
          <w:sz w:val="20"/>
          <w:szCs w:val="20"/>
        </w:rPr>
        <w:t>Prescriptions</w:t>
      </w:r>
      <w:r>
        <w:rPr>
          <w:sz w:val="20"/>
          <w:szCs w:val="20"/>
        </w:rPr>
        <w:t xml:space="preserve"> database from August 2012. As such, patients receiving only an undercopayment medicine or clozapine</w:t>
      </w:r>
      <w:r w:rsidR="009B0FDA">
        <w:rPr>
          <w:sz w:val="20"/>
          <w:szCs w:val="20"/>
        </w:rPr>
        <w:t xml:space="preserve"> </w:t>
      </w:r>
      <w:r>
        <w:rPr>
          <w:sz w:val="20"/>
          <w:szCs w:val="20"/>
        </w:rPr>
        <w:t xml:space="preserve">will be underrepresented in </w:t>
      </w:r>
      <w:r w:rsidR="00916F8E">
        <w:rPr>
          <w:sz w:val="20"/>
          <w:szCs w:val="20"/>
        </w:rPr>
        <w:t xml:space="preserve">the 2011 and 2012 </w:t>
      </w:r>
      <w:r>
        <w:rPr>
          <w:sz w:val="20"/>
          <w:szCs w:val="20"/>
        </w:rPr>
        <w:t>calendar years.</w:t>
      </w:r>
    </w:p>
    <w:p w14:paraId="4EC46118" w14:textId="77777777" w:rsidR="00753311" w:rsidRDefault="00753311" w:rsidP="000F482C">
      <w:pPr>
        <w:spacing w:after="0"/>
        <w:rPr>
          <w:sz w:val="20"/>
          <w:szCs w:val="20"/>
        </w:rPr>
      </w:pPr>
    </w:p>
    <w:p w14:paraId="4B2F5250" w14:textId="21956A94" w:rsidR="002D2925" w:rsidRDefault="00DD7152" w:rsidP="000F482C">
      <w:pPr>
        <w:spacing w:after="0"/>
        <w:rPr>
          <w:sz w:val="20"/>
          <w:szCs w:val="20"/>
        </w:rPr>
      </w:pPr>
      <w:r>
        <w:lastRenderedPageBreak/>
        <w:t>There was a decline in the number of incident patients for quetiapine 25 mg in 2014 followed by a growth in incident patients in 2015</w:t>
      </w:r>
      <w:r w:rsidR="00E641DA">
        <w:t xml:space="preserve"> (Table 1)</w:t>
      </w:r>
      <w:r>
        <w:t xml:space="preserve">. </w:t>
      </w:r>
      <w:r w:rsidR="002D2925">
        <w:t>The change in the restriction criteria for the 25</w:t>
      </w:r>
      <w:r w:rsidR="00B62FC7">
        <w:t xml:space="preserve"> </w:t>
      </w:r>
      <w:r w:rsidR="002D2925">
        <w:t>mg strength of quetiapine from January 2014</w:t>
      </w:r>
      <w:r w:rsidR="00050B9B">
        <w:t>,</w:t>
      </w:r>
      <w:r w:rsidR="002D2925">
        <w:t xml:space="preserve"> to promote its use as a titrating dose by not allowing repeats</w:t>
      </w:r>
      <w:r w:rsidR="00050B9B">
        <w:t>,</w:t>
      </w:r>
      <w:r w:rsidR="002D2925">
        <w:t xml:space="preserve"> </w:t>
      </w:r>
      <w:r w:rsidR="00FF208C">
        <w:t xml:space="preserve">contributed </w:t>
      </w:r>
      <w:r w:rsidR="002D2925">
        <w:t xml:space="preserve">to a small negative growth </w:t>
      </w:r>
      <w:r w:rsidR="009B4B8C">
        <w:t xml:space="preserve">in the </w:t>
      </w:r>
      <w:r w:rsidR="002D2925">
        <w:t>overall antipsychotics PBS/RPBS market</w:t>
      </w:r>
      <w:r w:rsidR="009B4B8C">
        <w:t xml:space="preserve"> (Table 1</w:t>
      </w:r>
      <w:r w:rsidR="00FF208C">
        <w:t>, Figure 1</w:t>
      </w:r>
      <w:r w:rsidR="009B4B8C">
        <w:t>)</w:t>
      </w:r>
      <w:r w:rsidR="002D2925">
        <w:t xml:space="preserve">. </w:t>
      </w:r>
    </w:p>
    <w:p w14:paraId="73CF1995" w14:textId="77777777" w:rsidR="007E5009" w:rsidRDefault="007E5009" w:rsidP="000F482C">
      <w:pPr>
        <w:spacing w:after="0"/>
        <w:rPr>
          <w:sz w:val="20"/>
          <w:szCs w:val="20"/>
        </w:rPr>
      </w:pPr>
    </w:p>
    <w:p w14:paraId="2C2999A6" w14:textId="35EAFA40" w:rsidR="007E5009" w:rsidRDefault="009C0B66" w:rsidP="007E5009">
      <w:r>
        <w:rPr>
          <w:noProof/>
        </w:rPr>
        <w:drawing>
          <wp:inline distT="0" distB="0" distL="0" distR="0" wp14:anchorId="46922C9C" wp14:editId="7B38DE89">
            <wp:extent cx="4943475" cy="4090084"/>
            <wp:effectExtent l="0" t="0" r="0" b="5715"/>
            <wp:docPr id="5" name="Picture 5" descr="A graph showing the number of prescriptions dispensed for PBS listed drugs by drug and by calendar year from 2006 to 2015."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6733" cy="4092779"/>
                    </a:xfrm>
                    <a:prstGeom prst="rect">
                      <a:avLst/>
                    </a:prstGeom>
                    <a:noFill/>
                  </pic:spPr>
                </pic:pic>
              </a:graphicData>
            </a:graphic>
          </wp:inline>
        </w:drawing>
      </w:r>
    </w:p>
    <w:p w14:paraId="52F845B4" w14:textId="2F186FD7" w:rsidR="007E5009" w:rsidRDefault="007E5009" w:rsidP="007E5009">
      <w:pPr>
        <w:spacing w:after="0"/>
        <w:rPr>
          <w:b/>
        </w:rPr>
      </w:pPr>
      <w:r>
        <w:rPr>
          <w:b/>
        </w:rPr>
        <w:t>Figure 1. PBS/RPBS pres</w:t>
      </w:r>
      <w:r w:rsidR="00CE05C9">
        <w:rPr>
          <w:b/>
        </w:rPr>
        <w:t xml:space="preserve">criptions dispensed for </w:t>
      </w:r>
      <w:r w:rsidR="007D0067">
        <w:rPr>
          <w:b/>
        </w:rPr>
        <w:t>antipsychotics by drug</w:t>
      </w:r>
    </w:p>
    <w:p w14:paraId="1996E069" w14:textId="77777777" w:rsidR="007E5009" w:rsidRDefault="007E5009" w:rsidP="007E5009">
      <w:pPr>
        <w:spacing w:after="0"/>
        <w:rPr>
          <w:sz w:val="20"/>
          <w:szCs w:val="20"/>
        </w:rPr>
      </w:pPr>
      <w:r w:rsidRPr="00EC758D">
        <w:rPr>
          <w:sz w:val="20"/>
          <w:szCs w:val="20"/>
        </w:rPr>
        <w:t>Source: DUSC Database. Accessed on 7 July 2016.</w:t>
      </w:r>
    </w:p>
    <w:p w14:paraId="7F6D16E2" w14:textId="77777777" w:rsidR="007027AF" w:rsidRDefault="007D0067" w:rsidP="007D0067">
      <w:pPr>
        <w:spacing w:after="0"/>
        <w:rPr>
          <w:sz w:val="20"/>
          <w:szCs w:val="20"/>
        </w:rPr>
      </w:pPr>
      <w:r>
        <w:rPr>
          <w:sz w:val="20"/>
          <w:szCs w:val="20"/>
        </w:rPr>
        <w:t xml:space="preserve">Note: </w:t>
      </w:r>
    </w:p>
    <w:p w14:paraId="1644CD7C" w14:textId="1A2C9377" w:rsidR="007027AF" w:rsidRDefault="004207B7" w:rsidP="00CE19D2">
      <w:pPr>
        <w:spacing w:after="0"/>
        <w:rPr>
          <w:sz w:val="20"/>
          <w:szCs w:val="20"/>
        </w:rPr>
      </w:pPr>
      <w:r w:rsidRPr="00CE19D2">
        <w:rPr>
          <w:sz w:val="20"/>
          <w:szCs w:val="20"/>
        </w:rPr>
        <w:t xml:space="preserve">Utilisation data for clozapine was underrepresented in the PBS prescriptions data until July 2013. As such, </w:t>
      </w:r>
      <w:r w:rsidR="00092FCC" w:rsidRPr="00CE19D2">
        <w:rPr>
          <w:sz w:val="20"/>
          <w:szCs w:val="20"/>
        </w:rPr>
        <w:t xml:space="preserve">only data from 2014 </w:t>
      </w:r>
      <w:r w:rsidR="00081DFE" w:rsidRPr="00CE19D2">
        <w:rPr>
          <w:sz w:val="20"/>
          <w:szCs w:val="20"/>
        </w:rPr>
        <w:t xml:space="preserve">for this drug </w:t>
      </w:r>
      <w:r w:rsidR="00092FCC" w:rsidRPr="00CE19D2">
        <w:rPr>
          <w:sz w:val="20"/>
          <w:szCs w:val="20"/>
        </w:rPr>
        <w:t>is</w:t>
      </w:r>
      <w:r w:rsidRPr="00CE19D2">
        <w:rPr>
          <w:sz w:val="20"/>
          <w:szCs w:val="20"/>
        </w:rPr>
        <w:t xml:space="preserve"> presented here.</w:t>
      </w:r>
      <w:r w:rsidR="00795735" w:rsidRPr="00CE19D2">
        <w:rPr>
          <w:sz w:val="20"/>
          <w:szCs w:val="20"/>
        </w:rPr>
        <w:t xml:space="preserve"> </w:t>
      </w:r>
    </w:p>
    <w:p w14:paraId="36F1D040" w14:textId="17DC9C3D" w:rsidR="00AC6C9D" w:rsidRPr="00CE19D2" w:rsidRDefault="00AC6C9D" w:rsidP="00CE19D2">
      <w:pPr>
        <w:spacing w:after="0"/>
        <w:rPr>
          <w:sz w:val="20"/>
          <w:szCs w:val="20"/>
        </w:rPr>
      </w:pPr>
      <w:r>
        <w:rPr>
          <w:sz w:val="20"/>
          <w:szCs w:val="20"/>
        </w:rPr>
        <w:t xml:space="preserve">Undercopayment data </w:t>
      </w:r>
      <w:r w:rsidR="002C25CF">
        <w:rPr>
          <w:sz w:val="20"/>
          <w:szCs w:val="20"/>
        </w:rPr>
        <w:t>prior to the 2013</w:t>
      </w:r>
      <w:r w:rsidR="00267CFE">
        <w:rPr>
          <w:sz w:val="20"/>
          <w:szCs w:val="20"/>
        </w:rPr>
        <w:t xml:space="preserve"> calendar year </w:t>
      </w:r>
      <w:r>
        <w:rPr>
          <w:sz w:val="20"/>
          <w:szCs w:val="20"/>
        </w:rPr>
        <w:t xml:space="preserve">was estimated as this data is only available from the DHS </w:t>
      </w:r>
      <w:r w:rsidR="00CB50F9">
        <w:rPr>
          <w:sz w:val="20"/>
          <w:szCs w:val="20"/>
        </w:rPr>
        <w:t>Prescriptions</w:t>
      </w:r>
      <w:r w:rsidR="00DC45F3">
        <w:rPr>
          <w:sz w:val="20"/>
          <w:szCs w:val="20"/>
        </w:rPr>
        <w:t xml:space="preserve"> database from April</w:t>
      </w:r>
      <w:r w:rsidR="008405C9">
        <w:rPr>
          <w:sz w:val="20"/>
          <w:szCs w:val="20"/>
        </w:rPr>
        <w:t xml:space="preserve"> 2012. P</w:t>
      </w:r>
      <w:r>
        <w:rPr>
          <w:sz w:val="20"/>
          <w:szCs w:val="20"/>
        </w:rPr>
        <w:t>atients receiving only an undercopayment medicine will be underrepresented prior to the 2013 calendar year.</w:t>
      </w:r>
    </w:p>
    <w:p w14:paraId="5D83C11B" w14:textId="77777777" w:rsidR="007234A2" w:rsidRDefault="007234A2" w:rsidP="007D0067">
      <w:pPr>
        <w:spacing w:after="0"/>
      </w:pPr>
    </w:p>
    <w:p w14:paraId="76D26AB7" w14:textId="3B220F40" w:rsidR="00706776" w:rsidRDefault="001021FD" w:rsidP="000F482C">
      <w:pPr>
        <w:spacing w:after="0"/>
      </w:pPr>
      <w:r>
        <w:t xml:space="preserve">A reduction in the number of quetiapine prescriptions </w:t>
      </w:r>
      <w:r w:rsidR="00CD0831">
        <w:t xml:space="preserve">from the 2014 calendar year </w:t>
      </w:r>
      <w:r>
        <w:t xml:space="preserve">coincides with the change in its restriction from 1 January 2014 to reduce the number of repeats for the 25 mg strength from </w:t>
      </w:r>
      <w:r w:rsidR="00081DFE">
        <w:t xml:space="preserve">five </w:t>
      </w:r>
      <w:r>
        <w:t>to zero</w:t>
      </w:r>
      <w:r w:rsidR="00CD0831">
        <w:t xml:space="preserve"> (Figure 1)</w:t>
      </w:r>
      <w:r>
        <w:t xml:space="preserve">. </w:t>
      </w:r>
    </w:p>
    <w:p w14:paraId="303079F3" w14:textId="77777777" w:rsidR="00706776" w:rsidRDefault="00706776" w:rsidP="000F482C">
      <w:pPr>
        <w:spacing w:after="0"/>
      </w:pPr>
    </w:p>
    <w:p w14:paraId="183492EF" w14:textId="729414B1" w:rsidR="00A917B8" w:rsidRDefault="00E04474" w:rsidP="000F482C">
      <w:pPr>
        <w:spacing w:after="0"/>
        <w:rPr>
          <w:sz w:val="20"/>
          <w:szCs w:val="20"/>
        </w:rPr>
      </w:pPr>
      <w:r>
        <w:t>Continuing growth was demonstrated for olanzapine, paliperidone, risperidone, clozapine and aripiprazole (Figure 1). The</w:t>
      </w:r>
      <w:r w:rsidR="001021FD">
        <w:t xml:space="preserve"> year-on-year growth in the number of scripts for </w:t>
      </w:r>
      <w:r>
        <w:t>aripiprazole occurring</w:t>
      </w:r>
      <w:r w:rsidR="001021FD">
        <w:t xml:space="preserve"> between the 2014 and 2015 calendar years</w:t>
      </w:r>
      <w:r>
        <w:t xml:space="preserve"> was mainly from</w:t>
      </w:r>
      <w:r w:rsidR="001021FD">
        <w:t xml:space="preserve"> the listing of the powder for injection forms from March 2015</w:t>
      </w:r>
      <w:r>
        <w:t xml:space="preserve"> (Figure 1)</w:t>
      </w:r>
      <w:r w:rsidR="001021FD">
        <w:t>.</w:t>
      </w:r>
    </w:p>
    <w:p w14:paraId="773A1DA9" w14:textId="70F93E23" w:rsidR="002512BC" w:rsidRDefault="00360AB9" w:rsidP="00B8004B">
      <w:pPr>
        <w:pStyle w:val="Heading3"/>
        <w:rPr>
          <w:i w:val="0"/>
          <w:sz w:val="28"/>
        </w:rPr>
      </w:pPr>
      <w:r w:rsidRPr="00C7212F">
        <w:rPr>
          <w:i w:val="0"/>
          <w:sz w:val="28"/>
        </w:rPr>
        <w:lastRenderedPageBreak/>
        <w:t>P</w:t>
      </w:r>
      <w:r w:rsidR="000F5AC8" w:rsidRPr="00C7212F">
        <w:rPr>
          <w:i w:val="0"/>
          <w:sz w:val="28"/>
        </w:rPr>
        <w:t xml:space="preserve">atient level analyses </w:t>
      </w:r>
      <w:r w:rsidR="00B62825" w:rsidRPr="00C7212F">
        <w:rPr>
          <w:i w:val="0"/>
          <w:sz w:val="28"/>
        </w:rPr>
        <w:t>of the utilisation of all antipsychotics</w:t>
      </w:r>
    </w:p>
    <w:p w14:paraId="1C9A45EC" w14:textId="33B6C3A6" w:rsidR="008A3BAD" w:rsidRPr="008A3BAD" w:rsidRDefault="008A3BAD" w:rsidP="008A3BAD">
      <w:r>
        <w:t>The number of patients treated</w:t>
      </w:r>
      <w:r w:rsidR="002E3ED0">
        <w:t xml:space="preserve"> with typical antipsychotics ha</w:t>
      </w:r>
      <w:r w:rsidR="00DA091D">
        <w:t>s</w:t>
      </w:r>
      <w:r>
        <w:t xml:space="preserve"> remained relatively stable since 2006 (Figure 2). </w:t>
      </w:r>
      <w:r w:rsidR="009B33B6">
        <w:t xml:space="preserve">Growth in the population treated </w:t>
      </w:r>
      <w:r w:rsidR="00A435CC">
        <w:t>with atypical antipsychotics ha</w:t>
      </w:r>
      <w:r w:rsidR="00DA091D">
        <w:t>s</w:t>
      </w:r>
      <w:r w:rsidR="009B33B6">
        <w:t xml:space="preserve"> slowed since 2014 (Figure 2).</w:t>
      </w:r>
    </w:p>
    <w:p w14:paraId="0B90DB7A" w14:textId="6CB0FC75" w:rsidR="002512BC" w:rsidRDefault="002512BC" w:rsidP="002512BC">
      <w:r>
        <w:rPr>
          <w:noProof/>
        </w:rPr>
        <w:drawing>
          <wp:inline distT="0" distB="0" distL="0" distR="0" wp14:anchorId="5C66EF4A" wp14:editId="014494A5">
            <wp:extent cx="5514975" cy="4057529"/>
            <wp:effectExtent l="0" t="0" r="0" b="635"/>
            <wp:docPr id="7" name="Picture 7" descr="A graph presenting the number of prevalent patients supplied any PBS listed antipsychotic drug by calendar year from 2006 to 2015. Patient counts are grouped by atypical and typical antipsychotic drug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3812" cy="4064030"/>
                    </a:xfrm>
                    <a:prstGeom prst="rect">
                      <a:avLst/>
                    </a:prstGeom>
                    <a:noFill/>
                  </pic:spPr>
                </pic:pic>
              </a:graphicData>
            </a:graphic>
          </wp:inline>
        </w:drawing>
      </w:r>
    </w:p>
    <w:p w14:paraId="77925811" w14:textId="38D30F25" w:rsidR="00B8004B" w:rsidRDefault="005774D6" w:rsidP="00B8004B">
      <w:pPr>
        <w:spacing w:after="0"/>
        <w:rPr>
          <w:b/>
        </w:rPr>
      </w:pPr>
      <w:r>
        <w:rPr>
          <w:b/>
        </w:rPr>
        <w:t>Figure 2</w:t>
      </w:r>
      <w:r w:rsidR="00B8004B">
        <w:rPr>
          <w:b/>
        </w:rPr>
        <w:t>. Number of prevalent patients supplied an atypical or typical antipsychotic</w:t>
      </w:r>
    </w:p>
    <w:p w14:paraId="1C2C6D65" w14:textId="001133C7" w:rsidR="00B8004B" w:rsidRDefault="00B8004B" w:rsidP="00B8004B">
      <w:pPr>
        <w:spacing w:after="0"/>
        <w:rPr>
          <w:sz w:val="20"/>
          <w:szCs w:val="20"/>
        </w:rPr>
      </w:pPr>
      <w:r w:rsidRPr="00EC758D">
        <w:rPr>
          <w:sz w:val="20"/>
          <w:szCs w:val="20"/>
        </w:rPr>
        <w:t>Sour</w:t>
      </w:r>
      <w:r>
        <w:rPr>
          <w:sz w:val="20"/>
          <w:szCs w:val="20"/>
        </w:rPr>
        <w:t>ce: DHS Prescriptions database.</w:t>
      </w:r>
    </w:p>
    <w:p w14:paraId="48E4FEB6" w14:textId="0B2EB6EF" w:rsidR="002B5857" w:rsidRDefault="002B5857" w:rsidP="00B8004B">
      <w:pPr>
        <w:spacing w:after="0"/>
        <w:rPr>
          <w:sz w:val="20"/>
          <w:szCs w:val="20"/>
        </w:rPr>
      </w:pPr>
      <w:r>
        <w:rPr>
          <w:sz w:val="20"/>
          <w:szCs w:val="20"/>
        </w:rPr>
        <w:t xml:space="preserve">Note: </w:t>
      </w:r>
      <w:r w:rsidR="00B45DC0">
        <w:rPr>
          <w:sz w:val="20"/>
          <w:szCs w:val="20"/>
        </w:rPr>
        <w:t>Full capture of u</w:t>
      </w:r>
      <w:r>
        <w:rPr>
          <w:sz w:val="20"/>
          <w:szCs w:val="20"/>
        </w:rPr>
        <w:t>ndercopayment data</w:t>
      </w:r>
      <w:r w:rsidR="00B45DC0">
        <w:rPr>
          <w:sz w:val="20"/>
          <w:szCs w:val="20"/>
        </w:rPr>
        <w:t xml:space="preserve"> is only av</w:t>
      </w:r>
      <w:r w:rsidR="007B62AC">
        <w:rPr>
          <w:sz w:val="20"/>
          <w:szCs w:val="20"/>
        </w:rPr>
        <w:t xml:space="preserve">ailable in the DHS </w:t>
      </w:r>
      <w:r w:rsidR="00CB50F9">
        <w:rPr>
          <w:sz w:val="20"/>
          <w:szCs w:val="20"/>
        </w:rPr>
        <w:t>Prescriptions</w:t>
      </w:r>
      <w:r w:rsidR="00B45DC0">
        <w:rPr>
          <w:sz w:val="20"/>
          <w:szCs w:val="20"/>
        </w:rPr>
        <w:t xml:space="preserve"> database from</w:t>
      </w:r>
      <w:r>
        <w:rPr>
          <w:sz w:val="20"/>
          <w:szCs w:val="20"/>
        </w:rPr>
        <w:t xml:space="preserve"> April</w:t>
      </w:r>
      <w:r w:rsidR="00081DFE">
        <w:rPr>
          <w:sz w:val="20"/>
          <w:szCs w:val="20"/>
        </w:rPr>
        <w:t> </w:t>
      </w:r>
      <w:r>
        <w:rPr>
          <w:sz w:val="20"/>
          <w:szCs w:val="20"/>
        </w:rPr>
        <w:t xml:space="preserve">2012. As such, the number of prevalent patients who </w:t>
      </w:r>
      <w:r w:rsidR="004F0B2F">
        <w:rPr>
          <w:sz w:val="20"/>
          <w:szCs w:val="20"/>
        </w:rPr>
        <w:t xml:space="preserve">only </w:t>
      </w:r>
      <w:r>
        <w:rPr>
          <w:sz w:val="20"/>
          <w:szCs w:val="20"/>
        </w:rPr>
        <w:t xml:space="preserve">received an undercopayment medicine </w:t>
      </w:r>
      <w:r w:rsidR="006F4D60">
        <w:rPr>
          <w:sz w:val="20"/>
          <w:szCs w:val="20"/>
        </w:rPr>
        <w:t>is</w:t>
      </w:r>
      <w:r>
        <w:rPr>
          <w:sz w:val="20"/>
          <w:szCs w:val="20"/>
        </w:rPr>
        <w:t xml:space="preserve"> underrepresented prior to the 2013 calendar year.</w:t>
      </w:r>
    </w:p>
    <w:p w14:paraId="0CE78B3C" w14:textId="77777777" w:rsidR="00B779E5" w:rsidRDefault="00B779E5" w:rsidP="00FF58A5">
      <w:pPr>
        <w:spacing w:after="0"/>
        <w:rPr>
          <w:sz w:val="20"/>
          <w:szCs w:val="20"/>
        </w:rPr>
      </w:pPr>
    </w:p>
    <w:p w14:paraId="3E59688B" w14:textId="60A7735F" w:rsidR="00B779E5" w:rsidRDefault="00252613" w:rsidP="00B8004B">
      <w:pPr>
        <w:spacing w:after="0"/>
      </w:pPr>
      <w:r w:rsidRPr="00252613">
        <w:t xml:space="preserve">The growth in the atypical prevalent population </w:t>
      </w:r>
      <w:r w:rsidR="00AC5AD8">
        <w:t xml:space="preserve">(Figure 2) </w:t>
      </w:r>
      <w:r w:rsidRPr="00252613">
        <w:t xml:space="preserve">was largely driven by the utilisation of quetiapine (Figure 3). </w:t>
      </w:r>
      <w:r w:rsidR="00A2155B">
        <w:t>The g</w:t>
      </w:r>
      <w:r w:rsidRPr="00252613">
        <w:t>rowth in the prevalent populations for other antipsychotic listings</w:t>
      </w:r>
      <w:r w:rsidR="00354CAF">
        <w:t xml:space="preserve"> was</w:t>
      </w:r>
      <w:r w:rsidRPr="00252613">
        <w:t xml:space="preserve"> relatively modest (Figure 3).</w:t>
      </w:r>
    </w:p>
    <w:p w14:paraId="3B57C48B" w14:textId="311BE496" w:rsidR="00187D5D" w:rsidRPr="00252613" w:rsidRDefault="00187D5D" w:rsidP="00B8004B">
      <w:pPr>
        <w:spacing w:after="0"/>
      </w:pPr>
      <w:r>
        <w:rPr>
          <w:noProof/>
        </w:rPr>
        <w:lastRenderedPageBreak/>
        <w:drawing>
          <wp:inline distT="0" distB="0" distL="0" distR="0" wp14:anchorId="161D0B0A" wp14:editId="49AE3D94">
            <wp:extent cx="5578543" cy="3781425"/>
            <wp:effectExtent l="0" t="0" r="3175" b="0"/>
            <wp:docPr id="3" name="Picture 3" descr="A figure presenting the number of prevalent patients supplied an antipsychotic by drug. Patient counts are shown by calendar year from 2006 to 2015."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0549" cy="3782785"/>
                    </a:xfrm>
                    <a:prstGeom prst="rect">
                      <a:avLst/>
                    </a:prstGeom>
                    <a:noFill/>
                  </pic:spPr>
                </pic:pic>
              </a:graphicData>
            </a:graphic>
          </wp:inline>
        </w:drawing>
      </w:r>
    </w:p>
    <w:p w14:paraId="070C72AB" w14:textId="77777777" w:rsidR="00B779E5" w:rsidRDefault="00B779E5" w:rsidP="00B8004B">
      <w:pPr>
        <w:spacing w:after="0"/>
        <w:rPr>
          <w:sz w:val="20"/>
          <w:szCs w:val="20"/>
        </w:rPr>
      </w:pPr>
    </w:p>
    <w:p w14:paraId="115FE10A" w14:textId="25C9EF8B" w:rsidR="00066B5B" w:rsidRDefault="005774D6" w:rsidP="00066B5B">
      <w:pPr>
        <w:spacing w:after="0"/>
        <w:rPr>
          <w:b/>
        </w:rPr>
      </w:pPr>
      <w:r>
        <w:rPr>
          <w:b/>
        </w:rPr>
        <w:t>Figure 3</w:t>
      </w:r>
      <w:r w:rsidR="00066B5B">
        <w:rPr>
          <w:b/>
        </w:rPr>
        <w:t>. Number of prevalent patients supplied an atypical or typical antipsychotic by drug</w:t>
      </w:r>
    </w:p>
    <w:p w14:paraId="2648E6AB" w14:textId="77777777" w:rsidR="00066B5B" w:rsidRDefault="00066B5B" w:rsidP="00066B5B">
      <w:pPr>
        <w:spacing w:after="0"/>
        <w:rPr>
          <w:sz w:val="20"/>
          <w:szCs w:val="20"/>
        </w:rPr>
      </w:pPr>
      <w:r w:rsidRPr="00EC758D">
        <w:rPr>
          <w:sz w:val="20"/>
          <w:szCs w:val="20"/>
        </w:rPr>
        <w:t>Sour</w:t>
      </w:r>
      <w:r>
        <w:rPr>
          <w:sz w:val="20"/>
          <w:szCs w:val="20"/>
        </w:rPr>
        <w:t>ce: DHS Prescriptions database. Accessed on 14</w:t>
      </w:r>
      <w:r w:rsidRPr="00EC758D">
        <w:rPr>
          <w:sz w:val="20"/>
          <w:szCs w:val="20"/>
        </w:rPr>
        <w:t xml:space="preserve"> July 2016.</w:t>
      </w:r>
    </w:p>
    <w:p w14:paraId="7D534A1F" w14:textId="77777777" w:rsidR="00CA0CB0" w:rsidRDefault="00CA0CB0" w:rsidP="00CA0CB0">
      <w:pPr>
        <w:spacing w:after="0"/>
        <w:rPr>
          <w:sz w:val="20"/>
          <w:szCs w:val="20"/>
        </w:rPr>
      </w:pPr>
      <w:r>
        <w:rPr>
          <w:sz w:val="20"/>
          <w:szCs w:val="20"/>
        </w:rPr>
        <w:t xml:space="preserve">Note: </w:t>
      </w:r>
    </w:p>
    <w:p w14:paraId="2AC19E52" w14:textId="499306F6" w:rsidR="00CA0CB0" w:rsidRPr="00FB557E" w:rsidRDefault="00CA0CB0" w:rsidP="00FB557E">
      <w:pPr>
        <w:spacing w:after="0"/>
        <w:rPr>
          <w:sz w:val="20"/>
          <w:szCs w:val="20"/>
        </w:rPr>
      </w:pPr>
      <w:r w:rsidRPr="00FB557E">
        <w:rPr>
          <w:sz w:val="20"/>
          <w:szCs w:val="20"/>
        </w:rPr>
        <w:t xml:space="preserve">Utilisation data for clozapine was underrepresented in the PBS prescriptions data until July 2013. </w:t>
      </w:r>
      <w:r w:rsidR="00C37BA1" w:rsidRPr="00FB557E">
        <w:rPr>
          <w:sz w:val="20"/>
          <w:szCs w:val="20"/>
        </w:rPr>
        <w:t>As such, only data from 2014 is presented here.</w:t>
      </w:r>
    </w:p>
    <w:p w14:paraId="1DD50CFC" w14:textId="66506BE0" w:rsidR="00066B5B" w:rsidRDefault="00E0023B" w:rsidP="003C098F">
      <w:pPr>
        <w:rPr>
          <w:highlight w:val="yellow"/>
        </w:rPr>
      </w:pPr>
      <w:r>
        <w:rPr>
          <w:sz w:val="20"/>
          <w:szCs w:val="20"/>
        </w:rPr>
        <w:t>Full capture of under</w:t>
      </w:r>
      <w:r w:rsidR="00081DFE">
        <w:rPr>
          <w:sz w:val="20"/>
          <w:szCs w:val="20"/>
        </w:rPr>
        <w:t xml:space="preserve"> </w:t>
      </w:r>
      <w:r>
        <w:rPr>
          <w:sz w:val="20"/>
          <w:szCs w:val="20"/>
        </w:rPr>
        <w:t>co</w:t>
      </w:r>
      <w:r w:rsidR="00081DFE">
        <w:rPr>
          <w:sz w:val="20"/>
          <w:szCs w:val="20"/>
        </w:rPr>
        <w:t>-</w:t>
      </w:r>
      <w:r>
        <w:rPr>
          <w:sz w:val="20"/>
          <w:szCs w:val="20"/>
        </w:rPr>
        <w:t xml:space="preserve">payment data is only available in the DHS </w:t>
      </w:r>
      <w:r w:rsidR="00CB50F9">
        <w:rPr>
          <w:sz w:val="20"/>
          <w:szCs w:val="20"/>
        </w:rPr>
        <w:t>Prescriptions</w:t>
      </w:r>
      <w:r>
        <w:rPr>
          <w:sz w:val="20"/>
          <w:szCs w:val="20"/>
        </w:rPr>
        <w:t xml:space="preserve"> database from April 2012. As such, the number of prevalent patients who only received an under</w:t>
      </w:r>
      <w:r w:rsidR="00081DFE">
        <w:rPr>
          <w:sz w:val="20"/>
          <w:szCs w:val="20"/>
        </w:rPr>
        <w:t xml:space="preserve"> </w:t>
      </w:r>
      <w:r>
        <w:rPr>
          <w:sz w:val="20"/>
          <w:szCs w:val="20"/>
        </w:rPr>
        <w:t>co</w:t>
      </w:r>
      <w:r w:rsidR="00081DFE">
        <w:rPr>
          <w:sz w:val="20"/>
          <w:szCs w:val="20"/>
        </w:rPr>
        <w:t>-</w:t>
      </w:r>
      <w:r>
        <w:rPr>
          <w:sz w:val="20"/>
          <w:szCs w:val="20"/>
        </w:rPr>
        <w:t>payment medicine are underrepresented prior to the 2013 calendar year.</w:t>
      </w:r>
    </w:p>
    <w:p w14:paraId="72872B14" w14:textId="0E9E8638" w:rsidR="00B8004B" w:rsidRPr="002512BC" w:rsidRDefault="004A39B7" w:rsidP="002512BC">
      <w:r>
        <w:t>The incident population for atypica</w:t>
      </w:r>
      <w:r w:rsidR="00A306E4">
        <w:t>l and typical antipsychotics</w:t>
      </w:r>
      <w:r>
        <w:t xml:space="preserve"> </w:t>
      </w:r>
      <w:r w:rsidR="00A306E4">
        <w:t>plateaued</w:t>
      </w:r>
      <w:r>
        <w:t xml:space="preserve"> </w:t>
      </w:r>
      <w:r w:rsidR="00A306E4">
        <w:t xml:space="preserve">between </w:t>
      </w:r>
      <w:r>
        <w:t xml:space="preserve">2013 </w:t>
      </w:r>
      <w:r w:rsidR="00A306E4">
        <w:t>and 2015</w:t>
      </w:r>
      <w:r w:rsidR="00A104A7">
        <w:t xml:space="preserve"> </w:t>
      </w:r>
      <w:r>
        <w:t xml:space="preserve">(Figure 4). </w:t>
      </w:r>
    </w:p>
    <w:p w14:paraId="3C69F572" w14:textId="1C5320C8" w:rsidR="00BB21CF" w:rsidRDefault="00A721C3" w:rsidP="00BB21CF">
      <w:r>
        <w:rPr>
          <w:noProof/>
        </w:rPr>
        <w:lastRenderedPageBreak/>
        <w:drawing>
          <wp:inline distT="0" distB="0" distL="0" distR="0" wp14:anchorId="58242745" wp14:editId="2CBE0246">
            <wp:extent cx="5309628" cy="4171950"/>
            <wp:effectExtent l="0" t="0" r="5715" b="0"/>
            <wp:docPr id="6" name="Picture 6" descr="A graph showing the number of incident patients by PBS listed antipsychotic by calendar year from 2006 to 2015."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3772" cy="4175206"/>
                    </a:xfrm>
                    <a:prstGeom prst="rect">
                      <a:avLst/>
                    </a:prstGeom>
                    <a:noFill/>
                  </pic:spPr>
                </pic:pic>
              </a:graphicData>
            </a:graphic>
          </wp:inline>
        </w:drawing>
      </w:r>
    </w:p>
    <w:p w14:paraId="255207A5" w14:textId="1CB5AB0C" w:rsidR="008B42BB" w:rsidRDefault="008B42BB" w:rsidP="00BB21CF"/>
    <w:p w14:paraId="31CB13F1" w14:textId="09544FD8" w:rsidR="00D57C81" w:rsidRDefault="00A104A7" w:rsidP="00D57C81">
      <w:pPr>
        <w:spacing w:after="0"/>
        <w:rPr>
          <w:b/>
        </w:rPr>
      </w:pPr>
      <w:r>
        <w:rPr>
          <w:b/>
        </w:rPr>
        <w:t>Figure 4</w:t>
      </w:r>
      <w:r w:rsidR="00D57C81">
        <w:rPr>
          <w:b/>
        </w:rPr>
        <w:t>. N</w:t>
      </w:r>
      <w:r w:rsidR="00B35161">
        <w:rPr>
          <w:b/>
        </w:rPr>
        <w:t>umber of incident</w:t>
      </w:r>
      <w:r w:rsidR="00D57C81">
        <w:rPr>
          <w:b/>
        </w:rPr>
        <w:t xml:space="preserve"> patients by </w:t>
      </w:r>
      <w:r w:rsidR="009840E7">
        <w:rPr>
          <w:b/>
        </w:rPr>
        <w:t xml:space="preserve">first </w:t>
      </w:r>
      <w:r w:rsidR="00D57C81">
        <w:rPr>
          <w:b/>
        </w:rPr>
        <w:t>drug</w:t>
      </w:r>
      <w:r w:rsidR="009840E7">
        <w:rPr>
          <w:b/>
        </w:rPr>
        <w:t xml:space="preserve"> supplied</w:t>
      </w:r>
    </w:p>
    <w:p w14:paraId="56C8E223" w14:textId="77777777" w:rsidR="00D57C81" w:rsidRDefault="00D57C81" w:rsidP="00D57C81">
      <w:pPr>
        <w:spacing w:after="0"/>
        <w:rPr>
          <w:sz w:val="20"/>
          <w:szCs w:val="20"/>
        </w:rPr>
      </w:pPr>
      <w:r w:rsidRPr="00EC758D">
        <w:rPr>
          <w:sz w:val="20"/>
          <w:szCs w:val="20"/>
        </w:rPr>
        <w:t>Sour</w:t>
      </w:r>
      <w:r>
        <w:rPr>
          <w:sz w:val="20"/>
          <w:szCs w:val="20"/>
        </w:rPr>
        <w:t>ce: DHS Prescriptions database. Accessed on 14</w:t>
      </w:r>
      <w:r w:rsidRPr="00EC758D">
        <w:rPr>
          <w:sz w:val="20"/>
          <w:szCs w:val="20"/>
        </w:rPr>
        <w:t xml:space="preserve"> July 2016.</w:t>
      </w:r>
    </w:p>
    <w:p w14:paraId="580A1C7B" w14:textId="77777777" w:rsidR="00D3758C" w:rsidRDefault="00D3758C" w:rsidP="00D3758C">
      <w:pPr>
        <w:spacing w:after="0"/>
        <w:rPr>
          <w:sz w:val="20"/>
          <w:szCs w:val="20"/>
        </w:rPr>
      </w:pPr>
      <w:r>
        <w:rPr>
          <w:sz w:val="20"/>
          <w:szCs w:val="20"/>
        </w:rPr>
        <w:t xml:space="preserve">Note: </w:t>
      </w:r>
    </w:p>
    <w:p w14:paraId="1781AB0F" w14:textId="53FD611B" w:rsidR="00D3758C" w:rsidRDefault="00D3758C" w:rsidP="007D49E6">
      <w:pPr>
        <w:spacing w:after="0"/>
        <w:rPr>
          <w:sz w:val="20"/>
          <w:szCs w:val="20"/>
        </w:rPr>
      </w:pPr>
      <w:r w:rsidRPr="007D49E6">
        <w:rPr>
          <w:sz w:val="20"/>
          <w:szCs w:val="20"/>
        </w:rPr>
        <w:t xml:space="preserve">Utilisation data for clozapine was underrepresented in the PBS prescriptions data until July 2013. </w:t>
      </w:r>
      <w:r w:rsidR="00596BA1" w:rsidRPr="007D49E6">
        <w:rPr>
          <w:sz w:val="20"/>
          <w:szCs w:val="20"/>
        </w:rPr>
        <w:t>As such, only data from 2014 is presented here.</w:t>
      </w:r>
    </w:p>
    <w:p w14:paraId="78975486" w14:textId="72595F85" w:rsidR="00D110B1" w:rsidRPr="00F91AA9" w:rsidRDefault="00D110B1" w:rsidP="00F91AA9">
      <w:pPr>
        <w:rPr>
          <w:highlight w:val="yellow"/>
        </w:rPr>
      </w:pPr>
      <w:r>
        <w:rPr>
          <w:sz w:val="20"/>
          <w:szCs w:val="20"/>
        </w:rPr>
        <w:t>Full capture of under</w:t>
      </w:r>
      <w:r w:rsidR="00081DFE">
        <w:rPr>
          <w:sz w:val="20"/>
          <w:szCs w:val="20"/>
        </w:rPr>
        <w:t xml:space="preserve"> </w:t>
      </w:r>
      <w:r>
        <w:rPr>
          <w:sz w:val="20"/>
          <w:szCs w:val="20"/>
        </w:rPr>
        <w:t>co</w:t>
      </w:r>
      <w:r w:rsidR="00081DFE">
        <w:rPr>
          <w:sz w:val="20"/>
          <w:szCs w:val="20"/>
        </w:rPr>
        <w:t>-</w:t>
      </w:r>
      <w:r>
        <w:rPr>
          <w:sz w:val="20"/>
          <w:szCs w:val="20"/>
        </w:rPr>
        <w:t xml:space="preserve">payment data is only available in the DHS </w:t>
      </w:r>
      <w:r w:rsidR="00CB50F9">
        <w:rPr>
          <w:sz w:val="20"/>
          <w:szCs w:val="20"/>
        </w:rPr>
        <w:t>Prescriptions</w:t>
      </w:r>
      <w:r>
        <w:rPr>
          <w:sz w:val="20"/>
          <w:szCs w:val="20"/>
        </w:rPr>
        <w:t xml:space="preserve"> database from April 2012. As such, the number of prevalent patients who only received an under</w:t>
      </w:r>
      <w:r w:rsidR="00081DFE">
        <w:rPr>
          <w:sz w:val="20"/>
          <w:szCs w:val="20"/>
        </w:rPr>
        <w:t xml:space="preserve"> </w:t>
      </w:r>
      <w:r>
        <w:rPr>
          <w:sz w:val="20"/>
          <w:szCs w:val="20"/>
        </w:rPr>
        <w:t>co</w:t>
      </w:r>
      <w:r w:rsidR="00081DFE">
        <w:rPr>
          <w:sz w:val="20"/>
          <w:szCs w:val="20"/>
        </w:rPr>
        <w:t>-</w:t>
      </w:r>
      <w:r>
        <w:rPr>
          <w:sz w:val="20"/>
          <w:szCs w:val="20"/>
        </w:rPr>
        <w:t xml:space="preserve">payment medicine </w:t>
      </w:r>
      <w:r w:rsidR="006F4D60">
        <w:rPr>
          <w:sz w:val="20"/>
          <w:szCs w:val="20"/>
        </w:rPr>
        <w:t>is</w:t>
      </w:r>
      <w:r>
        <w:rPr>
          <w:sz w:val="20"/>
          <w:szCs w:val="20"/>
        </w:rPr>
        <w:t xml:space="preserve"> underrepresented prior to the 2013 calendar year.</w:t>
      </w:r>
    </w:p>
    <w:p w14:paraId="78C3F164" w14:textId="77777777" w:rsidR="00D3758C" w:rsidRPr="00BC4F6D" w:rsidRDefault="00D3758C" w:rsidP="00D3758C">
      <w:pPr>
        <w:pStyle w:val="ListParagraph"/>
        <w:spacing w:after="0"/>
        <w:ind w:left="360"/>
        <w:rPr>
          <w:sz w:val="20"/>
          <w:szCs w:val="20"/>
        </w:rPr>
      </w:pPr>
    </w:p>
    <w:p w14:paraId="512E0F6D" w14:textId="35886221" w:rsidR="00CE1130" w:rsidRPr="002309E1" w:rsidRDefault="00C71FD4" w:rsidP="00D22E0A">
      <w:pPr>
        <w:pStyle w:val="Heading4"/>
        <w:spacing w:before="0" w:after="0"/>
        <w:rPr>
          <w:sz w:val="24"/>
          <w:szCs w:val="24"/>
        </w:rPr>
      </w:pPr>
      <w:r>
        <w:rPr>
          <w:sz w:val="24"/>
          <w:szCs w:val="24"/>
        </w:rPr>
        <w:t>Patients incident to antipsychotic treatment over time by age at initiation</w:t>
      </w:r>
    </w:p>
    <w:p w14:paraId="6F129732" w14:textId="77777777" w:rsidR="00CE1130" w:rsidRDefault="00CE1130" w:rsidP="00D25A08">
      <w:pPr>
        <w:spacing w:after="0"/>
      </w:pPr>
    </w:p>
    <w:p w14:paraId="43412DE4" w14:textId="628C23A6" w:rsidR="00DA1F98" w:rsidRDefault="00F769A2" w:rsidP="00D25A08">
      <w:pPr>
        <w:spacing w:after="0"/>
      </w:pPr>
      <w:r>
        <w:t>Rates of initiation to either an atypical or typical anti</w:t>
      </w:r>
      <w:r w:rsidR="00C825C2">
        <w:t xml:space="preserve">psychotic are shown in Figures 5 and 6 </w:t>
      </w:r>
      <w:r>
        <w:t xml:space="preserve">which are standardised by age. For persons aged between 20 to 59 years, the highest rate of initiation was </w:t>
      </w:r>
      <w:r w:rsidR="00C825C2">
        <w:t>in the 20-24 age group (Figure 5</w:t>
      </w:r>
      <w:r>
        <w:t xml:space="preserve">). </w:t>
      </w:r>
      <w:r w:rsidR="00502A83">
        <w:t>The rate of initiation of an</w:t>
      </w:r>
      <w:r w:rsidR="00A81B1A">
        <w:t>tipsychotics in patients aged 2</w:t>
      </w:r>
      <w:r w:rsidR="00502A83">
        <w:t>0-</w:t>
      </w:r>
      <w:r w:rsidR="00D72870">
        <w:t>5</w:t>
      </w:r>
      <w:r w:rsidR="00502A83">
        <w:t>9 year</w:t>
      </w:r>
      <w:r w:rsidR="00A81B1A">
        <w:t>s was</w:t>
      </w:r>
      <w:r w:rsidR="00502A83">
        <w:t xml:space="preserve"> lower in </w:t>
      </w:r>
      <w:r w:rsidR="00A81B1A">
        <w:t xml:space="preserve">the </w:t>
      </w:r>
      <w:r w:rsidR="00502A83">
        <w:t xml:space="preserve">2015 compared with </w:t>
      </w:r>
      <w:r w:rsidR="00A81B1A">
        <w:t xml:space="preserve">the </w:t>
      </w:r>
      <w:r w:rsidR="00502A83">
        <w:t>2013</w:t>
      </w:r>
      <w:r w:rsidR="00A81B1A">
        <w:t xml:space="preserve"> calendar year</w:t>
      </w:r>
      <w:r w:rsidR="00502A83">
        <w:t xml:space="preserve">. </w:t>
      </w:r>
      <w:r w:rsidR="00A81B1A">
        <w:t>For the older population, the rates of initiation were similar between the 2013 and 2015 calendar years</w:t>
      </w:r>
      <w:r w:rsidR="008904C6">
        <w:t xml:space="preserve"> (Figure 6)</w:t>
      </w:r>
      <w:r w:rsidR="00A81B1A">
        <w:t>.</w:t>
      </w:r>
      <w:r w:rsidR="00D72870">
        <w:t xml:space="preserve"> </w:t>
      </w:r>
    </w:p>
    <w:p w14:paraId="0F73D5FB" w14:textId="77777777" w:rsidR="00D04328" w:rsidRDefault="00D04328" w:rsidP="00D25A08">
      <w:pPr>
        <w:spacing w:after="0"/>
      </w:pPr>
    </w:p>
    <w:p w14:paraId="231B1AC9" w14:textId="4DD0F09C" w:rsidR="003A57E5" w:rsidRDefault="00023388" w:rsidP="003A57E5">
      <w:r>
        <w:rPr>
          <w:noProof/>
        </w:rPr>
        <w:lastRenderedPageBreak/>
        <w:drawing>
          <wp:inline distT="0" distB="0" distL="0" distR="0" wp14:anchorId="47C06B13" wp14:editId="130461B5">
            <wp:extent cx="4313213" cy="2943225"/>
            <wp:effectExtent l="0" t="0" r="0" b="0"/>
            <wp:docPr id="20" name="Picture 20" descr="A graph comparing the number of age-standardised patients between the ages of 20 to 59 years initiating on a PBS listed antipsychotic in 2013 versus 2015. "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0750" cy="2948368"/>
                    </a:xfrm>
                    <a:prstGeom prst="rect">
                      <a:avLst/>
                    </a:prstGeom>
                    <a:noFill/>
                  </pic:spPr>
                </pic:pic>
              </a:graphicData>
            </a:graphic>
          </wp:inline>
        </w:drawing>
      </w:r>
    </w:p>
    <w:p w14:paraId="4CAC0147" w14:textId="324C8F90" w:rsidR="00A701AF" w:rsidRPr="002678BD" w:rsidRDefault="00C825C2" w:rsidP="00BB75A4">
      <w:pPr>
        <w:spacing w:after="0"/>
        <w:rPr>
          <w:b/>
        </w:rPr>
      </w:pPr>
      <w:r w:rsidRPr="002678BD">
        <w:rPr>
          <w:b/>
        </w:rPr>
        <w:t>Figure 5</w:t>
      </w:r>
      <w:r w:rsidR="00A701AF" w:rsidRPr="002678BD">
        <w:rPr>
          <w:b/>
        </w:rPr>
        <w:t>. Number of patients per 1,000 population aged 20 to 59 years first initiating to a PBS antipsychotic, standardised by age.</w:t>
      </w:r>
    </w:p>
    <w:p w14:paraId="26A984D2" w14:textId="50592203" w:rsidR="00C65944" w:rsidRDefault="00C65944" w:rsidP="00BB75A4">
      <w:pPr>
        <w:spacing w:after="0"/>
        <w:rPr>
          <w:sz w:val="20"/>
        </w:rPr>
      </w:pPr>
      <w:r>
        <w:rPr>
          <w:sz w:val="20"/>
        </w:rPr>
        <w:t>Note: The age adjusted rates use the Direct Method</w:t>
      </w:r>
      <w:r>
        <w:rPr>
          <w:rStyle w:val="FootnoteReference"/>
          <w:sz w:val="20"/>
        </w:rPr>
        <w:footnoteReference w:id="5"/>
      </w:r>
      <w:r>
        <w:rPr>
          <w:sz w:val="20"/>
        </w:rPr>
        <w:t xml:space="preserve"> and are based on the Australian age distribution of the ABS Estimated Residential Population in the reference year 2011.</w:t>
      </w:r>
    </w:p>
    <w:p w14:paraId="42B12399" w14:textId="77777777" w:rsidR="008D072C" w:rsidRDefault="008D072C" w:rsidP="00BB75A4">
      <w:pPr>
        <w:spacing w:after="0"/>
        <w:rPr>
          <w:sz w:val="20"/>
        </w:rPr>
      </w:pPr>
    </w:p>
    <w:p w14:paraId="61DF4864" w14:textId="0DFA8B99" w:rsidR="003A57E5" w:rsidRPr="003A57E5" w:rsidRDefault="00302EB3" w:rsidP="003A57E5">
      <w:r>
        <w:rPr>
          <w:noProof/>
        </w:rPr>
        <w:drawing>
          <wp:inline distT="0" distB="0" distL="0" distR="0" wp14:anchorId="4AB5DC00" wp14:editId="6E6B700A">
            <wp:extent cx="4124325" cy="2959171"/>
            <wp:effectExtent l="0" t="0" r="0" b="0"/>
            <wp:docPr id="21" name="Picture 21" descr="A graph comparing the number of age-standardised patients between the ages of 60 to 85 years and and over initiating on a PBS listed antipsychotic in 2013 versus 2015. "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1006" cy="2963964"/>
                    </a:xfrm>
                    <a:prstGeom prst="rect">
                      <a:avLst/>
                    </a:prstGeom>
                    <a:noFill/>
                  </pic:spPr>
                </pic:pic>
              </a:graphicData>
            </a:graphic>
          </wp:inline>
        </w:drawing>
      </w:r>
    </w:p>
    <w:p w14:paraId="55DC57FD" w14:textId="2C021518" w:rsidR="00C42F96" w:rsidRPr="002678BD" w:rsidRDefault="00C825C2" w:rsidP="00C42F96">
      <w:pPr>
        <w:spacing w:after="0"/>
        <w:rPr>
          <w:b/>
        </w:rPr>
      </w:pPr>
      <w:r w:rsidRPr="002678BD">
        <w:rPr>
          <w:b/>
        </w:rPr>
        <w:t>Figure 6</w:t>
      </w:r>
      <w:r w:rsidR="00C42F96" w:rsidRPr="002678BD">
        <w:rPr>
          <w:b/>
        </w:rPr>
        <w:t>. Number of patients per 1,000 population aged 60 years and over first initiating to a PBS antipsychotic, standardised by age.</w:t>
      </w:r>
    </w:p>
    <w:p w14:paraId="0128784E" w14:textId="77777777" w:rsidR="00C42F96" w:rsidRDefault="00C42F96" w:rsidP="00C42F96">
      <w:pPr>
        <w:spacing w:after="0"/>
      </w:pPr>
      <w:r>
        <w:rPr>
          <w:sz w:val="20"/>
        </w:rPr>
        <w:t>Note: The age adjusted rates use the Direct Method</w:t>
      </w:r>
      <w:r>
        <w:rPr>
          <w:rStyle w:val="FootnoteReference"/>
          <w:sz w:val="20"/>
        </w:rPr>
        <w:footnoteReference w:id="6"/>
      </w:r>
      <w:r>
        <w:rPr>
          <w:sz w:val="20"/>
        </w:rPr>
        <w:t xml:space="preserve"> and are based on the Australian age distribution of the ABS Estimated Residential Population in the reference year 2011.</w:t>
      </w:r>
    </w:p>
    <w:p w14:paraId="4BC0DA21" w14:textId="77777777" w:rsidR="00502A83" w:rsidRDefault="00502A83" w:rsidP="003A4D1D"/>
    <w:p w14:paraId="590F97B8" w14:textId="465DC3E4" w:rsidR="00502A83" w:rsidRDefault="009C44F4" w:rsidP="003A4D1D">
      <w:r>
        <w:lastRenderedPageBreak/>
        <w:t xml:space="preserve">The extent of use of risperidone for the treatment of </w:t>
      </w:r>
      <w:r w:rsidR="003A271D">
        <w:t>behavioural symptoms of dementia (BPSD)</w:t>
      </w:r>
      <w:r>
        <w:t xml:space="preserve"> was investigated</w:t>
      </w:r>
      <w:r w:rsidR="003A271D">
        <w:t>. Risperidone is the only PBS listing for this indication. Patients</w:t>
      </w:r>
      <w:r w:rsidR="00F674F8">
        <w:t xml:space="preserve"> aged 80 years</w:t>
      </w:r>
      <w:r w:rsidR="00502A83" w:rsidRPr="00502A83">
        <w:t xml:space="preserve"> and over</w:t>
      </w:r>
      <w:r w:rsidR="00F674F8">
        <w:t xml:space="preserve"> initiating on risperidone b</w:t>
      </w:r>
      <w:r w:rsidR="003A271D">
        <w:t>etween July to December 2014 were</w:t>
      </w:r>
      <w:r w:rsidR="00F674F8">
        <w:t xml:space="preserve"> assessed</w:t>
      </w:r>
      <w:r w:rsidR="003A271D">
        <w:t xml:space="preserve"> to examine their treated indications</w:t>
      </w:r>
      <w:r w:rsidR="00F674F8">
        <w:t xml:space="preserve">. Initiators were followed up over 12 months from the date of their initiation. </w:t>
      </w:r>
      <w:r w:rsidR="000C7C8F">
        <w:t>A</w:t>
      </w:r>
      <w:r w:rsidR="006E6D89">
        <w:t>round 70%</w:t>
      </w:r>
      <w:r w:rsidR="00F674F8">
        <w:t xml:space="preserve"> of patients were supplied risperidone for BPSD</w:t>
      </w:r>
      <w:r w:rsidR="000C7C8F">
        <w:t>.</w:t>
      </w:r>
      <w:r w:rsidR="00F674F8">
        <w:t xml:space="preserve"> </w:t>
      </w:r>
    </w:p>
    <w:p w14:paraId="440AE95F" w14:textId="3C1A29AA" w:rsidR="00CE1130" w:rsidRPr="00F47E28" w:rsidRDefault="00701BA8" w:rsidP="00F47E28">
      <w:pPr>
        <w:pStyle w:val="Heading3"/>
        <w:rPr>
          <w:i w:val="0"/>
        </w:rPr>
      </w:pPr>
      <w:r>
        <w:rPr>
          <w:i w:val="0"/>
        </w:rPr>
        <w:t>U</w:t>
      </w:r>
      <w:r w:rsidR="00B62825">
        <w:rPr>
          <w:i w:val="0"/>
        </w:rPr>
        <w:t>tilisation of quetiapine 25 mg</w:t>
      </w:r>
      <w:r>
        <w:rPr>
          <w:i w:val="0"/>
        </w:rPr>
        <w:t xml:space="preserve"> before and after its restriction change from January 2014</w:t>
      </w:r>
    </w:p>
    <w:p w14:paraId="4A887A80" w14:textId="10D0ABEC" w:rsidR="007639E8" w:rsidRDefault="0072606E" w:rsidP="005C789B">
      <w:pPr>
        <w:pStyle w:val="Heading4"/>
        <w:spacing w:before="0" w:after="0"/>
        <w:rPr>
          <w:b w:val="0"/>
          <w:i w:val="0"/>
          <w:sz w:val="24"/>
          <w:szCs w:val="24"/>
        </w:rPr>
      </w:pPr>
      <w:r>
        <w:rPr>
          <w:b w:val="0"/>
          <w:i w:val="0"/>
          <w:sz w:val="24"/>
          <w:szCs w:val="24"/>
        </w:rPr>
        <w:t>First-time initiators</w:t>
      </w:r>
      <w:r w:rsidR="00CD0CFF">
        <w:rPr>
          <w:b w:val="0"/>
          <w:i w:val="0"/>
          <w:sz w:val="24"/>
          <w:szCs w:val="24"/>
        </w:rPr>
        <w:t xml:space="preserve"> to quetiapine mainly commenced</w:t>
      </w:r>
      <w:r>
        <w:rPr>
          <w:b w:val="0"/>
          <w:i w:val="0"/>
          <w:sz w:val="24"/>
          <w:szCs w:val="24"/>
        </w:rPr>
        <w:t xml:space="preserve"> treatment on the 25 mg strength</w:t>
      </w:r>
      <w:r w:rsidR="00AB61A3">
        <w:rPr>
          <w:b w:val="0"/>
          <w:i w:val="0"/>
          <w:sz w:val="24"/>
          <w:szCs w:val="24"/>
        </w:rPr>
        <w:t xml:space="preserve"> (Figure 7).</w:t>
      </w:r>
    </w:p>
    <w:p w14:paraId="70D05A1D" w14:textId="423491CB" w:rsidR="007639E8" w:rsidRDefault="00613E42" w:rsidP="005C789B">
      <w:pPr>
        <w:pStyle w:val="Heading4"/>
        <w:spacing w:before="0" w:after="0"/>
        <w:rPr>
          <w:b w:val="0"/>
          <w:i w:val="0"/>
          <w:sz w:val="24"/>
          <w:szCs w:val="24"/>
        </w:rPr>
      </w:pPr>
      <w:r>
        <w:rPr>
          <w:noProof/>
        </w:rPr>
        <w:drawing>
          <wp:inline distT="0" distB="0" distL="0" distR="0" wp14:anchorId="75C9FE59" wp14:editId="4309E56C">
            <wp:extent cx="5353050" cy="3537180"/>
            <wp:effectExtent l="0" t="0" r="0" b="6350"/>
            <wp:docPr id="10" name="Picture 10" descr="A graph showing monthly counts of patient initiations to quetiapine by drug strength. The starting month is January 2011 and the end month is December 2015."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5391" cy="3538727"/>
                    </a:xfrm>
                    <a:prstGeom prst="rect">
                      <a:avLst/>
                    </a:prstGeom>
                    <a:noFill/>
                  </pic:spPr>
                </pic:pic>
              </a:graphicData>
            </a:graphic>
          </wp:inline>
        </w:drawing>
      </w:r>
    </w:p>
    <w:p w14:paraId="764B9608" w14:textId="43A987FE" w:rsidR="0072606E" w:rsidRPr="00A903EC" w:rsidRDefault="0072606E" w:rsidP="0072606E">
      <w:pPr>
        <w:spacing w:after="0"/>
        <w:rPr>
          <w:b/>
        </w:rPr>
      </w:pPr>
      <w:r w:rsidRPr="00A903EC">
        <w:rPr>
          <w:b/>
        </w:rPr>
        <w:t>Figure 7. Number of first-time initiators to quetiapine by strength</w:t>
      </w:r>
      <w:r w:rsidR="00ED2590" w:rsidRPr="00A903EC">
        <w:rPr>
          <w:b/>
        </w:rPr>
        <w:t xml:space="preserve"> and by month of supply</w:t>
      </w:r>
    </w:p>
    <w:p w14:paraId="4EB1492D" w14:textId="77777777" w:rsidR="00071C42" w:rsidRDefault="00071C42" w:rsidP="005C789B">
      <w:pPr>
        <w:pStyle w:val="Heading4"/>
        <w:spacing w:before="0" w:after="0"/>
        <w:rPr>
          <w:b w:val="0"/>
          <w:i w:val="0"/>
          <w:sz w:val="24"/>
          <w:szCs w:val="24"/>
        </w:rPr>
      </w:pPr>
    </w:p>
    <w:p w14:paraId="2185ED0E" w14:textId="77777777" w:rsidR="00AC76F0" w:rsidRDefault="0026123E" w:rsidP="008170C2">
      <w:pPr>
        <w:rPr>
          <w:b/>
          <w:i/>
        </w:rPr>
      </w:pPr>
      <w:r>
        <w:t xml:space="preserve">The supply of antipsychotics to patients initiating on quetiapine 25 mg as their first PBS antipsychotic before and after its restriction change from 1 January </w:t>
      </w:r>
      <w:r w:rsidR="00FA4C17">
        <w:t>2014 was</w:t>
      </w:r>
      <w:r>
        <w:t xml:space="preserve"> examined. </w:t>
      </w:r>
      <w:r w:rsidR="007D037D">
        <w:t xml:space="preserve">The pre-restriction change cohort included patients who first initiated on quetiapine 25 mg between </w:t>
      </w:r>
      <w:r w:rsidR="00FD540A">
        <w:t xml:space="preserve">July to December 2012. The post-restriction change cohort comprised of patients initiating between December 2014 to May 2015. </w:t>
      </w:r>
      <w:r w:rsidR="00CC62D0">
        <w:t xml:space="preserve">These analysis periods were selected to allow at least 12 months of follow-up before the restriction change and over the most recent 12 months after the restriction change. </w:t>
      </w:r>
      <w:r w:rsidR="00800C32">
        <w:t xml:space="preserve">The number of initiators in the pre- and post- cohorts was similar (n=10,527 vs. n=10,359, respectively). </w:t>
      </w:r>
      <w:r>
        <w:t xml:space="preserve">All patients were followed up for 12 months from the date of their first initiation. </w:t>
      </w:r>
      <w:r w:rsidR="00AC76F0">
        <w:t>To identify potential off-label use, the pre- and post- cohorts were categorised into the following groups:</w:t>
      </w:r>
    </w:p>
    <w:p w14:paraId="2A37B0F7" w14:textId="399A770C" w:rsidR="00AC76F0" w:rsidRPr="008170C2" w:rsidRDefault="00AC76F0" w:rsidP="008170C2">
      <w:pPr>
        <w:pStyle w:val="ListParagraph"/>
        <w:numPr>
          <w:ilvl w:val="0"/>
          <w:numId w:val="26"/>
        </w:numPr>
      </w:pPr>
      <w:r w:rsidRPr="008170C2">
        <w:t xml:space="preserve">Patients who only ever received one supply </w:t>
      </w:r>
      <w:r w:rsidR="006D5E55" w:rsidRPr="008170C2">
        <w:t xml:space="preserve">of quetiapine 25 mg </w:t>
      </w:r>
      <w:r w:rsidRPr="008170C2">
        <w:t>through the PBS;</w:t>
      </w:r>
    </w:p>
    <w:p w14:paraId="4B410097" w14:textId="77777777" w:rsidR="00AC76F0" w:rsidRPr="008170C2" w:rsidRDefault="00AC76F0" w:rsidP="008170C2">
      <w:pPr>
        <w:pStyle w:val="ListParagraph"/>
        <w:numPr>
          <w:ilvl w:val="0"/>
          <w:numId w:val="26"/>
        </w:numPr>
      </w:pPr>
      <w:r w:rsidRPr="008170C2">
        <w:t>Patients who received multiple supplies of the 25 mg strength without receiving a supply of a higher strength of quetiapine or the supply of another antipsychotic;</w:t>
      </w:r>
    </w:p>
    <w:p w14:paraId="0D300951" w14:textId="2BFED6F6" w:rsidR="00AC76F0" w:rsidRPr="008170C2" w:rsidRDefault="00AC76F0" w:rsidP="008170C2">
      <w:pPr>
        <w:pStyle w:val="ListParagraph"/>
        <w:numPr>
          <w:ilvl w:val="0"/>
          <w:numId w:val="26"/>
        </w:numPr>
      </w:pPr>
      <w:r w:rsidRPr="008170C2">
        <w:t>Patients who received a supply of a higher strength of quetiapine after an initial supply of the 25 mg strength; and</w:t>
      </w:r>
    </w:p>
    <w:p w14:paraId="06E22053" w14:textId="5798AA0F" w:rsidR="00AC76F0" w:rsidRPr="008170C2" w:rsidRDefault="00AC76F0" w:rsidP="008170C2">
      <w:pPr>
        <w:pStyle w:val="ListParagraph"/>
        <w:numPr>
          <w:ilvl w:val="0"/>
          <w:numId w:val="26"/>
        </w:numPr>
      </w:pPr>
      <w:r w:rsidRPr="008170C2">
        <w:lastRenderedPageBreak/>
        <w:t>Patients who received a supply of another antipsychotic after receiving an initial supply of the 25 mg strength.</w:t>
      </w:r>
    </w:p>
    <w:p w14:paraId="318B80DD" w14:textId="040DE147" w:rsidR="005C789B" w:rsidRPr="005C789B" w:rsidRDefault="002C6579" w:rsidP="006E6850">
      <w:r>
        <w:t>Patients who receive</w:t>
      </w:r>
      <w:r w:rsidR="00B1493E">
        <w:t>d</w:t>
      </w:r>
      <w:r>
        <w:t xml:space="preserve"> only one supply of quetiapine 25 mg, who did not uptitrate to a higher strength of quetiapine or who did not transition to a different antipsychotic may have been using the 25 mg strength outside its listed indications. </w:t>
      </w:r>
      <w:r w:rsidR="005C789B">
        <w:t>The results are shown in Table 2</w:t>
      </w:r>
      <w:r w:rsidR="0026123E">
        <w:t>.</w:t>
      </w:r>
      <w:r w:rsidR="0005061F">
        <w:t xml:space="preserve"> </w:t>
      </w:r>
    </w:p>
    <w:p w14:paraId="45C4D079" w14:textId="0093BBF3" w:rsidR="00CE1592" w:rsidRPr="0003376C" w:rsidRDefault="005C789B" w:rsidP="0003376C">
      <w:pPr>
        <w:pStyle w:val="Tabletitle"/>
      </w:pPr>
      <w:r w:rsidRPr="00B1493E">
        <w:t>Table 2</w:t>
      </w:r>
      <w:r w:rsidR="00B035B3" w:rsidRPr="00B1493E">
        <w:t xml:space="preserve">. </w:t>
      </w:r>
      <w:r w:rsidR="00514537" w:rsidRPr="00B1493E">
        <w:t>Utilisation of quetia</w:t>
      </w:r>
      <w:r w:rsidR="0051578E" w:rsidRPr="00B1493E">
        <w:t>pine 25 mg before and after its restriction change from January 2014</w:t>
      </w:r>
    </w:p>
    <w:tbl>
      <w:tblPr>
        <w:tblStyle w:val="TableGrid"/>
        <w:tblW w:w="0" w:type="auto"/>
        <w:tblLook w:val="04A0" w:firstRow="1" w:lastRow="0" w:firstColumn="1" w:lastColumn="0" w:noHBand="0" w:noVBand="1"/>
        <w:tblCaption w:val="Table 2"/>
        <w:tblDescription w:val="A table comparing the use of quetiapine 25 mg in patients commencing on this drug strength before and after its restriction change from January 2014 allowing no repeats. Use for the four following scenarios are compared: One supply of quetiapine 25 mg; more than one supply of quetiapine 25 mg; receiving a higher strength of quetiapine after initiating on the 25 mg strength; and use of another antipsychotic after initiating on quetiapine 25 mg."/>
      </w:tblPr>
      <w:tblGrid>
        <w:gridCol w:w="3369"/>
        <w:gridCol w:w="1417"/>
        <w:gridCol w:w="1418"/>
        <w:gridCol w:w="1417"/>
        <w:gridCol w:w="1552"/>
      </w:tblGrid>
      <w:tr w:rsidR="00B13740" w14:paraId="1721D014" w14:textId="77777777" w:rsidTr="002E5F46">
        <w:trPr>
          <w:tblHeader/>
        </w:trPr>
        <w:tc>
          <w:tcPr>
            <w:tcW w:w="3369" w:type="dxa"/>
            <w:tcBorders>
              <w:top w:val="nil"/>
              <w:left w:val="nil"/>
              <w:bottom w:val="nil"/>
              <w:right w:val="single" w:sz="4" w:space="0" w:color="auto"/>
            </w:tcBorders>
          </w:tcPr>
          <w:p w14:paraId="36FDE33C" w14:textId="77777777" w:rsidR="00B13740" w:rsidRPr="00294EBE" w:rsidRDefault="00B13740" w:rsidP="0002235E">
            <w:pPr>
              <w:rPr>
                <w:rFonts w:ascii="Arial Narrow" w:hAnsi="Arial Narrow"/>
                <w:b/>
                <w:sz w:val="20"/>
                <w:szCs w:val="20"/>
              </w:rPr>
            </w:pPr>
          </w:p>
        </w:tc>
        <w:tc>
          <w:tcPr>
            <w:tcW w:w="1417" w:type="dxa"/>
            <w:tcBorders>
              <w:top w:val="single" w:sz="4" w:space="0" w:color="auto"/>
              <w:left w:val="single" w:sz="4" w:space="0" w:color="auto"/>
              <w:bottom w:val="single" w:sz="4" w:space="0" w:color="auto"/>
              <w:right w:val="nil"/>
            </w:tcBorders>
          </w:tcPr>
          <w:p w14:paraId="450343EC" w14:textId="77777777" w:rsidR="00B13740" w:rsidRDefault="00B13740" w:rsidP="0002235E">
            <w:pPr>
              <w:rPr>
                <w:rFonts w:ascii="Arial Narrow" w:hAnsi="Arial Narrow"/>
                <w:b/>
                <w:sz w:val="20"/>
                <w:szCs w:val="20"/>
              </w:rPr>
            </w:pPr>
            <w:r>
              <w:rPr>
                <w:rFonts w:ascii="Arial Narrow" w:hAnsi="Arial Narrow"/>
                <w:b/>
                <w:sz w:val="20"/>
                <w:szCs w:val="20"/>
              </w:rPr>
              <w:t>Pre-cohort</w:t>
            </w:r>
          </w:p>
          <w:p w14:paraId="29518762" w14:textId="77777777" w:rsidR="00B13740" w:rsidRPr="00071D0A" w:rsidRDefault="00B13740" w:rsidP="0002235E">
            <w:pPr>
              <w:rPr>
                <w:rFonts w:ascii="Arial Narrow" w:hAnsi="Arial Narrow"/>
                <w:b/>
                <w:sz w:val="20"/>
                <w:szCs w:val="20"/>
              </w:rPr>
            </w:pPr>
            <w:r>
              <w:rPr>
                <w:rFonts w:ascii="Arial Narrow" w:hAnsi="Arial Narrow"/>
                <w:b/>
                <w:sz w:val="20"/>
                <w:szCs w:val="20"/>
              </w:rPr>
              <w:t>(n=10,527)</w:t>
            </w:r>
          </w:p>
        </w:tc>
        <w:tc>
          <w:tcPr>
            <w:tcW w:w="1418" w:type="dxa"/>
            <w:tcBorders>
              <w:top w:val="single" w:sz="4" w:space="0" w:color="auto"/>
              <w:left w:val="nil"/>
              <w:bottom w:val="single" w:sz="4" w:space="0" w:color="auto"/>
              <w:right w:val="single" w:sz="4" w:space="0" w:color="auto"/>
            </w:tcBorders>
          </w:tcPr>
          <w:p w14:paraId="37C37B7E" w14:textId="77777777" w:rsidR="00B13740" w:rsidRPr="00071D0A" w:rsidRDefault="00B13740" w:rsidP="0002235E">
            <w:pPr>
              <w:jc w:val="center"/>
              <w:rPr>
                <w:rFonts w:ascii="Arial Narrow" w:hAnsi="Arial Narrow"/>
                <w:b/>
                <w:sz w:val="20"/>
                <w:szCs w:val="20"/>
              </w:rPr>
            </w:pPr>
          </w:p>
        </w:tc>
        <w:tc>
          <w:tcPr>
            <w:tcW w:w="1417" w:type="dxa"/>
            <w:tcBorders>
              <w:top w:val="single" w:sz="4" w:space="0" w:color="auto"/>
              <w:left w:val="single" w:sz="4" w:space="0" w:color="auto"/>
              <w:bottom w:val="single" w:sz="4" w:space="0" w:color="auto"/>
              <w:right w:val="nil"/>
            </w:tcBorders>
          </w:tcPr>
          <w:p w14:paraId="61654FC9" w14:textId="77777777" w:rsidR="00B13740" w:rsidRDefault="00B13740" w:rsidP="0002235E">
            <w:pPr>
              <w:rPr>
                <w:rFonts w:ascii="Arial Narrow" w:hAnsi="Arial Narrow"/>
                <w:b/>
                <w:sz w:val="20"/>
                <w:szCs w:val="20"/>
              </w:rPr>
            </w:pPr>
            <w:r>
              <w:rPr>
                <w:rFonts w:ascii="Arial Narrow" w:hAnsi="Arial Narrow"/>
                <w:b/>
                <w:sz w:val="20"/>
                <w:szCs w:val="20"/>
              </w:rPr>
              <w:t>Post-cohort</w:t>
            </w:r>
          </w:p>
          <w:p w14:paraId="06B2C902" w14:textId="77777777" w:rsidR="00B13740" w:rsidRPr="00071D0A" w:rsidRDefault="00B13740" w:rsidP="0002235E">
            <w:pPr>
              <w:rPr>
                <w:rFonts w:ascii="Arial Narrow" w:hAnsi="Arial Narrow"/>
                <w:b/>
                <w:sz w:val="20"/>
                <w:szCs w:val="20"/>
              </w:rPr>
            </w:pPr>
            <w:r>
              <w:rPr>
                <w:rFonts w:ascii="Arial Narrow" w:hAnsi="Arial Narrow"/>
                <w:b/>
                <w:sz w:val="20"/>
                <w:szCs w:val="20"/>
              </w:rPr>
              <w:t>(n=10,359)</w:t>
            </w:r>
          </w:p>
        </w:tc>
        <w:tc>
          <w:tcPr>
            <w:tcW w:w="1552" w:type="dxa"/>
            <w:tcBorders>
              <w:top w:val="single" w:sz="4" w:space="0" w:color="auto"/>
              <w:left w:val="nil"/>
              <w:bottom w:val="single" w:sz="4" w:space="0" w:color="auto"/>
              <w:right w:val="single" w:sz="4" w:space="0" w:color="auto"/>
            </w:tcBorders>
          </w:tcPr>
          <w:p w14:paraId="13D6164A" w14:textId="77777777" w:rsidR="00B13740" w:rsidRPr="00071D0A" w:rsidRDefault="00B13740" w:rsidP="0002235E">
            <w:pPr>
              <w:jc w:val="center"/>
              <w:rPr>
                <w:rFonts w:ascii="Arial Narrow" w:hAnsi="Arial Narrow"/>
                <w:b/>
                <w:sz w:val="20"/>
                <w:szCs w:val="20"/>
              </w:rPr>
            </w:pPr>
          </w:p>
        </w:tc>
      </w:tr>
      <w:tr w:rsidR="00B13740" w14:paraId="4E0FA923" w14:textId="77777777" w:rsidTr="002E5F46">
        <w:trPr>
          <w:tblHeader/>
        </w:trPr>
        <w:tc>
          <w:tcPr>
            <w:tcW w:w="3369" w:type="dxa"/>
            <w:tcBorders>
              <w:top w:val="nil"/>
              <w:left w:val="nil"/>
            </w:tcBorders>
          </w:tcPr>
          <w:p w14:paraId="073855C7" w14:textId="77777777" w:rsidR="00B13740" w:rsidRPr="00294EBE" w:rsidRDefault="00B13740" w:rsidP="0002235E">
            <w:pPr>
              <w:rPr>
                <w:rFonts w:ascii="Arial Narrow" w:hAnsi="Arial Narrow"/>
                <w:b/>
                <w:sz w:val="20"/>
                <w:szCs w:val="20"/>
              </w:rPr>
            </w:pPr>
          </w:p>
        </w:tc>
        <w:tc>
          <w:tcPr>
            <w:tcW w:w="1417" w:type="dxa"/>
            <w:tcBorders>
              <w:top w:val="single" w:sz="4" w:space="0" w:color="auto"/>
            </w:tcBorders>
          </w:tcPr>
          <w:p w14:paraId="173F63D9" w14:textId="77777777" w:rsidR="00B13740" w:rsidRPr="00071D0A" w:rsidRDefault="00B13740" w:rsidP="0002235E">
            <w:pPr>
              <w:jc w:val="center"/>
              <w:rPr>
                <w:rFonts w:ascii="Arial Narrow" w:hAnsi="Arial Narrow"/>
                <w:b/>
                <w:sz w:val="20"/>
                <w:szCs w:val="20"/>
              </w:rPr>
            </w:pPr>
            <w:r w:rsidRPr="00071D0A">
              <w:rPr>
                <w:rFonts w:ascii="Arial Narrow" w:hAnsi="Arial Narrow"/>
                <w:b/>
                <w:sz w:val="20"/>
                <w:szCs w:val="20"/>
              </w:rPr>
              <w:t>n</w:t>
            </w:r>
          </w:p>
        </w:tc>
        <w:tc>
          <w:tcPr>
            <w:tcW w:w="1418" w:type="dxa"/>
            <w:tcBorders>
              <w:top w:val="single" w:sz="4" w:space="0" w:color="auto"/>
            </w:tcBorders>
          </w:tcPr>
          <w:p w14:paraId="75E64A47" w14:textId="77777777" w:rsidR="00B13740" w:rsidRPr="00071D0A" w:rsidRDefault="00B13740" w:rsidP="0002235E">
            <w:pPr>
              <w:jc w:val="center"/>
              <w:rPr>
                <w:rFonts w:ascii="Arial Narrow" w:hAnsi="Arial Narrow"/>
                <w:b/>
                <w:sz w:val="20"/>
                <w:szCs w:val="20"/>
              </w:rPr>
            </w:pPr>
            <w:r w:rsidRPr="00071D0A">
              <w:rPr>
                <w:rFonts w:ascii="Arial Narrow" w:hAnsi="Arial Narrow"/>
                <w:b/>
                <w:sz w:val="20"/>
                <w:szCs w:val="20"/>
              </w:rPr>
              <w:t>Proportion</w:t>
            </w:r>
          </w:p>
        </w:tc>
        <w:tc>
          <w:tcPr>
            <w:tcW w:w="1417" w:type="dxa"/>
            <w:tcBorders>
              <w:top w:val="single" w:sz="4" w:space="0" w:color="auto"/>
            </w:tcBorders>
          </w:tcPr>
          <w:p w14:paraId="1EBC8CD1" w14:textId="77777777" w:rsidR="00B13740" w:rsidRPr="00071D0A" w:rsidRDefault="00B13740" w:rsidP="0002235E">
            <w:pPr>
              <w:jc w:val="center"/>
              <w:rPr>
                <w:rFonts w:ascii="Arial Narrow" w:hAnsi="Arial Narrow"/>
                <w:b/>
                <w:sz w:val="20"/>
                <w:szCs w:val="20"/>
              </w:rPr>
            </w:pPr>
            <w:r w:rsidRPr="00071D0A">
              <w:rPr>
                <w:rFonts w:ascii="Arial Narrow" w:hAnsi="Arial Narrow"/>
                <w:b/>
                <w:sz w:val="20"/>
                <w:szCs w:val="20"/>
              </w:rPr>
              <w:t>n</w:t>
            </w:r>
          </w:p>
        </w:tc>
        <w:tc>
          <w:tcPr>
            <w:tcW w:w="1552" w:type="dxa"/>
            <w:tcBorders>
              <w:top w:val="single" w:sz="4" w:space="0" w:color="auto"/>
            </w:tcBorders>
          </w:tcPr>
          <w:p w14:paraId="4272ED8A" w14:textId="77777777" w:rsidR="00B13740" w:rsidRPr="00071D0A" w:rsidRDefault="00B13740" w:rsidP="0002235E">
            <w:pPr>
              <w:jc w:val="center"/>
              <w:rPr>
                <w:rFonts w:ascii="Arial Narrow" w:hAnsi="Arial Narrow"/>
                <w:b/>
                <w:sz w:val="20"/>
                <w:szCs w:val="20"/>
              </w:rPr>
            </w:pPr>
            <w:r w:rsidRPr="00071D0A">
              <w:rPr>
                <w:rFonts w:ascii="Arial Narrow" w:hAnsi="Arial Narrow"/>
                <w:b/>
                <w:sz w:val="20"/>
                <w:szCs w:val="20"/>
              </w:rPr>
              <w:t>Proportion</w:t>
            </w:r>
          </w:p>
        </w:tc>
      </w:tr>
      <w:tr w:rsidR="00B13740" w14:paraId="7356E178" w14:textId="77777777" w:rsidTr="0002235E">
        <w:tc>
          <w:tcPr>
            <w:tcW w:w="3369" w:type="dxa"/>
            <w:vAlign w:val="bottom"/>
          </w:tcPr>
          <w:p w14:paraId="49D89408" w14:textId="77777777" w:rsidR="00B13740" w:rsidRPr="00071D0A" w:rsidRDefault="00B13740" w:rsidP="0002235E">
            <w:pPr>
              <w:rPr>
                <w:rFonts w:ascii="Arial Narrow" w:hAnsi="Arial Narrow"/>
                <w:sz w:val="20"/>
                <w:szCs w:val="20"/>
              </w:rPr>
            </w:pPr>
            <w:r>
              <w:rPr>
                <w:rFonts w:ascii="Arial Narrow" w:hAnsi="Arial Narrow"/>
                <w:sz w:val="20"/>
                <w:szCs w:val="20"/>
              </w:rPr>
              <w:t xml:space="preserve">Group 1: </w:t>
            </w:r>
            <w:r w:rsidRPr="00071D0A">
              <w:rPr>
                <w:rFonts w:ascii="Arial Narrow" w:hAnsi="Arial Narrow"/>
                <w:sz w:val="20"/>
                <w:szCs w:val="20"/>
              </w:rPr>
              <w:t>One supply of quetiapine 25 mg</w:t>
            </w:r>
          </w:p>
        </w:tc>
        <w:tc>
          <w:tcPr>
            <w:tcW w:w="1417" w:type="dxa"/>
          </w:tcPr>
          <w:p w14:paraId="14B3DB77"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3,091</w:t>
            </w:r>
          </w:p>
        </w:tc>
        <w:tc>
          <w:tcPr>
            <w:tcW w:w="1418" w:type="dxa"/>
          </w:tcPr>
          <w:p w14:paraId="52F70E90"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29.4%</w:t>
            </w:r>
          </w:p>
        </w:tc>
        <w:tc>
          <w:tcPr>
            <w:tcW w:w="1417" w:type="dxa"/>
          </w:tcPr>
          <w:p w14:paraId="6AF69C34"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3,888</w:t>
            </w:r>
          </w:p>
        </w:tc>
        <w:tc>
          <w:tcPr>
            <w:tcW w:w="1552" w:type="dxa"/>
          </w:tcPr>
          <w:p w14:paraId="11D35454"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37.5%</w:t>
            </w:r>
          </w:p>
        </w:tc>
      </w:tr>
      <w:tr w:rsidR="00B13740" w14:paraId="64B78E14" w14:textId="77777777" w:rsidTr="0002235E">
        <w:tc>
          <w:tcPr>
            <w:tcW w:w="3369" w:type="dxa"/>
            <w:vAlign w:val="bottom"/>
          </w:tcPr>
          <w:p w14:paraId="6714B952" w14:textId="77777777" w:rsidR="00B13740" w:rsidRPr="00071D0A" w:rsidRDefault="00B13740" w:rsidP="0002235E">
            <w:pPr>
              <w:rPr>
                <w:rFonts w:ascii="Arial Narrow" w:hAnsi="Arial Narrow"/>
                <w:sz w:val="20"/>
                <w:szCs w:val="20"/>
              </w:rPr>
            </w:pPr>
            <w:r>
              <w:rPr>
                <w:rFonts w:ascii="Arial Narrow" w:hAnsi="Arial Narrow"/>
                <w:sz w:val="20"/>
                <w:szCs w:val="20"/>
              </w:rPr>
              <w:t xml:space="preserve">Group 2: </w:t>
            </w:r>
            <w:r w:rsidRPr="00071D0A">
              <w:rPr>
                <w:rFonts w:ascii="Arial Narrow" w:hAnsi="Arial Narrow"/>
                <w:sz w:val="20"/>
                <w:szCs w:val="20"/>
              </w:rPr>
              <w:t>More than one supply of quetiapine 25 mg</w:t>
            </w:r>
          </w:p>
        </w:tc>
        <w:tc>
          <w:tcPr>
            <w:tcW w:w="1417" w:type="dxa"/>
          </w:tcPr>
          <w:p w14:paraId="21165AE1"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4,394</w:t>
            </w:r>
          </w:p>
        </w:tc>
        <w:tc>
          <w:tcPr>
            <w:tcW w:w="1418" w:type="dxa"/>
          </w:tcPr>
          <w:p w14:paraId="71A92647"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41.7%</w:t>
            </w:r>
          </w:p>
        </w:tc>
        <w:tc>
          <w:tcPr>
            <w:tcW w:w="1417" w:type="dxa"/>
          </w:tcPr>
          <w:p w14:paraId="012E6902"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3,150</w:t>
            </w:r>
          </w:p>
        </w:tc>
        <w:tc>
          <w:tcPr>
            <w:tcW w:w="1552" w:type="dxa"/>
          </w:tcPr>
          <w:p w14:paraId="6C7F24E6"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30.4%</w:t>
            </w:r>
          </w:p>
        </w:tc>
      </w:tr>
      <w:tr w:rsidR="00B13740" w14:paraId="4C1ED292" w14:textId="77777777" w:rsidTr="0002235E">
        <w:tc>
          <w:tcPr>
            <w:tcW w:w="3369" w:type="dxa"/>
            <w:vAlign w:val="bottom"/>
          </w:tcPr>
          <w:p w14:paraId="70D28AAD" w14:textId="77777777" w:rsidR="00B13740" w:rsidRPr="00071D0A" w:rsidRDefault="00B13740" w:rsidP="0002235E">
            <w:pPr>
              <w:rPr>
                <w:rFonts w:ascii="Arial Narrow" w:hAnsi="Arial Narrow"/>
                <w:sz w:val="20"/>
                <w:szCs w:val="20"/>
              </w:rPr>
            </w:pPr>
            <w:r>
              <w:rPr>
                <w:rFonts w:ascii="Arial Narrow" w:hAnsi="Arial Narrow"/>
                <w:sz w:val="20"/>
                <w:szCs w:val="20"/>
              </w:rPr>
              <w:t xml:space="preserve">Group 3: </w:t>
            </w:r>
            <w:r w:rsidRPr="00071D0A">
              <w:rPr>
                <w:rFonts w:ascii="Arial Narrow" w:hAnsi="Arial Narrow"/>
                <w:sz w:val="20"/>
                <w:szCs w:val="20"/>
              </w:rPr>
              <w:t>Received a higher strength of quetiapine</w:t>
            </w:r>
          </w:p>
        </w:tc>
        <w:tc>
          <w:tcPr>
            <w:tcW w:w="1417" w:type="dxa"/>
          </w:tcPr>
          <w:p w14:paraId="581F00E3"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2,254</w:t>
            </w:r>
          </w:p>
        </w:tc>
        <w:tc>
          <w:tcPr>
            <w:tcW w:w="1418" w:type="dxa"/>
          </w:tcPr>
          <w:p w14:paraId="3871EFD6"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21.4%</w:t>
            </w:r>
          </w:p>
        </w:tc>
        <w:tc>
          <w:tcPr>
            <w:tcW w:w="1417" w:type="dxa"/>
          </w:tcPr>
          <w:p w14:paraId="060AC9C0"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2,513</w:t>
            </w:r>
          </w:p>
        </w:tc>
        <w:tc>
          <w:tcPr>
            <w:tcW w:w="1552" w:type="dxa"/>
          </w:tcPr>
          <w:p w14:paraId="66EA7887"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24.3%</w:t>
            </w:r>
          </w:p>
        </w:tc>
      </w:tr>
      <w:tr w:rsidR="00B13740" w14:paraId="46791802" w14:textId="77777777" w:rsidTr="0002235E">
        <w:tc>
          <w:tcPr>
            <w:tcW w:w="3369" w:type="dxa"/>
            <w:vAlign w:val="bottom"/>
          </w:tcPr>
          <w:p w14:paraId="55810AB9" w14:textId="77777777" w:rsidR="00B13740" w:rsidRPr="00071D0A" w:rsidRDefault="00B13740" w:rsidP="0002235E">
            <w:pPr>
              <w:rPr>
                <w:rFonts w:ascii="Arial Narrow" w:hAnsi="Arial Narrow"/>
                <w:sz w:val="20"/>
                <w:szCs w:val="20"/>
              </w:rPr>
            </w:pPr>
            <w:r>
              <w:rPr>
                <w:rFonts w:ascii="Arial Narrow" w:hAnsi="Arial Narrow"/>
                <w:sz w:val="20"/>
                <w:szCs w:val="20"/>
              </w:rPr>
              <w:t>Group 4: Quet</w:t>
            </w:r>
            <w:r w:rsidRPr="00071D0A">
              <w:rPr>
                <w:rFonts w:ascii="Arial Narrow" w:hAnsi="Arial Narrow"/>
                <w:sz w:val="20"/>
                <w:szCs w:val="20"/>
              </w:rPr>
              <w:t>iapine 25 mg to another antipsychotic</w:t>
            </w:r>
          </w:p>
        </w:tc>
        <w:tc>
          <w:tcPr>
            <w:tcW w:w="1417" w:type="dxa"/>
          </w:tcPr>
          <w:p w14:paraId="52853352"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788</w:t>
            </w:r>
          </w:p>
        </w:tc>
        <w:tc>
          <w:tcPr>
            <w:tcW w:w="1418" w:type="dxa"/>
          </w:tcPr>
          <w:p w14:paraId="5B0EC201" w14:textId="77777777" w:rsidR="00B13740" w:rsidRPr="00071D0A" w:rsidRDefault="00B13740" w:rsidP="0002235E">
            <w:pPr>
              <w:jc w:val="center"/>
              <w:rPr>
                <w:rFonts w:ascii="Arial Narrow" w:hAnsi="Arial Narrow"/>
                <w:sz w:val="20"/>
                <w:szCs w:val="20"/>
              </w:rPr>
            </w:pPr>
            <w:r w:rsidRPr="00071D0A">
              <w:rPr>
                <w:rFonts w:ascii="Arial Narrow" w:hAnsi="Arial Narrow"/>
                <w:sz w:val="20"/>
                <w:szCs w:val="20"/>
              </w:rPr>
              <w:t>7.5%</w:t>
            </w:r>
          </w:p>
        </w:tc>
        <w:tc>
          <w:tcPr>
            <w:tcW w:w="1417" w:type="dxa"/>
          </w:tcPr>
          <w:p w14:paraId="60358BCF"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808</w:t>
            </w:r>
          </w:p>
        </w:tc>
        <w:tc>
          <w:tcPr>
            <w:tcW w:w="1552" w:type="dxa"/>
          </w:tcPr>
          <w:p w14:paraId="0141702D" w14:textId="77777777" w:rsidR="00B13740" w:rsidRPr="00071D0A" w:rsidRDefault="00B13740" w:rsidP="0002235E">
            <w:pPr>
              <w:jc w:val="center"/>
              <w:rPr>
                <w:rFonts w:ascii="Arial Narrow" w:hAnsi="Arial Narrow"/>
                <w:sz w:val="20"/>
                <w:szCs w:val="20"/>
              </w:rPr>
            </w:pPr>
            <w:r w:rsidRPr="00646664">
              <w:rPr>
                <w:rFonts w:ascii="Arial Narrow" w:hAnsi="Arial Narrow"/>
                <w:sz w:val="20"/>
                <w:szCs w:val="20"/>
              </w:rPr>
              <w:t>7.8%</w:t>
            </w:r>
          </w:p>
        </w:tc>
      </w:tr>
    </w:tbl>
    <w:p w14:paraId="3FA26F9E" w14:textId="77777777" w:rsidR="006F7EB0" w:rsidRDefault="006F7EB0" w:rsidP="006463D2">
      <w:pPr>
        <w:spacing w:after="0"/>
      </w:pPr>
    </w:p>
    <w:p w14:paraId="071B6F15" w14:textId="330F81F3" w:rsidR="00B35492" w:rsidRDefault="009063B4" w:rsidP="006F7EB0">
      <w:r>
        <w:t>Compared to the pre-cohort, a higher number of patients in the post-cohort may have commenced therapy on the 25 mg strength for an off-</w:t>
      </w:r>
      <w:r w:rsidR="002A4984">
        <w:t xml:space="preserve">label </w:t>
      </w:r>
      <w:r>
        <w:t>indication, inferred from the receipt of only a single supply (3,888 vs. 3,091 patients, Table 2).</w:t>
      </w:r>
      <w:r w:rsidR="00A63AE9">
        <w:t xml:space="preserve"> </w:t>
      </w:r>
      <w:r w:rsidR="00916970">
        <w:t>Of the 37.5% of patients in the post-cohort who received only one supply of quetiapine (Table 2), the majority (68.8%) of these patients were aged between 20 to 59 years, with 14.6% aged between 60 to 79</w:t>
      </w:r>
      <w:r w:rsidR="00081DFE">
        <w:t> </w:t>
      </w:r>
      <w:r w:rsidR="00916970">
        <w:t>years and 7.8% aged 80 years or more. The representation of patients aged less than 20</w:t>
      </w:r>
      <w:r w:rsidR="00081DFE">
        <w:t> </w:t>
      </w:r>
      <w:r w:rsidR="00916970">
        <w:t>years within this group was 8.7%.</w:t>
      </w:r>
      <w:r w:rsidR="00AE1D1B">
        <w:t xml:space="preserve"> </w:t>
      </w:r>
      <w:r w:rsidR="00A63AE9">
        <w:t xml:space="preserve">There were </w:t>
      </w:r>
      <w:r w:rsidR="004C0A0B">
        <w:t>fewer</w:t>
      </w:r>
      <w:r w:rsidR="00A63AE9">
        <w:t xml:space="preserve"> patients </w:t>
      </w:r>
      <w:r w:rsidR="00FF6A07">
        <w:t xml:space="preserve">in the post-cohort who received </w:t>
      </w:r>
      <w:r w:rsidR="00A63AE9">
        <w:t xml:space="preserve">multiple scripts for the 25 mg strength due to the restriction change of zero repeats (Table 2). However, nearly one-third (30.4%) of </w:t>
      </w:r>
      <w:r w:rsidR="00FF6A07">
        <w:t xml:space="preserve">the post-cohort </w:t>
      </w:r>
      <w:r w:rsidR="00A63AE9">
        <w:t xml:space="preserve">patients still received a multiple supply of the 25 mg strength despite the restriction change. </w:t>
      </w:r>
    </w:p>
    <w:p w14:paraId="15C75CD6" w14:textId="7A8F12CF" w:rsidR="00372FE7" w:rsidRDefault="00720070" w:rsidP="006F7EB0">
      <w:r>
        <w:t xml:space="preserve">For </w:t>
      </w:r>
      <w:r w:rsidR="00380148">
        <w:t>the 3,150 patients in the post-cohort group who received multiple supplies</w:t>
      </w:r>
      <w:r>
        <w:t xml:space="preserve"> of quetiapine 25 mg, the number of supplies and time on therapy</w:t>
      </w:r>
      <w:r w:rsidR="00462060">
        <w:t xml:space="preserve"> by age is summarised in Table 3</w:t>
      </w:r>
      <w:r w:rsidR="00380148">
        <w:t>. Older persons tended to have a higher number of supplies and longer time on therapy with quetiapine 25 mg compare</w:t>
      </w:r>
      <w:r w:rsidR="00C646B9">
        <w:t>d to younger age groups (Table 3</w:t>
      </w:r>
      <w:r w:rsidR="00380148">
        <w:t>).</w:t>
      </w:r>
    </w:p>
    <w:p w14:paraId="732C511B" w14:textId="1704AEA5" w:rsidR="00802978" w:rsidRPr="00CE2BC1" w:rsidRDefault="00462060" w:rsidP="006F7EB0">
      <w:pPr>
        <w:rPr>
          <w:b/>
        </w:rPr>
      </w:pPr>
      <w:r w:rsidRPr="00CE2BC1">
        <w:rPr>
          <w:b/>
        </w:rPr>
        <w:t>Table 3</w:t>
      </w:r>
      <w:r w:rsidR="00380148" w:rsidRPr="00CE2BC1">
        <w:rPr>
          <w:b/>
        </w:rPr>
        <w:t>. Comparison of multiple use of quetiapine 25 mg by age</w:t>
      </w:r>
    </w:p>
    <w:tbl>
      <w:tblPr>
        <w:tblW w:w="8260" w:type="dxa"/>
        <w:tblInd w:w="93" w:type="dxa"/>
        <w:tblLook w:val="04A0" w:firstRow="1" w:lastRow="0" w:firstColumn="1" w:lastColumn="0" w:noHBand="0" w:noVBand="1"/>
        <w:tblCaption w:val="Table 3"/>
        <w:tblDescription w:val="Table comparing the number of supplies of 25 mg quetiapine and time on therapy with this strength in the following age groups: less than 20 years; 20 to 59 years; 60 to 79 years; and 80 years or more.The results are based on a cohort of patients who initiated on quetiapine 25 mg after its restriction changed to allow no repeats from January 2014."/>
      </w:tblPr>
      <w:tblGrid>
        <w:gridCol w:w="2000"/>
        <w:gridCol w:w="1240"/>
        <w:gridCol w:w="1066"/>
        <w:gridCol w:w="1394"/>
        <w:gridCol w:w="1110"/>
        <w:gridCol w:w="1450"/>
      </w:tblGrid>
      <w:tr w:rsidR="008453E4" w:rsidRPr="008453E4" w14:paraId="75ADF511" w14:textId="77777777" w:rsidTr="008453E4">
        <w:trPr>
          <w:trHeight w:val="300"/>
        </w:trPr>
        <w:tc>
          <w:tcPr>
            <w:tcW w:w="2000" w:type="dxa"/>
            <w:tcBorders>
              <w:top w:val="single" w:sz="4" w:space="0" w:color="auto"/>
              <w:left w:val="single" w:sz="4" w:space="0" w:color="auto"/>
              <w:bottom w:val="nil"/>
              <w:right w:val="single" w:sz="4" w:space="0" w:color="auto"/>
            </w:tcBorders>
            <w:shd w:val="clear" w:color="auto" w:fill="auto"/>
            <w:noWrap/>
            <w:vAlign w:val="bottom"/>
            <w:hideMark/>
          </w:tcPr>
          <w:p w14:paraId="0E665B93"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Age category</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D3E18F" w14:textId="4CC85A2A" w:rsidR="008453E4" w:rsidRPr="008453E4" w:rsidRDefault="008453E4" w:rsidP="008453E4">
            <w:pPr>
              <w:spacing w:after="0"/>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N</w:t>
            </w:r>
          </w:p>
        </w:tc>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0E58B"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Number of supplies</w:t>
            </w:r>
          </w:p>
        </w:tc>
        <w:tc>
          <w:tcPr>
            <w:tcW w:w="25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F2E0FB"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Time on therapy (days)</w:t>
            </w:r>
          </w:p>
        </w:tc>
      </w:tr>
      <w:tr w:rsidR="008453E4" w:rsidRPr="008453E4" w14:paraId="7B81CBF7" w14:textId="77777777" w:rsidTr="008453E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D9F7EFE"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 </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5AD7ACD0"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14:paraId="1F0D9FE6"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Mean</w:t>
            </w:r>
          </w:p>
        </w:tc>
        <w:tc>
          <w:tcPr>
            <w:tcW w:w="1394" w:type="dxa"/>
            <w:tcBorders>
              <w:top w:val="nil"/>
              <w:left w:val="nil"/>
              <w:bottom w:val="single" w:sz="4" w:space="0" w:color="auto"/>
              <w:right w:val="single" w:sz="4" w:space="0" w:color="auto"/>
            </w:tcBorders>
            <w:shd w:val="clear" w:color="auto" w:fill="auto"/>
            <w:noWrap/>
            <w:vAlign w:val="bottom"/>
            <w:hideMark/>
          </w:tcPr>
          <w:p w14:paraId="68BC0974"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Median</w:t>
            </w:r>
          </w:p>
        </w:tc>
        <w:tc>
          <w:tcPr>
            <w:tcW w:w="1110" w:type="dxa"/>
            <w:tcBorders>
              <w:top w:val="nil"/>
              <w:left w:val="nil"/>
              <w:bottom w:val="single" w:sz="4" w:space="0" w:color="auto"/>
              <w:right w:val="single" w:sz="4" w:space="0" w:color="auto"/>
            </w:tcBorders>
            <w:shd w:val="clear" w:color="auto" w:fill="auto"/>
            <w:noWrap/>
            <w:vAlign w:val="bottom"/>
            <w:hideMark/>
          </w:tcPr>
          <w:p w14:paraId="10C38B3F"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Mean</w:t>
            </w:r>
          </w:p>
        </w:tc>
        <w:tc>
          <w:tcPr>
            <w:tcW w:w="1450" w:type="dxa"/>
            <w:tcBorders>
              <w:top w:val="nil"/>
              <w:left w:val="nil"/>
              <w:bottom w:val="single" w:sz="4" w:space="0" w:color="auto"/>
              <w:right w:val="single" w:sz="4" w:space="0" w:color="auto"/>
            </w:tcBorders>
            <w:shd w:val="clear" w:color="auto" w:fill="auto"/>
            <w:noWrap/>
            <w:vAlign w:val="bottom"/>
            <w:hideMark/>
          </w:tcPr>
          <w:p w14:paraId="38C1BD23" w14:textId="77777777" w:rsidR="008453E4" w:rsidRPr="008453E4" w:rsidRDefault="008453E4" w:rsidP="008453E4">
            <w:pPr>
              <w:spacing w:after="0"/>
              <w:jc w:val="center"/>
              <w:rPr>
                <w:rFonts w:ascii="Arial Narrow" w:eastAsia="Times New Roman" w:hAnsi="Arial Narrow" w:cs="Times New Roman"/>
                <w:b/>
                <w:bCs/>
                <w:color w:val="000000"/>
                <w:sz w:val="20"/>
                <w:szCs w:val="20"/>
              </w:rPr>
            </w:pPr>
            <w:r w:rsidRPr="008453E4">
              <w:rPr>
                <w:rFonts w:ascii="Arial Narrow" w:eastAsia="Times New Roman" w:hAnsi="Arial Narrow" w:cs="Times New Roman"/>
                <w:b/>
                <w:bCs/>
                <w:color w:val="000000"/>
                <w:sz w:val="20"/>
                <w:szCs w:val="20"/>
              </w:rPr>
              <w:t>Median</w:t>
            </w:r>
          </w:p>
        </w:tc>
      </w:tr>
      <w:tr w:rsidR="008453E4" w:rsidRPr="008453E4" w14:paraId="1539075A" w14:textId="77777777" w:rsidTr="008453E4">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C448" w14:textId="77777777" w:rsidR="008453E4" w:rsidRPr="008453E4" w:rsidRDefault="008453E4" w:rsidP="008453E4">
            <w:pPr>
              <w:spacing w:after="0"/>
              <w:rPr>
                <w:rFonts w:ascii="Arial Narrow" w:eastAsia="Times New Roman" w:hAnsi="Arial Narrow" w:cs="Times New Roman"/>
                <w:sz w:val="20"/>
                <w:szCs w:val="20"/>
              </w:rPr>
            </w:pPr>
            <w:r w:rsidRPr="008453E4">
              <w:rPr>
                <w:rFonts w:ascii="Arial Narrow" w:eastAsia="Times New Roman" w:hAnsi="Arial Narrow" w:cs="Times New Roman"/>
                <w:sz w:val="20"/>
                <w:szCs w:val="20"/>
              </w:rPr>
              <w:t>Less than 20 years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9C8DA3F"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271</w:t>
            </w:r>
          </w:p>
        </w:tc>
        <w:tc>
          <w:tcPr>
            <w:tcW w:w="1066" w:type="dxa"/>
            <w:tcBorders>
              <w:top w:val="nil"/>
              <w:left w:val="nil"/>
              <w:bottom w:val="single" w:sz="4" w:space="0" w:color="auto"/>
              <w:right w:val="single" w:sz="4" w:space="0" w:color="auto"/>
            </w:tcBorders>
            <w:shd w:val="clear" w:color="auto" w:fill="auto"/>
            <w:noWrap/>
            <w:vAlign w:val="center"/>
            <w:hideMark/>
          </w:tcPr>
          <w:p w14:paraId="19695F6E"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3.6</w:t>
            </w:r>
          </w:p>
        </w:tc>
        <w:tc>
          <w:tcPr>
            <w:tcW w:w="1394" w:type="dxa"/>
            <w:tcBorders>
              <w:top w:val="nil"/>
              <w:left w:val="nil"/>
              <w:bottom w:val="single" w:sz="4" w:space="0" w:color="auto"/>
              <w:right w:val="single" w:sz="4" w:space="0" w:color="auto"/>
            </w:tcBorders>
            <w:shd w:val="clear" w:color="auto" w:fill="auto"/>
            <w:noWrap/>
            <w:vAlign w:val="center"/>
            <w:hideMark/>
          </w:tcPr>
          <w:p w14:paraId="7A7ECFCE"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3</w:t>
            </w:r>
          </w:p>
        </w:tc>
        <w:tc>
          <w:tcPr>
            <w:tcW w:w="1110" w:type="dxa"/>
            <w:tcBorders>
              <w:top w:val="nil"/>
              <w:left w:val="nil"/>
              <w:bottom w:val="single" w:sz="4" w:space="0" w:color="auto"/>
              <w:right w:val="single" w:sz="4" w:space="0" w:color="auto"/>
            </w:tcBorders>
            <w:shd w:val="clear" w:color="auto" w:fill="auto"/>
            <w:noWrap/>
            <w:vAlign w:val="center"/>
            <w:hideMark/>
          </w:tcPr>
          <w:p w14:paraId="6DF711A9"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179.4</w:t>
            </w:r>
          </w:p>
        </w:tc>
        <w:tc>
          <w:tcPr>
            <w:tcW w:w="1450" w:type="dxa"/>
            <w:tcBorders>
              <w:top w:val="nil"/>
              <w:left w:val="nil"/>
              <w:bottom w:val="single" w:sz="4" w:space="0" w:color="auto"/>
              <w:right w:val="single" w:sz="4" w:space="0" w:color="auto"/>
            </w:tcBorders>
            <w:shd w:val="clear" w:color="auto" w:fill="auto"/>
            <w:noWrap/>
            <w:vAlign w:val="center"/>
            <w:hideMark/>
          </w:tcPr>
          <w:p w14:paraId="3A6D7BF4"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163</w:t>
            </w:r>
          </w:p>
        </w:tc>
      </w:tr>
      <w:tr w:rsidR="008453E4" w:rsidRPr="008453E4" w14:paraId="359D3A67" w14:textId="77777777" w:rsidTr="008453E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47DBB4A7" w14:textId="77777777" w:rsidR="008453E4" w:rsidRPr="008453E4" w:rsidRDefault="008453E4" w:rsidP="008453E4">
            <w:pPr>
              <w:spacing w:after="0"/>
              <w:rPr>
                <w:rFonts w:ascii="Arial Narrow" w:eastAsia="Times New Roman" w:hAnsi="Arial Narrow" w:cs="Times New Roman"/>
                <w:sz w:val="20"/>
                <w:szCs w:val="20"/>
              </w:rPr>
            </w:pPr>
            <w:r w:rsidRPr="008453E4">
              <w:rPr>
                <w:rFonts w:ascii="Arial Narrow" w:eastAsia="Times New Roman" w:hAnsi="Arial Narrow" w:cs="Times New Roman"/>
                <w:sz w:val="20"/>
                <w:szCs w:val="20"/>
              </w:rPr>
              <w:t>20 to 59 years</w:t>
            </w:r>
          </w:p>
        </w:tc>
        <w:tc>
          <w:tcPr>
            <w:tcW w:w="1240" w:type="dxa"/>
            <w:tcBorders>
              <w:top w:val="nil"/>
              <w:left w:val="nil"/>
              <w:bottom w:val="single" w:sz="4" w:space="0" w:color="auto"/>
              <w:right w:val="single" w:sz="4" w:space="0" w:color="auto"/>
            </w:tcBorders>
            <w:shd w:val="clear" w:color="auto" w:fill="auto"/>
            <w:noWrap/>
            <w:vAlign w:val="center"/>
            <w:hideMark/>
          </w:tcPr>
          <w:p w14:paraId="52AE43E8" w14:textId="7A241DC5"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1</w:t>
            </w:r>
            <w:r w:rsidR="006E108F">
              <w:rPr>
                <w:rFonts w:ascii="Arial Narrow" w:eastAsia="Times New Roman" w:hAnsi="Arial Narrow" w:cs="Times New Roman"/>
                <w:sz w:val="20"/>
                <w:szCs w:val="20"/>
              </w:rPr>
              <w:t>,</w:t>
            </w:r>
            <w:r w:rsidRPr="008453E4">
              <w:rPr>
                <w:rFonts w:ascii="Arial Narrow" w:eastAsia="Times New Roman" w:hAnsi="Arial Narrow" w:cs="Times New Roman"/>
                <w:sz w:val="20"/>
                <w:szCs w:val="20"/>
              </w:rPr>
              <w:t>741</w:t>
            </w:r>
          </w:p>
        </w:tc>
        <w:tc>
          <w:tcPr>
            <w:tcW w:w="1066" w:type="dxa"/>
            <w:tcBorders>
              <w:top w:val="nil"/>
              <w:left w:val="nil"/>
              <w:bottom w:val="single" w:sz="4" w:space="0" w:color="auto"/>
              <w:right w:val="single" w:sz="4" w:space="0" w:color="auto"/>
            </w:tcBorders>
            <w:shd w:val="clear" w:color="auto" w:fill="auto"/>
            <w:noWrap/>
            <w:vAlign w:val="center"/>
            <w:hideMark/>
          </w:tcPr>
          <w:p w14:paraId="027001F0"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4.2</w:t>
            </w:r>
          </w:p>
        </w:tc>
        <w:tc>
          <w:tcPr>
            <w:tcW w:w="1394" w:type="dxa"/>
            <w:tcBorders>
              <w:top w:val="nil"/>
              <w:left w:val="nil"/>
              <w:bottom w:val="single" w:sz="4" w:space="0" w:color="auto"/>
              <w:right w:val="single" w:sz="4" w:space="0" w:color="auto"/>
            </w:tcBorders>
            <w:shd w:val="clear" w:color="auto" w:fill="auto"/>
            <w:noWrap/>
            <w:vAlign w:val="center"/>
            <w:hideMark/>
          </w:tcPr>
          <w:p w14:paraId="1E0701D2"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3</w:t>
            </w:r>
          </w:p>
        </w:tc>
        <w:tc>
          <w:tcPr>
            <w:tcW w:w="1110" w:type="dxa"/>
            <w:tcBorders>
              <w:top w:val="nil"/>
              <w:left w:val="nil"/>
              <w:bottom w:val="single" w:sz="4" w:space="0" w:color="auto"/>
              <w:right w:val="single" w:sz="4" w:space="0" w:color="auto"/>
            </w:tcBorders>
            <w:shd w:val="clear" w:color="auto" w:fill="auto"/>
            <w:noWrap/>
            <w:vAlign w:val="center"/>
            <w:hideMark/>
          </w:tcPr>
          <w:p w14:paraId="0DDDA086"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196.1</w:t>
            </w:r>
          </w:p>
        </w:tc>
        <w:tc>
          <w:tcPr>
            <w:tcW w:w="1450" w:type="dxa"/>
            <w:tcBorders>
              <w:top w:val="nil"/>
              <w:left w:val="nil"/>
              <w:bottom w:val="single" w:sz="4" w:space="0" w:color="auto"/>
              <w:right w:val="single" w:sz="4" w:space="0" w:color="auto"/>
            </w:tcBorders>
            <w:shd w:val="clear" w:color="auto" w:fill="auto"/>
            <w:noWrap/>
            <w:vAlign w:val="center"/>
            <w:hideMark/>
          </w:tcPr>
          <w:p w14:paraId="0A63E6E3"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196</w:t>
            </w:r>
          </w:p>
        </w:tc>
      </w:tr>
      <w:tr w:rsidR="008453E4" w:rsidRPr="008453E4" w14:paraId="3921FA42" w14:textId="77777777" w:rsidTr="008453E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BD65423" w14:textId="77777777" w:rsidR="008453E4" w:rsidRPr="008453E4" w:rsidRDefault="008453E4" w:rsidP="008453E4">
            <w:pPr>
              <w:spacing w:after="0"/>
              <w:rPr>
                <w:rFonts w:ascii="Arial Narrow" w:eastAsia="Times New Roman" w:hAnsi="Arial Narrow" w:cs="Times New Roman"/>
                <w:sz w:val="20"/>
                <w:szCs w:val="20"/>
              </w:rPr>
            </w:pPr>
            <w:r w:rsidRPr="008453E4">
              <w:rPr>
                <w:rFonts w:ascii="Arial Narrow" w:eastAsia="Times New Roman" w:hAnsi="Arial Narrow" w:cs="Times New Roman"/>
                <w:sz w:val="20"/>
                <w:szCs w:val="20"/>
              </w:rPr>
              <w:t>60 to 79 years</w:t>
            </w:r>
          </w:p>
        </w:tc>
        <w:tc>
          <w:tcPr>
            <w:tcW w:w="1240" w:type="dxa"/>
            <w:tcBorders>
              <w:top w:val="nil"/>
              <w:left w:val="nil"/>
              <w:bottom w:val="single" w:sz="4" w:space="0" w:color="auto"/>
              <w:right w:val="single" w:sz="4" w:space="0" w:color="auto"/>
            </w:tcBorders>
            <w:shd w:val="clear" w:color="auto" w:fill="auto"/>
            <w:noWrap/>
            <w:vAlign w:val="center"/>
            <w:hideMark/>
          </w:tcPr>
          <w:p w14:paraId="1866B0F0"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587</w:t>
            </w:r>
          </w:p>
        </w:tc>
        <w:tc>
          <w:tcPr>
            <w:tcW w:w="1066" w:type="dxa"/>
            <w:tcBorders>
              <w:top w:val="nil"/>
              <w:left w:val="nil"/>
              <w:bottom w:val="single" w:sz="4" w:space="0" w:color="auto"/>
              <w:right w:val="single" w:sz="4" w:space="0" w:color="auto"/>
            </w:tcBorders>
            <w:shd w:val="clear" w:color="auto" w:fill="auto"/>
            <w:noWrap/>
            <w:vAlign w:val="center"/>
            <w:hideMark/>
          </w:tcPr>
          <w:p w14:paraId="369EA228"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5.1</w:t>
            </w:r>
          </w:p>
        </w:tc>
        <w:tc>
          <w:tcPr>
            <w:tcW w:w="1394" w:type="dxa"/>
            <w:tcBorders>
              <w:top w:val="nil"/>
              <w:left w:val="nil"/>
              <w:bottom w:val="single" w:sz="4" w:space="0" w:color="auto"/>
              <w:right w:val="single" w:sz="4" w:space="0" w:color="auto"/>
            </w:tcBorders>
            <w:shd w:val="clear" w:color="auto" w:fill="auto"/>
            <w:noWrap/>
            <w:vAlign w:val="center"/>
            <w:hideMark/>
          </w:tcPr>
          <w:p w14:paraId="7EBFB07E"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4</w:t>
            </w:r>
          </w:p>
        </w:tc>
        <w:tc>
          <w:tcPr>
            <w:tcW w:w="1110" w:type="dxa"/>
            <w:tcBorders>
              <w:top w:val="nil"/>
              <w:left w:val="nil"/>
              <w:bottom w:val="single" w:sz="4" w:space="0" w:color="auto"/>
              <w:right w:val="single" w:sz="4" w:space="0" w:color="auto"/>
            </w:tcBorders>
            <w:shd w:val="clear" w:color="auto" w:fill="auto"/>
            <w:noWrap/>
            <w:vAlign w:val="center"/>
            <w:hideMark/>
          </w:tcPr>
          <w:p w14:paraId="1AE2DB6B"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233.6</w:t>
            </w:r>
          </w:p>
        </w:tc>
        <w:tc>
          <w:tcPr>
            <w:tcW w:w="1450" w:type="dxa"/>
            <w:tcBorders>
              <w:top w:val="nil"/>
              <w:left w:val="nil"/>
              <w:bottom w:val="single" w:sz="4" w:space="0" w:color="auto"/>
              <w:right w:val="single" w:sz="4" w:space="0" w:color="auto"/>
            </w:tcBorders>
            <w:shd w:val="clear" w:color="auto" w:fill="auto"/>
            <w:noWrap/>
            <w:vAlign w:val="center"/>
            <w:hideMark/>
          </w:tcPr>
          <w:p w14:paraId="0C086547"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280</w:t>
            </w:r>
          </w:p>
        </w:tc>
      </w:tr>
      <w:tr w:rsidR="008453E4" w:rsidRPr="008453E4" w14:paraId="6554D572" w14:textId="77777777" w:rsidTr="008453E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78A88EC" w14:textId="77777777" w:rsidR="008453E4" w:rsidRPr="008453E4" w:rsidRDefault="008453E4" w:rsidP="008453E4">
            <w:pPr>
              <w:spacing w:after="0"/>
              <w:rPr>
                <w:rFonts w:ascii="Arial Narrow" w:eastAsia="Times New Roman" w:hAnsi="Arial Narrow" w:cs="Times New Roman"/>
                <w:sz w:val="20"/>
                <w:szCs w:val="20"/>
              </w:rPr>
            </w:pPr>
            <w:r w:rsidRPr="008453E4">
              <w:rPr>
                <w:rFonts w:ascii="Arial Narrow" w:eastAsia="Times New Roman" w:hAnsi="Arial Narrow" w:cs="Times New Roman"/>
                <w:sz w:val="20"/>
                <w:szCs w:val="20"/>
              </w:rPr>
              <w:t>80 years and over</w:t>
            </w:r>
          </w:p>
        </w:tc>
        <w:tc>
          <w:tcPr>
            <w:tcW w:w="1240" w:type="dxa"/>
            <w:tcBorders>
              <w:top w:val="nil"/>
              <w:left w:val="nil"/>
              <w:bottom w:val="single" w:sz="4" w:space="0" w:color="auto"/>
              <w:right w:val="single" w:sz="4" w:space="0" w:color="auto"/>
            </w:tcBorders>
            <w:shd w:val="clear" w:color="auto" w:fill="auto"/>
            <w:noWrap/>
            <w:vAlign w:val="center"/>
            <w:hideMark/>
          </w:tcPr>
          <w:p w14:paraId="48B3A27F"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518</w:t>
            </w:r>
          </w:p>
        </w:tc>
        <w:tc>
          <w:tcPr>
            <w:tcW w:w="1066" w:type="dxa"/>
            <w:tcBorders>
              <w:top w:val="nil"/>
              <w:left w:val="nil"/>
              <w:bottom w:val="single" w:sz="4" w:space="0" w:color="auto"/>
              <w:right w:val="single" w:sz="4" w:space="0" w:color="auto"/>
            </w:tcBorders>
            <w:shd w:val="clear" w:color="auto" w:fill="auto"/>
            <w:noWrap/>
            <w:vAlign w:val="center"/>
            <w:hideMark/>
          </w:tcPr>
          <w:p w14:paraId="2E6DB708"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5.6</w:t>
            </w:r>
          </w:p>
        </w:tc>
        <w:tc>
          <w:tcPr>
            <w:tcW w:w="1394" w:type="dxa"/>
            <w:tcBorders>
              <w:top w:val="nil"/>
              <w:left w:val="nil"/>
              <w:bottom w:val="single" w:sz="4" w:space="0" w:color="auto"/>
              <w:right w:val="single" w:sz="4" w:space="0" w:color="auto"/>
            </w:tcBorders>
            <w:shd w:val="clear" w:color="auto" w:fill="auto"/>
            <w:noWrap/>
            <w:vAlign w:val="center"/>
            <w:hideMark/>
          </w:tcPr>
          <w:p w14:paraId="42138007"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5</w:t>
            </w:r>
          </w:p>
        </w:tc>
        <w:tc>
          <w:tcPr>
            <w:tcW w:w="1110" w:type="dxa"/>
            <w:tcBorders>
              <w:top w:val="nil"/>
              <w:left w:val="nil"/>
              <w:bottom w:val="single" w:sz="4" w:space="0" w:color="auto"/>
              <w:right w:val="single" w:sz="4" w:space="0" w:color="auto"/>
            </w:tcBorders>
            <w:shd w:val="clear" w:color="auto" w:fill="auto"/>
            <w:noWrap/>
            <w:vAlign w:val="center"/>
            <w:hideMark/>
          </w:tcPr>
          <w:p w14:paraId="01236962"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228.3</w:t>
            </w:r>
          </w:p>
        </w:tc>
        <w:tc>
          <w:tcPr>
            <w:tcW w:w="1450" w:type="dxa"/>
            <w:tcBorders>
              <w:top w:val="nil"/>
              <w:left w:val="nil"/>
              <w:bottom w:val="single" w:sz="4" w:space="0" w:color="auto"/>
              <w:right w:val="single" w:sz="4" w:space="0" w:color="auto"/>
            </w:tcBorders>
            <w:shd w:val="clear" w:color="auto" w:fill="auto"/>
            <w:noWrap/>
            <w:vAlign w:val="center"/>
            <w:hideMark/>
          </w:tcPr>
          <w:p w14:paraId="468E8A1A" w14:textId="77777777" w:rsidR="008453E4" w:rsidRPr="008453E4" w:rsidRDefault="008453E4" w:rsidP="008453E4">
            <w:pPr>
              <w:spacing w:after="0"/>
              <w:jc w:val="center"/>
              <w:rPr>
                <w:rFonts w:ascii="Arial Narrow" w:eastAsia="Times New Roman" w:hAnsi="Arial Narrow" w:cs="Times New Roman"/>
                <w:sz w:val="20"/>
                <w:szCs w:val="20"/>
              </w:rPr>
            </w:pPr>
            <w:r w:rsidRPr="008453E4">
              <w:rPr>
                <w:rFonts w:ascii="Arial Narrow" w:eastAsia="Times New Roman" w:hAnsi="Arial Narrow" w:cs="Times New Roman"/>
                <w:sz w:val="20"/>
                <w:szCs w:val="20"/>
              </w:rPr>
              <w:t>273</w:t>
            </w:r>
          </w:p>
        </w:tc>
      </w:tr>
    </w:tbl>
    <w:p w14:paraId="1B4CD302" w14:textId="1706CC71" w:rsidR="00802978" w:rsidRDefault="00063E7A" w:rsidP="006F7EB0">
      <w:pPr>
        <w:rPr>
          <w:sz w:val="20"/>
          <w:szCs w:val="20"/>
        </w:rPr>
      </w:pPr>
      <w:r w:rsidRPr="00063E7A">
        <w:rPr>
          <w:sz w:val="20"/>
          <w:szCs w:val="20"/>
        </w:rPr>
        <w:t>Note: Excludes 33 patients who did not have information to determine their age at initiation.</w:t>
      </w:r>
    </w:p>
    <w:p w14:paraId="66AF5956" w14:textId="6720D8A4" w:rsidR="00B8296A" w:rsidRPr="00296A39" w:rsidRDefault="00DF26AD" w:rsidP="006F7EB0">
      <w:r>
        <w:t xml:space="preserve">The </w:t>
      </w:r>
      <w:r w:rsidR="00BF124F">
        <w:t xml:space="preserve">use of quetiapine as an adjunctive treatment in depression </w:t>
      </w:r>
      <w:r>
        <w:t xml:space="preserve">was investigated. </w:t>
      </w:r>
      <w:r w:rsidR="00296A39">
        <w:t xml:space="preserve">The methods and results are provided in </w:t>
      </w:r>
      <w:r w:rsidR="008E6189">
        <w:t>Appendix 4</w:t>
      </w:r>
      <w:r w:rsidR="00296A39">
        <w:t xml:space="preserve">. A 10% sample was obtained for patients </w:t>
      </w:r>
      <w:r w:rsidR="00296A39">
        <w:lastRenderedPageBreak/>
        <w:t>initiating on either quetiapine 25 mg or an antidepressant between July to December 2014. Patients were followed-up over 12 months from the date of their initiation.  A relatively large number of patients (n=4,430, scaled to 100% from the 10% sample) were estimated to have used quetiapine 25 mg with an antidepressant.</w:t>
      </w:r>
    </w:p>
    <w:p w14:paraId="31272503" w14:textId="77777777" w:rsidR="00566406" w:rsidRPr="00566406" w:rsidRDefault="00566406" w:rsidP="00566406">
      <w:pPr>
        <w:pStyle w:val="Heading3"/>
        <w:rPr>
          <w:i w:val="0"/>
        </w:rPr>
      </w:pPr>
      <w:r w:rsidRPr="00566406">
        <w:rPr>
          <w:i w:val="0"/>
        </w:rPr>
        <w:t>Time to refill quetiapine 25 mg</w:t>
      </w:r>
    </w:p>
    <w:p w14:paraId="292C8743" w14:textId="4FC7C939" w:rsidR="003D4FD7" w:rsidRDefault="00133C3A" w:rsidP="00A47C40">
      <w:pPr>
        <w:rPr>
          <w:b/>
          <w:i/>
        </w:rPr>
      </w:pPr>
      <w:r>
        <w:t>The use of quetiapine 25 mg as a once daily dose</w:t>
      </w:r>
      <w:r w:rsidR="00EF7220">
        <w:t xml:space="preserve"> </w:t>
      </w:r>
      <w:r>
        <w:t xml:space="preserve">(i.e. with around 60 days between refills) or as required (prn) </w:t>
      </w:r>
      <w:r w:rsidR="00EF7220">
        <w:t>was investigated</w:t>
      </w:r>
      <w:r w:rsidR="00257DFC">
        <w:t xml:space="preserve"> for the cohorts presented in Table 2 who only received multiple supplies of quetiapine (‘quetiapine only’ group) or who received a higher strength of quetiapine or another antipsychotic after quetiapine 25 mg (‘all use’ group)</w:t>
      </w:r>
      <w:r w:rsidR="00EF7220">
        <w:t xml:space="preserve">. </w:t>
      </w:r>
      <w:r w:rsidR="00133988">
        <w:t>Once</w:t>
      </w:r>
      <w:r w:rsidR="00257DFC">
        <w:t xml:space="preserve"> daily or prn</w:t>
      </w:r>
      <w:r w:rsidR="00EF7220">
        <w:t xml:space="preserve"> use would indicate that the 25 mg strength, usually given twice daily, is being used for reasons other than as titration for the treatment of schizophrenia or bipolar I disorder.</w:t>
      </w:r>
      <w:r w:rsidR="009209CB">
        <w:t xml:space="preserve"> Patients initiating pre- and post- the restriction change for quetiapine 25 mg from January 2014 were compared. </w:t>
      </w:r>
    </w:p>
    <w:p w14:paraId="5C863F10" w14:textId="6368F8C3" w:rsidR="00C07AF5" w:rsidRDefault="00C73F95" w:rsidP="00A47C40">
      <w:r>
        <w:rPr>
          <w:noProof/>
        </w:rPr>
        <w:drawing>
          <wp:inline distT="0" distB="0" distL="0" distR="0" wp14:anchorId="02674404" wp14:editId="3C2C893F">
            <wp:extent cx="5705475" cy="3845877"/>
            <wp:effectExtent l="0" t="0" r="0" b="2540"/>
            <wp:docPr id="2" name="Picture 2" descr="A graph showing the time to refill a prescription for quetiapine 25 mg for patient cohorts who initiated on this strength before and after its restriction change to allow no repeats from January 2014."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190" cy="3852426"/>
                    </a:xfrm>
                    <a:prstGeom prst="rect">
                      <a:avLst/>
                    </a:prstGeom>
                    <a:noFill/>
                  </pic:spPr>
                </pic:pic>
              </a:graphicData>
            </a:graphic>
          </wp:inline>
        </w:drawing>
      </w:r>
    </w:p>
    <w:p w14:paraId="78AC2EA8" w14:textId="4B6A5A92" w:rsidR="009209CB" w:rsidRPr="005528EF" w:rsidRDefault="00F5721A" w:rsidP="009209CB">
      <w:pPr>
        <w:spacing w:after="0"/>
        <w:rPr>
          <w:b/>
        </w:rPr>
      </w:pPr>
      <w:r w:rsidRPr="005528EF">
        <w:rPr>
          <w:b/>
        </w:rPr>
        <w:t>Figure 8</w:t>
      </w:r>
      <w:r w:rsidR="009209CB" w:rsidRPr="005528EF">
        <w:rPr>
          <w:b/>
        </w:rPr>
        <w:t>. Quetiapine 25 mg scripts supplied pre- and post- the listing c</w:t>
      </w:r>
      <w:r w:rsidR="00C73F95" w:rsidRPr="005528EF">
        <w:rPr>
          <w:b/>
        </w:rPr>
        <w:t xml:space="preserve">hange from January 2014 with 6 </w:t>
      </w:r>
      <w:r w:rsidR="009209CB" w:rsidRPr="005528EF">
        <w:rPr>
          <w:b/>
        </w:rPr>
        <w:t>months follow-up</w:t>
      </w:r>
    </w:p>
    <w:p w14:paraId="07510134" w14:textId="77777777" w:rsidR="009209CB" w:rsidRDefault="009209CB" w:rsidP="009209CB">
      <w:pPr>
        <w:spacing w:after="0"/>
        <w:rPr>
          <w:b/>
          <w:sz w:val="20"/>
          <w:szCs w:val="20"/>
        </w:rPr>
      </w:pPr>
    </w:p>
    <w:p w14:paraId="58FDD4F0" w14:textId="12562625" w:rsidR="00813C45" w:rsidRPr="007579AF" w:rsidRDefault="00490300" w:rsidP="00855F82">
      <w:pPr>
        <w:spacing w:after="0"/>
      </w:pPr>
      <w:r>
        <w:t>For all pre- and post- cohorts,</w:t>
      </w:r>
      <w:r w:rsidR="00A34590">
        <w:t xml:space="preserve"> a second peak refilling from 55</w:t>
      </w:r>
      <w:r>
        <w:t xml:space="preserve"> to</w:t>
      </w:r>
      <w:r w:rsidR="00A34590">
        <w:t xml:space="preserve"> 65</w:t>
      </w:r>
      <w:r w:rsidR="00731F57">
        <w:t xml:space="preserve"> days was evident</w:t>
      </w:r>
      <w:r w:rsidR="00F5721A">
        <w:t xml:space="preserve"> (Figure 8</w:t>
      </w:r>
      <w:r w:rsidR="00A34590">
        <w:t>).</w:t>
      </w:r>
      <w:r w:rsidR="00731F57">
        <w:t xml:space="preserve"> </w:t>
      </w:r>
      <w:r w:rsidR="00AD127D">
        <w:t>Nearly one-fifth (18%) of patients in the post</w:t>
      </w:r>
      <w:r w:rsidR="00B62969">
        <w:t>-</w:t>
      </w:r>
      <w:r w:rsidR="00AD127D">
        <w:t xml:space="preserve"> quetiapine only group received a refill between 55 to 65 day</w:t>
      </w:r>
      <w:r w:rsidR="00F5721A">
        <w:t>s from the last supply (Figure 8</w:t>
      </w:r>
      <w:r w:rsidR="00AD127D">
        <w:t>). This suggests that quetiapine 25</w:t>
      </w:r>
      <w:r w:rsidR="00081DFE">
        <w:t> </w:t>
      </w:r>
      <w:r w:rsidR="00AD127D">
        <w:t xml:space="preserve">mg was potentially being used off-label as a once daily or prn dose in a relatively large number of patients. </w:t>
      </w:r>
    </w:p>
    <w:p w14:paraId="4F8723A6" w14:textId="3B792516" w:rsidR="00736041" w:rsidRPr="005E22C2" w:rsidRDefault="001B5D37" w:rsidP="00F73113">
      <w:pPr>
        <w:pStyle w:val="Heading2"/>
      </w:pPr>
      <w:r w:rsidRPr="005E22C2">
        <w:lastRenderedPageBreak/>
        <w:t xml:space="preserve">Analysis </w:t>
      </w:r>
      <w:r w:rsidR="00481108" w:rsidRPr="005E22C2">
        <w:t xml:space="preserve">of </w:t>
      </w:r>
      <w:r w:rsidR="0063631C">
        <w:t>e</w:t>
      </w:r>
      <w:r w:rsidR="00736041" w:rsidRPr="005E22C2">
        <w:t>xpenditure</w:t>
      </w:r>
    </w:p>
    <w:p w14:paraId="1134AD34" w14:textId="1961361A" w:rsidR="005345A8" w:rsidRDefault="005345A8" w:rsidP="00A35800">
      <w:pPr>
        <w:rPr>
          <w:highlight w:val="yellow"/>
        </w:rPr>
      </w:pPr>
      <w:r>
        <w:t xml:space="preserve">Expenditure on all antipsychotics in the </w:t>
      </w:r>
      <w:r w:rsidR="00321D44">
        <w:t xml:space="preserve">2015 calendar year was $293.6 </w:t>
      </w:r>
      <w:r>
        <w:t>m</w:t>
      </w:r>
      <w:r w:rsidR="00321D44">
        <w:t>illion</w:t>
      </w:r>
      <w:r>
        <w:t xml:space="preserve">. Since 2012 there were significant reductions in the expenditure on antipsychotics resulting from statutory price reductions and </w:t>
      </w:r>
      <w:r w:rsidR="005D0E88">
        <w:t xml:space="preserve">price disclosure </w:t>
      </w:r>
      <w:r w:rsidR="00862D8B">
        <w:t>reductions, as shown in Figure 9</w:t>
      </w:r>
      <w:r w:rsidR="005D0E88">
        <w:t>.</w:t>
      </w:r>
      <w:r w:rsidR="005923F1">
        <w:t xml:space="preserve"> </w:t>
      </w:r>
    </w:p>
    <w:p w14:paraId="03173509" w14:textId="5D41C451" w:rsidR="00C36C5C" w:rsidRDefault="00C36C5C" w:rsidP="00A35800">
      <w:pPr>
        <w:rPr>
          <w:highlight w:val="yellow"/>
        </w:rPr>
      </w:pPr>
      <w:r>
        <w:rPr>
          <w:noProof/>
        </w:rPr>
        <w:drawing>
          <wp:inline distT="0" distB="0" distL="0" distR="0" wp14:anchorId="3028F8D4" wp14:editId="224A4B27">
            <wp:extent cx="5629275" cy="4403104"/>
            <wp:effectExtent l="0" t="0" r="0" b="0"/>
            <wp:docPr id="22" name="Picture 22" descr="A graph showing expenditure on PBS listed antipsychotics by drug and by calendar year from 2006 to 2015." title="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4176" cy="4406937"/>
                    </a:xfrm>
                    <a:prstGeom prst="rect">
                      <a:avLst/>
                    </a:prstGeom>
                    <a:noFill/>
                  </pic:spPr>
                </pic:pic>
              </a:graphicData>
            </a:graphic>
          </wp:inline>
        </w:drawing>
      </w:r>
    </w:p>
    <w:p w14:paraId="2C5A4D13" w14:textId="17420E8A" w:rsidR="00C36C5C" w:rsidRPr="00B339E2" w:rsidRDefault="00862D8B" w:rsidP="00A35800">
      <w:pPr>
        <w:rPr>
          <w:b/>
        </w:rPr>
      </w:pPr>
      <w:r w:rsidRPr="00B339E2">
        <w:rPr>
          <w:b/>
        </w:rPr>
        <w:t>Figure 9</w:t>
      </w:r>
      <w:r w:rsidR="00CF0C60" w:rsidRPr="00B339E2">
        <w:rPr>
          <w:b/>
        </w:rPr>
        <w:t>. Government expenditure on atypical antipsychotics</w:t>
      </w:r>
    </w:p>
    <w:p w14:paraId="20E31B92" w14:textId="72A107A1" w:rsidR="004C77A9" w:rsidRDefault="002B0DB0" w:rsidP="00A35800">
      <w:r>
        <w:t xml:space="preserve">A summary of the relevant price </w:t>
      </w:r>
      <w:r w:rsidR="005923F1">
        <w:t>reductions is shown in Table 5.</w:t>
      </w:r>
    </w:p>
    <w:p w14:paraId="20835C53" w14:textId="77777777" w:rsidR="0018764D" w:rsidRDefault="0018764D" w:rsidP="00A35800">
      <w:pPr>
        <w:sectPr w:rsidR="0018764D" w:rsidSect="00EA215B">
          <w:footerReference w:type="even" r:id="rId28"/>
          <w:footerReference w:type="default" r:id="rId29"/>
          <w:footerReference w:type="first" r:id="rId30"/>
          <w:pgSz w:w="11906" w:h="16838"/>
          <w:pgMar w:top="1644" w:right="1361" w:bottom="1644" w:left="1588" w:header="709" w:footer="709" w:gutter="0"/>
          <w:cols w:space="708"/>
          <w:docGrid w:linePitch="360"/>
        </w:sectPr>
      </w:pPr>
    </w:p>
    <w:p w14:paraId="3D5E4FB2" w14:textId="324CD8D3" w:rsidR="002B0DB0" w:rsidRPr="00B339E2" w:rsidRDefault="005923F1" w:rsidP="009A6C31">
      <w:pPr>
        <w:pStyle w:val="Tableheading"/>
        <w:jc w:val="left"/>
      </w:pPr>
      <w:r w:rsidRPr="00B339E2">
        <w:lastRenderedPageBreak/>
        <w:t xml:space="preserve">Table 5. </w:t>
      </w:r>
      <w:r w:rsidR="002B0DB0" w:rsidRPr="00B339E2">
        <w:t>Summary of price reductions to antipsychotic medicines</w:t>
      </w:r>
    </w:p>
    <w:tbl>
      <w:tblPr>
        <w:tblStyle w:val="TableGrid"/>
        <w:tblW w:w="0" w:type="auto"/>
        <w:tblLook w:val="04A0" w:firstRow="1" w:lastRow="0" w:firstColumn="1" w:lastColumn="0" w:noHBand="0" w:noVBand="1"/>
        <w:tblCaption w:val="Table 5"/>
        <w:tblDescription w:val="A table summarising price reductions which have been applied to amisulpride, risperidone, quetiapine, ziprasidone, olanzapine and clozapine."/>
      </w:tblPr>
      <w:tblGrid>
        <w:gridCol w:w="2093"/>
        <w:gridCol w:w="4536"/>
        <w:gridCol w:w="2544"/>
      </w:tblGrid>
      <w:tr w:rsidR="002B0DB0" w:rsidRPr="00336589" w14:paraId="24782EE6" w14:textId="77777777" w:rsidTr="009B1705">
        <w:trPr>
          <w:tblHeader/>
        </w:trPr>
        <w:tc>
          <w:tcPr>
            <w:tcW w:w="2093" w:type="dxa"/>
            <w:shd w:val="clear" w:color="auto" w:fill="F2F2F2" w:themeFill="background1" w:themeFillShade="F2"/>
          </w:tcPr>
          <w:p w14:paraId="04939957" w14:textId="3F42A592" w:rsidR="002B0DB0" w:rsidRPr="00336589" w:rsidRDefault="002B0DB0" w:rsidP="009A6C31">
            <w:pPr>
              <w:rPr>
                <w:b/>
              </w:rPr>
            </w:pPr>
            <w:r w:rsidRPr="00336589">
              <w:rPr>
                <w:b/>
              </w:rPr>
              <w:t>Effective date</w:t>
            </w:r>
          </w:p>
        </w:tc>
        <w:tc>
          <w:tcPr>
            <w:tcW w:w="4536" w:type="dxa"/>
            <w:shd w:val="clear" w:color="auto" w:fill="F2F2F2" w:themeFill="background1" w:themeFillShade="F2"/>
          </w:tcPr>
          <w:p w14:paraId="2D6E55D4" w14:textId="7AD6B697" w:rsidR="002B0DB0" w:rsidRPr="00336589" w:rsidRDefault="002B0DB0" w:rsidP="009A6C31">
            <w:pPr>
              <w:rPr>
                <w:b/>
              </w:rPr>
            </w:pPr>
            <w:r w:rsidRPr="00336589">
              <w:rPr>
                <w:b/>
              </w:rPr>
              <w:t>Drug</w:t>
            </w:r>
          </w:p>
        </w:tc>
        <w:tc>
          <w:tcPr>
            <w:tcW w:w="2544" w:type="dxa"/>
            <w:shd w:val="clear" w:color="auto" w:fill="F2F2F2" w:themeFill="background1" w:themeFillShade="F2"/>
          </w:tcPr>
          <w:p w14:paraId="7CDF7AD5" w14:textId="1A27B5EB" w:rsidR="002B0DB0" w:rsidRPr="00336589" w:rsidRDefault="002B0DB0" w:rsidP="009A6C31">
            <w:pPr>
              <w:rPr>
                <w:b/>
              </w:rPr>
            </w:pPr>
            <w:r w:rsidRPr="00336589">
              <w:rPr>
                <w:b/>
              </w:rPr>
              <w:t>Outcome</w:t>
            </w:r>
          </w:p>
        </w:tc>
      </w:tr>
      <w:tr w:rsidR="002B0DB0" w14:paraId="2C8CF439" w14:textId="77777777" w:rsidTr="006376F7">
        <w:tc>
          <w:tcPr>
            <w:tcW w:w="2093" w:type="dxa"/>
          </w:tcPr>
          <w:p w14:paraId="31ABE83A" w14:textId="2D9F0690" w:rsidR="002B0DB0" w:rsidRPr="009F50FD" w:rsidRDefault="002B0DB0" w:rsidP="00A35800">
            <w:pPr>
              <w:rPr>
                <w:rFonts w:ascii="Arial Narrow" w:hAnsi="Arial Narrow"/>
                <w:sz w:val="20"/>
                <w:szCs w:val="20"/>
                <w:vertAlign w:val="superscript"/>
              </w:rPr>
            </w:pPr>
            <w:r w:rsidRPr="009F50FD">
              <w:rPr>
                <w:rFonts w:ascii="Arial Narrow" w:hAnsi="Arial Narrow"/>
                <w:sz w:val="20"/>
                <w:szCs w:val="20"/>
              </w:rPr>
              <w:t>August 2007</w:t>
            </w:r>
            <w:r w:rsidR="00666D72" w:rsidRPr="009F50FD">
              <w:rPr>
                <w:rFonts w:ascii="Arial Narrow" w:hAnsi="Arial Narrow"/>
                <w:sz w:val="20"/>
                <w:szCs w:val="20"/>
                <w:vertAlign w:val="superscript"/>
              </w:rPr>
              <w:t>a</w:t>
            </w:r>
          </w:p>
        </w:tc>
        <w:tc>
          <w:tcPr>
            <w:tcW w:w="4536" w:type="dxa"/>
          </w:tcPr>
          <w:p w14:paraId="2AF8B52A" w14:textId="00BD0BDD" w:rsidR="002B0DB0" w:rsidRPr="009F50FD" w:rsidRDefault="002B0DB0" w:rsidP="00A35800">
            <w:pPr>
              <w:rPr>
                <w:rFonts w:ascii="Arial Narrow" w:hAnsi="Arial Narrow"/>
                <w:sz w:val="20"/>
                <w:szCs w:val="20"/>
              </w:rPr>
            </w:pPr>
            <w:r w:rsidRPr="009F50FD">
              <w:rPr>
                <w:rFonts w:ascii="Arial Narrow" w:hAnsi="Arial Narrow"/>
                <w:sz w:val="20"/>
                <w:szCs w:val="20"/>
              </w:rPr>
              <w:t>Amisulpride</w:t>
            </w:r>
          </w:p>
        </w:tc>
        <w:tc>
          <w:tcPr>
            <w:tcW w:w="2544" w:type="dxa"/>
          </w:tcPr>
          <w:p w14:paraId="224AD9A9" w14:textId="6F7CE00B" w:rsidR="002B0DB0" w:rsidRPr="009F50FD" w:rsidRDefault="002B0DB0" w:rsidP="00A35800">
            <w:pPr>
              <w:rPr>
                <w:rFonts w:ascii="Arial Narrow" w:hAnsi="Arial Narrow"/>
                <w:sz w:val="20"/>
                <w:szCs w:val="20"/>
              </w:rPr>
            </w:pPr>
            <w:r w:rsidRPr="009F50FD">
              <w:rPr>
                <w:rFonts w:ascii="Arial Narrow" w:hAnsi="Arial Narrow"/>
                <w:sz w:val="20"/>
                <w:szCs w:val="20"/>
              </w:rPr>
              <w:t>16% statutory price reduction.</w:t>
            </w:r>
          </w:p>
        </w:tc>
      </w:tr>
      <w:tr w:rsidR="002B0DB0" w14:paraId="695BF3AE" w14:textId="77777777" w:rsidTr="006376F7">
        <w:tc>
          <w:tcPr>
            <w:tcW w:w="2093" w:type="dxa"/>
          </w:tcPr>
          <w:p w14:paraId="368201A7" w14:textId="5FED81E4" w:rsidR="002B0DB0" w:rsidRPr="009F50FD" w:rsidRDefault="002B0DB0" w:rsidP="00A35800">
            <w:pPr>
              <w:rPr>
                <w:rFonts w:ascii="Arial Narrow" w:hAnsi="Arial Narrow"/>
                <w:sz w:val="20"/>
                <w:szCs w:val="20"/>
              </w:rPr>
            </w:pPr>
            <w:r w:rsidRPr="009F50FD">
              <w:rPr>
                <w:rFonts w:ascii="Arial Narrow" w:hAnsi="Arial Narrow"/>
                <w:sz w:val="20"/>
                <w:szCs w:val="20"/>
              </w:rPr>
              <w:t>December 2008</w:t>
            </w:r>
            <w:r w:rsidR="00666D72" w:rsidRPr="009F50FD">
              <w:rPr>
                <w:rFonts w:ascii="Arial Narrow" w:hAnsi="Arial Narrow"/>
                <w:sz w:val="20"/>
                <w:szCs w:val="20"/>
                <w:vertAlign w:val="superscript"/>
              </w:rPr>
              <w:t xml:space="preserve"> a</w:t>
            </w:r>
          </w:p>
        </w:tc>
        <w:tc>
          <w:tcPr>
            <w:tcW w:w="4536" w:type="dxa"/>
          </w:tcPr>
          <w:p w14:paraId="3486406E" w14:textId="7746F3C8" w:rsidR="002B0DB0" w:rsidRPr="009F50FD" w:rsidRDefault="002B0DB0" w:rsidP="00A35800">
            <w:pPr>
              <w:rPr>
                <w:rFonts w:ascii="Arial Narrow" w:hAnsi="Arial Narrow"/>
                <w:sz w:val="20"/>
                <w:szCs w:val="20"/>
              </w:rPr>
            </w:pPr>
            <w:r w:rsidRPr="009F50FD">
              <w:rPr>
                <w:rFonts w:ascii="Arial Narrow" w:hAnsi="Arial Narrow"/>
                <w:sz w:val="20"/>
                <w:szCs w:val="20"/>
              </w:rPr>
              <w:t>Risperidone</w:t>
            </w:r>
          </w:p>
        </w:tc>
        <w:tc>
          <w:tcPr>
            <w:tcW w:w="2544" w:type="dxa"/>
          </w:tcPr>
          <w:p w14:paraId="1D6290DB" w14:textId="19868B50" w:rsidR="002B0DB0" w:rsidRPr="009F50FD" w:rsidRDefault="002B0DB0" w:rsidP="00A35800">
            <w:pPr>
              <w:rPr>
                <w:rFonts w:ascii="Arial Narrow" w:hAnsi="Arial Narrow"/>
                <w:sz w:val="20"/>
                <w:szCs w:val="20"/>
              </w:rPr>
            </w:pPr>
            <w:r w:rsidRPr="009F50FD">
              <w:rPr>
                <w:rFonts w:ascii="Arial Narrow" w:hAnsi="Arial Narrow"/>
                <w:sz w:val="20"/>
                <w:szCs w:val="20"/>
              </w:rPr>
              <w:t>16% statutory price reduction.</w:t>
            </w:r>
          </w:p>
        </w:tc>
      </w:tr>
      <w:tr w:rsidR="002B0DB0" w14:paraId="2B9BEFF7" w14:textId="77777777" w:rsidTr="006376F7">
        <w:tc>
          <w:tcPr>
            <w:tcW w:w="2093" w:type="dxa"/>
          </w:tcPr>
          <w:p w14:paraId="07A0370D" w14:textId="5F730451" w:rsidR="002B0DB0" w:rsidRPr="009F50FD" w:rsidRDefault="002B0DB0" w:rsidP="00A35800">
            <w:pPr>
              <w:rPr>
                <w:rFonts w:ascii="Arial Narrow" w:hAnsi="Arial Narrow"/>
                <w:sz w:val="20"/>
                <w:szCs w:val="20"/>
              </w:rPr>
            </w:pPr>
            <w:r w:rsidRPr="009F50FD">
              <w:rPr>
                <w:rFonts w:ascii="Arial Narrow" w:hAnsi="Arial Narrow"/>
                <w:sz w:val="20"/>
                <w:szCs w:val="20"/>
              </w:rPr>
              <w:t>April 2012</w:t>
            </w:r>
            <w:r w:rsidR="00666D72" w:rsidRPr="009F50FD">
              <w:rPr>
                <w:rFonts w:ascii="Arial Narrow" w:hAnsi="Arial Narrow"/>
                <w:sz w:val="20"/>
                <w:szCs w:val="20"/>
                <w:vertAlign w:val="superscript"/>
              </w:rPr>
              <w:t xml:space="preserve"> a</w:t>
            </w:r>
          </w:p>
        </w:tc>
        <w:tc>
          <w:tcPr>
            <w:tcW w:w="4536" w:type="dxa"/>
          </w:tcPr>
          <w:p w14:paraId="286CA339" w14:textId="34F98A96" w:rsidR="002B0DB0" w:rsidRPr="009F50FD" w:rsidRDefault="002B0DB0" w:rsidP="00A35800">
            <w:pPr>
              <w:rPr>
                <w:rFonts w:ascii="Arial Narrow" w:hAnsi="Arial Narrow"/>
                <w:sz w:val="20"/>
                <w:szCs w:val="20"/>
              </w:rPr>
            </w:pPr>
            <w:r w:rsidRPr="009F50FD">
              <w:rPr>
                <w:rFonts w:ascii="Arial Narrow" w:hAnsi="Arial Narrow"/>
                <w:sz w:val="20"/>
                <w:szCs w:val="20"/>
              </w:rPr>
              <w:t>Quetiapine</w:t>
            </w:r>
          </w:p>
        </w:tc>
        <w:tc>
          <w:tcPr>
            <w:tcW w:w="2544" w:type="dxa"/>
          </w:tcPr>
          <w:p w14:paraId="6ABE8FB5" w14:textId="6BCC481E" w:rsidR="002B0DB0" w:rsidRPr="009F50FD" w:rsidRDefault="002B0DB0" w:rsidP="00A35800">
            <w:pPr>
              <w:rPr>
                <w:rFonts w:ascii="Arial Narrow" w:hAnsi="Arial Narrow"/>
                <w:sz w:val="20"/>
                <w:szCs w:val="20"/>
              </w:rPr>
            </w:pPr>
            <w:r w:rsidRPr="009F50FD">
              <w:rPr>
                <w:rFonts w:ascii="Arial Narrow" w:hAnsi="Arial Narrow"/>
                <w:sz w:val="20"/>
                <w:szCs w:val="20"/>
              </w:rPr>
              <w:t>16% statutory price reduction.</w:t>
            </w:r>
          </w:p>
        </w:tc>
      </w:tr>
      <w:tr w:rsidR="002B0DB0" w14:paraId="40177A66" w14:textId="77777777" w:rsidTr="006376F7">
        <w:tc>
          <w:tcPr>
            <w:tcW w:w="2093" w:type="dxa"/>
            <w:tcBorders>
              <w:bottom w:val="single" w:sz="4" w:space="0" w:color="auto"/>
            </w:tcBorders>
          </w:tcPr>
          <w:p w14:paraId="1851AF13" w14:textId="6AE79FBC" w:rsidR="002B0DB0" w:rsidRPr="009F50FD" w:rsidRDefault="002B0DB0" w:rsidP="00A35800">
            <w:pPr>
              <w:rPr>
                <w:rFonts w:ascii="Arial Narrow" w:hAnsi="Arial Narrow"/>
                <w:sz w:val="20"/>
                <w:szCs w:val="20"/>
              </w:rPr>
            </w:pPr>
            <w:r w:rsidRPr="009F50FD">
              <w:rPr>
                <w:rFonts w:ascii="Arial Narrow" w:hAnsi="Arial Narrow"/>
                <w:sz w:val="20"/>
                <w:szCs w:val="20"/>
              </w:rPr>
              <w:t>December 2013</w:t>
            </w:r>
            <w:r w:rsidR="00666D72" w:rsidRPr="009F50FD">
              <w:rPr>
                <w:rFonts w:ascii="Arial Narrow" w:hAnsi="Arial Narrow"/>
                <w:sz w:val="20"/>
                <w:szCs w:val="20"/>
                <w:vertAlign w:val="superscript"/>
              </w:rPr>
              <w:t xml:space="preserve"> a</w:t>
            </w:r>
          </w:p>
        </w:tc>
        <w:tc>
          <w:tcPr>
            <w:tcW w:w="4536" w:type="dxa"/>
            <w:tcBorders>
              <w:bottom w:val="single" w:sz="4" w:space="0" w:color="auto"/>
            </w:tcBorders>
          </w:tcPr>
          <w:p w14:paraId="10B6254D" w14:textId="33823CD6" w:rsidR="002B0DB0" w:rsidRPr="009F50FD" w:rsidRDefault="002B0DB0" w:rsidP="00A35800">
            <w:pPr>
              <w:rPr>
                <w:rFonts w:ascii="Arial Narrow" w:hAnsi="Arial Narrow"/>
                <w:sz w:val="20"/>
                <w:szCs w:val="20"/>
              </w:rPr>
            </w:pPr>
            <w:r w:rsidRPr="009F50FD">
              <w:rPr>
                <w:rFonts w:ascii="Arial Narrow" w:hAnsi="Arial Narrow"/>
                <w:sz w:val="20"/>
                <w:szCs w:val="20"/>
              </w:rPr>
              <w:t>Ziprasidone</w:t>
            </w:r>
          </w:p>
        </w:tc>
        <w:tc>
          <w:tcPr>
            <w:tcW w:w="2544" w:type="dxa"/>
            <w:tcBorders>
              <w:bottom w:val="single" w:sz="4" w:space="0" w:color="auto"/>
            </w:tcBorders>
          </w:tcPr>
          <w:p w14:paraId="36C1B3B2" w14:textId="12DE331E" w:rsidR="002B0DB0" w:rsidRPr="009F50FD" w:rsidRDefault="002B0DB0" w:rsidP="00A35800">
            <w:pPr>
              <w:rPr>
                <w:rFonts w:ascii="Arial Narrow" w:hAnsi="Arial Narrow"/>
                <w:sz w:val="20"/>
                <w:szCs w:val="20"/>
              </w:rPr>
            </w:pPr>
            <w:r w:rsidRPr="009F50FD">
              <w:rPr>
                <w:rFonts w:ascii="Arial Narrow" w:hAnsi="Arial Narrow"/>
                <w:sz w:val="20"/>
                <w:szCs w:val="20"/>
              </w:rPr>
              <w:t>16% statutory price reduction.</w:t>
            </w:r>
          </w:p>
        </w:tc>
      </w:tr>
      <w:tr w:rsidR="001D4FD0" w14:paraId="64EC0E54" w14:textId="77777777" w:rsidTr="006376F7">
        <w:tc>
          <w:tcPr>
            <w:tcW w:w="2093" w:type="dxa"/>
            <w:tcBorders>
              <w:top w:val="single" w:sz="4" w:space="0" w:color="auto"/>
              <w:left w:val="single" w:sz="4" w:space="0" w:color="auto"/>
              <w:bottom w:val="nil"/>
              <w:right w:val="single" w:sz="4" w:space="0" w:color="auto"/>
            </w:tcBorders>
          </w:tcPr>
          <w:p w14:paraId="7DF2A6B4" w14:textId="34A7290D" w:rsidR="001D4FD0" w:rsidRPr="009F50FD" w:rsidRDefault="001D4FD0" w:rsidP="00A35800">
            <w:pPr>
              <w:rPr>
                <w:rFonts w:ascii="Arial Narrow" w:hAnsi="Arial Narrow"/>
                <w:sz w:val="20"/>
                <w:szCs w:val="20"/>
              </w:rPr>
            </w:pPr>
            <w:r w:rsidRPr="009F50FD">
              <w:rPr>
                <w:rFonts w:ascii="Arial Narrow" w:hAnsi="Arial Narrow"/>
                <w:sz w:val="20"/>
                <w:szCs w:val="20"/>
              </w:rPr>
              <w:t xml:space="preserve">October 2014 </w:t>
            </w:r>
            <w:r w:rsidRPr="009F50FD">
              <w:rPr>
                <w:rFonts w:ascii="Arial Narrow" w:hAnsi="Arial Narrow"/>
                <w:sz w:val="20"/>
                <w:szCs w:val="20"/>
                <w:vertAlign w:val="superscript"/>
              </w:rPr>
              <w:t>b</w:t>
            </w:r>
          </w:p>
        </w:tc>
        <w:tc>
          <w:tcPr>
            <w:tcW w:w="4536" w:type="dxa"/>
            <w:tcBorders>
              <w:top w:val="single" w:sz="4" w:space="0" w:color="auto"/>
              <w:left w:val="single" w:sz="4" w:space="0" w:color="auto"/>
              <w:bottom w:val="single" w:sz="4" w:space="0" w:color="auto"/>
              <w:right w:val="nil"/>
            </w:tcBorders>
          </w:tcPr>
          <w:p w14:paraId="60F23A67" w14:textId="6E9220D8" w:rsidR="001D4FD0" w:rsidRPr="009F50FD" w:rsidRDefault="001D4FD0" w:rsidP="00A35800">
            <w:pPr>
              <w:rPr>
                <w:rFonts w:ascii="Arial Narrow" w:hAnsi="Arial Narrow"/>
                <w:sz w:val="20"/>
                <w:szCs w:val="20"/>
              </w:rPr>
            </w:pPr>
            <w:r>
              <w:rPr>
                <w:rFonts w:ascii="Arial Narrow" w:hAnsi="Arial Narrow"/>
                <w:sz w:val="20"/>
                <w:szCs w:val="20"/>
              </w:rPr>
              <w:t>Following reductions refer to the October 2014 relative to the April 2014 listing prices:</w:t>
            </w:r>
          </w:p>
        </w:tc>
        <w:tc>
          <w:tcPr>
            <w:tcW w:w="2544" w:type="dxa"/>
            <w:tcBorders>
              <w:top w:val="single" w:sz="4" w:space="0" w:color="auto"/>
              <w:left w:val="nil"/>
              <w:bottom w:val="single" w:sz="4" w:space="0" w:color="auto"/>
              <w:right w:val="single" w:sz="4" w:space="0" w:color="auto"/>
            </w:tcBorders>
          </w:tcPr>
          <w:p w14:paraId="47B77ABA" w14:textId="77777777" w:rsidR="001D4FD0" w:rsidRPr="009F50FD" w:rsidRDefault="001D4FD0" w:rsidP="00A35800">
            <w:pPr>
              <w:rPr>
                <w:rFonts w:ascii="Arial Narrow" w:hAnsi="Arial Narrow"/>
                <w:sz w:val="20"/>
                <w:szCs w:val="20"/>
              </w:rPr>
            </w:pPr>
          </w:p>
        </w:tc>
      </w:tr>
      <w:tr w:rsidR="001D4FD0" w14:paraId="0331B5C5" w14:textId="77777777" w:rsidTr="006376F7">
        <w:tc>
          <w:tcPr>
            <w:tcW w:w="2093" w:type="dxa"/>
            <w:tcBorders>
              <w:top w:val="nil"/>
              <w:left w:val="single" w:sz="4" w:space="0" w:color="auto"/>
              <w:bottom w:val="nil"/>
              <w:right w:val="single" w:sz="4" w:space="0" w:color="auto"/>
            </w:tcBorders>
          </w:tcPr>
          <w:p w14:paraId="29DBBB9A" w14:textId="77777777" w:rsidR="001D4FD0" w:rsidRPr="009F50FD" w:rsidRDefault="001D4FD0" w:rsidP="00A35800">
            <w:pPr>
              <w:rPr>
                <w:rFonts w:ascii="Arial Narrow" w:hAnsi="Arial Narrow"/>
                <w:sz w:val="20"/>
                <w:szCs w:val="20"/>
              </w:rPr>
            </w:pPr>
          </w:p>
        </w:tc>
        <w:tc>
          <w:tcPr>
            <w:tcW w:w="4536" w:type="dxa"/>
            <w:tcBorders>
              <w:top w:val="single" w:sz="4" w:space="0" w:color="auto"/>
              <w:left w:val="single" w:sz="4" w:space="0" w:color="auto"/>
              <w:bottom w:val="single" w:sz="4" w:space="0" w:color="auto"/>
            </w:tcBorders>
          </w:tcPr>
          <w:p w14:paraId="6DB8BBE3" w14:textId="413F75BE" w:rsidR="001D4FD0" w:rsidRPr="009F50FD" w:rsidRDefault="001D4FD0" w:rsidP="00A35800">
            <w:pPr>
              <w:rPr>
                <w:rFonts w:ascii="Arial Narrow" w:hAnsi="Arial Narrow"/>
                <w:sz w:val="20"/>
                <w:szCs w:val="20"/>
              </w:rPr>
            </w:pPr>
            <w:r w:rsidRPr="009F50FD">
              <w:rPr>
                <w:rFonts w:ascii="Arial Narrow" w:hAnsi="Arial Narrow"/>
                <w:sz w:val="20"/>
                <w:szCs w:val="20"/>
              </w:rPr>
              <w:t>Amisulpride</w:t>
            </w:r>
          </w:p>
        </w:tc>
        <w:tc>
          <w:tcPr>
            <w:tcW w:w="2544" w:type="dxa"/>
            <w:tcBorders>
              <w:top w:val="single" w:sz="4" w:space="0" w:color="auto"/>
              <w:bottom w:val="single" w:sz="4" w:space="0" w:color="auto"/>
            </w:tcBorders>
          </w:tcPr>
          <w:p w14:paraId="630CF577" w14:textId="3A94D0F1" w:rsidR="001D4FD0" w:rsidRPr="009F50FD" w:rsidRDefault="001D4FD0" w:rsidP="00A35800">
            <w:pPr>
              <w:rPr>
                <w:rFonts w:ascii="Arial Narrow" w:hAnsi="Arial Narrow"/>
                <w:sz w:val="20"/>
                <w:szCs w:val="20"/>
              </w:rPr>
            </w:pPr>
            <w:r w:rsidRPr="009F50FD">
              <w:rPr>
                <w:rFonts w:ascii="Arial Narrow" w:hAnsi="Arial Narrow"/>
                <w:sz w:val="20"/>
                <w:szCs w:val="20"/>
              </w:rPr>
              <w:t>12.1%</w:t>
            </w:r>
          </w:p>
        </w:tc>
      </w:tr>
      <w:tr w:rsidR="001D4FD0" w14:paraId="541D89B6" w14:textId="77777777" w:rsidTr="006376F7">
        <w:tc>
          <w:tcPr>
            <w:tcW w:w="2093" w:type="dxa"/>
            <w:tcBorders>
              <w:top w:val="nil"/>
              <w:left w:val="single" w:sz="4" w:space="0" w:color="auto"/>
              <w:bottom w:val="nil"/>
              <w:right w:val="single" w:sz="4" w:space="0" w:color="auto"/>
            </w:tcBorders>
          </w:tcPr>
          <w:p w14:paraId="70F03FE6" w14:textId="77777777" w:rsidR="001D4FD0" w:rsidRPr="009F50FD" w:rsidRDefault="001D4FD0" w:rsidP="00A35800">
            <w:pPr>
              <w:rPr>
                <w:rFonts w:ascii="Arial Narrow" w:hAnsi="Arial Narrow"/>
                <w:sz w:val="20"/>
                <w:szCs w:val="20"/>
              </w:rPr>
            </w:pPr>
          </w:p>
        </w:tc>
        <w:tc>
          <w:tcPr>
            <w:tcW w:w="4536" w:type="dxa"/>
            <w:tcBorders>
              <w:left w:val="single" w:sz="4" w:space="0" w:color="auto"/>
              <w:bottom w:val="single" w:sz="4" w:space="0" w:color="auto"/>
            </w:tcBorders>
          </w:tcPr>
          <w:p w14:paraId="4BD04720" w14:textId="7A207BFF" w:rsidR="001D4FD0" w:rsidRPr="009F50FD" w:rsidRDefault="001D4FD0" w:rsidP="00A35800">
            <w:pPr>
              <w:rPr>
                <w:rFonts w:ascii="Arial Narrow" w:hAnsi="Arial Narrow"/>
                <w:sz w:val="20"/>
                <w:szCs w:val="20"/>
              </w:rPr>
            </w:pPr>
            <w:r w:rsidRPr="009F50FD">
              <w:rPr>
                <w:rFonts w:ascii="Arial Narrow" w:hAnsi="Arial Narrow"/>
                <w:sz w:val="20"/>
                <w:szCs w:val="20"/>
              </w:rPr>
              <w:t>Clozapine</w:t>
            </w:r>
          </w:p>
        </w:tc>
        <w:tc>
          <w:tcPr>
            <w:tcW w:w="2544" w:type="dxa"/>
            <w:tcBorders>
              <w:bottom w:val="single" w:sz="4" w:space="0" w:color="auto"/>
            </w:tcBorders>
          </w:tcPr>
          <w:p w14:paraId="1045781C" w14:textId="4B41ECA8" w:rsidR="001D4FD0" w:rsidRPr="009F50FD" w:rsidRDefault="001D4FD0" w:rsidP="00A35800">
            <w:pPr>
              <w:rPr>
                <w:rFonts w:ascii="Arial Narrow" w:hAnsi="Arial Narrow"/>
                <w:sz w:val="20"/>
                <w:szCs w:val="20"/>
              </w:rPr>
            </w:pPr>
            <w:r w:rsidRPr="009F50FD">
              <w:rPr>
                <w:rFonts w:ascii="Arial Narrow" w:hAnsi="Arial Narrow"/>
                <w:sz w:val="20"/>
                <w:szCs w:val="20"/>
              </w:rPr>
              <w:t>13.9%</w:t>
            </w:r>
          </w:p>
        </w:tc>
      </w:tr>
      <w:tr w:rsidR="001D4FD0" w14:paraId="1C2F1986" w14:textId="77777777" w:rsidTr="006376F7">
        <w:tc>
          <w:tcPr>
            <w:tcW w:w="2093" w:type="dxa"/>
            <w:tcBorders>
              <w:top w:val="nil"/>
              <w:left w:val="single" w:sz="4" w:space="0" w:color="auto"/>
              <w:bottom w:val="nil"/>
              <w:right w:val="single" w:sz="4" w:space="0" w:color="auto"/>
            </w:tcBorders>
          </w:tcPr>
          <w:p w14:paraId="702EB3CE" w14:textId="77777777" w:rsidR="001D4FD0" w:rsidRPr="009F50FD" w:rsidRDefault="001D4FD0" w:rsidP="00A35800">
            <w:pPr>
              <w:rPr>
                <w:rFonts w:ascii="Arial Narrow" w:hAnsi="Arial Narrow"/>
                <w:sz w:val="20"/>
                <w:szCs w:val="20"/>
              </w:rPr>
            </w:pPr>
          </w:p>
        </w:tc>
        <w:tc>
          <w:tcPr>
            <w:tcW w:w="4536" w:type="dxa"/>
            <w:tcBorders>
              <w:left w:val="single" w:sz="4" w:space="0" w:color="auto"/>
              <w:bottom w:val="single" w:sz="4" w:space="0" w:color="auto"/>
            </w:tcBorders>
          </w:tcPr>
          <w:p w14:paraId="4AB4E6DD" w14:textId="3B20CF02" w:rsidR="001D4FD0" w:rsidRPr="009F50FD" w:rsidRDefault="001D4FD0" w:rsidP="00A35800">
            <w:pPr>
              <w:rPr>
                <w:rFonts w:ascii="Arial Narrow" w:hAnsi="Arial Narrow"/>
                <w:sz w:val="20"/>
                <w:szCs w:val="20"/>
              </w:rPr>
            </w:pPr>
            <w:r w:rsidRPr="009F50FD">
              <w:rPr>
                <w:rFonts w:ascii="Arial Narrow" w:hAnsi="Arial Narrow"/>
                <w:sz w:val="20"/>
                <w:szCs w:val="20"/>
              </w:rPr>
              <w:t>Olanzapine</w:t>
            </w:r>
          </w:p>
        </w:tc>
        <w:tc>
          <w:tcPr>
            <w:tcW w:w="2544" w:type="dxa"/>
            <w:tcBorders>
              <w:bottom w:val="single" w:sz="4" w:space="0" w:color="auto"/>
            </w:tcBorders>
          </w:tcPr>
          <w:p w14:paraId="19097DE3" w14:textId="74B261BB" w:rsidR="001D4FD0" w:rsidRPr="009F50FD" w:rsidRDefault="001D4FD0" w:rsidP="00A35800">
            <w:pPr>
              <w:rPr>
                <w:rFonts w:ascii="Arial Narrow" w:hAnsi="Arial Narrow"/>
                <w:sz w:val="20"/>
                <w:szCs w:val="20"/>
              </w:rPr>
            </w:pPr>
            <w:r w:rsidRPr="009F50FD">
              <w:rPr>
                <w:rFonts w:ascii="Arial Narrow" w:hAnsi="Arial Narrow"/>
                <w:sz w:val="20"/>
                <w:szCs w:val="20"/>
              </w:rPr>
              <w:t>35.3%</w:t>
            </w:r>
          </w:p>
        </w:tc>
      </w:tr>
      <w:tr w:rsidR="001D4FD0" w14:paraId="239036C6" w14:textId="77777777" w:rsidTr="006376F7">
        <w:tc>
          <w:tcPr>
            <w:tcW w:w="2093" w:type="dxa"/>
            <w:tcBorders>
              <w:top w:val="nil"/>
              <w:left w:val="single" w:sz="4" w:space="0" w:color="auto"/>
              <w:bottom w:val="nil"/>
              <w:right w:val="single" w:sz="4" w:space="0" w:color="auto"/>
            </w:tcBorders>
          </w:tcPr>
          <w:p w14:paraId="2255F602" w14:textId="77777777" w:rsidR="001D4FD0" w:rsidRPr="009F50FD" w:rsidRDefault="001D4FD0" w:rsidP="00A35800">
            <w:pPr>
              <w:rPr>
                <w:rFonts w:ascii="Arial Narrow" w:hAnsi="Arial Narrow"/>
                <w:sz w:val="20"/>
                <w:szCs w:val="20"/>
              </w:rPr>
            </w:pPr>
          </w:p>
        </w:tc>
        <w:tc>
          <w:tcPr>
            <w:tcW w:w="4536" w:type="dxa"/>
            <w:tcBorders>
              <w:left w:val="single" w:sz="4" w:space="0" w:color="auto"/>
              <w:bottom w:val="single" w:sz="4" w:space="0" w:color="auto"/>
            </w:tcBorders>
          </w:tcPr>
          <w:p w14:paraId="56CB6F49" w14:textId="7A5C333F" w:rsidR="001D4FD0" w:rsidRPr="009F50FD" w:rsidRDefault="001D4FD0" w:rsidP="00A35800">
            <w:pPr>
              <w:rPr>
                <w:rFonts w:ascii="Arial Narrow" w:hAnsi="Arial Narrow"/>
                <w:sz w:val="20"/>
                <w:szCs w:val="20"/>
              </w:rPr>
            </w:pPr>
            <w:r w:rsidRPr="009F50FD">
              <w:rPr>
                <w:rFonts w:ascii="Arial Narrow" w:hAnsi="Arial Narrow"/>
                <w:sz w:val="20"/>
                <w:szCs w:val="20"/>
              </w:rPr>
              <w:t>Quetiapine</w:t>
            </w:r>
          </w:p>
        </w:tc>
        <w:tc>
          <w:tcPr>
            <w:tcW w:w="2544" w:type="dxa"/>
            <w:tcBorders>
              <w:bottom w:val="single" w:sz="4" w:space="0" w:color="auto"/>
            </w:tcBorders>
          </w:tcPr>
          <w:p w14:paraId="55792513" w14:textId="3E2702E1" w:rsidR="001D4FD0" w:rsidRPr="009F50FD" w:rsidRDefault="001D4FD0" w:rsidP="00A35800">
            <w:pPr>
              <w:rPr>
                <w:rFonts w:ascii="Arial Narrow" w:hAnsi="Arial Narrow"/>
                <w:sz w:val="20"/>
                <w:szCs w:val="20"/>
              </w:rPr>
            </w:pPr>
            <w:r w:rsidRPr="009F50FD">
              <w:rPr>
                <w:rFonts w:ascii="Arial Narrow" w:hAnsi="Arial Narrow"/>
                <w:sz w:val="20"/>
                <w:szCs w:val="20"/>
              </w:rPr>
              <w:t>24.2%</w:t>
            </w:r>
          </w:p>
        </w:tc>
      </w:tr>
      <w:tr w:rsidR="001D4FD0" w14:paraId="377BE0EC" w14:textId="77777777" w:rsidTr="006376F7">
        <w:tc>
          <w:tcPr>
            <w:tcW w:w="2093" w:type="dxa"/>
            <w:tcBorders>
              <w:top w:val="nil"/>
              <w:left w:val="single" w:sz="4" w:space="0" w:color="auto"/>
              <w:bottom w:val="single" w:sz="4" w:space="0" w:color="auto"/>
              <w:right w:val="single" w:sz="4" w:space="0" w:color="auto"/>
            </w:tcBorders>
          </w:tcPr>
          <w:p w14:paraId="55F2FC06" w14:textId="77777777" w:rsidR="001D4FD0" w:rsidRPr="009F50FD" w:rsidRDefault="001D4FD0" w:rsidP="00A35800">
            <w:pPr>
              <w:rPr>
                <w:rFonts w:ascii="Arial Narrow" w:hAnsi="Arial Narrow"/>
                <w:sz w:val="20"/>
                <w:szCs w:val="20"/>
              </w:rPr>
            </w:pPr>
          </w:p>
        </w:tc>
        <w:tc>
          <w:tcPr>
            <w:tcW w:w="4536" w:type="dxa"/>
            <w:tcBorders>
              <w:left w:val="single" w:sz="4" w:space="0" w:color="auto"/>
              <w:bottom w:val="single" w:sz="4" w:space="0" w:color="auto"/>
            </w:tcBorders>
          </w:tcPr>
          <w:p w14:paraId="65BB63EB" w14:textId="79A6497A" w:rsidR="001D4FD0" w:rsidRPr="009F50FD" w:rsidRDefault="001D4FD0" w:rsidP="00A35800">
            <w:pPr>
              <w:rPr>
                <w:rFonts w:ascii="Arial Narrow" w:hAnsi="Arial Narrow"/>
                <w:sz w:val="20"/>
                <w:szCs w:val="20"/>
              </w:rPr>
            </w:pPr>
            <w:r w:rsidRPr="009F50FD">
              <w:rPr>
                <w:rFonts w:ascii="Arial Narrow" w:hAnsi="Arial Narrow"/>
                <w:sz w:val="20"/>
                <w:szCs w:val="20"/>
              </w:rPr>
              <w:t>Risperidone</w:t>
            </w:r>
          </w:p>
        </w:tc>
        <w:tc>
          <w:tcPr>
            <w:tcW w:w="2544" w:type="dxa"/>
            <w:tcBorders>
              <w:bottom w:val="single" w:sz="4" w:space="0" w:color="auto"/>
            </w:tcBorders>
          </w:tcPr>
          <w:p w14:paraId="60F5243B" w14:textId="7B5DC20E" w:rsidR="001D4FD0" w:rsidRPr="009F50FD" w:rsidRDefault="001D4FD0" w:rsidP="00A35800">
            <w:pPr>
              <w:rPr>
                <w:rFonts w:ascii="Arial Narrow" w:hAnsi="Arial Narrow"/>
                <w:sz w:val="20"/>
                <w:szCs w:val="20"/>
              </w:rPr>
            </w:pPr>
            <w:r w:rsidRPr="009F50FD">
              <w:rPr>
                <w:rFonts w:ascii="Arial Narrow" w:hAnsi="Arial Narrow"/>
                <w:sz w:val="20"/>
                <w:szCs w:val="20"/>
              </w:rPr>
              <w:t>14.4%</w:t>
            </w:r>
          </w:p>
        </w:tc>
      </w:tr>
    </w:tbl>
    <w:p w14:paraId="2B01FEB1" w14:textId="77777777" w:rsidR="003F5F4B" w:rsidRPr="00DB26E0" w:rsidRDefault="002B0DB0" w:rsidP="00666D72">
      <w:pPr>
        <w:spacing w:after="0"/>
        <w:rPr>
          <w:sz w:val="20"/>
          <w:szCs w:val="20"/>
        </w:rPr>
      </w:pPr>
      <w:r w:rsidRPr="00DB26E0">
        <w:rPr>
          <w:sz w:val="20"/>
          <w:szCs w:val="20"/>
        </w:rPr>
        <w:t xml:space="preserve">Source: </w:t>
      </w:r>
    </w:p>
    <w:p w14:paraId="6A732484" w14:textId="022E9CBF" w:rsidR="00666D72" w:rsidRPr="00DB26E0" w:rsidRDefault="00666D72" w:rsidP="00666D72">
      <w:pPr>
        <w:spacing w:after="0"/>
        <w:rPr>
          <w:sz w:val="20"/>
          <w:szCs w:val="20"/>
        </w:rPr>
      </w:pPr>
      <w:r w:rsidRPr="00DB26E0">
        <w:rPr>
          <w:sz w:val="20"/>
          <w:szCs w:val="20"/>
          <w:vertAlign w:val="superscript"/>
        </w:rPr>
        <w:t xml:space="preserve">a </w:t>
      </w:r>
      <w:r w:rsidRPr="00DB26E0">
        <w:rPr>
          <w:sz w:val="20"/>
          <w:szCs w:val="20"/>
        </w:rPr>
        <w:t>PBS website. Accessed on 1 August 2016 at: http://www.pbs.gov.au/info/industry/pricing/pbs-items/price-reductions</w:t>
      </w:r>
    </w:p>
    <w:p w14:paraId="27CF211A" w14:textId="51400BC0" w:rsidR="002B0DB0" w:rsidRPr="00DB26E0" w:rsidRDefault="00666D72" w:rsidP="00666D72">
      <w:pPr>
        <w:spacing w:after="0"/>
        <w:rPr>
          <w:sz w:val="20"/>
          <w:szCs w:val="20"/>
          <w:highlight w:val="yellow"/>
        </w:rPr>
      </w:pPr>
      <w:r w:rsidRPr="00DB26E0">
        <w:rPr>
          <w:sz w:val="20"/>
          <w:szCs w:val="20"/>
          <w:vertAlign w:val="superscript"/>
        </w:rPr>
        <w:t xml:space="preserve">b </w:t>
      </w:r>
      <w:r w:rsidR="003F5F4B" w:rsidRPr="00DB26E0">
        <w:rPr>
          <w:sz w:val="20"/>
          <w:szCs w:val="20"/>
        </w:rPr>
        <w:t>PBS website. Accessed on 1 August 2016 at: http://www.pbs.gov.au/info/industry/pricing/price-disclosure-spd/price-disclosure-reductions-for-2014-october-cycle</w:t>
      </w:r>
    </w:p>
    <w:p w14:paraId="3555DFBA" w14:textId="60E8E761" w:rsidR="00591512" w:rsidRDefault="00AB3733" w:rsidP="00F73113">
      <w:pPr>
        <w:pStyle w:val="Heading1"/>
      </w:pPr>
      <w:r>
        <w:t>D</w:t>
      </w:r>
      <w:r w:rsidR="007346C7" w:rsidRPr="005E22C2">
        <w:t>iscussion</w:t>
      </w:r>
    </w:p>
    <w:p w14:paraId="1DDC45EF" w14:textId="7E6567E7" w:rsidR="00067B1A" w:rsidRDefault="00C3116C" w:rsidP="00067B1A">
      <w:r>
        <w:t>The off-label use o</w:t>
      </w:r>
      <w:r w:rsidR="00356B0C">
        <w:t xml:space="preserve">f low dose quetiapine is common, </w:t>
      </w:r>
      <w:r>
        <w:t>particularly for the treatment of sleep disturbances</w:t>
      </w:r>
      <w:r w:rsidR="00356B0C">
        <w:t xml:space="preserve"> (Hartung et al., 2014; </w:t>
      </w:r>
      <w:r w:rsidR="00BD7E3A">
        <w:t xml:space="preserve">Marston et al., 2014; </w:t>
      </w:r>
      <w:r w:rsidR="00356B0C">
        <w:t>Kamphuis et al., 2015; Iaboni et al., 2016).</w:t>
      </w:r>
      <w:r>
        <w:t xml:space="preserve"> </w:t>
      </w:r>
      <w:r w:rsidR="00067B1A">
        <w:t xml:space="preserve">Registered medications </w:t>
      </w:r>
      <w:r w:rsidR="00356B0C">
        <w:t>to treat sleep disorders</w:t>
      </w:r>
      <w:r w:rsidR="00067B1A">
        <w:t>, such as benzodiazepine</w:t>
      </w:r>
      <w:r w:rsidR="00081DFE">
        <w:t>s</w:t>
      </w:r>
      <w:r w:rsidR="00067B1A">
        <w:t xml:space="preserve">, have well-documented side effects (Lancel and Kamphuis, 2014; Iaboni et al., 2016). </w:t>
      </w:r>
      <w:r w:rsidR="00356B0C">
        <w:t>Quetiapine acts on histamine and alpha receptors which promote sleep and its affinity for these receptors is maintained at l</w:t>
      </w:r>
      <w:r w:rsidR="004B37C4">
        <w:t xml:space="preserve">ow </w:t>
      </w:r>
      <w:r w:rsidR="00356B0C">
        <w:t>doses</w:t>
      </w:r>
      <w:r w:rsidR="000477BD">
        <w:t xml:space="preserve">; i.e. </w:t>
      </w:r>
      <w:r w:rsidR="004B37C4">
        <w:t>25 mg per day or less</w:t>
      </w:r>
      <w:r w:rsidR="00356B0C">
        <w:t xml:space="preserve"> </w:t>
      </w:r>
      <w:r w:rsidR="004B37C4">
        <w:t xml:space="preserve">(Blaszczyk et al., 2015). </w:t>
      </w:r>
      <w:r w:rsidR="00EE154C">
        <w:t xml:space="preserve">The off-label prescribing of low dose quetiapine has also been reported for the treatment of behavioural and psychological symptoms of dementia (BPSD), </w:t>
      </w:r>
      <w:r w:rsidR="00EE154C" w:rsidRPr="00B91A2C">
        <w:t>generalised anxiety disorder and depression</w:t>
      </w:r>
      <w:r w:rsidR="00EE154C" w:rsidRPr="00BC1759">
        <w:rPr>
          <w:rFonts w:ascii="Helvetica" w:hAnsi="Helvetica"/>
          <w:b/>
          <w:bCs/>
          <w:color w:val="000000"/>
          <w:sz w:val="20"/>
          <w:szCs w:val="20"/>
          <w:bdr w:val="none" w:sz="0" w:space="0" w:color="auto" w:frame="1"/>
        </w:rPr>
        <w:t xml:space="preserve"> </w:t>
      </w:r>
      <w:r w:rsidR="00EE154C">
        <w:t>(</w:t>
      </w:r>
      <w:r w:rsidR="009224F7">
        <w:t xml:space="preserve">DUSC 2013; </w:t>
      </w:r>
      <w:r w:rsidR="00523BF2">
        <w:t xml:space="preserve">Shin 2013; </w:t>
      </w:r>
      <w:r w:rsidR="00EE154C">
        <w:t>NPS Medicinewise 2014).</w:t>
      </w:r>
    </w:p>
    <w:p w14:paraId="56A1DED5" w14:textId="7E053841" w:rsidR="00D01500" w:rsidRDefault="002B0F4E" w:rsidP="00540FCE">
      <w:r>
        <w:t xml:space="preserve">The PBAC (August 2013) recommended that the listing of quetiapine 25 mg be amended to allow no repeats. The intent of this restriction change, which was implemented on </w:t>
      </w:r>
      <w:r w:rsidR="00F75302">
        <w:br/>
      </w:r>
      <w:r>
        <w:t xml:space="preserve">1 </w:t>
      </w:r>
      <w:r w:rsidR="00523BF2">
        <w:t>January 2014, was to promote</w:t>
      </w:r>
      <w:r>
        <w:t xml:space="preserve"> the </w:t>
      </w:r>
      <w:r w:rsidR="00523BF2">
        <w:t xml:space="preserve">use of the </w:t>
      </w:r>
      <w:r>
        <w:t>25 mg strength as a titrating dose for the treatment of schizophrenia and bipolar disorder.</w:t>
      </w:r>
      <w:r w:rsidR="00313F01">
        <w:t xml:space="preserve"> </w:t>
      </w:r>
      <w:r w:rsidR="008F5E7D">
        <w:t>The number of scripts for quetiapine 25</w:t>
      </w:r>
      <w:r w:rsidR="000477BD">
        <w:t> </w:t>
      </w:r>
      <w:r w:rsidR="008F5E7D">
        <w:t>mg fell from 2014 to 2015 and a decline in the number of incident patients on this strength was observed in 2014 (Table 1). However</w:t>
      </w:r>
      <w:r w:rsidR="000477BD">
        <w:t>,</w:t>
      </w:r>
      <w:r w:rsidR="008F5E7D">
        <w:t xml:space="preserve"> the number of incident patients for quetiapine 25 mg </w:t>
      </w:r>
      <w:r w:rsidR="00C27C98">
        <w:t>increased from 2014 to 2015</w:t>
      </w:r>
      <w:r w:rsidR="000477BD">
        <w:t>;</w:t>
      </w:r>
      <w:r w:rsidR="00DB026A">
        <w:t xml:space="preserve"> further data will be needed to confirm if this increase is sustained.</w:t>
      </w:r>
      <w:r w:rsidR="00DB026A" w:rsidRPr="00334F2D">
        <w:t xml:space="preserve">  </w:t>
      </w:r>
    </w:p>
    <w:p w14:paraId="3D1BCE84" w14:textId="294C0329" w:rsidR="00546F6E" w:rsidRDefault="00320449" w:rsidP="00540FCE">
      <w:r>
        <w:t>Although the number of scripts for quetiapine 25 mg has declined,</w:t>
      </w:r>
      <w:r w:rsidR="00313F01">
        <w:t xml:space="preserve"> </w:t>
      </w:r>
      <w:r w:rsidR="003D6225">
        <w:t xml:space="preserve">the results indicate that there is </w:t>
      </w:r>
      <w:r>
        <w:t>continuing</w:t>
      </w:r>
      <w:r w:rsidR="003D6225">
        <w:t xml:space="preserve"> off-label use of quetiapine 25 mg since the restriction change. A higher proportion of patients initiating on quetiapine 25 mg after the restriction change received only one supply compared to initiators prior to the restriction change (37.5% vs. 29.4%, Table 2). Further, 18% of initiators after the restriction change appeared to be using quetiapine 25 mg as a single daily or prn dose. This was inferred from a refilling time between scripts of between 55 to 65 days (Figure 8). </w:t>
      </w:r>
      <w:r w:rsidR="00425F81">
        <w:t xml:space="preserve">The adjunctive use of quetiapine </w:t>
      </w:r>
      <w:r w:rsidR="0090761E">
        <w:t>25</w:t>
      </w:r>
      <w:r w:rsidR="000477BD">
        <w:t> </w:t>
      </w:r>
      <w:r w:rsidR="0090761E">
        <w:t>mg</w:t>
      </w:r>
      <w:r w:rsidR="00800BC9">
        <w:t xml:space="preserve"> outside its restriction</w:t>
      </w:r>
      <w:r w:rsidR="00B27F6F">
        <w:t>s</w:t>
      </w:r>
      <w:r w:rsidR="000E4791">
        <w:t xml:space="preserve"> </w:t>
      </w:r>
      <w:r w:rsidR="00425F81">
        <w:t xml:space="preserve">with an antidepressant was </w:t>
      </w:r>
      <w:r w:rsidR="00712143">
        <w:t xml:space="preserve">also </w:t>
      </w:r>
      <w:r w:rsidR="0090761E">
        <w:t>estimated to have</w:t>
      </w:r>
      <w:r w:rsidR="00407FAC">
        <w:t xml:space="preserve"> continued </w:t>
      </w:r>
      <w:r w:rsidR="00407FAC">
        <w:lastRenderedPageBreak/>
        <w:t xml:space="preserve">to </w:t>
      </w:r>
      <w:r w:rsidR="00EC407F">
        <w:t>occur</w:t>
      </w:r>
      <w:r w:rsidR="00D13161">
        <w:t xml:space="preserve"> in a large number of patients </w:t>
      </w:r>
      <w:r w:rsidR="0090761E">
        <w:t>since</w:t>
      </w:r>
      <w:r w:rsidR="00407FAC">
        <w:t xml:space="preserve"> the restriction change (</w:t>
      </w:r>
      <w:r w:rsidR="00A1039D">
        <w:t>Appendix 4</w:t>
      </w:r>
      <w:r w:rsidR="0090761E">
        <w:t xml:space="preserve">).  </w:t>
      </w:r>
      <w:r w:rsidR="00712143">
        <w:t>S</w:t>
      </w:r>
      <w:r w:rsidR="00954215">
        <w:t>uch adjunctive therapy to treat depressive disorders is associated with adverse effects, including extrapyramidal symptoms, hyperglycaemia and weight gain</w:t>
      </w:r>
      <w:r w:rsidR="00821C98">
        <w:t xml:space="preserve"> (Wang and Tianmei, 2013</w:t>
      </w:r>
      <w:r w:rsidR="00777232">
        <w:t>; Marston et al., 2014</w:t>
      </w:r>
      <w:r w:rsidR="00821C98">
        <w:t>)</w:t>
      </w:r>
      <w:r w:rsidR="00954215">
        <w:t xml:space="preserve">. </w:t>
      </w:r>
    </w:p>
    <w:p w14:paraId="136B45CD" w14:textId="7CEE5789" w:rsidR="00B873DE" w:rsidRDefault="00DF34D6" w:rsidP="00895ABC">
      <w:pPr>
        <w:spacing w:after="0"/>
      </w:pPr>
      <w:r>
        <w:t>In terms of overall utilisation there was declining growth in the utilisation of antipsychotics during the 2014 and 2015 calendar years (Table 1). This was attributed to negative growth in the</w:t>
      </w:r>
      <w:r w:rsidR="007E1FDA">
        <w:t xml:space="preserve"> incident population since 2014. </w:t>
      </w:r>
      <w:r w:rsidR="00633822">
        <w:t xml:space="preserve">The decline in growth may reflect the impact of several initiatives which have been implemented to </w:t>
      </w:r>
      <w:r w:rsidR="00FB3B8E">
        <w:t>promote</w:t>
      </w:r>
      <w:r w:rsidR="00633822">
        <w:t xml:space="preserve"> the quality use of antipsychotic medicines</w:t>
      </w:r>
      <w:r w:rsidR="00B873DE">
        <w:t xml:space="preserve">, including: </w:t>
      </w:r>
    </w:p>
    <w:p w14:paraId="5EA128F7" w14:textId="7B267DE9" w:rsidR="00FB3B8E" w:rsidRDefault="0066087B" w:rsidP="00B94516">
      <w:pPr>
        <w:pStyle w:val="ListParagraph"/>
        <w:numPr>
          <w:ilvl w:val="0"/>
          <w:numId w:val="16"/>
        </w:numPr>
        <w:spacing w:after="0"/>
      </w:pPr>
      <w:r>
        <w:t xml:space="preserve">projects administered by </w:t>
      </w:r>
      <w:r w:rsidR="00466355">
        <w:t>NPS MedicineW</w:t>
      </w:r>
      <w:r w:rsidR="00FB3B8E">
        <w:t>ise, such as</w:t>
      </w:r>
      <w:r w:rsidR="00466355">
        <w:t>:</w:t>
      </w:r>
    </w:p>
    <w:p w14:paraId="7E0F9D3C" w14:textId="146020E9" w:rsidR="00466355" w:rsidRDefault="00895ABC" w:rsidP="00B94516">
      <w:pPr>
        <w:pStyle w:val="ListParagraph"/>
        <w:numPr>
          <w:ilvl w:val="0"/>
          <w:numId w:val="17"/>
        </w:numPr>
        <w:spacing w:after="0"/>
      </w:pPr>
      <w:r>
        <w:t>a</w:t>
      </w:r>
      <w:r w:rsidR="00466355">
        <w:t xml:space="preserve"> collaboration with Webstercare </w:t>
      </w:r>
      <w:r w:rsidR="00466355" w:rsidRPr="0058515E">
        <w:t xml:space="preserve">to encourage the review of antipsychotic medicine use in residential aged care facilities. </w:t>
      </w:r>
      <w:r w:rsidR="00466355">
        <w:t>This involves the provision of</w:t>
      </w:r>
      <w:r w:rsidR="00466355" w:rsidRPr="00BE6ED0">
        <w:t xml:space="preserve"> individualised reports </w:t>
      </w:r>
      <w:r w:rsidR="00466355">
        <w:t>from pharmacies to specific residential aged care facilities</w:t>
      </w:r>
      <w:r w:rsidR="00466355" w:rsidRPr="00BE6ED0">
        <w:t xml:space="preserve"> to monitor medication usage ag</w:t>
      </w:r>
      <w:r>
        <w:t>ainst evidence-based guidelines;</w:t>
      </w:r>
    </w:p>
    <w:p w14:paraId="67AD71DB" w14:textId="0A073BF6" w:rsidR="00FB3B8E" w:rsidRDefault="00895ABC" w:rsidP="00B94516">
      <w:pPr>
        <w:pStyle w:val="ListParagraph"/>
        <w:numPr>
          <w:ilvl w:val="0"/>
          <w:numId w:val="17"/>
        </w:numPr>
        <w:spacing w:after="0"/>
      </w:pPr>
      <w:r>
        <w:t>t</w:t>
      </w:r>
      <w:r w:rsidR="00FB3B8E">
        <w:t>he provision of information to prescribers on the appropriate use of antipsychotics</w:t>
      </w:r>
      <w:r w:rsidR="00B71B1C">
        <w:t xml:space="preserve"> and education on harms</w:t>
      </w:r>
      <w:r w:rsidR="00FB3B8E">
        <w:t>;</w:t>
      </w:r>
      <w:r>
        <w:t xml:space="preserve"> and</w:t>
      </w:r>
    </w:p>
    <w:p w14:paraId="69BCF85A" w14:textId="1D6549C9" w:rsidR="00B873DE" w:rsidRDefault="00895ABC" w:rsidP="00B94516">
      <w:pPr>
        <w:pStyle w:val="ListParagraph"/>
        <w:numPr>
          <w:ilvl w:val="0"/>
          <w:numId w:val="17"/>
        </w:numPr>
        <w:spacing w:after="0"/>
      </w:pPr>
      <w:r>
        <w:t>the p</w:t>
      </w:r>
      <w:r w:rsidR="00B71B1C">
        <w:t>romotion of antipsychotic monitoring tools to facilitate the prompt manag</w:t>
      </w:r>
      <w:r w:rsidR="0058515E">
        <w:t>ement of adverse drug reactions</w:t>
      </w:r>
      <w:r>
        <w:t>; and</w:t>
      </w:r>
    </w:p>
    <w:p w14:paraId="31D5291F" w14:textId="642204CC" w:rsidR="00895ABC" w:rsidRDefault="00895ABC" w:rsidP="00B94516">
      <w:pPr>
        <w:pStyle w:val="ListParagraph"/>
        <w:numPr>
          <w:ilvl w:val="0"/>
          <w:numId w:val="18"/>
        </w:numPr>
        <w:spacing w:after="0"/>
      </w:pPr>
      <w:r>
        <w:t xml:space="preserve">the </w:t>
      </w:r>
      <w:r w:rsidRPr="00BE6ED0">
        <w:t>‘Reducing use of Sedatives</w:t>
      </w:r>
      <w:r w:rsidR="00541B09">
        <w:t>’</w:t>
      </w:r>
      <w:r w:rsidRPr="00BE6ED0">
        <w:t xml:space="preserve"> (RedUSe) project</w:t>
      </w:r>
      <w:r>
        <w:t>. This is a national intervention project funded by the Australian Government which aims to promote the quality use of antipsychotic and benzodiazepine medication use in residential aged care. It provides education on sedative use to general practitioners, aged care staff</w:t>
      </w:r>
      <w:r w:rsidR="00B94516">
        <w:t>, residents and their relatives.</w:t>
      </w:r>
    </w:p>
    <w:p w14:paraId="40E464CF" w14:textId="77777777" w:rsidR="0058515E" w:rsidRDefault="0058515E" w:rsidP="0058515E">
      <w:pPr>
        <w:spacing w:after="0"/>
      </w:pPr>
    </w:p>
    <w:p w14:paraId="14DA7F54" w14:textId="56117DE5" w:rsidR="00BE3551" w:rsidRDefault="007E1FDA" w:rsidP="00540FCE">
      <w:r>
        <w:t xml:space="preserve">Several price reduction measures were applied to antipsychotics which are summarised in Table 5. These measures, particularly the price disclosure reductions which were implemented in October 2014, led to a substantial decrease in expenditure on antipsychotics from </w:t>
      </w:r>
      <w:r w:rsidR="00EB2488">
        <w:t>the 2014 calendar year (Figure 9</w:t>
      </w:r>
      <w:r>
        <w:t>).</w:t>
      </w:r>
    </w:p>
    <w:p w14:paraId="1B8A7BB5" w14:textId="418B12C1" w:rsidR="00067B1A" w:rsidRDefault="008C7AE5" w:rsidP="00540FCE">
      <w:r>
        <w:t>For people</w:t>
      </w:r>
      <w:r w:rsidR="00203626">
        <w:t xml:space="preserve"> aged less than 60 years, the rate of initiation to an a</w:t>
      </w:r>
      <w:r w:rsidR="00451FDA">
        <w:t xml:space="preserve">ntipsychotic was highest in </w:t>
      </w:r>
      <w:r>
        <w:t>those</w:t>
      </w:r>
      <w:r w:rsidR="002E2C39">
        <w:t xml:space="preserve"> aged between 20 to 24 years (Figure 5). </w:t>
      </w:r>
      <w:r w:rsidR="006A3E50">
        <w:t xml:space="preserve">Rates of initiation were similar between the ages of 25 to 49 years, with a decline in the rate until aged 64 years (Figures 5 and 6). </w:t>
      </w:r>
      <w:r w:rsidR="00451FDA">
        <w:t xml:space="preserve">From age 70 years there was a strong rise in initiations to antipsychotics (Figure 6). </w:t>
      </w:r>
      <w:r w:rsidR="00F06557">
        <w:t>These highe</w:t>
      </w:r>
      <w:r w:rsidR="008A1C8C">
        <w:t>r rates may relate to a greater proportion of patients being treated in residential aged care settings (</w:t>
      </w:r>
      <w:r w:rsidR="008D49EE">
        <w:t>Atlas of Healthcare Variation 2015)</w:t>
      </w:r>
      <w:r w:rsidR="00F06557">
        <w:t xml:space="preserve">. </w:t>
      </w:r>
      <w:r w:rsidR="003A0B1B">
        <w:t>A study of antipsychotic use in the elderly undertaken in Ontario, Canada identified that the rates of prescribing for both typical and atypical antipsy</w:t>
      </w:r>
      <w:r w:rsidR="00FB306B">
        <w:t>chotics we</w:t>
      </w:r>
      <w:r w:rsidR="003A0B1B">
        <w:t>re significantly higher in the long-term care (LTC) setting versus the community setting (ODPRH 2015). For atypical drugs, comparing the LTC and community settings the rates were 328 versus 22 per 1,000 eligible users, respectively (ODPRH 2015).</w:t>
      </w:r>
      <w:r w:rsidR="008A1C8C">
        <w:t xml:space="preserve"> </w:t>
      </w:r>
    </w:p>
    <w:p w14:paraId="274F2F7C" w14:textId="4B8BA895" w:rsidR="00CA6FFD" w:rsidRDefault="00CA6FFD" w:rsidP="00CA6FFD">
      <w:pPr>
        <w:pStyle w:val="Heading1"/>
      </w:pPr>
      <w:r>
        <w:lastRenderedPageBreak/>
        <w:t>DUSC consideration</w:t>
      </w:r>
    </w:p>
    <w:p w14:paraId="3546A285" w14:textId="35ADFBF1" w:rsidR="00224826" w:rsidRPr="00224826" w:rsidRDefault="00224826" w:rsidP="00224826">
      <w:r w:rsidRPr="00224826">
        <w:t xml:space="preserve">DUSC recalled that in its prior review of antipsychotics undertaken in 2013 that the utilisation of quetiapine 25 mg was higher than expected, which suggested some of its use was for off-label indications. </w:t>
      </w:r>
      <w:r>
        <w:t>C</w:t>
      </w:r>
      <w:r w:rsidRPr="00000099">
        <w:t>ompared to 2013 there was a 10% reduction in the growth of incident patients supplied quetiapine 25 mg in 2014</w:t>
      </w:r>
      <w:r>
        <w:t xml:space="preserve"> and there was a</w:t>
      </w:r>
      <w:r w:rsidRPr="00000099">
        <w:t xml:space="preserve"> reduction in the number of prescriptions for this listing from 342,000 in 2013 to 206,000 in 2015. </w:t>
      </w:r>
      <w:r>
        <w:t>T</w:t>
      </w:r>
      <w:r w:rsidRPr="00EE3B57">
        <w:t>he total number of patients treated with quetiapine was beginning to plateau by 2015</w:t>
      </w:r>
      <w:r>
        <w:t xml:space="preserve">. </w:t>
      </w:r>
      <w:r w:rsidRPr="00224826">
        <w:t>DUSC considered that the intervention to change the listing of the 25 mg strength to allow no repeats from 1 January 2014 had been effective in supporting its intended use as a titrating dose for PBS-listed indications and reducing inappropriate use.</w:t>
      </w:r>
      <w:r>
        <w:t xml:space="preserve">  </w:t>
      </w:r>
      <w:r w:rsidRPr="00224826">
        <w:t xml:space="preserve">DUSC considered that the difference is most likely due to a reduction in use in patients aged 20-59 years noting that fewer patients in this age range initiated antipsychotics in 2015 </w:t>
      </w:r>
      <w:r w:rsidR="00757663">
        <w:t xml:space="preserve">compared with 2013 (Figure 5). </w:t>
      </w:r>
    </w:p>
    <w:p w14:paraId="298FE32A" w14:textId="6689C051" w:rsidR="00224826" w:rsidRPr="00224826" w:rsidRDefault="00224826" w:rsidP="00224826">
      <w:r>
        <w:t>A</w:t>
      </w:r>
      <w:r w:rsidRPr="00D97123">
        <w:t xml:space="preserve">ge-adjusted rates of antipsychotic prescribing increased with age, particularly in people aged 80 years and over. </w:t>
      </w:r>
      <w:r w:rsidRPr="00224826">
        <w:t>DUSC observed that most of the use in this age cohort was for risperidone to treat the behavioural symptoms of dementia</w:t>
      </w:r>
      <w:r w:rsidRPr="00EC4780">
        <w:t xml:space="preserve">. </w:t>
      </w:r>
      <w:r w:rsidRPr="00224826">
        <w:t>DUSC considered that this report did not demonstrate a clear change in use between 2013 and 2015 in older people</w:t>
      </w:r>
      <w:r>
        <w:t xml:space="preserve">. </w:t>
      </w:r>
      <w:r w:rsidRPr="00224826">
        <w:t xml:space="preserve">This is despite positive outcomes for several initiatives targeted at reducing the use of antipsychotics in residential aged care, such as the </w:t>
      </w:r>
      <w:r w:rsidR="00541B09">
        <w:t>‘</w:t>
      </w:r>
      <w:r w:rsidRPr="00224826">
        <w:t>Reducing Use of Sedatives’ (RedUSe) project and NPS MedicineWise programs. DUSC considered that widespread use of antipsychotics in the elderly remained an issue. DUSC noted that there was an Australian Government action to be implemented from 1 October 2016 to support a national Dementia Behaviour Management Advisory Service and Dementia Training Program. These initiatives aimed to improve dementia support through promoting more consistency in the provision of clinical support services, advice and support to carers and workforce training through a national level provider.</w:t>
      </w:r>
    </w:p>
    <w:p w14:paraId="007B0F1F" w14:textId="4B7BBC83" w:rsidR="00224826" w:rsidRPr="00224826" w:rsidRDefault="00224826" w:rsidP="00224826">
      <w:r w:rsidRPr="00224826">
        <w:t xml:space="preserve">While the use of quetiapine 25 mg had decreased, DUSC was concerned that following the restriction change there was still a relatively large number of patients receiving multiple supplies of the 25 mg strength or who were not up-titrated to a higher dose of quetiapine. As such, DUSC considered that vigilance was still needed to promote the appropriate use of the 25 mg strength to prevent the harms associated with the </w:t>
      </w:r>
      <w:r>
        <w:t xml:space="preserve">longer term use of quetiapine. </w:t>
      </w:r>
    </w:p>
    <w:p w14:paraId="709C534B" w14:textId="7B43C38C" w:rsidR="00224826" w:rsidRPr="00224826" w:rsidRDefault="00224826" w:rsidP="00224826">
      <w:r w:rsidRPr="00224826">
        <w:t xml:space="preserve">DUSC considered whether the restriction change had diverted patients using quetiapine for the treatment of non-psychotic conditions towards the private use of quetiapine or shifted patients to other medicines. Based on MedicineInsight data, the private use of quetiapine did not appear to substantially change following the amendment to the restriction. The rate of prescribing of original plus repeat prescriptions for private quetiapine 25 mg remained at similar levels from quarter 1 2014 to quarter 2 2016. DUSC further noted that there were only a small number of private original plus repeat scripts of around 1.1 per 1,000 GP encounters per quarter. DUSC considered that there may also be a shift towards use of other sedating medicines as an alternative to low dose quetiapine, such as sedating antidepressants. As one example, DUSC discussed the possible use of agomelatine to treat sleep disorders in younger people. However, DUSC noted there was a lack of evidence to </w:t>
      </w:r>
      <w:r w:rsidRPr="00224826">
        <w:lastRenderedPageBreak/>
        <w:t>support this use. DUSC noted the findings of the ‘Reducing Use of Sedatives’ (RedUSe) project which indicated that the use of m</w:t>
      </w:r>
      <w:r>
        <w:t>irtazapine was increasing.</w:t>
      </w:r>
    </w:p>
    <w:p w14:paraId="4CCEF38C" w14:textId="2DDD82E6" w:rsidR="00224826" w:rsidRPr="00224826" w:rsidRDefault="00224826" w:rsidP="00224826">
      <w:r w:rsidRPr="00224826">
        <w:t>DUSC considered that quality use of medicines initiatives for the appropriate use of antipsychotics were mainly targeted towards the elderly and needed to also consider use in younger people. Limited data are available to weigh up the benefits and harms of off-label prescribing of antipsychotics particularly noting that patients initiating at younger ages may use these medici</w:t>
      </w:r>
      <w:r>
        <w:t xml:space="preserve">nes for long periods of time.  </w:t>
      </w:r>
    </w:p>
    <w:p w14:paraId="7D0ABF10" w14:textId="44B57DF7" w:rsidR="005C353F" w:rsidRDefault="005C353F" w:rsidP="005C353F">
      <w:pPr>
        <w:pStyle w:val="Heading1"/>
      </w:pPr>
      <w:r>
        <w:t>DUSC actions</w:t>
      </w:r>
    </w:p>
    <w:p w14:paraId="2E7CF733" w14:textId="76576373" w:rsidR="009A4833" w:rsidRDefault="00B54D63" w:rsidP="00B54D63">
      <w:pPr>
        <w:pStyle w:val="PBACBullets"/>
        <w:numPr>
          <w:ilvl w:val="0"/>
          <w:numId w:val="0"/>
        </w:numPr>
        <w:spacing w:before="0" w:after="0"/>
        <w:rPr>
          <w:rFonts w:asciiTheme="minorHAnsi" w:eastAsiaTheme="minorEastAsia" w:hAnsiTheme="minorHAnsi" w:cstheme="minorBidi"/>
          <w:sz w:val="24"/>
          <w:szCs w:val="24"/>
          <w:lang w:eastAsia="en-AU"/>
        </w:rPr>
      </w:pPr>
      <w:r w:rsidRPr="00B54D63">
        <w:rPr>
          <w:rFonts w:asciiTheme="minorHAnsi" w:eastAsiaTheme="minorEastAsia" w:hAnsiTheme="minorHAnsi" w:cstheme="minorBidi"/>
          <w:sz w:val="24"/>
          <w:szCs w:val="24"/>
          <w:lang w:eastAsia="en-AU"/>
        </w:rPr>
        <w:t>The DUSC requested that the report be provided to the PBAC noting that the change of quetiapine 25mg</w:t>
      </w:r>
      <w:r w:rsidR="00D5419B">
        <w:rPr>
          <w:rFonts w:asciiTheme="minorHAnsi" w:eastAsiaTheme="minorEastAsia" w:hAnsiTheme="minorHAnsi" w:cstheme="minorBidi"/>
          <w:sz w:val="24"/>
          <w:szCs w:val="24"/>
          <w:lang w:eastAsia="en-AU"/>
        </w:rPr>
        <w:t xml:space="preserve"> listing to allow no repeats had</w:t>
      </w:r>
      <w:r w:rsidRPr="00B54D63">
        <w:rPr>
          <w:rFonts w:asciiTheme="minorHAnsi" w:eastAsiaTheme="minorEastAsia" w:hAnsiTheme="minorHAnsi" w:cstheme="minorBidi"/>
          <w:sz w:val="24"/>
          <w:szCs w:val="24"/>
          <w:lang w:eastAsia="en-AU"/>
        </w:rPr>
        <w:t xml:space="preserve"> resulted in a large decline in the number of quetiapine prescriptions dispensed through the PBS.</w:t>
      </w:r>
    </w:p>
    <w:p w14:paraId="67F12BD4" w14:textId="2FBA47F6" w:rsidR="003835AB" w:rsidRDefault="003835AB" w:rsidP="003835AB">
      <w:pPr>
        <w:pStyle w:val="Heading1"/>
      </w:pPr>
      <w:r>
        <w:t>Context for analysis</w:t>
      </w:r>
    </w:p>
    <w:p w14:paraId="05E684CA" w14:textId="77777777" w:rsidR="003835AB" w:rsidRDefault="003835AB" w:rsidP="003835AB">
      <w:r>
        <w:t>The DUSC is a Sub Committee of the Pharmaceutical Benefits Advisory Committee (PBAC). The DUSC assesses estimates on projected usage and financial cost of medicines.</w:t>
      </w:r>
    </w:p>
    <w:p w14:paraId="7780E0CB" w14:textId="77777777" w:rsidR="003835AB" w:rsidRDefault="003835AB" w:rsidP="003835A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63CBA6B" w14:textId="77777777" w:rsidR="003835AB" w:rsidRDefault="003835AB" w:rsidP="003835A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2C8594A" w14:textId="77777777" w:rsidR="003835AB" w:rsidRDefault="003835AB" w:rsidP="003835AB">
      <w:r>
        <w:t>The utilisation analysis report was provided to the pharmaceutical sponsors of each drug and comments on the report were provided to DUSC prior to its consideration of the analysis.</w:t>
      </w:r>
    </w:p>
    <w:p w14:paraId="1A9DBF44" w14:textId="77777777" w:rsidR="002D182F" w:rsidRPr="001E05E6" w:rsidRDefault="002D182F" w:rsidP="001E05E6">
      <w:pPr>
        <w:rPr>
          <w:b/>
          <w:i/>
          <w:sz w:val="32"/>
          <w:szCs w:val="32"/>
        </w:rPr>
      </w:pPr>
      <w:r w:rsidRPr="001E05E6">
        <w:rPr>
          <w:b/>
          <w:sz w:val="32"/>
          <w:szCs w:val="32"/>
        </w:rPr>
        <w:t>Sponsors’ comments</w:t>
      </w:r>
    </w:p>
    <w:p w14:paraId="33CFE858" w14:textId="4A1135A2" w:rsidR="00605638" w:rsidRPr="00605638" w:rsidRDefault="00605638" w:rsidP="00605638">
      <w:r w:rsidRPr="00497256">
        <w:t>The sponsors had no comment.</w:t>
      </w:r>
    </w:p>
    <w:p w14:paraId="23446A6B" w14:textId="77777777" w:rsidR="00B455AB" w:rsidRPr="00E41D72" w:rsidRDefault="00B455AB" w:rsidP="00E41D72">
      <w:pPr>
        <w:rPr>
          <w:b/>
          <w:i/>
          <w:sz w:val="32"/>
          <w:szCs w:val="32"/>
        </w:rPr>
      </w:pPr>
      <w:r w:rsidRPr="00E41D72">
        <w:rPr>
          <w:b/>
          <w:sz w:val="32"/>
          <w:szCs w:val="32"/>
        </w:rPr>
        <w:t>Disclaimer</w:t>
      </w:r>
    </w:p>
    <w:p w14:paraId="12B35A86" w14:textId="77777777" w:rsidR="00B455AB" w:rsidRDefault="00B455AB" w:rsidP="00B455A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05A47D62" w14:textId="77777777" w:rsidR="00B455AB" w:rsidRDefault="00B455AB" w:rsidP="00B455AB">
      <w:r>
        <w:lastRenderedPageBreak/>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26ABCA5" w14:textId="77777777" w:rsidR="00B455AB" w:rsidRDefault="00B455AB" w:rsidP="00B455AB">
      <w:r>
        <w:t xml:space="preserve">To the extent provided by law, DoH makes no warranties or representations as to accuracy or completeness of information contained in this report. </w:t>
      </w:r>
    </w:p>
    <w:p w14:paraId="23D3C795" w14:textId="77777777" w:rsidR="00B455AB" w:rsidRDefault="00B455AB" w:rsidP="00B455AB">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0E142F9" w14:textId="77777777" w:rsidR="0018764D" w:rsidRDefault="0018764D" w:rsidP="00B455AB">
      <w:pPr>
        <w:sectPr w:rsidR="0018764D" w:rsidSect="00EA215B">
          <w:pgSz w:w="11906" w:h="16838"/>
          <w:pgMar w:top="1644" w:right="1361" w:bottom="1644" w:left="1588" w:header="709" w:footer="709" w:gutter="0"/>
          <w:cols w:space="708"/>
          <w:docGrid w:linePitch="360"/>
        </w:sectPr>
      </w:pPr>
    </w:p>
    <w:p w14:paraId="35AA6988" w14:textId="78B246BD" w:rsidR="004B306F" w:rsidRDefault="004B306F" w:rsidP="00F73113">
      <w:pPr>
        <w:pStyle w:val="Heading1"/>
      </w:pPr>
      <w:r>
        <w:lastRenderedPageBreak/>
        <w:t>References</w:t>
      </w:r>
    </w:p>
    <w:p w14:paraId="21D8D0D1" w14:textId="1F17E95B" w:rsidR="00A0587B" w:rsidRDefault="00A0587B" w:rsidP="00B80B02">
      <w:r>
        <w:t>Atlas of Healthcare Variation. Antipsychotic medicines dispensing 65 years and over 2015; Section 4.9: 241-248.</w:t>
      </w:r>
    </w:p>
    <w:p w14:paraId="342D2BB3" w14:textId="0E09E8D3" w:rsidR="00AA43D1" w:rsidRDefault="00B80B02" w:rsidP="00B80B02">
      <w:r>
        <w:t>Blaszczyk A.T., McGinnis K.A., Michaels H.N., Nguyen T.N. Is it time to call it quits on low-dose quetiapine? Consultant Pharmacist 2015; 30 (5): 287-290.</w:t>
      </w:r>
    </w:p>
    <w:p w14:paraId="004D09DF" w14:textId="38CA2215" w:rsidR="00962381" w:rsidRDefault="00962381" w:rsidP="00B80B02">
      <w:r>
        <w:t xml:space="preserve">Drug Utilisation Sub-Committee Report. Use of antipsychotics in children and adolescents, February 2013 &amp; June 2013; accessed on 9 August 2016 at: </w:t>
      </w:r>
      <w:r w:rsidRPr="00962381">
        <w:t>http://www.pbs.gov.au/info/industry/listing/participants/public-release-docs/antipsychotics-children-adolescents-2013</w:t>
      </w:r>
    </w:p>
    <w:p w14:paraId="0DAC2934" w14:textId="20B57B45" w:rsidR="00B96D56" w:rsidRDefault="00B96D56" w:rsidP="00B80B02">
      <w:r w:rsidRPr="00B96D56">
        <w:t>Drug Utilisation Sub-Committee Report. Use of antipsychotics in the middle aged 2013; accessed on 9 August 2016 at: http://www.pbs.gov.au/info/industry/listing/participants/public-release-docs/antipsychotics-middle-aged-2013</w:t>
      </w:r>
    </w:p>
    <w:p w14:paraId="758F618F" w14:textId="2799B611" w:rsidR="00535AC9" w:rsidRDefault="00535AC9" w:rsidP="00E36C26">
      <w:pPr>
        <w:spacing w:line="276" w:lineRule="auto"/>
      </w:pPr>
      <w:r>
        <w:t>Hartung D.M., Zerzan J., Yamashita T., Tong S., Morden N.E., Libby A.M. Characteristics and trends of low-dose quetiapine use in two western state Medicaid programs. Pharmacoepidemiology and Drug Safety 2014;. 23 (1): 87-94.</w:t>
      </w:r>
    </w:p>
    <w:p w14:paraId="53009081" w14:textId="57B477A8" w:rsidR="004758E2" w:rsidRDefault="004758E2" w:rsidP="00E36C26">
      <w:pPr>
        <w:spacing w:line="276" w:lineRule="auto"/>
      </w:pPr>
      <w:r>
        <w:t>Iaboni A., Bronskill S.E., Reynolds K.B., Wang X., Rochon P.A., Herrmann N., Flint A. Changing Pattern of Sedative Use in Older Adults: A Population-Based Cohort Study. Drugs &amp; Aging 2016; 1179-1969.</w:t>
      </w:r>
    </w:p>
    <w:p w14:paraId="2F45CDBB" w14:textId="77777777" w:rsidR="00E36C26" w:rsidRDefault="00E36C26" w:rsidP="00E36C26">
      <w:pPr>
        <w:spacing w:line="276" w:lineRule="auto"/>
      </w:pPr>
      <w:r>
        <w:t>Kamphuis J., Taxis K., Schuiling-Veninga C.C.M., Bruggeman R., Lancel M. Off-Label Prescriptions of Low-Dose Quetiapine and Mirtazapine for Insomnia in the Netherlands. Journal of Clinical Psychopharmacology 2015;. 35 (4):468-470.</w:t>
      </w:r>
    </w:p>
    <w:p w14:paraId="387DCBC7" w14:textId="1EC75EEA" w:rsidR="00440BD2" w:rsidRDefault="005546C7" w:rsidP="005546C7">
      <w:pPr>
        <w:spacing w:line="276" w:lineRule="auto"/>
      </w:pPr>
      <w:r>
        <w:t>Lancel M., Kamphuis J. Off-label use of low-dose quetiapine and mirtazapine for insomnia is growing. Journal of Sleep Research. Conference: 22nd Congress of the European Sleep Research Society Tallinn Estonia 2014; 23: 84.</w:t>
      </w:r>
    </w:p>
    <w:p w14:paraId="388AD185" w14:textId="57663719" w:rsidR="001921A0" w:rsidRDefault="001921A0" w:rsidP="005546C7">
      <w:pPr>
        <w:spacing w:line="276" w:lineRule="auto"/>
      </w:pPr>
      <w:r w:rsidRPr="001921A0">
        <w:t>Marston L,</w:t>
      </w:r>
      <w:r w:rsidR="00BD7E3A">
        <w:t xml:space="preserve"> </w:t>
      </w:r>
      <w:r w:rsidRPr="001921A0">
        <w:t>Nazareth I, Petersen I, et al.</w:t>
      </w:r>
      <w:r w:rsidR="00BD7E3A">
        <w:t xml:space="preserve"> </w:t>
      </w:r>
      <w:r w:rsidRPr="001921A0">
        <w:t>Prescribing of antipsychotics</w:t>
      </w:r>
      <w:r w:rsidR="00BD7E3A">
        <w:t xml:space="preserve"> </w:t>
      </w:r>
      <w:r w:rsidRPr="001921A0">
        <w:t>in UK primary care: a cohort study 2014;. BMJ 4</w:t>
      </w:r>
      <w:r>
        <w:t xml:space="preserve">: </w:t>
      </w:r>
      <w:r w:rsidRPr="001921A0">
        <w:t>e006135. doi:10.1136/bmjopen-2014-006135</w:t>
      </w:r>
    </w:p>
    <w:p w14:paraId="0CE4928E" w14:textId="35F85A7C" w:rsidR="00B91A2C" w:rsidRDefault="00B66B40" w:rsidP="00AA49B5">
      <w:r>
        <w:t>NPS M</w:t>
      </w:r>
      <w:r w:rsidR="007400AE">
        <w:t>edicineW</w:t>
      </w:r>
      <w:r w:rsidR="00B91A2C" w:rsidRPr="00B91A2C">
        <w:t>ise</w:t>
      </w:r>
      <w:r w:rsidR="00B91A2C">
        <w:t xml:space="preserve">. Low-dose quetiapine: place in therapy? Health News and Evidence 2014; Accessed on 9 August 2016 at: </w:t>
      </w:r>
      <w:r w:rsidR="003C3EFE" w:rsidRPr="003C3EFE">
        <w:t>http://www.nps.org.au/publications/health-professional/health-news-evidence/2014/low-dose-quetiapine</w:t>
      </w:r>
      <w:r w:rsidR="00B91A2C">
        <w:t>.</w:t>
      </w:r>
    </w:p>
    <w:p w14:paraId="4613B4F7" w14:textId="63B0D966" w:rsidR="00B66B40" w:rsidRDefault="00B66B40" w:rsidP="00AA49B5">
      <w:r>
        <w:t>NPS M</w:t>
      </w:r>
      <w:r w:rsidR="007400AE">
        <w:t>edicineW</w:t>
      </w:r>
      <w:r>
        <w:t>ise. Medicines for psychotic conditions. Accessed on 9 August 2016 at:</w:t>
      </w:r>
      <w:r w:rsidR="003C3EFE" w:rsidRPr="003C3EFE">
        <w:t xml:space="preserve"> http://www.nps.org.au/medicines/brain-and-nervous-system/medicines-for-psychotic-conditions</w:t>
      </w:r>
      <w:r w:rsidR="003C3EFE">
        <w:t xml:space="preserve">. </w:t>
      </w:r>
    </w:p>
    <w:p w14:paraId="0654941F" w14:textId="0901D21D" w:rsidR="007400AE" w:rsidRDefault="007400AE" w:rsidP="00AA49B5">
      <w:r>
        <w:lastRenderedPageBreak/>
        <w:t xml:space="preserve">NPS MedicineWise. New reporting mechanism for antipsychotic use in aged care 2013; Media release accessed on 9 August 2016 at: </w:t>
      </w:r>
      <w:r w:rsidR="003C3EFE" w:rsidRPr="003C3EFE">
        <w:t>http://www.nps.org.au/media-centre/media-releases/repository/New-reporting-mechanism-for-antipsychotic-use-in-aged-care</w:t>
      </w:r>
      <w:r w:rsidR="003C3EFE">
        <w:t xml:space="preserve">. </w:t>
      </w:r>
    </w:p>
    <w:p w14:paraId="71497EA7" w14:textId="12D8FED2" w:rsidR="0059134B" w:rsidRDefault="0059134B" w:rsidP="0059134B">
      <w:pPr>
        <w:spacing w:line="276" w:lineRule="auto"/>
      </w:pPr>
      <w:r>
        <w:t xml:space="preserve">Ontario Drug Policy Research Network (ODPRN). Antipsychotic Use in the Elderly 2015; Final Consolidated Report. Accessed on 10 August 2016 at: </w:t>
      </w:r>
      <w:r w:rsidR="003C3EFE" w:rsidRPr="003C3EFE">
        <w:t>http://brainxchange.ca/getattachment/Public/Topics-A-to-Z/Drugs/ODPRN_Antipsychotics_Consolidated-Final-Report_June-3-2015-1.pdf.aspx</w:t>
      </w:r>
    </w:p>
    <w:p w14:paraId="3D8734C1" w14:textId="0CDCA8B0" w:rsidR="00440BD2" w:rsidRDefault="00440BD2" w:rsidP="00440BD2">
      <w:pPr>
        <w:spacing w:line="276" w:lineRule="auto"/>
      </w:pPr>
      <w:r>
        <w:t>Shin C.-S. A randomized placebo-controlled trial of quetiapine for the treatment of behavioral and psychological symptom of dementia in Alzheimer's disease patients. Journal of the Neurological Sciences. Conference: 21st World Congress of Neurology Vienna Austria 2013; 333:294-295.</w:t>
      </w:r>
    </w:p>
    <w:p w14:paraId="01749B4C" w14:textId="0B42C3D2" w:rsidR="00C137CA" w:rsidRDefault="00C137CA" w:rsidP="00440BD2">
      <w:pPr>
        <w:spacing w:line="276" w:lineRule="auto"/>
      </w:pPr>
      <w:r>
        <w:t>Tost, H., Alam, T. and Meyer-Lindenberg, A. Dopamine and Psychosis: Theory, Pathomechanisms and Intermediate Phenotypes. Neurosci Biobehav Rev. 2010; 34(5): 689–700.</w:t>
      </w:r>
    </w:p>
    <w:p w14:paraId="135E54E2" w14:textId="28C9899B" w:rsidR="00A024D8" w:rsidRDefault="00A024D8" w:rsidP="00440BD2">
      <w:pPr>
        <w:spacing w:line="276" w:lineRule="auto"/>
      </w:pPr>
      <w:r>
        <w:t>Wang, P. and Tianmei, S.I. Use of antipsychotics in the treatment of depressive disorders. Shanghai Archives of Psychiatry 2013; 25(3): 134-140.</w:t>
      </w:r>
    </w:p>
    <w:p w14:paraId="2D9B599A" w14:textId="4BCAA78E" w:rsidR="00AA43D1" w:rsidRPr="001921A0" w:rsidRDefault="00AA43D1" w:rsidP="001921A0">
      <w:pPr>
        <w:autoSpaceDE w:val="0"/>
        <w:autoSpaceDN w:val="0"/>
        <w:adjustRightInd w:val="0"/>
        <w:spacing w:after="0"/>
      </w:pPr>
      <w:r>
        <w:br w:type="page"/>
      </w:r>
    </w:p>
    <w:p w14:paraId="564524E1" w14:textId="01B774C2" w:rsidR="00AA43D1" w:rsidRPr="00403A40" w:rsidRDefault="000E5BF9" w:rsidP="00403A40">
      <w:pPr>
        <w:pStyle w:val="Heading1"/>
        <w:rPr>
          <w:sz w:val="24"/>
          <w:szCs w:val="24"/>
        </w:rPr>
      </w:pPr>
      <w:r w:rsidRPr="00403A40">
        <w:rPr>
          <w:sz w:val="24"/>
          <w:szCs w:val="24"/>
        </w:rPr>
        <w:lastRenderedPageBreak/>
        <w:t>Appendix</w:t>
      </w:r>
      <w:r w:rsidR="00AA43D1" w:rsidRPr="00403A40">
        <w:rPr>
          <w:sz w:val="24"/>
          <w:szCs w:val="24"/>
        </w:rPr>
        <w:t xml:space="preserve"> 1: Dosage and administration of </w:t>
      </w:r>
      <w:r w:rsidR="005D5431" w:rsidRPr="00403A40">
        <w:rPr>
          <w:sz w:val="24"/>
          <w:szCs w:val="24"/>
        </w:rPr>
        <w:t>atypical antipsychotic drugs</w:t>
      </w:r>
      <w:r w:rsidR="00AA43D1" w:rsidRPr="00403A40">
        <w:rPr>
          <w:sz w:val="24"/>
          <w:szCs w:val="24"/>
        </w:rPr>
        <w:t xml:space="preserve"> considered in this review</w:t>
      </w:r>
    </w:p>
    <w:tbl>
      <w:tblPr>
        <w:tblStyle w:val="TableGrid"/>
        <w:tblW w:w="9180" w:type="dxa"/>
        <w:tblLook w:val="04A0" w:firstRow="1" w:lastRow="0" w:firstColumn="1" w:lastColumn="0" w:noHBand="0" w:noVBand="1"/>
        <w:tblCaption w:val="Appendix 1"/>
        <w:tblDescription w:val="A table summarising dosage and administration details for PBS listed atypical antipsychotics."/>
      </w:tblPr>
      <w:tblGrid>
        <w:gridCol w:w="1384"/>
        <w:gridCol w:w="3827"/>
        <w:gridCol w:w="3969"/>
      </w:tblGrid>
      <w:tr w:rsidR="00AA43D1" w:rsidRPr="00A35800" w14:paraId="1D6959F7" w14:textId="77777777" w:rsidTr="009F19A3">
        <w:trPr>
          <w:tblHeader/>
        </w:trPr>
        <w:tc>
          <w:tcPr>
            <w:tcW w:w="1384" w:type="dxa"/>
            <w:shd w:val="clear" w:color="auto" w:fill="BFBFBF" w:themeFill="background1" w:themeFillShade="BF"/>
          </w:tcPr>
          <w:p w14:paraId="35A4B251" w14:textId="2019414F" w:rsidR="00AA43D1" w:rsidRPr="00A35800" w:rsidRDefault="002304B2" w:rsidP="00E97F1E">
            <w:pPr>
              <w:pStyle w:val="Tableheading"/>
              <w:rPr>
                <w:sz w:val="20"/>
                <w:szCs w:val="20"/>
              </w:rPr>
            </w:pPr>
            <w:r w:rsidRPr="00A35800">
              <w:rPr>
                <w:sz w:val="20"/>
                <w:szCs w:val="20"/>
              </w:rPr>
              <w:t>Product</w:t>
            </w:r>
          </w:p>
        </w:tc>
        <w:tc>
          <w:tcPr>
            <w:tcW w:w="3827" w:type="dxa"/>
            <w:shd w:val="clear" w:color="auto" w:fill="BFBFBF" w:themeFill="background1" w:themeFillShade="BF"/>
          </w:tcPr>
          <w:p w14:paraId="0A599A75" w14:textId="6B2907B3" w:rsidR="00AA43D1" w:rsidRPr="00A35800" w:rsidRDefault="002304B2" w:rsidP="00E97F1E">
            <w:pPr>
              <w:pStyle w:val="Tableheading"/>
              <w:rPr>
                <w:sz w:val="20"/>
                <w:szCs w:val="20"/>
              </w:rPr>
            </w:pPr>
            <w:r w:rsidRPr="00A35800">
              <w:rPr>
                <w:sz w:val="20"/>
                <w:szCs w:val="20"/>
              </w:rPr>
              <w:t>Brand name and sponsor</w:t>
            </w:r>
          </w:p>
        </w:tc>
        <w:tc>
          <w:tcPr>
            <w:tcW w:w="3969" w:type="dxa"/>
            <w:shd w:val="clear" w:color="auto" w:fill="BFBFBF" w:themeFill="background1" w:themeFillShade="BF"/>
          </w:tcPr>
          <w:p w14:paraId="2A87237E" w14:textId="77777777" w:rsidR="00AA43D1" w:rsidRPr="00A35800" w:rsidRDefault="00AA43D1" w:rsidP="00E97F1E">
            <w:pPr>
              <w:pStyle w:val="Tableheading"/>
              <w:rPr>
                <w:sz w:val="20"/>
                <w:szCs w:val="20"/>
              </w:rPr>
            </w:pPr>
            <w:r w:rsidRPr="00A35800">
              <w:rPr>
                <w:sz w:val="20"/>
                <w:szCs w:val="20"/>
              </w:rPr>
              <w:t xml:space="preserve">Dose and frequency of administration </w:t>
            </w:r>
          </w:p>
        </w:tc>
      </w:tr>
      <w:tr w:rsidR="00AA43D1" w:rsidRPr="00A35800" w14:paraId="65F34379" w14:textId="77777777" w:rsidTr="009F19A3">
        <w:tc>
          <w:tcPr>
            <w:tcW w:w="1384" w:type="dxa"/>
          </w:tcPr>
          <w:p w14:paraId="6DAD0D41" w14:textId="02A1D5DD" w:rsidR="00AA43D1" w:rsidRPr="00A35800" w:rsidRDefault="002304B2" w:rsidP="00E97F1E">
            <w:pPr>
              <w:pStyle w:val="Tablewriting"/>
            </w:pPr>
            <w:r>
              <w:rPr>
                <w:rFonts w:cs="Arial"/>
                <w:color w:val="000000" w:themeColor="text1"/>
                <w:kern w:val="24"/>
              </w:rPr>
              <w:t>A</w:t>
            </w:r>
            <w:r w:rsidRPr="00D0218F">
              <w:rPr>
                <w:rFonts w:cs="Arial"/>
                <w:color w:val="000000" w:themeColor="text1"/>
                <w:kern w:val="24"/>
              </w:rPr>
              <w:t>misulpride</w:t>
            </w:r>
          </w:p>
        </w:tc>
        <w:tc>
          <w:tcPr>
            <w:tcW w:w="3827" w:type="dxa"/>
          </w:tcPr>
          <w:p w14:paraId="7582F2CD" w14:textId="5D060090" w:rsidR="002304B2" w:rsidRDefault="00DD59BF" w:rsidP="00E97F1E">
            <w:pPr>
              <w:pStyle w:val="Tablewriting"/>
            </w:pPr>
            <w:hyperlink r:id="rId31" w:tooltip="Arrow Pharma Pty Ltd" w:history="1">
              <w:r w:rsidR="002304B2" w:rsidRPr="002304B2">
                <w:t>Amipride 400</w:t>
              </w:r>
            </w:hyperlink>
            <w:r w:rsidR="002304B2">
              <w:t xml:space="preserve"> (Arrow Pharma Pty Ltd)</w:t>
            </w:r>
          </w:p>
          <w:p w14:paraId="119042E9" w14:textId="44746869" w:rsidR="002304B2" w:rsidRDefault="00DD59BF" w:rsidP="00E97F1E">
            <w:pPr>
              <w:pStyle w:val="Tablewriting"/>
            </w:pPr>
            <w:hyperlink r:id="rId32" w:tooltip="sanofi-aventis Australia Pty Ltd" w:history="1">
              <w:r w:rsidR="002304B2" w:rsidRPr="002304B2">
                <w:t>Amisulpride 100 Winthrop</w:t>
              </w:r>
            </w:hyperlink>
            <w:r w:rsidR="002304B2">
              <w:t xml:space="preserve"> (sanofi-aventis Australia Pty Ltd)</w:t>
            </w:r>
          </w:p>
          <w:p w14:paraId="7EB2DF0D" w14:textId="183CF4AB" w:rsidR="002304B2" w:rsidRDefault="00DD59BF" w:rsidP="00E97F1E">
            <w:pPr>
              <w:pStyle w:val="Tablewriting"/>
            </w:pPr>
            <w:hyperlink r:id="rId33" w:tooltip="sanofi-aventis Australia Pty Ltd" w:history="1">
              <w:r w:rsidR="002304B2" w:rsidRPr="002304B2">
                <w:t>Amisulpride 200 Winthrop</w:t>
              </w:r>
            </w:hyperlink>
            <w:r w:rsidR="002304B2">
              <w:t xml:space="preserve"> (sanofi-aventis Australia Pty Ltd)</w:t>
            </w:r>
          </w:p>
          <w:p w14:paraId="32D8751D" w14:textId="2AE17B73" w:rsidR="002304B2" w:rsidRDefault="00DD59BF" w:rsidP="00E97F1E">
            <w:pPr>
              <w:pStyle w:val="Tablewriting"/>
            </w:pPr>
            <w:hyperlink r:id="rId34" w:tooltip="sanofi-aventis Australia Pty Ltd" w:history="1">
              <w:r w:rsidR="002304B2" w:rsidRPr="002304B2">
                <w:t>Amisulpride 400 Winthrop</w:t>
              </w:r>
            </w:hyperlink>
            <w:r w:rsidR="002304B2">
              <w:t xml:space="preserve"> (sanofi-aventis Australia Pty Ltd)</w:t>
            </w:r>
          </w:p>
          <w:p w14:paraId="3F8FE2B9" w14:textId="4283E53D" w:rsidR="002304B2" w:rsidRDefault="00DD59BF" w:rsidP="00E97F1E">
            <w:pPr>
              <w:pStyle w:val="Tablewriting"/>
            </w:pPr>
            <w:hyperlink r:id="rId35" w:tooltip="Sandoz Pty Ltd" w:history="1">
              <w:r w:rsidR="002304B2" w:rsidRPr="002304B2">
                <w:t>Amisulpride Sandoz</w:t>
              </w:r>
            </w:hyperlink>
            <w:r w:rsidR="002304B2">
              <w:t xml:space="preserve"> (Sandoz Pty Ltd)</w:t>
            </w:r>
          </w:p>
          <w:p w14:paraId="399997FF" w14:textId="7370361A" w:rsidR="002304B2" w:rsidRDefault="00DD59BF" w:rsidP="00E97F1E">
            <w:pPr>
              <w:pStyle w:val="Tablewriting"/>
            </w:pPr>
            <w:hyperlink r:id="rId36" w:tooltip="Apotex Pty Ltd" w:history="1">
              <w:r w:rsidR="002304B2" w:rsidRPr="002304B2">
                <w:t>APO-Amisulpride</w:t>
              </w:r>
            </w:hyperlink>
            <w:r w:rsidR="002304B2">
              <w:t xml:space="preserve"> (Apotex Pty Ltd)</w:t>
            </w:r>
          </w:p>
          <w:p w14:paraId="58FE342B" w14:textId="50AF7EB2" w:rsidR="002304B2" w:rsidRDefault="00DD59BF" w:rsidP="00E97F1E">
            <w:pPr>
              <w:pStyle w:val="Tablewriting"/>
            </w:pPr>
            <w:hyperlink r:id="rId37" w:tooltip="sanofi-aventis Australia Pty Ltd" w:history="1">
              <w:r w:rsidR="002304B2" w:rsidRPr="002304B2">
                <w:t>Solian 100</w:t>
              </w:r>
            </w:hyperlink>
            <w:r w:rsidR="002304B2">
              <w:t xml:space="preserve"> (sanofi-aventis Australia Pty Ltd)</w:t>
            </w:r>
          </w:p>
          <w:p w14:paraId="690D2F6F" w14:textId="79F185F6" w:rsidR="002304B2" w:rsidRDefault="00DD59BF" w:rsidP="00E97F1E">
            <w:pPr>
              <w:pStyle w:val="Tablewriting"/>
            </w:pPr>
            <w:hyperlink r:id="rId38" w:tooltip="sanofi-aventis Australia Pty Ltd" w:history="1">
              <w:r w:rsidR="002304B2" w:rsidRPr="002304B2">
                <w:t>Solian 200</w:t>
              </w:r>
            </w:hyperlink>
            <w:r w:rsidR="002304B2">
              <w:t xml:space="preserve"> (sanofi-aventis Australia Pty Ltd)</w:t>
            </w:r>
          </w:p>
          <w:p w14:paraId="2749A932" w14:textId="6A9D1638" w:rsidR="002304B2" w:rsidRDefault="00DD59BF" w:rsidP="00E97F1E">
            <w:pPr>
              <w:pStyle w:val="Tablewriting"/>
            </w:pPr>
            <w:hyperlink r:id="rId39" w:tooltip="sanofi-aventis Australia Pty Ltd" w:history="1">
              <w:r w:rsidR="002304B2" w:rsidRPr="002304B2">
                <w:t>Solian 400</w:t>
              </w:r>
            </w:hyperlink>
            <w:r w:rsidR="002304B2" w:rsidRPr="002304B2">
              <w:t xml:space="preserve"> </w:t>
            </w:r>
            <w:r w:rsidR="002304B2">
              <w:t>(sanofi-aventis Australia Pty Ltd)</w:t>
            </w:r>
          </w:p>
          <w:p w14:paraId="34AD050E" w14:textId="7568C6E3" w:rsidR="002304B2" w:rsidRDefault="00DD59BF" w:rsidP="00E97F1E">
            <w:pPr>
              <w:pStyle w:val="Tablewriting"/>
            </w:pPr>
            <w:hyperlink r:id="rId40" w:tooltip="sanofi-aventis Australia Pty Ltd" w:history="1">
              <w:r w:rsidR="002304B2" w:rsidRPr="002304B2">
                <w:t>Solian Solution</w:t>
              </w:r>
            </w:hyperlink>
            <w:r w:rsidR="002304B2">
              <w:t xml:space="preserve"> (sanofi-aventis Australia Pty Ltd)</w:t>
            </w:r>
          </w:p>
          <w:p w14:paraId="1837829C" w14:textId="77777777" w:rsidR="002304B2" w:rsidRDefault="00DD59BF" w:rsidP="00E97F1E">
            <w:pPr>
              <w:pStyle w:val="Tablewriting"/>
            </w:pPr>
            <w:hyperlink r:id="rId41" w:tooltip="Alphapharm Pty Ltd" w:history="1">
              <w:r w:rsidR="002304B2" w:rsidRPr="002304B2">
                <w:t>Sulprix</w:t>
              </w:r>
            </w:hyperlink>
            <w:r w:rsidR="002304B2">
              <w:t xml:space="preserve"> (Alphapharm Pty Ltd)</w:t>
            </w:r>
          </w:p>
          <w:p w14:paraId="22E25D1E" w14:textId="7C565CEA" w:rsidR="002304B2" w:rsidRPr="00A35800" w:rsidRDefault="002304B2" w:rsidP="00E97F1E">
            <w:pPr>
              <w:pStyle w:val="Tablewriting"/>
            </w:pPr>
          </w:p>
        </w:tc>
        <w:tc>
          <w:tcPr>
            <w:tcW w:w="3969" w:type="dxa"/>
          </w:tcPr>
          <w:p w14:paraId="676D8BA5" w14:textId="77777777" w:rsidR="00AA43D1" w:rsidRDefault="002304B2" w:rsidP="00E97F1E">
            <w:pPr>
              <w:pStyle w:val="Tablewriting"/>
            </w:pPr>
            <w:r>
              <w:t>For acute psychotic episodes, oral doses between 400 and 800 mg/day are recommended. In individual cases, the daily dose may be increased up to 1,200 mg/day.</w:t>
            </w:r>
          </w:p>
          <w:p w14:paraId="42CA9257" w14:textId="77777777" w:rsidR="00A313FE" w:rsidRDefault="00A313FE" w:rsidP="00E97F1E">
            <w:pPr>
              <w:pStyle w:val="Tablewriting"/>
            </w:pPr>
          </w:p>
          <w:p w14:paraId="705CE0EE" w14:textId="362E0CB0" w:rsidR="00A313FE" w:rsidRDefault="00A313FE" w:rsidP="00E97F1E">
            <w:pPr>
              <w:pStyle w:val="Tablewriting"/>
            </w:pPr>
            <w:r>
              <w:t>Amisulpride should be administered bid (twice daily) for doses above 400 mg.</w:t>
            </w:r>
          </w:p>
          <w:p w14:paraId="398889E8" w14:textId="77777777" w:rsidR="002304B2" w:rsidRDefault="002304B2" w:rsidP="00E97F1E">
            <w:pPr>
              <w:pStyle w:val="Tablewriting"/>
            </w:pPr>
          </w:p>
          <w:p w14:paraId="461F68E4" w14:textId="6450E307" w:rsidR="002304B2" w:rsidRDefault="002304B2" w:rsidP="00E97F1E">
            <w:pPr>
              <w:pStyle w:val="Tablewriting"/>
            </w:pPr>
            <w:r>
              <w:t>No specific titration is required when initiating the treatment with amisulpride.</w:t>
            </w:r>
          </w:p>
          <w:p w14:paraId="709338B1" w14:textId="77777777" w:rsidR="002304B2" w:rsidRDefault="002304B2" w:rsidP="00E97F1E">
            <w:pPr>
              <w:pStyle w:val="Tablewriting"/>
            </w:pPr>
          </w:p>
          <w:p w14:paraId="611B0DF4" w14:textId="695A1912" w:rsidR="002304B2" w:rsidRPr="00A35800" w:rsidRDefault="00245C7D" w:rsidP="00E97F1E">
            <w:pPr>
              <w:pStyle w:val="Tablewriting"/>
            </w:pPr>
            <w:r>
              <w:t>For patients characterised by predominant negative symptoms, oral doses between 50 mg/d and 300 mg/d are recommended.</w:t>
            </w:r>
          </w:p>
        </w:tc>
      </w:tr>
      <w:tr w:rsidR="002304B2" w:rsidRPr="00A35800" w14:paraId="7241FDAD" w14:textId="77777777" w:rsidTr="009F19A3">
        <w:tc>
          <w:tcPr>
            <w:tcW w:w="1384" w:type="dxa"/>
          </w:tcPr>
          <w:p w14:paraId="40706022" w14:textId="3213103F" w:rsidR="002304B2" w:rsidRPr="00A35800" w:rsidRDefault="002304B2" w:rsidP="00E97F1E">
            <w:pPr>
              <w:pStyle w:val="Tablewriting"/>
            </w:pPr>
            <w:r>
              <w:rPr>
                <w:rFonts w:cs="Arial"/>
                <w:color w:val="000000" w:themeColor="text1"/>
                <w:kern w:val="24"/>
              </w:rPr>
              <w:t>A</w:t>
            </w:r>
            <w:r w:rsidRPr="00D0218F">
              <w:rPr>
                <w:rFonts w:cs="Arial"/>
                <w:color w:val="000000" w:themeColor="text1"/>
                <w:kern w:val="24"/>
              </w:rPr>
              <w:t>ripiprazole</w:t>
            </w:r>
          </w:p>
        </w:tc>
        <w:tc>
          <w:tcPr>
            <w:tcW w:w="3827" w:type="dxa"/>
          </w:tcPr>
          <w:p w14:paraId="55831311" w14:textId="063E538F" w:rsidR="00245C7D" w:rsidRDefault="00DD59BF" w:rsidP="00E97F1E">
            <w:pPr>
              <w:pStyle w:val="Tablewriting"/>
            </w:pPr>
            <w:hyperlink r:id="rId42" w:tooltip="Otsuka Australia Pharmaceutical Pty Ltd" w:history="1">
              <w:r w:rsidR="00245C7D" w:rsidRPr="003D362B">
                <w:t>Abilify</w:t>
              </w:r>
            </w:hyperlink>
            <w:r w:rsidR="00245C7D">
              <w:t xml:space="preserve"> (Otsuka Australia Pharmaceutical Pty Ltd)</w:t>
            </w:r>
          </w:p>
          <w:p w14:paraId="1CD61B4A" w14:textId="77777777" w:rsidR="002304B2" w:rsidRDefault="00DD59BF" w:rsidP="00E97F1E">
            <w:pPr>
              <w:pStyle w:val="Tablewriting"/>
            </w:pPr>
            <w:hyperlink r:id="rId43" w:tooltip="Lundbeck Australia Pty Ltd" w:history="1">
              <w:r w:rsidR="00245C7D" w:rsidRPr="003D362B">
                <w:t>Abilify Maintena</w:t>
              </w:r>
            </w:hyperlink>
            <w:r w:rsidR="00245C7D">
              <w:t xml:space="preserve"> (Lundbeck Australia Pty Ltd)</w:t>
            </w:r>
          </w:p>
          <w:p w14:paraId="3224D6C3" w14:textId="3E63FC62" w:rsidR="00245C7D" w:rsidRPr="00A35800" w:rsidRDefault="00245C7D" w:rsidP="00E97F1E">
            <w:pPr>
              <w:pStyle w:val="Tablewriting"/>
            </w:pPr>
          </w:p>
        </w:tc>
        <w:tc>
          <w:tcPr>
            <w:tcW w:w="3969" w:type="dxa"/>
          </w:tcPr>
          <w:p w14:paraId="68A9E547" w14:textId="58CDBFCA" w:rsidR="002122DB" w:rsidRDefault="002122DB" w:rsidP="00E97F1E">
            <w:pPr>
              <w:pStyle w:val="Tablewriting"/>
            </w:pPr>
            <w:r w:rsidRPr="002122DB">
              <w:rPr>
                <w:u w:val="single"/>
              </w:rPr>
              <w:t>Schizophrenia</w:t>
            </w:r>
            <w:r>
              <w:t>:</w:t>
            </w:r>
          </w:p>
          <w:p w14:paraId="5D1251E8" w14:textId="264F3B08" w:rsidR="002122DB" w:rsidRDefault="002122DB" w:rsidP="00E97F1E">
            <w:pPr>
              <w:pStyle w:val="Tablewriting"/>
            </w:pPr>
            <w:r>
              <w:t>Daily dosage may be adjusted on the basis of individual clinical status within the range of 10-30 mg daily.</w:t>
            </w:r>
          </w:p>
          <w:p w14:paraId="22DD12D7" w14:textId="24FBBDB7" w:rsidR="002122DB" w:rsidRDefault="002122DB" w:rsidP="00E97F1E">
            <w:pPr>
              <w:pStyle w:val="Tablewriting"/>
            </w:pPr>
            <w:r>
              <w:t>The maintenance dose is 15 mg/day.</w:t>
            </w:r>
          </w:p>
          <w:p w14:paraId="684390E8" w14:textId="77777777" w:rsidR="002304B2" w:rsidRDefault="002122DB" w:rsidP="00E97F1E">
            <w:pPr>
              <w:pStyle w:val="Tablewriting"/>
            </w:pPr>
            <w:r>
              <w:t xml:space="preserve">No dosage adjustment is required for patients </w:t>
            </w:r>
            <w:r>
              <w:sym w:font="Symbol" w:char="F0B3"/>
            </w:r>
            <w:r>
              <w:t>65 years of age.</w:t>
            </w:r>
          </w:p>
          <w:p w14:paraId="031AFD09" w14:textId="77777777" w:rsidR="002122DB" w:rsidRDefault="002122DB" w:rsidP="00E97F1E">
            <w:pPr>
              <w:pStyle w:val="Tablewriting"/>
            </w:pPr>
            <w:r w:rsidRPr="002122DB">
              <w:rPr>
                <w:u w:val="single"/>
              </w:rPr>
              <w:t>Bipolar I disorder</w:t>
            </w:r>
            <w:r>
              <w:t>:</w:t>
            </w:r>
          </w:p>
          <w:p w14:paraId="382A3AB0" w14:textId="77777777" w:rsidR="002122DB" w:rsidRDefault="00F84229" w:rsidP="00E97F1E">
            <w:pPr>
              <w:pStyle w:val="Tablewriting"/>
            </w:pPr>
            <w:r>
              <w:t>The dose can be increased to 30mg/day based on clinical response.</w:t>
            </w:r>
          </w:p>
          <w:p w14:paraId="4A4FCB95" w14:textId="5C8763E0" w:rsidR="00F84229" w:rsidRPr="00A35800" w:rsidRDefault="00F84229" w:rsidP="00E97F1E">
            <w:pPr>
              <w:pStyle w:val="Tablewriting"/>
            </w:pPr>
            <w:r>
              <w:t>Patients responding to aripiprazole for an acute or mixed episode may be continued on monotherapy aripiprazole at 15 mg or 30 mg daily</w:t>
            </w:r>
          </w:p>
        </w:tc>
      </w:tr>
      <w:tr w:rsidR="002304B2" w:rsidRPr="00A35800" w14:paraId="7DE09257" w14:textId="77777777" w:rsidTr="009F19A3">
        <w:tc>
          <w:tcPr>
            <w:tcW w:w="1384" w:type="dxa"/>
          </w:tcPr>
          <w:p w14:paraId="68ADBAEC" w14:textId="471A3A18" w:rsidR="002304B2" w:rsidRPr="00A35800" w:rsidRDefault="002304B2" w:rsidP="00E97F1E">
            <w:pPr>
              <w:pStyle w:val="Tablewriting"/>
            </w:pPr>
            <w:r>
              <w:rPr>
                <w:rFonts w:cs="Arial"/>
                <w:color w:val="000000" w:themeColor="text1"/>
                <w:kern w:val="24"/>
              </w:rPr>
              <w:t>A</w:t>
            </w:r>
            <w:r w:rsidRPr="00D0218F">
              <w:rPr>
                <w:rFonts w:cs="Arial"/>
                <w:color w:val="000000" w:themeColor="text1"/>
                <w:kern w:val="24"/>
              </w:rPr>
              <w:t>senapine</w:t>
            </w:r>
          </w:p>
        </w:tc>
        <w:tc>
          <w:tcPr>
            <w:tcW w:w="3827" w:type="dxa"/>
          </w:tcPr>
          <w:p w14:paraId="6BE8F148" w14:textId="219CBB1A" w:rsidR="002304B2" w:rsidRPr="00A35800" w:rsidRDefault="00DD59BF" w:rsidP="00E97F1E">
            <w:pPr>
              <w:pStyle w:val="Tablewriting"/>
            </w:pPr>
            <w:hyperlink r:id="rId44" w:tooltip="Lundbeck Australia Pty Ltd" w:history="1">
              <w:r w:rsidR="00C640C2" w:rsidRPr="00BD7ACE">
                <w:t>Saphris</w:t>
              </w:r>
            </w:hyperlink>
            <w:r w:rsidR="00C640C2">
              <w:t xml:space="preserve"> (Lundbeck Australia Pty Ltd)</w:t>
            </w:r>
          </w:p>
        </w:tc>
        <w:tc>
          <w:tcPr>
            <w:tcW w:w="3969" w:type="dxa"/>
          </w:tcPr>
          <w:p w14:paraId="6DD21447" w14:textId="77777777" w:rsidR="00C640C2" w:rsidRDefault="00C640C2" w:rsidP="00C640C2">
            <w:pPr>
              <w:pStyle w:val="Tablewriting"/>
            </w:pPr>
            <w:r w:rsidRPr="002122DB">
              <w:rPr>
                <w:u w:val="single"/>
              </w:rPr>
              <w:t>Schizophrenia</w:t>
            </w:r>
            <w:r>
              <w:t>:</w:t>
            </w:r>
          </w:p>
          <w:p w14:paraId="49CE4B6D" w14:textId="77777777" w:rsidR="002304B2" w:rsidRDefault="00C640C2" w:rsidP="00C640C2">
            <w:pPr>
              <w:pStyle w:val="Tablewriting"/>
            </w:pPr>
            <w:r>
              <w:t>The recommended dose range is 5 mg to 10 mg twice daily. An increase in dose to 10 mg twice daily is recommended only after clinical assessment.</w:t>
            </w:r>
          </w:p>
          <w:p w14:paraId="0701AC90" w14:textId="77777777" w:rsidR="00C640C2" w:rsidRDefault="00C640C2" w:rsidP="00C640C2">
            <w:pPr>
              <w:pStyle w:val="Tablewriting"/>
            </w:pPr>
            <w:r w:rsidRPr="002122DB">
              <w:rPr>
                <w:u w:val="single"/>
              </w:rPr>
              <w:t>Bipolar I disorder</w:t>
            </w:r>
            <w:r>
              <w:t>:</w:t>
            </w:r>
          </w:p>
          <w:p w14:paraId="627D5988" w14:textId="084729CE" w:rsidR="00C640C2" w:rsidRPr="00A35800" w:rsidRDefault="00C640C2" w:rsidP="00C640C2">
            <w:pPr>
              <w:pStyle w:val="Tablewriting"/>
            </w:pPr>
            <w:r>
              <w:t>The recommended starting dose is 10 mg twice daily. The dose can be reduced to 5 mg twice daily, according to clinical assessment.</w:t>
            </w:r>
          </w:p>
        </w:tc>
      </w:tr>
      <w:tr w:rsidR="002304B2" w:rsidRPr="00A35800" w14:paraId="07AAF978" w14:textId="77777777" w:rsidTr="009F19A3">
        <w:tc>
          <w:tcPr>
            <w:tcW w:w="1384" w:type="dxa"/>
          </w:tcPr>
          <w:p w14:paraId="2B5B0EF0" w14:textId="139253EE" w:rsidR="002304B2" w:rsidRPr="00A35800" w:rsidRDefault="002304B2" w:rsidP="00E97F1E">
            <w:pPr>
              <w:pStyle w:val="Tablewriting"/>
            </w:pPr>
            <w:r>
              <w:rPr>
                <w:rFonts w:cs="Arial"/>
                <w:color w:val="000000" w:themeColor="text1"/>
                <w:kern w:val="24"/>
              </w:rPr>
              <w:t>C</w:t>
            </w:r>
            <w:r w:rsidRPr="00D0218F">
              <w:rPr>
                <w:rFonts w:cs="Arial"/>
                <w:color w:val="000000" w:themeColor="text1"/>
                <w:kern w:val="24"/>
              </w:rPr>
              <w:t>lozapine</w:t>
            </w:r>
          </w:p>
        </w:tc>
        <w:tc>
          <w:tcPr>
            <w:tcW w:w="3827" w:type="dxa"/>
          </w:tcPr>
          <w:p w14:paraId="0943D578" w14:textId="77777777" w:rsidR="002304B2" w:rsidRDefault="00DD59BF" w:rsidP="00E97F1E">
            <w:pPr>
              <w:pStyle w:val="Tablewriting"/>
            </w:pPr>
            <w:hyperlink r:id="rId45" w:tooltip="Hospira Pty Limited" w:history="1">
              <w:r w:rsidR="002116C5" w:rsidRPr="00EF51BE">
                <w:t>Clopine 200</w:t>
              </w:r>
            </w:hyperlink>
            <w:r w:rsidR="002116C5">
              <w:t xml:space="preserve"> (Hospira Pty Limited)</w:t>
            </w:r>
          </w:p>
          <w:p w14:paraId="0A7657C1" w14:textId="1924499C" w:rsidR="002116C5" w:rsidRDefault="00DD59BF" w:rsidP="00E97F1E">
            <w:pPr>
              <w:pStyle w:val="Tablewriting"/>
            </w:pPr>
            <w:hyperlink r:id="rId46" w:tooltip="Hospira Pty Limited" w:history="1">
              <w:r w:rsidR="002116C5" w:rsidRPr="00EF51BE">
                <w:t>Clopine 25</w:t>
              </w:r>
            </w:hyperlink>
            <w:r w:rsidR="002116C5">
              <w:t xml:space="preserve"> (Hospira Pty Limited)</w:t>
            </w:r>
          </w:p>
          <w:p w14:paraId="510972A8" w14:textId="64337769" w:rsidR="002116C5" w:rsidRDefault="00DD59BF" w:rsidP="00E97F1E">
            <w:pPr>
              <w:pStyle w:val="Tablewriting"/>
            </w:pPr>
            <w:hyperlink r:id="rId47" w:tooltip="Hospira Pty Limited" w:history="1">
              <w:r w:rsidR="002116C5" w:rsidRPr="00EF51BE">
                <w:t>Clopine 50</w:t>
              </w:r>
            </w:hyperlink>
            <w:r w:rsidR="002116C5">
              <w:t xml:space="preserve"> (Hospira Pty Limited)</w:t>
            </w:r>
          </w:p>
          <w:p w14:paraId="18AD3B6A" w14:textId="79B5D38C" w:rsidR="002116C5" w:rsidRDefault="00DD59BF" w:rsidP="00E97F1E">
            <w:pPr>
              <w:pStyle w:val="Tablewriting"/>
            </w:pPr>
            <w:hyperlink r:id="rId48" w:tooltip="Hospira Pty Limited" w:history="1">
              <w:r w:rsidR="002116C5" w:rsidRPr="00EF51BE">
                <w:t>Clopine 100</w:t>
              </w:r>
            </w:hyperlink>
            <w:r w:rsidR="002116C5">
              <w:t xml:space="preserve"> (Hospira Pty Limited)</w:t>
            </w:r>
          </w:p>
          <w:p w14:paraId="1CDC4139" w14:textId="3D618B8A" w:rsidR="00EF51BE" w:rsidRDefault="00DD59BF" w:rsidP="00E97F1E">
            <w:pPr>
              <w:pStyle w:val="Tablewriting"/>
            </w:pPr>
            <w:hyperlink r:id="rId49" w:tooltip="Hospira Pty Limited" w:history="1">
              <w:r w:rsidR="00EF51BE" w:rsidRPr="00EF51BE">
                <w:t>Clopine 200</w:t>
              </w:r>
            </w:hyperlink>
            <w:r w:rsidR="00EF51BE">
              <w:t xml:space="preserve"> (Hospira Pty Limited)</w:t>
            </w:r>
          </w:p>
          <w:p w14:paraId="29BC2547" w14:textId="5C0FDDEF" w:rsidR="002116C5" w:rsidRDefault="00DD59BF" w:rsidP="00E97F1E">
            <w:pPr>
              <w:pStyle w:val="Tablewriting"/>
            </w:pPr>
            <w:hyperlink r:id="rId50" w:tooltip="Hospira Pty Limited" w:history="1">
              <w:r w:rsidR="002116C5" w:rsidRPr="00EF51BE">
                <w:t>Clopine Suspension</w:t>
              </w:r>
            </w:hyperlink>
            <w:r w:rsidR="002116C5">
              <w:t xml:space="preserve"> (Hospira Pty Limited)</w:t>
            </w:r>
          </w:p>
          <w:p w14:paraId="38E5CBFF" w14:textId="77777777" w:rsidR="002116C5" w:rsidRDefault="00DD59BF" w:rsidP="00E97F1E">
            <w:pPr>
              <w:pStyle w:val="Tablewriting"/>
            </w:pPr>
            <w:hyperlink r:id="rId51" w:tooltip="Novartis Pharmaceuticals Australia Pty Limited" w:history="1">
              <w:r w:rsidR="002116C5" w:rsidRPr="00EF51BE">
                <w:t>Clozaril 25</w:t>
              </w:r>
            </w:hyperlink>
            <w:r w:rsidR="002116C5">
              <w:t xml:space="preserve"> (Novartis Pharmaceuticals Australia Pty Limited)</w:t>
            </w:r>
          </w:p>
          <w:p w14:paraId="5F58E647" w14:textId="6098E986" w:rsidR="002116C5" w:rsidRPr="00A35800" w:rsidRDefault="00DD59BF" w:rsidP="00E97F1E">
            <w:pPr>
              <w:pStyle w:val="Tablewriting"/>
            </w:pPr>
            <w:hyperlink r:id="rId52" w:tooltip="Novartis Pharmaceuticals Australia Pty Limited" w:history="1">
              <w:r w:rsidR="002116C5" w:rsidRPr="00EF51BE">
                <w:t>Clozaril 100</w:t>
              </w:r>
            </w:hyperlink>
            <w:r w:rsidR="002116C5">
              <w:t xml:space="preserve"> (Novartis Pharmaceuticals Australia Pty Limited)</w:t>
            </w:r>
          </w:p>
        </w:tc>
        <w:tc>
          <w:tcPr>
            <w:tcW w:w="3969" w:type="dxa"/>
          </w:tcPr>
          <w:p w14:paraId="1C1D35E2" w14:textId="421E0696" w:rsidR="00676D2F" w:rsidRDefault="005A0D69" w:rsidP="005A0D69">
            <w:pPr>
              <w:pStyle w:val="Tablewriting"/>
            </w:pPr>
            <w:r>
              <w:lastRenderedPageBreak/>
              <w:t xml:space="preserve">Starting therapy of 12.5 mg once or twice daily on the first day, followed by one or two 25 mg tablets on the second day. If well-tolerated, the daily dose may then be </w:t>
            </w:r>
            <w:r>
              <w:lastRenderedPageBreak/>
              <w:t>increased slowly in increments of 25 to 50 mg in order to achieve a dose level of up to 300 mg/day within 2 to 3 weeks. Thereafter, if required, the daily dose may be further increased in increments of 50 to 100 mg at half-weekly or, preferably, weekly intervals.</w:t>
            </w:r>
          </w:p>
          <w:p w14:paraId="70870A81" w14:textId="7AEBC629" w:rsidR="00676D2F" w:rsidRPr="00A35800" w:rsidRDefault="00676D2F" w:rsidP="00676D2F">
            <w:pPr>
              <w:pStyle w:val="Tablewriting"/>
            </w:pPr>
            <w:r>
              <w:t>After achieving maximum therapeutic benefit, a lower maintenance dose of 150 - 300 mg/day given in divided doses is recommended for some patients.</w:t>
            </w:r>
          </w:p>
        </w:tc>
      </w:tr>
      <w:tr w:rsidR="002304B2" w:rsidRPr="00A35800" w14:paraId="06571697" w14:textId="77777777" w:rsidTr="009F19A3">
        <w:tc>
          <w:tcPr>
            <w:tcW w:w="1384" w:type="dxa"/>
          </w:tcPr>
          <w:p w14:paraId="453114C9" w14:textId="0A611A57" w:rsidR="002304B2" w:rsidRPr="00A35800" w:rsidRDefault="002304B2" w:rsidP="00E97F1E">
            <w:pPr>
              <w:pStyle w:val="Tablewriting"/>
            </w:pPr>
            <w:r w:rsidRPr="00182595">
              <w:lastRenderedPageBreak/>
              <w:t>Lurasidone</w:t>
            </w:r>
          </w:p>
        </w:tc>
        <w:tc>
          <w:tcPr>
            <w:tcW w:w="3827" w:type="dxa"/>
          </w:tcPr>
          <w:p w14:paraId="06F73299" w14:textId="15581A00" w:rsidR="002304B2" w:rsidRPr="00A35800" w:rsidRDefault="00DD59BF" w:rsidP="00E97F1E">
            <w:pPr>
              <w:pStyle w:val="Tablewriting"/>
            </w:pPr>
            <w:hyperlink r:id="rId53" w:tooltip="Servier Laboratories (Aust.) Pty Ltd" w:history="1">
              <w:r w:rsidR="00812944" w:rsidRPr="00182595">
                <w:t>Latuda</w:t>
              </w:r>
            </w:hyperlink>
            <w:r w:rsidR="00812944">
              <w:t xml:space="preserve"> (Servier Laboratories (Aust.) Pty Ltd</w:t>
            </w:r>
          </w:p>
        </w:tc>
        <w:tc>
          <w:tcPr>
            <w:tcW w:w="3969" w:type="dxa"/>
          </w:tcPr>
          <w:p w14:paraId="545CC74F" w14:textId="2CDC8073" w:rsidR="002304B2" w:rsidRPr="00A35800" w:rsidRDefault="00812944" w:rsidP="00E97F1E">
            <w:pPr>
              <w:pStyle w:val="Tablewriting"/>
            </w:pPr>
            <w:r>
              <w:t xml:space="preserve">The recommended starting dose is 40 mg once daily. Initial dose titration is not required. The maximum recommended dose is 160 mg/day. </w:t>
            </w:r>
          </w:p>
        </w:tc>
      </w:tr>
      <w:tr w:rsidR="002304B2" w:rsidRPr="00A35800" w14:paraId="4B9BE492" w14:textId="77777777" w:rsidTr="009F19A3">
        <w:tc>
          <w:tcPr>
            <w:tcW w:w="1384" w:type="dxa"/>
          </w:tcPr>
          <w:p w14:paraId="560A601E" w14:textId="7AD7A713" w:rsidR="002304B2" w:rsidRPr="00A35800" w:rsidRDefault="002304B2" w:rsidP="00E97F1E">
            <w:pPr>
              <w:pStyle w:val="Tablewriting"/>
            </w:pPr>
            <w:r>
              <w:rPr>
                <w:rFonts w:cs="Arial"/>
                <w:color w:val="000000" w:themeColor="text1"/>
                <w:kern w:val="24"/>
              </w:rPr>
              <w:t>O</w:t>
            </w:r>
            <w:r w:rsidRPr="00D0218F">
              <w:rPr>
                <w:rFonts w:cs="Arial"/>
                <w:color w:val="000000" w:themeColor="text1"/>
                <w:kern w:val="24"/>
              </w:rPr>
              <w:t>lanzapine</w:t>
            </w:r>
          </w:p>
        </w:tc>
        <w:tc>
          <w:tcPr>
            <w:tcW w:w="3827" w:type="dxa"/>
          </w:tcPr>
          <w:p w14:paraId="58350270" w14:textId="3F3B8D7B" w:rsidR="00B47629" w:rsidRPr="00A115F3" w:rsidRDefault="00DD59BF" w:rsidP="00E97F1E">
            <w:pPr>
              <w:pStyle w:val="Tablewriting"/>
            </w:pPr>
            <w:hyperlink r:id="rId54" w:tooltip="Apotex Pty Ltd" w:history="1">
              <w:r w:rsidR="00B47629" w:rsidRPr="00A115F3">
                <w:t>APO-Olanzapine ODT</w:t>
              </w:r>
            </w:hyperlink>
            <w:r w:rsidR="00B47629" w:rsidRPr="00A115F3">
              <w:t xml:space="preserve"> (Apotex Pty Ltd)</w:t>
            </w:r>
          </w:p>
          <w:p w14:paraId="3E011FD2" w14:textId="17DC4AF9" w:rsidR="00A115F3" w:rsidRPr="00A115F3" w:rsidRDefault="00DD59BF" w:rsidP="00E97F1E">
            <w:pPr>
              <w:pStyle w:val="Tablewriting"/>
            </w:pPr>
            <w:hyperlink r:id="rId55" w:tooltip="Apotex Pty Ltd" w:history="1">
              <w:r w:rsidR="00A115F3" w:rsidRPr="00A115F3">
                <w:t>Chem mart Olanzapine</w:t>
              </w:r>
            </w:hyperlink>
            <w:r w:rsidR="00A115F3">
              <w:t xml:space="preserve"> </w:t>
            </w:r>
            <w:r w:rsidR="00A115F3" w:rsidRPr="00A115F3">
              <w:t>(Apotex Pty Ltd)</w:t>
            </w:r>
          </w:p>
          <w:p w14:paraId="52F53272" w14:textId="4FCA3798" w:rsidR="00A115F3" w:rsidRPr="00A115F3" w:rsidRDefault="00DD59BF" w:rsidP="00E97F1E">
            <w:pPr>
              <w:pStyle w:val="Tablewriting"/>
            </w:pPr>
            <w:hyperlink r:id="rId56" w:tooltip="Apotex Pty Ltd" w:history="1">
              <w:r w:rsidR="00A115F3" w:rsidRPr="00A115F3">
                <w:t>Chem mart Olanzapine ODT</w:t>
              </w:r>
            </w:hyperlink>
            <w:r w:rsidR="00A115F3">
              <w:t xml:space="preserve"> </w:t>
            </w:r>
            <w:r w:rsidR="00A115F3" w:rsidRPr="00A115F3">
              <w:t>(Apotex Pty Ltd)</w:t>
            </w:r>
          </w:p>
          <w:p w14:paraId="7E8B064D" w14:textId="15A89AE5" w:rsidR="00A115F3" w:rsidRDefault="00DD59BF" w:rsidP="00E97F1E">
            <w:pPr>
              <w:pStyle w:val="Tablewriting"/>
            </w:pPr>
            <w:hyperlink r:id="rId57" w:tooltip="Eli Lilly Australia Pty Ltd" w:history="1">
              <w:r w:rsidR="00A115F3" w:rsidRPr="00A115F3">
                <w:t>Lanzek</w:t>
              </w:r>
            </w:hyperlink>
            <w:r w:rsidR="00A115F3">
              <w:t xml:space="preserve"> (Eli Lilly Australia Pty Ltd)</w:t>
            </w:r>
          </w:p>
          <w:p w14:paraId="7BE221CB" w14:textId="0E364FE8" w:rsidR="00A115F3" w:rsidRDefault="00DD59BF" w:rsidP="00E97F1E">
            <w:pPr>
              <w:pStyle w:val="Tablewriting"/>
            </w:pPr>
            <w:hyperlink r:id="rId58" w:tooltip="Eli Lilly Australia Pty Ltd" w:history="1">
              <w:r w:rsidR="00A115F3" w:rsidRPr="00790064">
                <w:t>Lanzek Zydis</w:t>
              </w:r>
            </w:hyperlink>
            <w:r w:rsidR="00A115F3">
              <w:t xml:space="preserve"> (Eli Lilly Australia Pty Ltd)</w:t>
            </w:r>
          </w:p>
          <w:p w14:paraId="004B044F" w14:textId="6356501B" w:rsidR="00A115F3" w:rsidRPr="00A115F3" w:rsidRDefault="00A115F3" w:rsidP="00E97F1E">
            <w:pPr>
              <w:pStyle w:val="Tablewriting"/>
            </w:pPr>
            <w:r w:rsidRPr="00A115F3">
              <w:t>Olanzacor (Pharmacor Pty Limited)</w:t>
            </w:r>
          </w:p>
          <w:p w14:paraId="2C2F54AF" w14:textId="019828AB" w:rsidR="00B47629" w:rsidRDefault="00DD59BF" w:rsidP="00E97F1E">
            <w:pPr>
              <w:pStyle w:val="Tablewriting"/>
            </w:pPr>
            <w:hyperlink r:id="rId59" w:tooltip="Dr Reddy's Laboratories (Australia) Pty Ltd" w:history="1">
              <w:r w:rsidR="00B47629" w:rsidRPr="00A115F3">
                <w:t>Olanzapine ODT-DRLA</w:t>
              </w:r>
            </w:hyperlink>
            <w:r w:rsidR="00B47629">
              <w:t xml:space="preserve"> (Dr Reddy’s Laboratories (Aust.) Pty Ltd)</w:t>
            </w:r>
          </w:p>
          <w:p w14:paraId="014C016A" w14:textId="785BE244" w:rsidR="00A115F3" w:rsidRPr="00A115F3" w:rsidRDefault="00DD59BF" w:rsidP="00E97F1E">
            <w:pPr>
              <w:pStyle w:val="Tablewriting"/>
            </w:pPr>
            <w:hyperlink r:id="rId60" w:tooltip="Amneal Pharmaceuticals Pty Ltd" w:history="1">
              <w:r w:rsidR="00A115F3">
                <w:t>Olanzapine AN</w:t>
              </w:r>
            </w:hyperlink>
            <w:r w:rsidR="00A115F3">
              <w:t xml:space="preserve"> (Amneal Pharmaceuticals Pty Ltd)</w:t>
            </w:r>
          </w:p>
          <w:p w14:paraId="6AAF8AD0" w14:textId="6596EF82" w:rsidR="00B47629" w:rsidRDefault="00DD59BF" w:rsidP="00E97F1E">
            <w:pPr>
              <w:pStyle w:val="Tablewriting"/>
            </w:pPr>
            <w:hyperlink r:id="rId61" w:tooltip="Amneal Pharmaceuticals Pty Ltd" w:history="1">
              <w:r w:rsidR="00B47629" w:rsidRPr="00A115F3">
                <w:t>Olanzapine AN ODT</w:t>
              </w:r>
            </w:hyperlink>
            <w:r w:rsidR="00B47629">
              <w:t xml:space="preserve"> (Amneal Pharmaceuticals Pty Ltd)</w:t>
            </w:r>
          </w:p>
          <w:p w14:paraId="4956AD49" w14:textId="53E64C23" w:rsidR="006E444C" w:rsidRDefault="00DD59BF" w:rsidP="00E97F1E">
            <w:pPr>
              <w:pStyle w:val="Tablewriting"/>
            </w:pPr>
            <w:hyperlink r:id="rId62" w:tooltip="Amneal Pharmaceuticals Pty Ltd" w:history="1">
              <w:r w:rsidR="006E444C" w:rsidRPr="00A115F3">
                <w:t>Olanzapine-GA ODT</w:t>
              </w:r>
            </w:hyperlink>
            <w:r w:rsidR="006E444C">
              <w:t xml:space="preserve"> (Amneal Pharmaceuticals Pty Ltd)</w:t>
            </w:r>
          </w:p>
          <w:p w14:paraId="60EEAE1C" w14:textId="3D32973A" w:rsidR="002304B2" w:rsidRDefault="00DD59BF" w:rsidP="00E97F1E">
            <w:pPr>
              <w:pStyle w:val="Tablewriting"/>
            </w:pPr>
            <w:hyperlink r:id="rId63" w:tooltip="Generic Health Pty Ltd" w:history="1">
              <w:r w:rsidR="00182595" w:rsidRPr="00A115F3">
                <w:t>Olanzapine generichealth</w:t>
              </w:r>
            </w:hyperlink>
            <w:r w:rsidR="00182595">
              <w:t xml:space="preserve"> (Generic Health Pty Ltd)</w:t>
            </w:r>
          </w:p>
          <w:p w14:paraId="30B81D35" w14:textId="5966C4AF" w:rsidR="00A115F3" w:rsidRDefault="00DD59BF" w:rsidP="00E97F1E">
            <w:pPr>
              <w:pStyle w:val="Tablewriting"/>
            </w:pPr>
            <w:hyperlink r:id="rId64" w:tooltip="Ranbaxy Australia Pty Limited" w:history="1">
              <w:r w:rsidR="00A115F3">
                <w:t>Olanzapine RBX</w:t>
              </w:r>
            </w:hyperlink>
            <w:r w:rsidR="00A115F3">
              <w:t xml:space="preserve"> </w:t>
            </w:r>
            <w:r w:rsidR="00790064">
              <w:t>(Ranbaxy Australia Pty Limited)</w:t>
            </w:r>
          </w:p>
          <w:p w14:paraId="455CC80A" w14:textId="7E9B860B" w:rsidR="00B47629" w:rsidRDefault="00DD59BF" w:rsidP="00E97F1E">
            <w:pPr>
              <w:pStyle w:val="Tablewriting"/>
            </w:pPr>
            <w:hyperlink r:id="rId65" w:tooltip="Ranbaxy Australia Pty Limited" w:history="1">
              <w:r w:rsidR="00B47629" w:rsidRPr="00A115F3">
                <w:t>Olanzapine RBX ODT</w:t>
              </w:r>
            </w:hyperlink>
            <w:r w:rsidR="00B47629">
              <w:t xml:space="preserve"> (Ranbaxy Australia Pty Limited)</w:t>
            </w:r>
          </w:p>
          <w:p w14:paraId="2F724789" w14:textId="49BE29BF" w:rsidR="00B47629" w:rsidRDefault="00A115F3" w:rsidP="00E97F1E">
            <w:pPr>
              <w:pStyle w:val="Tablewriting"/>
            </w:pPr>
            <w:r w:rsidRPr="00A115F3">
              <w:t xml:space="preserve">Olanzapine Sandoz ODT </w:t>
            </w:r>
            <w:r w:rsidR="00B47629">
              <w:t>(Sandoz Pty Ltd)</w:t>
            </w:r>
          </w:p>
          <w:p w14:paraId="7292D881" w14:textId="569446D0" w:rsidR="00A115F3" w:rsidRDefault="00A115F3" w:rsidP="00E97F1E">
            <w:pPr>
              <w:pStyle w:val="Tablewriting"/>
            </w:pPr>
            <w:r>
              <w:t>Ozin (Aurobindo Pharma (Australia) Pty Limited)</w:t>
            </w:r>
          </w:p>
          <w:p w14:paraId="3D7B96DD" w14:textId="73048263" w:rsidR="00B47629" w:rsidRDefault="00A115F3" w:rsidP="00E97F1E">
            <w:pPr>
              <w:pStyle w:val="Tablewriting"/>
            </w:pPr>
            <w:r w:rsidRPr="00A115F3">
              <w:t>Ozin ODT</w:t>
            </w:r>
            <w:r w:rsidR="000855E6">
              <w:t xml:space="preserve"> (Aurobindo Pharma (Australia) Pty Limited)</w:t>
            </w:r>
          </w:p>
          <w:p w14:paraId="307927D1" w14:textId="00E8BBEB" w:rsidR="00A115F3" w:rsidRDefault="00DD59BF" w:rsidP="00E97F1E">
            <w:pPr>
              <w:pStyle w:val="Tablewriting"/>
            </w:pPr>
            <w:hyperlink r:id="rId66" w:tooltip="Apotex Pty Ltd" w:history="1">
              <w:r w:rsidR="00A115F3">
                <w:t>Terry White Chemists Olanzapine</w:t>
              </w:r>
            </w:hyperlink>
            <w:r w:rsidR="00A115F3">
              <w:t xml:space="preserve"> </w:t>
            </w:r>
            <w:r w:rsidR="00A115F3" w:rsidRPr="00A115F3">
              <w:t>(Apotex Pty Ltd)</w:t>
            </w:r>
          </w:p>
          <w:p w14:paraId="47CBCB02" w14:textId="01201448" w:rsidR="00B47629" w:rsidRPr="00A115F3" w:rsidRDefault="00DD59BF" w:rsidP="00E97F1E">
            <w:pPr>
              <w:pStyle w:val="Tablewriting"/>
            </w:pPr>
            <w:hyperlink r:id="rId67" w:tooltip="Apotex Pty Ltd" w:history="1">
              <w:r w:rsidR="00A115F3" w:rsidRPr="00A115F3">
                <w:t>Terry White Chemists Olanzapine ODT</w:t>
              </w:r>
            </w:hyperlink>
            <w:r w:rsidR="00A115F3">
              <w:t xml:space="preserve"> </w:t>
            </w:r>
            <w:r w:rsidR="00A115F3" w:rsidRPr="00A115F3">
              <w:t xml:space="preserve">(Apotex Pty Ltd) </w:t>
            </w:r>
          </w:p>
          <w:p w14:paraId="46B6AFE0" w14:textId="12F3B069" w:rsidR="00A115F3" w:rsidRPr="00790064" w:rsidRDefault="00DD59BF" w:rsidP="00E97F1E">
            <w:pPr>
              <w:pStyle w:val="Tablewriting"/>
            </w:pPr>
            <w:hyperlink r:id="rId68" w:tooltip="Alphapharm Pty Ltd" w:history="1">
              <w:r w:rsidR="00A115F3" w:rsidRPr="00790064">
                <w:t>Zypine</w:t>
              </w:r>
            </w:hyperlink>
            <w:r w:rsidR="00A115F3" w:rsidRPr="00790064">
              <w:t xml:space="preserve"> (Alphapharm Pty Ltd)</w:t>
            </w:r>
          </w:p>
          <w:p w14:paraId="372EDB7D" w14:textId="09DCD81F" w:rsidR="00A115F3" w:rsidRPr="00790064" w:rsidRDefault="00DD59BF" w:rsidP="00E97F1E">
            <w:pPr>
              <w:pStyle w:val="Tablewriting"/>
            </w:pPr>
            <w:hyperlink r:id="rId69" w:tooltip="Alphapharm Pty Ltd" w:history="1">
              <w:r w:rsidR="00A115F3" w:rsidRPr="00790064">
                <w:t>Zypine ODT</w:t>
              </w:r>
            </w:hyperlink>
            <w:r w:rsidR="00A115F3">
              <w:t xml:space="preserve"> </w:t>
            </w:r>
            <w:r w:rsidR="00A115F3" w:rsidRPr="00790064">
              <w:t>(Alphapharm Pty Ltd)</w:t>
            </w:r>
          </w:p>
          <w:p w14:paraId="29C354FB" w14:textId="471E7944" w:rsidR="00A115F3" w:rsidRDefault="00DD59BF" w:rsidP="00E97F1E">
            <w:pPr>
              <w:pStyle w:val="Tablewriting"/>
            </w:pPr>
            <w:hyperlink r:id="rId70" w:tooltip="Eli Lilly Australia Pty Ltd" w:history="1">
              <w:r w:rsidR="00A115F3" w:rsidRPr="00790064">
                <w:t>Zyprexa</w:t>
              </w:r>
            </w:hyperlink>
            <w:r w:rsidR="00A115F3">
              <w:t xml:space="preserve"> (Eli Lilly Australia Pty Ltd)</w:t>
            </w:r>
          </w:p>
          <w:p w14:paraId="19FFB9E6" w14:textId="22DAACF8" w:rsidR="00790064" w:rsidRDefault="00DD59BF" w:rsidP="00E97F1E">
            <w:pPr>
              <w:pStyle w:val="Tablewriting"/>
            </w:pPr>
            <w:hyperlink r:id="rId71" w:tooltip="Eli Lilly Australia Pty Ltd" w:history="1">
              <w:r w:rsidR="00790064" w:rsidRPr="00790064">
                <w:t>Zyprexa Relprevv</w:t>
              </w:r>
            </w:hyperlink>
            <w:r w:rsidR="00790064">
              <w:t xml:space="preserve"> (Eli Lilly Australia Pty Ltd)</w:t>
            </w:r>
          </w:p>
          <w:p w14:paraId="671640C1" w14:textId="0FBF7487" w:rsidR="00182595" w:rsidRPr="00A35800" w:rsidRDefault="00DD59BF" w:rsidP="00E97F1E">
            <w:pPr>
              <w:pStyle w:val="Tablewriting"/>
            </w:pPr>
            <w:hyperlink r:id="rId72" w:tooltip="Eli Lilly Australia Pty Ltd" w:history="1">
              <w:r w:rsidR="00A115F3" w:rsidRPr="00790064">
                <w:t>Zyprexa Zydis</w:t>
              </w:r>
            </w:hyperlink>
            <w:r w:rsidR="00A115F3">
              <w:t xml:space="preserve"> </w:t>
            </w:r>
            <w:r w:rsidR="00790064">
              <w:t>(Eli Lilly Australia Pty Ltd)</w:t>
            </w:r>
          </w:p>
        </w:tc>
        <w:tc>
          <w:tcPr>
            <w:tcW w:w="3969" w:type="dxa"/>
          </w:tcPr>
          <w:p w14:paraId="7C8ADC52" w14:textId="77777777" w:rsidR="002304B2" w:rsidRDefault="00CB64D4" w:rsidP="00E97F1E">
            <w:pPr>
              <w:pStyle w:val="Tablewriting"/>
            </w:pPr>
            <w:r>
              <w:rPr>
                <w:u w:val="single"/>
              </w:rPr>
              <w:lastRenderedPageBreak/>
              <w:t xml:space="preserve">Schizophrenia and related disorders: </w:t>
            </w:r>
            <w:r>
              <w:t>The recommended starting dose is 5 to 10 mg/day, administered as a single daily dose.</w:t>
            </w:r>
          </w:p>
          <w:p w14:paraId="4BE7BFB5" w14:textId="77777777" w:rsidR="00CB64D4" w:rsidRDefault="00CB64D4" w:rsidP="00E97F1E">
            <w:pPr>
              <w:pStyle w:val="Tablewriting"/>
            </w:pPr>
            <w:r>
              <w:t>A routine therapeutic dose of 10 mg/day is recommended. The highest recommended daily dose is 20 mg.</w:t>
            </w:r>
          </w:p>
          <w:p w14:paraId="5B91357D" w14:textId="77777777" w:rsidR="00CB64D4" w:rsidRDefault="00CB64D4" w:rsidP="00E97F1E">
            <w:pPr>
              <w:pStyle w:val="Tablewriting"/>
            </w:pPr>
            <w:r w:rsidRPr="00CB64D4">
              <w:rPr>
                <w:u w:val="single"/>
              </w:rPr>
              <w:t>Acute Mania Associated with Bipolar Disorder</w:t>
            </w:r>
            <w:r>
              <w:t>: The recommended starting dose 10 or 15 mg administered once a day as monotherapy or 10 mg administered once daily in combination therapy with lithium or valproate. Antimanic efficacy was demonstrated in a dose range of 5 to 20 mg/day in clinical trials.</w:t>
            </w:r>
          </w:p>
          <w:p w14:paraId="6CBDDDBD" w14:textId="77777777" w:rsidR="00CB64D4" w:rsidRDefault="00CB64D4" w:rsidP="00E97F1E">
            <w:pPr>
              <w:pStyle w:val="Tablewriting"/>
            </w:pPr>
          </w:p>
          <w:p w14:paraId="5BBF0E7E" w14:textId="004A2AAA" w:rsidR="00CB64D4" w:rsidRPr="00CB64D4" w:rsidRDefault="00CB64D4" w:rsidP="00CB64D4">
            <w:pPr>
              <w:pStyle w:val="Tablewriting"/>
              <w:rPr>
                <w:u w:val="single"/>
              </w:rPr>
            </w:pPr>
            <w:r w:rsidRPr="00CB64D4">
              <w:rPr>
                <w:u w:val="single"/>
              </w:rPr>
              <w:t>Preventing Recurrence in Bipolar Disorder</w:t>
            </w:r>
            <w:r>
              <w:t>: Recommended starting dose is 10 mg once a day. Subsequent daily dosage in the range of 5 mg to 20 mg per day.</w:t>
            </w:r>
          </w:p>
        </w:tc>
      </w:tr>
      <w:tr w:rsidR="002304B2" w:rsidRPr="00A35800" w14:paraId="52F5733B" w14:textId="77777777" w:rsidTr="009F19A3">
        <w:tc>
          <w:tcPr>
            <w:tcW w:w="1384" w:type="dxa"/>
          </w:tcPr>
          <w:p w14:paraId="369C84FD" w14:textId="14B24E0F" w:rsidR="002304B2" w:rsidRPr="00A35800" w:rsidRDefault="002304B2" w:rsidP="00E97F1E">
            <w:pPr>
              <w:pStyle w:val="Tablewriting"/>
            </w:pPr>
            <w:r>
              <w:rPr>
                <w:rFonts w:cs="Arial"/>
                <w:color w:val="000000" w:themeColor="text1"/>
                <w:kern w:val="24"/>
              </w:rPr>
              <w:lastRenderedPageBreak/>
              <w:t>P</w:t>
            </w:r>
            <w:r w:rsidRPr="00D0218F">
              <w:rPr>
                <w:rFonts w:cs="Arial"/>
                <w:color w:val="000000" w:themeColor="text1"/>
                <w:kern w:val="24"/>
              </w:rPr>
              <w:t>aliperidone</w:t>
            </w:r>
          </w:p>
        </w:tc>
        <w:tc>
          <w:tcPr>
            <w:tcW w:w="3827" w:type="dxa"/>
          </w:tcPr>
          <w:p w14:paraId="39AF5AA4" w14:textId="2EB883AC" w:rsidR="002060E0" w:rsidRDefault="00DD59BF" w:rsidP="00E97F1E">
            <w:pPr>
              <w:pStyle w:val="Tablewriting"/>
            </w:pPr>
            <w:hyperlink r:id="rId73" w:tooltip="Janssen-Cilag Pty Ltd" w:history="1">
              <w:r w:rsidR="002060E0" w:rsidRPr="002E5B00">
                <w:t>Invega</w:t>
              </w:r>
            </w:hyperlink>
            <w:r w:rsidR="002060E0">
              <w:t xml:space="preserve"> (Janssen-Cilag Pty Ltd)</w:t>
            </w:r>
          </w:p>
          <w:p w14:paraId="2DA6B07C" w14:textId="0AC4C467" w:rsidR="002304B2" w:rsidRPr="00A35800" w:rsidRDefault="00DD59BF" w:rsidP="00E97F1E">
            <w:pPr>
              <w:pStyle w:val="Tablewriting"/>
            </w:pPr>
            <w:hyperlink r:id="rId74" w:tooltip="Janssen-Cilag Pty Ltd" w:history="1">
              <w:r w:rsidR="002060E0" w:rsidRPr="002E5B00">
                <w:t>Invega Sustenna</w:t>
              </w:r>
            </w:hyperlink>
            <w:r w:rsidR="002060E0">
              <w:t xml:space="preserve"> (Janssen-Cilag Pty Ltd)</w:t>
            </w:r>
          </w:p>
        </w:tc>
        <w:tc>
          <w:tcPr>
            <w:tcW w:w="3969" w:type="dxa"/>
          </w:tcPr>
          <w:p w14:paraId="66B6F0E8" w14:textId="1344EEA4" w:rsidR="002060E0" w:rsidRDefault="002060E0" w:rsidP="002060E0">
            <w:pPr>
              <w:pStyle w:val="Tablewriting"/>
              <w:rPr>
                <w:u w:val="single"/>
              </w:rPr>
            </w:pPr>
            <w:r>
              <w:rPr>
                <w:u w:val="single"/>
              </w:rPr>
              <w:t>Invega</w:t>
            </w:r>
          </w:p>
          <w:p w14:paraId="667A7234" w14:textId="5AE17908" w:rsidR="002060E0" w:rsidRDefault="002060E0" w:rsidP="00E97F1E">
            <w:pPr>
              <w:pStyle w:val="Tablewriting"/>
            </w:pPr>
            <w:r>
              <w:t xml:space="preserve">Recommended dose </w:t>
            </w:r>
            <w:r w:rsidR="00DD3196">
              <w:t xml:space="preserve">for schizophrenia and schizoaffective disorder is </w:t>
            </w:r>
            <w:r>
              <w:t xml:space="preserve"> 6 mg once daily. The maximum recommended dose is 12 mg once daily.</w:t>
            </w:r>
          </w:p>
          <w:p w14:paraId="027C2D28" w14:textId="77777777" w:rsidR="002060E0" w:rsidRDefault="002060E0" w:rsidP="00E97F1E">
            <w:pPr>
              <w:pStyle w:val="Tablewriting"/>
            </w:pPr>
          </w:p>
          <w:p w14:paraId="70DCF919" w14:textId="77777777" w:rsidR="002060E0" w:rsidRPr="00DD3196" w:rsidRDefault="002060E0" w:rsidP="00E97F1E">
            <w:pPr>
              <w:pStyle w:val="Tablewriting"/>
              <w:rPr>
                <w:u w:val="single"/>
              </w:rPr>
            </w:pPr>
            <w:r w:rsidRPr="00DD3196">
              <w:rPr>
                <w:u w:val="single"/>
              </w:rPr>
              <w:t>Invega Sustenna</w:t>
            </w:r>
          </w:p>
          <w:p w14:paraId="7143E693" w14:textId="77777777" w:rsidR="002060E0" w:rsidRDefault="002060E0" w:rsidP="00E97F1E">
            <w:pPr>
              <w:pStyle w:val="Tablewriting"/>
            </w:pPr>
          </w:p>
          <w:p w14:paraId="6ECD3EF7" w14:textId="141A7C3D" w:rsidR="002060E0" w:rsidRPr="00A35800" w:rsidRDefault="002060E0" w:rsidP="002060E0">
            <w:pPr>
              <w:pStyle w:val="Tablewriting"/>
            </w:pPr>
            <w:r>
              <w:t>Recommended initiation of INVEGA SUSTENNA® is with an injection of a  dose of 150 mg on treatment day 1 and 100 mg one week later (day 8). The recommended monthly maintenance dose is 75 mg. Highest recommended dose is 150 mg.</w:t>
            </w:r>
          </w:p>
        </w:tc>
      </w:tr>
      <w:tr w:rsidR="002304B2" w:rsidRPr="00A35800" w14:paraId="6A4A2B03" w14:textId="77777777" w:rsidTr="009F19A3">
        <w:tc>
          <w:tcPr>
            <w:tcW w:w="1384" w:type="dxa"/>
          </w:tcPr>
          <w:p w14:paraId="2D526EAF" w14:textId="684D1C4F" w:rsidR="002304B2" w:rsidRPr="00A35800" w:rsidRDefault="002304B2" w:rsidP="00E97F1E">
            <w:pPr>
              <w:pStyle w:val="Tablewriting"/>
            </w:pPr>
            <w:r>
              <w:rPr>
                <w:rFonts w:cs="Arial"/>
                <w:color w:val="000000" w:themeColor="text1"/>
                <w:kern w:val="24"/>
              </w:rPr>
              <w:t>Q</w:t>
            </w:r>
            <w:r w:rsidRPr="00D0218F">
              <w:rPr>
                <w:rFonts w:cs="Arial"/>
                <w:color w:val="000000" w:themeColor="text1"/>
                <w:kern w:val="24"/>
              </w:rPr>
              <w:t>uetiapine</w:t>
            </w:r>
          </w:p>
        </w:tc>
        <w:tc>
          <w:tcPr>
            <w:tcW w:w="3827" w:type="dxa"/>
          </w:tcPr>
          <w:p w14:paraId="56DA06CD" w14:textId="17D3D505" w:rsidR="00E219E0" w:rsidRDefault="00DD59BF" w:rsidP="00E97F1E">
            <w:pPr>
              <w:pStyle w:val="Tablewriting"/>
            </w:pPr>
            <w:hyperlink r:id="rId75" w:tooltip="Apotex Pty Ltd" w:history="1">
              <w:r w:rsidR="00E219E0" w:rsidRPr="008E2BBD">
                <w:t>APO-Quetiapine</w:t>
              </w:r>
            </w:hyperlink>
            <w:r w:rsidR="00E219E0">
              <w:t xml:space="preserve"> (Apotex Pty Ltd)</w:t>
            </w:r>
          </w:p>
          <w:p w14:paraId="349FE2AE" w14:textId="36C145E8" w:rsidR="00E219E0" w:rsidRDefault="00DD59BF" w:rsidP="00E97F1E">
            <w:pPr>
              <w:pStyle w:val="Tablewriting"/>
            </w:pPr>
            <w:hyperlink r:id="rId76" w:tooltip="Apotex Pty Ltd" w:history="1">
              <w:r w:rsidR="00E219E0" w:rsidRPr="008E2BBD">
                <w:t>Chem mart Quetiapine</w:t>
              </w:r>
            </w:hyperlink>
            <w:r w:rsidR="00E219E0">
              <w:t xml:space="preserve"> (Apotex Pty Ltd)</w:t>
            </w:r>
          </w:p>
          <w:p w14:paraId="2FA397D2" w14:textId="7BDB3A74" w:rsidR="00E219E0" w:rsidRPr="008E2BBD" w:rsidRDefault="00DD59BF" w:rsidP="00E97F1E">
            <w:pPr>
              <w:pStyle w:val="Tablewriting"/>
            </w:pPr>
            <w:hyperlink r:id="rId77" w:tooltip="Aurobindo Pharma (Australia) Pty Limited" w:history="1">
              <w:r w:rsidR="00E219E0" w:rsidRPr="008E2BBD">
                <w:t>Delucon</w:t>
              </w:r>
            </w:hyperlink>
            <w:r w:rsidR="00E219E0" w:rsidRPr="008E2BBD">
              <w:t xml:space="preserve"> (Aurobindo Pharma (Australia) Pty Limited</w:t>
            </w:r>
          </w:p>
          <w:p w14:paraId="245E661C" w14:textId="50514F2E" w:rsidR="00E219E0" w:rsidRDefault="00DD59BF" w:rsidP="00E97F1E">
            <w:pPr>
              <w:pStyle w:val="Tablewriting"/>
            </w:pPr>
            <w:hyperlink r:id="rId78" w:tooltip="Eris Pharmaceuticals (Australia) Pty Ltd" w:history="1">
              <w:r w:rsidR="00E219E0" w:rsidRPr="008E2BBD">
                <w:t>Kaptan</w:t>
              </w:r>
            </w:hyperlink>
            <w:r w:rsidR="00E219E0">
              <w:t xml:space="preserve"> (Eris Pharmaceuticals (Australia) Pty Ltd</w:t>
            </w:r>
          </w:p>
          <w:p w14:paraId="5A5766FC" w14:textId="42DBFFED" w:rsidR="00E219E0" w:rsidRDefault="00DD59BF" w:rsidP="00E97F1E">
            <w:pPr>
              <w:pStyle w:val="Tablewriting"/>
            </w:pPr>
            <w:hyperlink r:id="rId79" w:tooltip="Pharmacor Pty Limited" w:history="1">
              <w:r w:rsidR="00E219E0" w:rsidRPr="008E2BBD">
                <w:t>Pharmacor Quetiapine</w:t>
              </w:r>
            </w:hyperlink>
            <w:r w:rsidR="00E219E0">
              <w:t xml:space="preserve"> (Pharmacor Pty Limited)</w:t>
            </w:r>
          </w:p>
          <w:p w14:paraId="03900F55" w14:textId="54358FDC" w:rsidR="00F270B8" w:rsidRPr="008E2BBD" w:rsidRDefault="00F270B8" w:rsidP="00E97F1E">
            <w:pPr>
              <w:pStyle w:val="Tablewriting"/>
            </w:pPr>
            <w:r w:rsidRPr="008E2BBD">
              <w:t>Quetia (Arrow Pharma Pty Ltd)</w:t>
            </w:r>
          </w:p>
          <w:p w14:paraId="25DCBF38" w14:textId="02A81F50" w:rsidR="00F270B8" w:rsidRDefault="00DD59BF" w:rsidP="00E97F1E">
            <w:pPr>
              <w:pStyle w:val="Tablewriting"/>
            </w:pPr>
            <w:hyperlink r:id="rId80" w:tooltip="Amneal Pharmaceuticals Pty Ltd" w:history="1">
              <w:r w:rsidR="00F270B8" w:rsidRPr="008E2BBD">
                <w:t>Quetiaccord</w:t>
              </w:r>
            </w:hyperlink>
            <w:r w:rsidR="00F270B8">
              <w:t xml:space="preserve"> (Amneal Pharmaceuticals Pty Ltd)</w:t>
            </w:r>
          </w:p>
          <w:p w14:paraId="45168313" w14:textId="6F8613D0" w:rsidR="00F270B8" w:rsidRDefault="00F270B8" w:rsidP="00E97F1E">
            <w:pPr>
              <w:pStyle w:val="Tablewriting"/>
            </w:pPr>
            <w:r w:rsidRPr="008E2BBD">
              <w:t xml:space="preserve">Quetiapine Actavis </w:t>
            </w:r>
            <w:r>
              <w:t>(Amneal Pharmaceuticals Pty Ltd)</w:t>
            </w:r>
          </w:p>
          <w:p w14:paraId="06C5EE99" w14:textId="1824567C" w:rsidR="00F270B8" w:rsidRDefault="00DD59BF" w:rsidP="00E97F1E">
            <w:pPr>
              <w:pStyle w:val="Tablewriting"/>
            </w:pPr>
            <w:hyperlink r:id="rId81" w:tooltip="Amneal Pharmaceuticals Pty Ltd" w:history="1">
              <w:r w:rsidR="00F270B8" w:rsidRPr="008E2BBD">
                <w:t>Quetiapine AN</w:t>
              </w:r>
            </w:hyperlink>
            <w:r w:rsidR="00F270B8">
              <w:t xml:space="preserve"> (Amneal Pharmaceuticals Pty Ltd)</w:t>
            </w:r>
          </w:p>
          <w:p w14:paraId="56E1BB3E" w14:textId="62513B43" w:rsidR="000C57CB" w:rsidRDefault="000C57CB" w:rsidP="00E97F1E">
            <w:pPr>
              <w:pStyle w:val="Tablewriting"/>
            </w:pPr>
            <w:r>
              <w:t xml:space="preserve">Quetiapine-AS XR </w:t>
            </w:r>
            <w:r w:rsidRPr="008E2BBD">
              <w:t>(Arrow Pharma Pty Ltd)</w:t>
            </w:r>
          </w:p>
          <w:p w14:paraId="2DEE374B" w14:textId="1C3725F0" w:rsidR="005D2A6A" w:rsidRDefault="00DD59BF" w:rsidP="00E97F1E">
            <w:pPr>
              <w:pStyle w:val="Tablewriting"/>
            </w:pPr>
            <w:hyperlink r:id="rId82" w:tooltip="Dr Reddy's Laboratories (Australia) Pty Ltd" w:history="1">
              <w:r w:rsidR="005D2A6A" w:rsidRPr="008E2BBD">
                <w:t>Quetiapine-DRLA</w:t>
              </w:r>
            </w:hyperlink>
            <w:r w:rsidR="005D2A6A">
              <w:t xml:space="preserve"> (Dr Reddy’s Laboratories (Australia) Pty Ltd</w:t>
            </w:r>
          </w:p>
          <w:p w14:paraId="5D530013" w14:textId="77777777" w:rsidR="005D2A6A" w:rsidRPr="008E2BBD" w:rsidRDefault="00F270B8" w:rsidP="00E97F1E">
            <w:pPr>
              <w:pStyle w:val="Tablewriting"/>
            </w:pPr>
            <w:r w:rsidRPr="008E2BBD">
              <w:t>Quetiapine GH (Generic Health Pty Ltd)</w:t>
            </w:r>
          </w:p>
          <w:p w14:paraId="178B1E38" w14:textId="77777777" w:rsidR="005D2A6A" w:rsidRDefault="00DD59BF" w:rsidP="00E97F1E">
            <w:pPr>
              <w:pStyle w:val="Tablewriting"/>
            </w:pPr>
            <w:hyperlink r:id="rId83" w:tooltip="Ranbaxy Australia Pty Limited" w:history="1">
              <w:r w:rsidR="005D2A6A" w:rsidRPr="008E2BBD">
                <w:t>Quetiapine RBX</w:t>
              </w:r>
            </w:hyperlink>
            <w:r w:rsidR="005D2A6A">
              <w:t xml:space="preserve"> (Ranbaxy Australia Pty Limited)</w:t>
            </w:r>
          </w:p>
          <w:p w14:paraId="05B30522" w14:textId="531A2AF1" w:rsidR="00F270B8" w:rsidRDefault="00DD59BF" w:rsidP="00E97F1E">
            <w:pPr>
              <w:pStyle w:val="Tablewriting"/>
            </w:pPr>
            <w:hyperlink r:id="rId84" w:tooltip="Sandoz Pty Ltd" w:history="1">
              <w:r w:rsidR="005D2A6A" w:rsidRPr="008E2BBD">
                <w:t>Quetiapine Sandoz</w:t>
              </w:r>
            </w:hyperlink>
            <w:r w:rsidR="005D2A6A">
              <w:t xml:space="preserve"> (Sandoz Pty Ltd)</w:t>
            </w:r>
            <w:r w:rsidR="00F270B8">
              <w:t xml:space="preserve"> </w:t>
            </w:r>
          </w:p>
          <w:p w14:paraId="44B806EB" w14:textId="7837D684" w:rsidR="0007578B" w:rsidRPr="008E2BBD" w:rsidRDefault="0007578B" w:rsidP="00E97F1E">
            <w:pPr>
              <w:pStyle w:val="Tablewriting"/>
            </w:pPr>
            <w:r w:rsidRPr="008E2BBD">
              <w:t>Seronia (Arrow Pharma Pty Ltd)</w:t>
            </w:r>
          </w:p>
          <w:p w14:paraId="18C6DC57" w14:textId="680DC916" w:rsidR="00EC1F5E" w:rsidRPr="008E2BBD" w:rsidRDefault="00EC1F5E" w:rsidP="00E97F1E">
            <w:pPr>
              <w:pStyle w:val="Tablewriting"/>
            </w:pPr>
            <w:r w:rsidRPr="008E2BBD">
              <w:t>Seroquel (AstraZeneca Pty Ltd)</w:t>
            </w:r>
          </w:p>
          <w:p w14:paraId="531859D2" w14:textId="77777777" w:rsidR="002304B2" w:rsidRPr="008E2BBD" w:rsidRDefault="00DD59BF" w:rsidP="00E97F1E">
            <w:pPr>
              <w:pStyle w:val="Tablewriting"/>
            </w:pPr>
            <w:hyperlink r:id="rId85" w:tooltip="AstraZeneca Pty Ltd" w:history="1">
              <w:r w:rsidR="003313AB" w:rsidRPr="008E2BBD">
                <w:t>Seroquel XR</w:t>
              </w:r>
            </w:hyperlink>
            <w:r w:rsidR="003313AB" w:rsidRPr="008E2BBD">
              <w:t xml:space="preserve"> (AstraZeneca Pty Ltd)</w:t>
            </w:r>
          </w:p>
          <w:p w14:paraId="39C103B4" w14:textId="7F8EFCEC" w:rsidR="00096100" w:rsidRDefault="00DD59BF" w:rsidP="00E97F1E">
            <w:pPr>
              <w:pStyle w:val="Tablewriting"/>
            </w:pPr>
            <w:hyperlink r:id="rId86" w:tooltip="Alphapharm Pty Ltd" w:history="1">
              <w:r w:rsidR="00096100" w:rsidRPr="008E2BBD">
                <w:t>Syquet</w:t>
              </w:r>
            </w:hyperlink>
            <w:r w:rsidR="00096100">
              <w:t xml:space="preserve"> (Alphapharm Pty Ltd)</w:t>
            </w:r>
          </w:p>
          <w:p w14:paraId="4E6CF7A8" w14:textId="255D67E5" w:rsidR="003313AB" w:rsidRPr="00A35800" w:rsidRDefault="00DD59BF" w:rsidP="00E97F1E">
            <w:pPr>
              <w:pStyle w:val="Tablewriting"/>
            </w:pPr>
            <w:hyperlink r:id="rId87" w:tooltip="Apotex Pty Ltd" w:history="1">
              <w:r w:rsidR="008E2BBD" w:rsidRPr="008E2BBD">
                <w:t>Terry White Chemists Quetiapine</w:t>
              </w:r>
            </w:hyperlink>
            <w:r w:rsidR="008E2BBD">
              <w:t xml:space="preserve"> (Apotex Pty Ltd)</w:t>
            </w:r>
          </w:p>
        </w:tc>
        <w:tc>
          <w:tcPr>
            <w:tcW w:w="3969" w:type="dxa"/>
          </w:tcPr>
          <w:p w14:paraId="1CCFD4AD" w14:textId="3993447C" w:rsidR="00605FD8" w:rsidRDefault="00175E99" w:rsidP="00605FD8">
            <w:pPr>
              <w:pStyle w:val="Tablewriting"/>
              <w:rPr>
                <w:u w:val="single"/>
              </w:rPr>
            </w:pPr>
            <w:r>
              <w:rPr>
                <w:u w:val="single"/>
              </w:rPr>
              <w:t>Bipolar disorder</w:t>
            </w:r>
            <w:r w:rsidR="00ED4B40">
              <w:rPr>
                <w:u w:val="single"/>
              </w:rPr>
              <w:t xml:space="preserve"> - acute mania</w:t>
            </w:r>
          </w:p>
          <w:p w14:paraId="1C8F3709" w14:textId="77777777" w:rsidR="00ED4B40" w:rsidRDefault="00605FD8" w:rsidP="00605FD8">
            <w:pPr>
              <w:pStyle w:val="Tablewriting"/>
            </w:pPr>
            <w:r>
              <w:t xml:space="preserve">Administered twice daily (conventional tablet). The total daily dose for the first four days of therapy is 100 mg (Day 1), 200 mg (Day 2), 300 mg (Day 3) and 400 mg (Day 4), alone or in combination with a mood stabiliser. </w:t>
            </w:r>
          </w:p>
          <w:p w14:paraId="5A20E5B4" w14:textId="4B25AD33" w:rsidR="00ED4B40" w:rsidRDefault="00ED4B40" w:rsidP="00605FD8">
            <w:pPr>
              <w:pStyle w:val="Tablewriting"/>
            </w:pPr>
            <w:r>
              <w:t xml:space="preserve">Administered once daily (controlled release tablet). 300 mg (Day 1), 600 mg (Day 2) then 800 mg (from Day 3). </w:t>
            </w:r>
          </w:p>
          <w:p w14:paraId="76407F14" w14:textId="1EAC7C15" w:rsidR="00605FD8" w:rsidRDefault="00605FD8" w:rsidP="00605FD8">
            <w:pPr>
              <w:pStyle w:val="Tablewriting"/>
            </w:pPr>
            <w:r>
              <w:t>Further dosage adjustments up to 800 mg/day by Day 6 should be in increments of no greater than 200 mg/day. The usual effective dose is in the range of 400 to 800 mg/day.</w:t>
            </w:r>
          </w:p>
          <w:p w14:paraId="3477C3B5" w14:textId="61B712ED" w:rsidR="00175E99" w:rsidRPr="00175E99" w:rsidRDefault="00175E99" w:rsidP="00E97F1E">
            <w:pPr>
              <w:pStyle w:val="Tablewriting"/>
              <w:rPr>
                <w:u w:val="single"/>
              </w:rPr>
            </w:pPr>
            <w:r>
              <w:rPr>
                <w:u w:val="single"/>
              </w:rPr>
              <w:t xml:space="preserve">Bipolar </w:t>
            </w:r>
            <w:r w:rsidR="00ED4B40">
              <w:rPr>
                <w:u w:val="single"/>
              </w:rPr>
              <w:t xml:space="preserve">disorder - </w:t>
            </w:r>
            <w:r>
              <w:rPr>
                <w:u w:val="single"/>
              </w:rPr>
              <w:t>depression</w:t>
            </w:r>
          </w:p>
          <w:p w14:paraId="37A021E8" w14:textId="67BBF9D2" w:rsidR="00175E99" w:rsidRDefault="00175E99" w:rsidP="00E97F1E">
            <w:pPr>
              <w:pStyle w:val="Tablewriting"/>
            </w:pPr>
            <w:r>
              <w:t>Administered once daily</w:t>
            </w:r>
            <w:r w:rsidR="00ED4B40">
              <w:t xml:space="preserve"> </w:t>
            </w:r>
            <w:r w:rsidR="002E48D7">
              <w:t xml:space="preserve">at bedtime </w:t>
            </w:r>
            <w:r w:rsidR="00ED4B40">
              <w:t>(</w:t>
            </w:r>
            <w:r w:rsidR="002E48D7">
              <w:t>conventional and controlled release</w:t>
            </w:r>
            <w:r w:rsidR="00ED4B40">
              <w:t xml:space="preserve"> tablet)</w:t>
            </w:r>
            <w:r>
              <w:t>. Quetiapine should be titrated as follows: 50 mg (Day 1), 100 mg (Day 2), 200 mg (Day 3) and 300 mg (Day 4). The dose may be adjusted up to 600 mg/day in increments of 100 mg/day.</w:t>
            </w:r>
          </w:p>
          <w:p w14:paraId="127200DE" w14:textId="77777777" w:rsidR="004D0090" w:rsidRDefault="004D0090" w:rsidP="00175E99">
            <w:pPr>
              <w:pStyle w:val="Tablewriting"/>
              <w:rPr>
                <w:u w:val="single"/>
              </w:rPr>
            </w:pPr>
            <w:r>
              <w:rPr>
                <w:u w:val="single"/>
              </w:rPr>
              <w:t>Schizophrenia</w:t>
            </w:r>
          </w:p>
          <w:p w14:paraId="789C86D7" w14:textId="77777777" w:rsidR="00ED4B40" w:rsidRDefault="00ED4B40" w:rsidP="00175E99">
            <w:pPr>
              <w:pStyle w:val="Tablewriting"/>
            </w:pPr>
            <w:r>
              <w:t xml:space="preserve">Administered once daily (controlled release tablet). 300 mg (Day 1), 600 mg (Day 2) and up to 800 mg (Day 3 onwards). The dose should be adjusted within the usual effective dose range of 400-800 mg/day. </w:t>
            </w:r>
          </w:p>
          <w:p w14:paraId="29CED420" w14:textId="6DBD2A07" w:rsidR="004D0090" w:rsidRDefault="004D0090" w:rsidP="00175E99">
            <w:pPr>
              <w:pStyle w:val="Tablewriting"/>
            </w:pPr>
            <w:r>
              <w:t>Administered twice daily</w:t>
            </w:r>
            <w:r w:rsidR="00ED4B40">
              <w:t xml:space="preserve"> (conventional tablet)</w:t>
            </w:r>
            <w:r>
              <w:t xml:space="preserve">. The total daily dose for the first four days of therapy is 50 mg (Day 1), 100 mg (Day 2), 200 mg (Day 3) and 300 mg (Day 4). the </w:t>
            </w:r>
            <w:r>
              <w:lastRenderedPageBreak/>
              <w:t>dose may be adjusted within the range 150 to 750 mg/day.</w:t>
            </w:r>
          </w:p>
          <w:p w14:paraId="16FAC300" w14:textId="4C98A279" w:rsidR="004D0090" w:rsidRPr="00AE7256" w:rsidRDefault="00AE7256" w:rsidP="00175E99">
            <w:pPr>
              <w:pStyle w:val="Tablewriting"/>
              <w:rPr>
                <w:u w:val="single"/>
              </w:rPr>
            </w:pPr>
            <w:r>
              <w:rPr>
                <w:u w:val="single"/>
              </w:rPr>
              <w:t>Dose adjustments for the elderly</w:t>
            </w:r>
          </w:p>
          <w:p w14:paraId="4565B7D4" w14:textId="08EE1322" w:rsidR="00175E99" w:rsidRPr="00AE7256" w:rsidRDefault="00AE7256" w:rsidP="00E97F1E">
            <w:pPr>
              <w:pStyle w:val="Tablewriting"/>
            </w:pPr>
            <w:r>
              <w:t>The rate of dose titration may need to be slower, and the daily therapeutic dose lower, than that used in younger patients.</w:t>
            </w:r>
          </w:p>
        </w:tc>
      </w:tr>
      <w:tr w:rsidR="002304B2" w:rsidRPr="00A35800" w14:paraId="55FB2EFD" w14:textId="77777777" w:rsidTr="009F19A3">
        <w:tc>
          <w:tcPr>
            <w:tcW w:w="1384" w:type="dxa"/>
          </w:tcPr>
          <w:p w14:paraId="3A60FA9E" w14:textId="27EDED81" w:rsidR="002304B2" w:rsidRPr="00A35800" w:rsidRDefault="002304B2" w:rsidP="00E97F1E">
            <w:pPr>
              <w:pStyle w:val="Tablewriting"/>
            </w:pPr>
            <w:r>
              <w:rPr>
                <w:rFonts w:cs="Arial"/>
                <w:color w:val="000000" w:themeColor="text1"/>
                <w:kern w:val="24"/>
              </w:rPr>
              <w:lastRenderedPageBreak/>
              <w:t>R</w:t>
            </w:r>
            <w:r w:rsidRPr="00D0218F">
              <w:rPr>
                <w:rFonts w:cs="Arial"/>
                <w:color w:val="000000" w:themeColor="text1"/>
                <w:kern w:val="24"/>
              </w:rPr>
              <w:t>isperidone</w:t>
            </w:r>
          </w:p>
        </w:tc>
        <w:tc>
          <w:tcPr>
            <w:tcW w:w="3827" w:type="dxa"/>
          </w:tcPr>
          <w:p w14:paraId="61F88EF6" w14:textId="77777777" w:rsidR="002304B2" w:rsidRPr="008D4C91" w:rsidRDefault="00DD59BF" w:rsidP="00E97F1E">
            <w:pPr>
              <w:pStyle w:val="Tablewriting"/>
            </w:pPr>
            <w:hyperlink r:id="rId88" w:tooltip="Apotex Pty Ltd" w:history="1">
              <w:r w:rsidR="00DE6AA4" w:rsidRPr="008D4C91">
                <w:t>APO-Risperidone</w:t>
              </w:r>
            </w:hyperlink>
            <w:r w:rsidR="00DE6AA4" w:rsidRPr="008D4C91">
              <w:t xml:space="preserve"> (Apotex Pty Ltd)</w:t>
            </w:r>
          </w:p>
          <w:p w14:paraId="415F8902" w14:textId="41D3A437" w:rsidR="00DE6AA4" w:rsidRDefault="00DD59BF" w:rsidP="00E97F1E">
            <w:pPr>
              <w:pStyle w:val="Tablewriting"/>
            </w:pPr>
            <w:hyperlink r:id="rId89" w:tooltip="Ranbaxy Australia Pty Limited" w:history="1">
              <w:r w:rsidR="00DE6AA4" w:rsidRPr="008D4C91">
                <w:t>Ozidal</w:t>
              </w:r>
            </w:hyperlink>
            <w:r w:rsidR="00DE6AA4">
              <w:t xml:space="preserve"> (Ranbaxy Australia Pty Limited)</w:t>
            </w:r>
          </w:p>
          <w:p w14:paraId="6F4F9E41" w14:textId="48380517" w:rsidR="00DE6AA4" w:rsidRPr="008D4C91" w:rsidRDefault="00DD59BF" w:rsidP="00E97F1E">
            <w:pPr>
              <w:pStyle w:val="Tablewriting"/>
            </w:pPr>
            <w:hyperlink r:id="rId90" w:tooltip="Arrow Pharma Pty Ltd" w:history="1">
              <w:r w:rsidR="00DE6AA4" w:rsidRPr="008D4C91">
                <w:t>Rispa</w:t>
              </w:r>
            </w:hyperlink>
            <w:r w:rsidR="00DE6AA4">
              <w:t xml:space="preserve"> (Arrow Pharma Pty Ltd)</w:t>
            </w:r>
          </w:p>
          <w:p w14:paraId="7EB94EDD" w14:textId="77777777" w:rsidR="00DE6AA4" w:rsidRDefault="00DD59BF" w:rsidP="00E97F1E">
            <w:pPr>
              <w:pStyle w:val="Tablewriting"/>
            </w:pPr>
            <w:hyperlink r:id="rId91" w:tooltip="Janssen-Cilag Pty Ltd" w:history="1">
              <w:r w:rsidR="00DE6AA4" w:rsidRPr="008D4C91">
                <w:t>Risperdal</w:t>
              </w:r>
            </w:hyperlink>
            <w:r w:rsidR="00DE6AA4">
              <w:t xml:space="preserve"> (Janssen-Cilag Pty Ltd)</w:t>
            </w:r>
          </w:p>
          <w:p w14:paraId="076578E8" w14:textId="0DB8C058" w:rsidR="008D4C91" w:rsidRDefault="00DD59BF" w:rsidP="00E97F1E">
            <w:pPr>
              <w:pStyle w:val="Tablewriting"/>
            </w:pPr>
            <w:hyperlink r:id="rId92" w:tooltip="Janssen-Cilag Pty Ltd" w:history="1">
              <w:r w:rsidR="008D4C91" w:rsidRPr="008D4C91">
                <w:t>Risperdal Consta</w:t>
              </w:r>
            </w:hyperlink>
            <w:r w:rsidR="008D4C91">
              <w:t xml:space="preserve"> (Janssen-Cilag Pty Ltd)</w:t>
            </w:r>
          </w:p>
          <w:p w14:paraId="282811A8" w14:textId="3322BA1E" w:rsidR="00DE6AA4" w:rsidRPr="008D4C91" w:rsidRDefault="00DE6AA4" w:rsidP="00E97F1E">
            <w:pPr>
              <w:pStyle w:val="Tablewriting"/>
            </w:pPr>
            <w:r w:rsidRPr="008D4C91">
              <w:t>Rispericor (Pharmacor Pty Ltd)</w:t>
            </w:r>
          </w:p>
          <w:p w14:paraId="3BE9D4F2" w14:textId="332284E3" w:rsidR="00DE6AA4" w:rsidRPr="00DE6AA4" w:rsidRDefault="00DE6AA4" w:rsidP="00E97F1E">
            <w:pPr>
              <w:pStyle w:val="Tablewriting"/>
            </w:pPr>
            <w:r w:rsidRPr="008D4C91">
              <w:t xml:space="preserve">Risperidone Actavis </w:t>
            </w:r>
            <w:r>
              <w:t>(Amneal Pharmaceuticals Pty Ltd)</w:t>
            </w:r>
          </w:p>
          <w:p w14:paraId="188A3939" w14:textId="3D9D6D8F" w:rsidR="00DE6AA4" w:rsidRDefault="00DD59BF" w:rsidP="00E97F1E">
            <w:pPr>
              <w:pStyle w:val="Tablewriting"/>
            </w:pPr>
            <w:hyperlink r:id="rId93" w:tooltip="Amneal Pharmaceuticals Pty Ltd" w:history="1">
              <w:r w:rsidR="00DE6AA4" w:rsidRPr="008D4C91">
                <w:t>Risperidone AMNEAL</w:t>
              </w:r>
            </w:hyperlink>
            <w:r w:rsidR="00DE6AA4">
              <w:t xml:space="preserve"> (Amneal Pharmaceuticals Pty Ltd)</w:t>
            </w:r>
          </w:p>
          <w:p w14:paraId="5B80E702" w14:textId="6CC62B77" w:rsidR="00DE6AA4" w:rsidRDefault="00DD59BF" w:rsidP="00E97F1E">
            <w:pPr>
              <w:pStyle w:val="Tablewriting"/>
            </w:pPr>
            <w:hyperlink r:id="rId94" w:tooltip="Amneal Pharmaceuticals Pty Ltd" w:history="1">
              <w:r w:rsidR="00DE6AA4" w:rsidRPr="008D4C91">
                <w:t>Risperidone AN</w:t>
              </w:r>
            </w:hyperlink>
            <w:r w:rsidR="00DE6AA4">
              <w:t xml:space="preserve"> (Amneal Pharmaceuticals Pty Ltd)</w:t>
            </w:r>
          </w:p>
          <w:p w14:paraId="7532120A" w14:textId="052B726B" w:rsidR="005C6027" w:rsidRDefault="00DD59BF" w:rsidP="00E97F1E">
            <w:pPr>
              <w:pStyle w:val="Tablewriting"/>
            </w:pPr>
            <w:hyperlink r:id="rId95" w:tooltip="Generic Health Pty Ltd" w:history="1">
              <w:r w:rsidR="005C6027" w:rsidRPr="008D4C91">
                <w:t>Risperidone generichealth</w:t>
              </w:r>
            </w:hyperlink>
            <w:r w:rsidR="005C6027">
              <w:t xml:space="preserve"> (Generic Health Pty Ltd)</w:t>
            </w:r>
          </w:p>
          <w:p w14:paraId="1002927F" w14:textId="370D7947" w:rsidR="005C6027" w:rsidRDefault="00DD59BF" w:rsidP="00E97F1E">
            <w:pPr>
              <w:pStyle w:val="Tablewriting"/>
            </w:pPr>
            <w:hyperlink r:id="rId96" w:tooltip="Sandoz Pty Ltd" w:history="1">
              <w:r w:rsidR="005C6027" w:rsidRPr="008D4C91">
                <w:t>Risperidone Sandoz</w:t>
              </w:r>
            </w:hyperlink>
            <w:r w:rsidR="005C6027">
              <w:t xml:space="preserve"> (Sandoz Pty Ltd)</w:t>
            </w:r>
          </w:p>
          <w:p w14:paraId="6ED13661" w14:textId="2F292E9F" w:rsidR="005C6027" w:rsidRDefault="00DD59BF" w:rsidP="00E97F1E">
            <w:pPr>
              <w:pStyle w:val="Tablewriting"/>
            </w:pPr>
            <w:hyperlink r:id="rId97" w:tooltip="Eris Pharmaceuticals (Australia) Pty Ltd" w:history="1">
              <w:r w:rsidR="005C6027" w:rsidRPr="008D4C91">
                <w:t>Rispernia</w:t>
              </w:r>
            </w:hyperlink>
            <w:r w:rsidR="005C6027">
              <w:t xml:space="preserve"> (Eris Pharmaceuticals (Australia) Pty Ltd)</w:t>
            </w:r>
          </w:p>
          <w:p w14:paraId="357B41C9" w14:textId="03B7A9D1" w:rsidR="00DE6AA4" w:rsidRPr="00A35800" w:rsidRDefault="00DD59BF" w:rsidP="00E97F1E">
            <w:pPr>
              <w:pStyle w:val="Tablewriting"/>
            </w:pPr>
            <w:hyperlink r:id="rId98" w:tooltip="Alphapharm Pty Ltd" w:history="1">
              <w:r w:rsidR="008D4C91" w:rsidRPr="008D4C91">
                <w:t>Rixadone</w:t>
              </w:r>
            </w:hyperlink>
            <w:r w:rsidR="008D4C91">
              <w:t xml:space="preserve">  (Alphapharm Pty Ltd)</w:t>
            </w:r>
          </w:p>
        </w:tc>
        <w:tc>
          <w:tcPr>
            <w:tcW w:w="3969" w:type="dxa"/>
          </w:tcPr>
          <w:p w14:paraId="6D35B7BF" w14:textId="20691769" w:rsidR="00D55DAB" w:rsidRDefault="00D55DAB" w:rsidP="00E97F1E">
            <w:pPr>
              <w:pStyle w:val="Tablewriting"/>
              <w:rPr>
                <w:u w:val="single"/>
              </w:rPr>
            </w:pPr>
            <w:r>
              <w:rPr>
                <w:u w:val="single"/>
              </w:rPr>
              <w:t>Schizophrenia</w:t>
            </w:r>
          </w:p>
          <w:p w14:paraId="1B333420" w14:textId="36057EB1" w:rsidR="00D55DAB" w:rsidRDefault="00D55DAB" w:rsidP="00E97F1E">
            <w:pPr>
              <w:pStyle w:val="Tablewriting"/>
              <w:rPr>
                <w:u w:val="single"/>
              </w:rPr>
            </w:pPr>
            <w:r>
              <w:t>Starting dose of 1 mg twice a day. The dosage may be increased on the second day to 2 mg twice a day. In stable patients, risperidone may be given once daily or twice daily, with a recommended daily dose between 4 and 6 mg.</w:t>
            </w:r>
          </w:p>
          <w:p w14:paraId="6E0CDA01" w14:textId="77777777" w:rsidR="00D55DAB" w:rsidRPr="00643912" w:rsidRDefault="00643912" w:rsidP="00E97F1E">
            <w:pPr>
              <w:pStyle w:val="Tablewriting"/>
              <w:rPr>
                <w:u w:val="single"/>
              </w:rPr>
            </w:pPr>
            <w:r w:rsidRPr="00643912">
              <w:rPr>
                <w:u w:val="single"/>
              </w:rPr>
              <w:t>Bipolar Mania</w:t>
            </w:r>
          </w:p>
          <w:p w14:paraId="28596649" w14:textId="77777777" w:rsidR="00643912" w:rsidRDefault="009414B6" w:rsidP="00E97F1E">
            <w:pPr>
              <w:pStyle w:val="Tablewriting"/>
            </w:pPr>
            <w:r>
              <w:t>Administered on a once daily basis, starting with 2 mg.</w:t>
            </w:r>
          </w:p>
          <w:p w14:paraId="0D582861" w14:textId="77777777" w:rsidR="009414B6" w:rsidRDefault="009414B6" w:rsidP="00E97F1E">
            <w:pPr>
              <w:pStyle w:val="Tablewriting"/>
            </w:pPr>
            <w:r>
              <w:t>A dosing range of between 2–6 mg/day is recommended.</w:t>
            </w:r>
          </w:p>
          <w:p w14:paraId="5497934F" w14:textId="5E9821DE" w:rsidR="009414B6" w:rsidRPr="00D55DAB" w:rsidRDefault="009414B6" w:rsidP="00E97F1E">
            <w:pPr>
              <w:pStyle w:val="Tablewriting"/>
              <w:rPr>
                <w:u w:val="single"/>
              </w:rPr>
            </w:pPr>
          </w:p>
        </w:tc>
      </w:tr>
      <w:tr w:rsidR="002304B2" w:rsidRPr="00A35800" w14:paraId="19B25EDC" w14:textId="77777777" w:rsidTr="009F19A3">
        <w:tc>
          <w:tcPr>
            <w:tcW w:w="1384" w:type="dxa"/>
          </w:tcPr>
          <w:p w14:paraId="20469254" w14:textId="6DEB0BEF" w:rsidR="002304B2" w:rsidRPr="00A35800" w:rsidRDefault="002304B2" w:rsidP="00E97F1E">
            <w:pPr>
              <w:pStyle w:val="Tablewriting"/>
            </w:pPr>
            <w:r>
              <w:rPr>
                <w:rFonts w:cs="Arial"/>
                <w:color w:val="000000" w:themeColor="text1"/>
                <w:kern w:val="24"/>
              </w:rPr>
              <w:t>Z</w:t>
            </w:r>
            <w:r w:rsidRPr="00D0218F">
              <w:rPr>
                <w:rFonts w:cs="Arial"/>
                <w:color w:val="000000" w:themeColor="text1"/>
                <w:kern w:val="24"/>
              </w:rPr>
              <w:t>iprasidone</w:t>
            </w:r>
          </w:p>
        </w:tc>
        <w:tc>
          <w:tcPr>
            <w:tcW w:w="3827" w:type="dxa"/>
          </w:tcPr>
          <w:p w14:paraId="7F1F0547" w14:textId="77777777" w:rsidR="002304B2" w:rsidRDefault="00DD59BF" w:rsidP="00E97F1E">
            <w:pPr>
              <w:pStyle w:val="Tablewriting"/>
            </w:pPr>
            <w:hyperlink r:id="rId99" w:tooltip="Apotex Pty Ltd" w:history="1">
              <w:r w:rsidR="00C725A5" w:rsidRPr="00C725A5">
                <w:t>APO-Ziprasidone</w:t>
              </w:r>
            </w:hyperlink>
            <w:r w:rsidR="00C725A5">
              <w:t xml:space="preserve"> (Apotex Pty Ltd)</w:t>
            </w:r>
          </w:p>
          <w:p w14:paraId="4E686201" w14:textId="59212B88" w:rsidR="00C725A5" w:rsidRPr="00A35800" w:rsidRDefault="00DD59BF" w:rsidP="00E97F1E">
            <w:pPr>
              <w:pStyle w:val="Tablewriting"/>
            </w:pPr>
            <w:hyperlink r:id="rId100" w:tooltip="Pfizer Australia Pty Ltd" w:history="1">
              <w:r w:rsidR="00C725A5" w:rsidRPr="00C725A5">
                <w:t>Zeldox</w:t>
              </w:r>
            </w:hyperlink>
            <w:r w:rsidR="00C725A5">
              <w:t xml:space="preserve"> (Pfizer Australia Pty Ltd)</w:t>
            </w:r>
          </w:p>
        </w:tc>
        <w:tc>
          <w:tcPr>
            <w:tcW w:w="3969" w:type="dxa"/>
          </w:tcPr>
          <w:p w14:paraId="46F58B8C" w14:textId="0F7EC4BC" w:rsidR="002304B2" w:rsidRDefault="00C725A5" w:rsidP="00C725A5">
            <w:pPr>
              <w:pStyle w:val="Tablewriting"/>
            </w:pPr>
            <w:r w:rsidRPr="00C725A5">
              <w:t>For schizophrenia and bipolar mania the</w:t>
            </w:r>
            <w:r>
              <w:t xml:space="preserve"> recommended dose is 40 mg twice daily. The maximum recommended dose of 80 mg twice daily.</w:t>
            </w:r>
          </w:p>
          <w:p w14:paraId="158490C4" w14:textId="56BA5FAE" w:rsidR="00C725A5" w:rsidRPr="00A35800" w:rsidRDefault="00C725A5" w:rsidP="00C725A5">
            <w:pPr>
              <w:pStyle w:val="Tablewriting"/>
            </w:pPr>
          </w:p>
        </w:tc>
      </w:tr>
    </w:tbl>
    <w:p w14:paraId="6AEDE57A" w14:textId="54F764EE" w:rsidR="00AA43D1" w:rsidRPr="00A313FE" w:rsidRDefault="00AA43D1" w:rsidP="00AA43D1">
      <w:pPr>
        <w:pStyle w:val="Notes"/>
      </w:pPr>
      <w:r w:rsidRPr="00A313FE">
        <w:t>Source: Product Information</w:t>
      </w:r>
    </w:p>
    <w:p w14:paraId="4A270705" w14:textId="77777777" w:rsidR="00AA43D1" w:rsidRDefault="00AA43D1" w:rsidP="00792948"/>
    <w:p w14:paraId="138279CB" w14:textId="77777777" w:rsidR="00267902" w:rsidRDefault="00267902" w:rsidP="00792948">
      <w:pPr>
        <w:sectPr w:rsidR="00267902" w:rsidSect="00EA215B">
          <w:pgSz w:w="11906" w:h="16838"/>
          <w:pgMar w:top="1644" w:right="1361" w:bottom="1644" w:left="1588" w:header="709" w:footer="709" w:gutter="0"/>
          <w:cols w:space="708"/>
          <w:docGrid w:linePitch="360"/>
        </w:sectPr>
      </w:pPr>
    </w:p>
    <w:p w14:paraId="4D14B89C" w14:textId="4FCF1BAF" w:rsidR="00E25939" w:rsidRPr="00AC6B69" w:rsidRDefault="000E5BF9" w:rsidP="00AC6B69">
      <w:pPr>
        <w:pStyle w:val="Heading1"/>
        <w:rPr>
          <w:sz w:val="24"/>
          <w:szCs w:val="24"/>
        </w:rPr>
      </w:pPr>
      <w:r w:rsidRPr="00AC6B69">
        <w:rPr>
          <w:sz w:val="24"/>
          <w:szCs w:val="24"/>
        </w:rPr>
        <w:lastRenderedPageBreak/>
        <w:t>Appendix</w:t>
      </w:r>
      <w:r w:rsidR="00267902" w:rsidRPr="00AC6B69">
        <w:rPr>
          <w:sz w:val="24"/>
          <w:szCs w:val="24"/>
        </w:rPr>
        <w:t xml:space="preserve"> 2: Dosage and administration of </w:t>
      </w:r>
      <w:r w:rsidR="0030744F" w:rsidRPr="00AC6B69">
        <w:rPr>
          <w:sz w:val="24"/>
          <w:szCs w:val="24"/>
        </w:rPr>
        <w:t xml:space="preserve">current </w:t>
      </w:r>
      <w:r w:rsidR="00267902" w:rsidRPr="00AC6B69">
        <w:rPr>
          <w:sz w:val="24"/>
          <w:szCs w:val="24"/>
        </w:rPr>
        <w:t>typical antipsychotic drugs</w:t>
      </w:r>
    </w:p>
    <w:p w14:paraId="1E80F5AC" w14:textId="77777777" w:rsidR="0030744F" w:rsidRPr="00BA6444" w:rsidRDefault="0030744F" w:rsidP="008133CE">
      <w:pPr>
        <w:pStyle w:val="Tabletitle"/>
        <w:spacing w:before="0" w:after="0"/>
      </w:pPr>
    </w:p>
    <w:tbl>
      <w:tblPr>
        <w:tblStyle w:val="TableGrid"/>
        <w:tblW w:w="9180" w:type="dxa"/>
        <w:tblLook w:val="04A0" w:firstRow="1" w:lastRow="0" w:firstColumn="1" w:lastColumn="0" w:noHBand="0" w:noVBand="1"/>
        <w:tblCaption w:val="Appendix 2"/>
        <w:tblDescription w:val="A table summarising dosage and administration details for PBS listed typical antipsychotics."/>
      </w:tblPr>
      <w:tblGrid>
        <w:gridCol w:w="1515"/>
        <w:gridCol w:w="3756"/>
        <w:gridCol w:w="3909"/>
      </w:tblGrid>
      <w:tr w:rsidR="00267902" w:rsidRPr="00A35800" w14:paraId="0FC57F81" w14:textId="77777777" w:rsidTr="007F41B7">
        <w:trPr>
          <w:tblHeader/>
        </w:trPr>
        <w:tc>
          <w:tcPr>
            <w:tcW w:w="1515" w:type="dxa"/>
            <w:shd w:val="clear" w:color="auto" w:fill="BFBFBF" w:themeFill="background1" w:themeFillShade="BF"/>
          </w:tcPr>
          <w:p w14:paraId="42CBA91A" w14:textId="77777777" w:rsidR="00267902" w:rsidRPr="00A35800" w:rsidRDefault="00267902" w:rsidP="00943E6A">
            <w:pPr>
              <w:pStyle w:val="Tableheading"/>
              <w:rPr>
                <w:sz w:val="20"/>
                <w:szCs w:val="20"/>
              </w:rPr>
            </w:pPr>
            <w:r w:rsidRPr="00A35800">
              <w:rPr>
                <w:sz w:val="20"/>
                <w:szCs w:val="20"/>
              </w:rPr>
              <w:t>Product</w:t>
            </w:r>
          </w:p>
        </w:tc>
        <w:tc>
          <w:tcPr>
            <w:tcW w:w="3756" w:type="dxa"/>
            <w:shd w:val="clear" w:color="auto" w:fill="BFBFBF" w:themeFill="background1" w:themeFillShade="BF"/>
          </w:tcPr>
          <w:p w14:paraId="1A231E98" w14:textId="77777777" w:rsidR="00267902" w:rsidRPr="00A35800" w:rsidRDefault="00267902" w:rsidP="00943E6A">
            <w:pPr>
              <w:pStyle w:val="Tableheading"/>
              <w:rPr>
                <w:sz w:val="20"/>
                <w:szCs w:val="20"/>
              </w:rPr>
            </w:pPr>
            <w:r w:rsidRPr="00A35800">
              <w:rPr>
                <w:sz w:val="20"/>
                <w:szCs w:val="20"/>
              </w:rPr>
              <w:t>Brand name and sponsor</w:t>
            </w:r>
          </w:p>
        </w:tc>
        <w:tc>
          <w:tcPr>
            <w:tcW w:w="3909" w:type="dxa"/>
            <w:shd w:val="clear" w:color="auto" w:fill="BFBFBF" w:themeFill="background1" w:themeFillShade="BF"/>
          </w:tcPr>
          <w:p w14:paraId="50596005" w14:textId="77777777" w:rsidR="00267902" w:rsidRPr="00A35800" w:rsidRDefault="00267902" w:rsidP="00943E6A">
            <w:pPr>
              <w:pStyle w:val="Tableheading"/>
              <w:rPr>
                <w:sz w:val="20"/>
                <w:szCs w:val="20"/>
              </w:rPr>
            </w:pPr>
            <w:r w:rsidRPr="00A35800">
              <w:rPr>
                <w:sz w:val="20"/>
                <w:szCs w:val="20"/>
              </w:rPr>
              <w:t xml:space="preserve">Dose and frequency of administration </w:t>
            </w:r>
          </w:p>
        </w:tc>
      </w:tr>
      <w:tr w:rsidR="00267902" w:rsidRPr="00A35800" w14:paraId="7ECDE57F" w14:textId="77777777" w:rsidTr="007F41B7">
        <w:tc>
          <w:tcPr>
            <w:tcW w:w="1515" w:type="dxa"/>
          </w:tcPr>
          <w:p w14:paraId="26B9299E" w14:textId="19D9866D" w:rsidR="00267902" w:rsidRPr="00E25939" w:rsidRDefault="00E25939" w:rsidP="00943E6A">
            <w:pPr>
              <w:pStyle w:val="Tablewriting"/>
            </w:pPr>
            <w:r w:rsidRPr="00E25939">
              <w:t>Chlorpromazine</w:t>
            </w:r>
          </w:p>
        </w:tc>
        <w:tc>
          <w:tcPr>
            <w:tcW w:w="3756" w:type="dxa"/>
          </w:tcPr>
          <w:p w14:paraId="3858ED80" w14:textId="7197D036" w:rsidR="00267902" w:rsidRPr="00E25939" w:rsidRDefault="008031BB" w:rsidP="00943E6A">
            <w:pPr>
              <w:pStyle w:val="Tablewriting"/>
            </w:pPr>
            <w:r w:rsidRPr="006A00CF">
              <w:t>Largactil (Sanofi-Aventis Australia Pty Ltd)</w:t>
            </w:r>
          </w:p>
          <w:p w14:paraId="469C119B" w14:textId="77777777" w:rsidR="00267902" w:rsidRPr="00E25939" w:rsidRDefault="00267902" w:rsidP="00943E6A">
            <w:pPr>
              <w:pStyle w:val="Tablewriting"/>
            </w:pPr>
          </w:p>
        </w:tc>
        <w:tc>
          <w:tcPr>
            <w:tcW w:w="3909" w:type="dxa"/>
          </w:tcPr>
          <w:p w14:paraId="24907CDD" w14:textId="665CE178" w:rsidR="00A671EF" w:rsidRDefault="00EC1D50" w:rsidP="009405ED">
            <w:pPr>
              <w:pStyle w:val="Tablewriting"/>
            </w:pPr>
            <w:r>
              <w:t>Oral or intramuscular injection.</w:t>
            </w:r>
          </w:p>
          <w:p w14:paraId="614DC00F" w14:textId="2BCFB7A5" w:rsidR="00267902" w:rsidRPr="00E25939" w:rsidRDefault="009405ED" w:rsidP="009405ED">
            <w:pPr>
              <w:pStyle w:val="Tablewriting"/>
            </w:pPr>
            <w:r>
              <w:t xml:space="preserve">Generally maintenance doses range from 25 to 100 mg three times daily. </w:t>
            </w:r>
          </w:p>
        </w:tc>
      </w:tr>
      <w:tr w:rsidR="007F41B7" w:rsidRPr="00A35800" w14:paraId="5D872505" w14:textId="77777777" w:rsidTr="007F41B7">
        <w:tc>
          <w:tcPr>
            <w:tcW w:w="1515" w:type="dxa"/>
          </w:tcPr>
          <w:p w14:paraId="3BEA487A" w14:textId="47405F38" w:rsidR="007F41B7" w:rsidRPr="00E25939" w:rsidRDefault="007F41B7" w:rsidP="00943E6A">
            <w:pPr>
              <w:pStyle w:val="Tablewriting"/>
            </w:pPr>
            <w:r w:rsidRPr="00E25939">
              <w:t>Flupenthixol</w:t>
            </w:r>
          </w:p>
        </w:tc>
        <w:tc>
          <w:tcPr>
            <w:tcW w:w="3756" w:type="dxa"/>
          </w:tcPr>
          <w:p w14:paraId="2FCBD900" w14:textId="2DA115B1" w:rsidR="007F41B7" w:rsidRPr="006A00CF" w:rsidRDefault="007F41B7" w:rsidP="00F82100">
            <w:pPr>
              <w:pStyle w:val="Tablewriting"/>
            </w:pPr>
            <w:r w:rsidRPr="006A00CF">
              <w:t>Fluanxol Concentrated Depot (Lundbeck Australia Pty Ltd)</w:t>
            </w:r>
          </w:p>
          <w:p w14:paraId="379B41CA" w14:textId="5B4446E9" w:rsidR="007F41B7" w:rsidRPr="006A00CF" w:rsidRDefault="007F41B7" w:rsidP="007F41B7">
            <w:pPr>
              <w:pStyle w:val="Tablewriting"/>
            </w:pPr>
            <w:r w:rsidRPr="006A00CF">
              <w:t>Fluanxol Depot (Lundbeck Australia Pty Ltd)</w:t>
            </w:r>
          </w:p>
          <w:p w14:paraId="5DBF0526" w14:textId="1009073E" w:rsidR="007F41B7" w:rsidRPr="00E25939" w:rsidRDefault="007F41B7" w:rsidP="00F82100">
            <w:pPr>
              <w:pStyle w:val="Tablewriting"/>
            </w:pPr>
          </w:p>
        </w:tc>
        <w:tc>
          <w:tcPr>
            <w:tcW w:w="3909" w:type="dxa"/>
          </w:tcPr>
          <w:p w14:paraId="605749DE" w14:textId="0FB9B16D" w:rsidR="00016A45" w:rsidRDefault="00016A45" w:rsidP="00943E6A">
            <w:pPr>
              <w:pStyle w:val="Tablewriting"/>
            </w:pPr>
            <w:r>
              <w:t>Intramuscular injection.</w:t>
            </w:r>
          </w:p>
          <w:p w14:paraId="4E6243A0" w14:textId="536EE515" w:rsidR="007F41B7" w:rsidRDefault="00016A45" w:rsidP="00943E6A">
            <w:pPr>
              <w:pStyle w:val="Tablewriting"/>
            </w:pPr>
            <w:r>
              <w:t xml:space="preserve">Initial dose ranging 5 mg to 40 mg depending on treatment experience with long-acting depot neuroleptics. </w:t>
            </w:r>
          </w:p>
          <w:p w14:paraId="132A6C3D" w14:textId="02CE2C30" w:rsidR="00016A45" w:rsidRPr="00E25939" w:rsidRDefault="00016A45" w:rsidP="00943E6A">
            <w:pPr>
              <w:pStyle w:val="Tablewriting"/>
            </w:pPr>
            <w:r>
              <w:t>Most patients are adequately controlled by 20 to 40 mg of Fluanxol every 2 to 4 weeks.</w:t>
            </w:r>
          </w:p>
        </w:tc>
      </w:tr>
      <w:tr w:rsidR="007F41B7" w:rsidRPr="00A35800" w14:paraId="0A81964D" w14:textId="77777777" w:rsidTr="007F41B7">
        <w:tc>
          <w:tcPr>
            <w:tcW w:w="1515" w:type="dxa"/>
          </w:tcPr>
          <w:p w14:paraId="6741D051" w14:textId="1D16202D" w:rsidR="007F41B7" w:rsidRPr="00E25939" w:rsidRDefault="007F41B7" w:rsidP="00943E6A">
            <w:pPr>
              <w:pStyle w:val="Tablewriting"/>
            </w:pPr>
            <w:r w:rsidRPr="00E25939">
              <w:t>Fluphenazine</w:t>
            </w:r>
          </w:p>
        </w:tc>
        <w:tc>
          <w:tcPr>
            <w:tcW w:w="3756" w:type="dxa"/>
          </w:tcPr>
          <w:p w14:paraId="62E19368" w14:textId="0E705BDE" w:rsidR="007F41B7" w:rsidRPr="00E25939" w:rsidRDefault="001C5A11" w:rsidP="001C5A11">
            <w:pPr>
              <w:pStyle w:val="Tablewriting"/>
            </w:pPr>
            <w:r w:rsidRPr="006A00CF">
              <w:t>Modecate (Bristol-Myers Squibb Australia Pty Ltd)</w:t>
            </w:r>
          </w:p>
        </w:tc>
        <w:tc>
          <w:tcPr>
            <w:tcW w:w="3909" w:type="dxa"/>
          </w:tcPr>
          <w:p w14:paraId="45486465" w14:textId="77777777" w:rsidR="007F41B7" w:rsidRDefault="00FC4224" w:rsidP="00943E6A">
            <w:pPr>
              <w:pStyle w:val="Tablewriting"/>
            </w:pPr>
            <w:r>
              <w:t>Intramuscular injection.</w:t>
            </w:r>
          </w:p>
          <w:p w14:paraId="12E8628F" w14:textId="77777777" w:rsidR="00FC4224" w:rsidRDefault="00FC4224" w:rsidP="00FC4224">
            <w:pPr>
              <w:pStyle w:val="Tablewriting"/>
            </w:pPr>
            <w:r>
              <w:t xml:space="preserve">Initial dose of 12.5 to 25mg (0.5 to 1mL). </w:t>
            </w:r>
          </w:p>
          <w:p w14:paraId="02E0F0C6" w14:textId="14048416" w:rsidR="00FC4224" w:rsidRPr="00E25939" w:rsidRDefault="00FC4224" w:rsidP="00FC4224">
            <w:pPr>
              <w:pStyle w:val="Tablewriting"/>
            </w:pPr>
            <w:r>
              <w:t>When administered as maintenance therapy, a single injection may control schizophrenic symptoms up to 4 weeks or longer.</w:t>
            </w:r>
          </w:p>
        </w:tc>
      </w:tr>
      <w:tr w:rsidR="007F41B7" w:rsidRPr="00A35800" w14:paraId="48432BC5" w14:textId="77777777" w:rsidTr="007F41B7">
        <w:tc>
          <w:tcPr>
            <w:tcW w:w="1515" w:type="dxa"/>
          </w:tcPr>
          <w:p w14:paraId="286FCE8F" w14:textId="05404EA9" w:rsidR="007F41B7" w:rsidRPr="00E25939" w:rsidRDefault="007F41B7" w:rsidP="00943E6A">
            <w:pPr>
              <w:pStyle w:val="Tablewriting"/>
            </w:pPr>
            <w:r w:rsidRPr="00E25939">
              <w:t>Haloperidol</w:t>
            </w:r>
          </w:p>
        </w:tc>
        <w:tc>
          <w:tcPr>
            <w:tcW w:w="3756" w:type="dxa"/>
          </w:tcPr>
          <w:p w14:paraId="27C80D66" w14:textId="36D16677" w:rsidR="00915B5F" w:rsidRPr="006A00CF" w:rsidRDefault="00915B5F" w:rsidP="00915B5F">
            <w:pPr>
              <w:pStyle w:val="Tablewriting"/>
            </w:pPr>
            <w:r w:rsidRPr="006A00CF">
              <w:t>Haldol Decanoate (Janssen-Cilag Pty Ltd)</w:t>
            </w:r>
          </w:p>
          <w:p w14:paraId="64541276" w14:textId="1A54BA60" w:rsidR="00915B5F" w:rsidRPr="006A00CF" w:rsidRDefault="00915B5F" w:rsidP="00915B5F">
            <w:pPr>
              <w:pStyle w:val="Tablewriting"/>
            </w:pPr>
            <w:r w:rsidRPr="006A00CF">
              <w:t>Serenace (Aspen Pharma Pty Ltd)</w:t>
            </w:r>
          </w:p>
        </w:tc>
        <w:tc>
          <w:tcPr>
            <w:tcW w:w="3909" w:type="dxa"/>
          </w:tcPr>
          <w:p w14:paraId="17806518" w14:textId="77777777" w:rsidR="007F41B7" w:rsidRPr="003C0A2D" w:rsidRDefault="003C0A2D" w:rsidP="00943E6A">
            <w:pPr>
              <w:pStyle w:val="Tablewriting"/>
              <w:rPr>
                <w:u w:val="single"/>
              </w:rPr>
            </w:pPr>
            <w:r w:rsidRPr="003C0A2D">
              <w:rPr>
                <w:u w:val="single"/>
              </w:rPr>
              <w:t>Haldol Decanoate</w:t>
            </w:r>
          </w:p>
          <w:p w14:paraId="7EEE23BC" w14:textId="42328B2F" w:rsidR="00CA01BF" w:rsidRDefault="00CA01BF" w:rsidP="00943E6A">
            <w:pPr>
              <w:pStyle w:val="Tablewriting"/>
            </w:pPr>
            <w:r>
              <w:t>Intramuscular injection generally administered at monthly intervals.</w:t>
            </w:r>
          </w:p>
          <w:p w14:paraId="042083AC" w14:textId="16BE4907" w:rsidR="00CA01BF" w:rsidRDefault="00CA01BF" w:rsidP="00943E6A">
            <w:pPr>
              <w:pStyle w:val="Tablewriting"/>
            </w:pPr>
            <w:r>
              <w:t>Maximum initial dose of 100 mg. Limited clinical experience with a dose exceeding 300 mg.</w:t>
            </w:r>
          </w:p>
          <w:p w14:paraId="33B31A7E" w14:textId="77777777" w:rsidR="00D541AC" w:rsidRPr="00D541AC" w:rsidRDefault="00D541AC" w:rsidP="00943E6A">
            <w:pPr>
              <w:pStyle w:val="Tablewriting"/>
              <w:rPr>
                <w:u w:val="single"/>
              </w:rPr>
            </w:pPr>
            <w:r w:rsidRPr="00D541AC">
              <w:rPr>
                <w:u w:val="single"/>
              </w:rPr>
              <w:t>Serenace</w:t>
            </w:r>
          </w:p>
          <w:p w14:paraId="0855379D" w14:textId="6C22EA56" w:rsidR="00D541AC" w:rsidRPr="00E25939" w:rsidRDefault="003C0A2D" w:rsidP="00943E6A">
            <w:pPr>
              <w:pStyle w:val="Tablewriting"/>
            </w:pPr>
            <w:r>
              <w:t>Oral, up to 100 mg daily.</w:t>
            </w:r>
          </w:p>
        </w:tc>
      </w:tr>
      <w:tr w:rsidR="007F41B7" w:rsidRPr="00A35800" w14:paraId="23812E3A" w14:textId="77777777" w:rsidTr="007F41B7">
        <w:tc>
          <w:tcPr>
            <w:tcW w:w="1515" w:type="dxa"/>
          </w:tcPr>
          <w:p w14:paraId="05ED55AE" w14:textId="17D0C73D" w:rsidR="007F41B7" w:rsidRPr="00E25939" w:rsidRDefault="00AF689A" w:rsidP="00943E6A">
            <w:pPr>
              <w:pStyle w:val="Tablewriting"/>
            </w:pPr>
            <w:r w:rsidRPr="002865F2">
              <w:rPr>
                <w:rFonts w:ascii="Arial Narrow" w:eastAsia="Times New Roman" w:hAnsi="Arial Narrow" w:cs="Times New Roman"/>
              </w:rPr>
              <w:t>Pericyazine</w:t>
            </w:r>
          </w:p>
        </w:tc>
        <w:tc>
          <w:tcPr>
            <w:tcW w:w="3756" w:type="dxa"/>
          </w:tcPr>
          <w:p w14:paraId="7CFCB971" w14:textId="7A681656" w:rsidR="007F41B7" w:rsidRPr="00E25939" w:rsidRDefault="00A52436" w:rsidP="00F82100">
            <w:pPr>
              <w:pStyle w:val="Tablewriting"/>
            </w:pPr>
            <w:r w:rsidRPr="006A00CF">
              <w:t>Neulactil (Sanofi-Aventis Australia Pty Ltd)</w:t>
            </w:r>
          </w:p>
        </w:tc>
        <w:tc>
          <w:tcPr>
            <w:tcW w:w="3909" w:type="dxa"/>
          </w:tcPr>
          <w:p w14:paraId="2CEBEA76" w14:textId="718E88C1" w:rsidR="00B73B2B" w:rsidRDefault="00B73B2B" w:rsidP="00943E6A">
            <w:pPr>
              <w:pStyle w:val="Tablewriting"/>
            </w:pPr>
            <w:r>
              <w:t>Oral.</w:t>
            </w:r>
          </w:p>
          <w:p w14:paraId="0DD27F02" w14:textId="77777777" w:rsidR="007F41B7" w:rsidRDefault="00683E4B" w:rsidP="00943E6A">
            <w:pPr>
              <w:pStyle w:val="Tablewriting"/>
            </w:pPr>
            <w:r>
              <w:t>Initial daily dosage is 10 to 75 mg depending on the severity of the symptoms.</w:t>
            </w:r>
          </w:p>
          <w:p w14:paraId="06631DF7" w14:textId="73AAAE8D" w:rsidR="00C12C4C" w:rsidRPr="00E25939" w:rsidRDefault="00C12C4C" w:rsidP="00C12C4C">
            <w:pPr>
              <w:pStyle w:val="Tablewriting"/>
            </w:pPr>
            <w:r>
              <w:t>Dosage is increased until the most effective level is reached to maintain control of symptoms.</w:t>
            </w:r>
          </w:p>
        </w:tc>
      </w:tr>
      <w:tr w:rsidR="007F41B7" w:rsidRPr="00A35800" w14:paraId="38EA365A" w14:textId="77777777" w:rsidTr="007F41B7">
        <w:tc>
          <w:tcPr>
            <w:tcW w:w="1515" w:type="dxa"/>
          </w:tcPr>
          <w:p w14:paraId="60529886" w14:textId="580DC373" w:rsidR="007F41B7" w:rsidRPr="00E25939" w:rsidRDefault="007F41B7" w:rsidP="00943E6A">
            <w:pPr>
              <w:pStyle w:val="Tablewriting"/>
            </w:pPr>
            <w:r w:rsidRPr="00E25939">
              <w:t>Trifluoperazine</w:t>
            </w:r>
          </w:p>
        </w:tc>
        <w:tc>
          <w:tcPr>
            <w:tcW w:w="3756" w:type="dxa"/>
          </w:tcPr>
          <w:p w14:paraId="5BB2385A" w14:textId="60689B5E" w:rsidR="007F41B7" w:rsidRPr="00E25939" w:rsidRDefault="0069786B" w:rsidP="00F82100">
            <w:pPr>
              <w:pStyle w:val="Tablewriting"/>
            </w:pPr>
            <w:r w:rsidRPr="006A00CF">
              <w:t>Stelazine (</w:t>
            </w:r>
            <w:r w:rsidR="001B3C1F" w:rsidRPr="006A00CF">
              <w:t>Amdipharm Mercury (Australia) Pty Limited)</w:t>
            </w:r>
          </w:p>
        </w:tc>
        <w:tc>
          <w:tcPr>
            <w:tcW w:w="3909" w:type="dxa"/>
          </w:tcPr>
          <w:p w14:paraId="49F55ED3" w14:textId="6543AADA" w:rsidR="002D57B4" w:rsidRDefault="002D57B4" w:rsidP="00375832">
            <w:pPr>
              <w:pStyle w:val="Tablewriting"/>
            </w:pPr>
            <w:r>
              <w:t>Oral.</w:t>
            </w:r>
          </w:p>
          <w:p w14:paraId="6593C724" w14:textId="77777777" w:rsidR="007F41B7" w:rsidRDefault="00375832" w:rsidP="00375832">
            <w:pPr>
              <w:pStyle w:val="Tablewriting"/>
            </w:pPr>
            <w:r>
              <w:t xml:space="preserve">Starting dose of 1 to 5 mg twice daily depending on severity. </w:t>
            </w:r>
          </w:p>
          <w:p w14:paraId="5F28BD12" w14:textId="2E387274" w:rsidR="00375832" w:rsidRPr="00E25939" w:rsidRDefault="00375832" w:rsidP="00375832">
            <w:pPr>
              <w:pStyle w:val="Tablewriting"/>
            </w:pPr>
            <w:r>
              <w:t>After a week, this may be increased to 15 mg a day in divided doses. Further increases of 5 mg may be made if needed at 3 day intervals.</w:t>
            </w:r>
          </w:p>
        </w:tc>
      </w:tr>
      <w:tr w:rsidR="007F41B7" w:rsidRPr="00A35800" w14:paraId="1DCED9B0" w14:textId="77777777" w:rsidTr="007F41B7">
        <w:tc>
          <w:tcPr>
            <w:tcW w:w="1515" w:type="dxa"/>
          </w:tcPr>
          <w:p w14:paraId="0C33FA3B" w14:textId="50B46D42" w:rsidR="007F41B7" w:rsidRPr="00E25939" w:rsidRDefault="007F41B7" w:rsidP="00943E6A">
            <w:pPr>
              <w:pStyle w:val="Tablewriting"/>
            </w:pPr>
            <w:r w:rsidRPr="00E25939">
              <w:t>Zuclopenthixol</w:t>
            </w:r>
          </w:p>
        </w:tc>
        <w:tc>
          <w:tcPr>
            <w:tcW w:w="3756" w:type="dxa"/>
          </w:tcPr>
          <w:p w14:paraId="4113739D" w14:textId="6E6041F9" w:rsidR="007F41B7" w:rsidRPr="00E25939" w:rsidRDefault="002B7981" w:rsidP="00F82100">
            <w:pPr>
              <w:pStyle w:val="Tablewriting"/>
            </w:pPr>
            <w:r w:rsidRPr="006A00CF">
              <w:t>Clopixol Depot (Lundbeck Australia Pty Ltd)</w:t>
            </w:r>
          </w:p>
        </w:tc>
        <w:tc>
          <w:tcPr>
            <w:tcW w:w="3909" w:type="dxa"/>
          </w:tcPr>
          <w:p w14:paraId="22A5F0C4" w14:textId="531244ED" w:rsidR="00093B6D" w:rsidRDefault="00093B6D" w:rsidP="00943E6A">
            <w:pPr>
              <w:pStyle w:val="Tablewriting"/>
            </w:pPr>
            <w:r>
              <w:t>Intramuscular injection.</w:t>
            </w:r>
          </w:p>
          <w:p w14:paraId="22472122" w14:textId="2F7E7D9E" w:rsidR="007F41B7" w:rsidRPr="00E25939" w:rsidRDefault="00093B6D" w:rsidP="00943E6A">
            <w:pPr>
              <w:pStyle w:val="Tablewriting"/>
            </w:pPr>
            <w:r>
              <w:t>The usual maintenance dose is 200 - 400 mg (1 - 2 mL) every second to fourth week.</w:t>
            </w:r>
          </w:p>
        </w:tc>
      </w:tr>
    </w:tbl>
    <w:p w14:paraId="6E3CA5DB" w14:textId="547A72BE" w:rsidR="00267902" w:rsidRDefault="00B94C29" w:rsidP="00C15AE9">
      <w:pPr>
        <w:pStyle w:val="Notes"/>
      </w:pPr>
      <w:r w:rsidRPr="00A313FE">
        <w:t>Source: Product Information</w:t>
      </w:r>
    </w:p>
    <w:p w14:paraId="27B3A205" w14:textId="77777777" w:rsidR="00267902" w:rsidRDefault="00267902" w:rsidP="00792948"/>
    <w:p w14:paraId="128526AF" w14:textId="6D0059EE" w:rsidR="00711686" w:rsidRDefault="00711686" w:rsidP="00267902">
      <w:pPr>
        <w:spacing w:line="276" w:lineRule="auto"/>
        <w:sectPr w:rsidR="00711686" w:rsidSect="00EA215B">
          <w:pgSz w:w="11906" w:h="16838"/>
          <w:pgMar w:top="1644" w:right="1361" w:bottom="1644" w:left="1588" w:header="709" w:footer="709" w:gutter="0"/>
          <w:cols w:space="708"/>
          <w:docGrid w:linePitch="360"/>
        </w:sectPr>
      </w:pPr>
    </w:p>
    <w:p w14:paraId="5CF6B65D" w14:textId="202C5BD4" w:rsidR="00711686" w:rsidRPr="00292003" w:rsidRDefault="000E5BF9" w:rsidP="00792948">
      <w:pPr>
        <w:rPr>
          <w:b/>
        </w:rPr>
      </w:pPr>
      <w:r>
        <w:rPr>
          <w:b/>
        </w:rPr>
        <w:lastRenderedPageBreak/>
        <w:t>Appendix</w:t>
      </w:r>
      <w:r w:rsidR="00292003" w:rsidRPr="00292003">
        <w:rPr>
          <w:b/>
        </w:rPr>
        <w:t xml:space="preserve"> 3: PBS listing details for the atypical and typical </w:t>
      </w:r>
      <w:r w:rsidR="005D5431">
        <w:rPr>
          <w:b/>
        </w:rPr>
        <w:t xml:space="preserve">antipsychotic </w:t>
      </w:r>
      <w:r w:rsidR="00292003" w:rsidRPr="00292003">
        <w:rPr>
          <w:b/>
        </w:rPr>
        <w:t>drugs included in this review, as at July 2016</w:t>
      </w:r>
    </w:p>
    <w:tbl>
      <w:tblPr>
        <w:tblW w:w="13482" w:type="dxa"/>
        <w:tblInd w:w="93" w:type="dxa"/>
        <w:tblLook w:val="04A0" w:firstRow="1" w:lastRow="0" w:firstColumn="1" w:lastColumn="0" w:noHBand="0" w:noVBand="1"/>
        <w:tblCaption w:val="Appendix 3"/>
        <w:tblDescription w:val="A table summarising the details of PBS listings which are included in the review. The information includes the PBS item code, first listing date, pack size, maximum quantity, number of repeats, dispensed price for the maximum quantity, the drug form and strength, brand name and manufacturer."/>
      </w:tblPr>
      <w:tblGrid>
        <w:gridCol w:w="955"/>
        <w:gridCol w:w="1182"/>
        <w:gridCol w:w="600"/>
        <w:gridCol w:w="1068"/>
        <w:gridCol w:w="1126"/>
        <w:gridCol w:w="875"/>
        <w:gridCol w:w="3903"/>
        <w:gridCol w:w="3773"/>
      </w:tblGrid>
      <w:tr w:rsidR="002865F2" w:rsidRPr="002865F2" w14:paraId="7A798691" w14:textId="77777777" w:rsidTr="00541B09">
        <w:trPr>
          <w:trHeight w:val="510"/>
          <w:tblHeader/>
        </w:trPr>
        <w:tc>
          <w:tcPr>
            <w:tcW w:w="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98A781" w14:textId="5358DE27"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Item</w:t>
            </w:r>
          </w:p>
        </w:tc>
        <w:tc>
          <w:tcPr>
            <w:tcW w:w="1182" w:type="dxa"/>
            <w:tcBorders>
              <w:top w:val="single" w:sz="4" w:space="0" w:color="auto"/>
              <w:left w:val="nil"/>
              <w:bottom w:val="single" w:sz="4" w:space="0" w:color="auto"/>
              <w:right w:val="single" w:sz="4" w:space="0" w:color="auto"/>
            </w:tcBorders>
            <w:shd w:val="clear" w:color="auto" w:fill="F2F2F2" w:themeFill="background1" w:themeFillShade="F2"/>
            <w:hideMark/>
          </w:tcPr>
          <w:p w14:paraId="5A5EF7AC" w14:textId="1E9124A2"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Date first listed</w:t>
            </w:r>
          </w:p>
        </w:tc>
        <w:tc>
          <w:tcPr>
            <w:tcW w:w="600" w:type="dxa"/>
            <w:tcBorders>
              <w:top w:val="single" w:sz="4" w:space="0" w:color="auto"/>
              <w:left w:val="nil"/>
              <w:bottom w:val="single" w:sz="4" w:space="0" w:color="auto"/>
              <w:right w:val="single" w:sz="4" w:space="0" w:color="auto"/>
            </w:tcBorders>
            <w:shd w:val="clear" w:color="auto" w:fill="F2F2F2" w:themeFill="background1" w:themeFillShade="F2"/>
            <w:hideMark/>
          </w:tcPr>
          <w:p w14:paraId="08506C69" w14:textId="5EEB1393"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Pack size</w:t>
            </w:r>
          </w:p>
        </w:tc>
        <w:tc>
          <w:tcPr>
            <w:tcW w:w="1068" w:type="dxa"/>
            <w:tcBorders>
              <w:top w:val="single" w:sz="4" w:space="0" w:color="auto"/>
              <w:left w:val="nil"/>
              <w:bottom w:val="single" w:sz="4" w:space="0" w:color="auto"/>
              <w:right w:val="single" w:sz="4" w:space="0" w:color="auto"/>
            </w:tcBorders>
            <w:shd w:val="clear" w:color="auto" w:fill="F2F2F2" w:themeFill="background1" w:themeFillShade="F2"/>
            <w:hideMark/>
          </w:tcPr>
          <w:p w14:paraId="105BB357" w14:textId="1BEFE2B0"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Maximum quantity</w:t>
            </w:r>
          </w:p>
        </w:tc>
        <w:tc>
          <w:tcPr>
            <w:tcW w:w="1126" w:type="dxa"/>
            <w:tcBorders>
              <w:top w:val="single" w:sz="4" w:space="0" w:color="auto"/>
              <w:left w:val="nil"/>
              <w:bottom w:val="single" w:sz="4" w:space="0" w:color="auto"/>
              <w:right w:val="single" w:sz="4" w:space="0" w:color="auto"/>
            </w:tcBorders>
            <w:shd w:val="clear" w:color="auto" w:fill="F2F2F2" w:themeFill="background1" w:themeFillShade="F2"/>
            <w:hideMark/>
          </w:tcPr>
          <w:p w14:paraId="28FBD71D" w14:textId="5E7FC6EF"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Number of repeats</w:t>
            </w:r>
          </w:p>
        </w:tc>
        <w:tc>
          <w:tcPr>
            <w:tcW w:w="875" w:type="dxa"/>
            <w:tcBorders>
              <w:top w:val="single" w:sz="4" w:space="0" w:color="auto"/>
              <w:left w:val="nil"/>
              <w:bottom w:val="single" w:sz="4" w:space="0" w:color="auto"/>
              <w:right w:val="single" w:sz="4" w:space="0" w:color="auto"/>
            </w:tcBorders>
            <w:shd w:val="clear" w:color="auto" w:fill="F2F2F2" w:themeFill="background1" w:themeFillShade="F2"/>
            <w:hideMark/>
          </w:tcPr>
          <w:p w14:paraId="60784A73" w14:textId="77777777" w:rsidR="002865F2" w:rsidRPr="002865F2" w:rsidRDefault="002865F2" w:rsidP="002865F2">
            <w:pPr>
              <w:spacing w:after="0"/>
              <w:rPr>
                <w:rFonts w:ascii="Arial Narrow" w:eastAsia="Times New Roman" w:hAnsi="Arial Narrow" w:cs="Times New Roman"/>
                <w:b/>
                <w:bCs/>
                <w:sz w:val="20"/>
                <w:szCs w:val="20"/>
              </w:rPr>
            </w:pPr>
            <w:r w:rsidRPr="002865F2">
              <w:rPr>
                <w:rFonts w:ascii="Arial Narrow" w:eastAsia="Times New Roman" w:hAnsi="Arial Narrow" w:cs="Times New Roman"/>
                <w:b/>
                <w:bCs/>
                <w:sz w:val="20"/>
                <w:szCs w:val="20"/>
              </w:rPr>
              <w:t>DPMQ</w:t>
            </w:r>
          </w:p>
        </w:tc>
        <w:tc>
          <w:tcPr>
            <w:tcW w:w="3903" w:type="dxa"/>
            <w:tcBorders>
              <w:top w:val="single" w:sz="4" w:space="0" w:color="auto"/>
              <w:left w:val="nil"/>
              <w:bottom w:val="single" w:sz="4" w:space="0" w:color="auto"/>
              <w:right w:val="single" w:sz="4" w:space="0" w:color="auto"/>
            </w:tcBorders>
            <w:shd w:val="clear" w:color="auto" w:fill="F2F2F2" w:themeFill="background1" w:themeFillShade="F2"/>
            <w:hideMark/>
          </w:tcPr>
          <w:p w14:paraId="01CD1298" w14:textId="62AC159D"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Drug, form and strength</w:t>
            </w:r>
          </w:p>
        </w:tc>
        <w:tc>
          <w:tcPr>
            <w:tcW w:w="377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4F0B84" w14:textId="74DDECDD" w:rsidR="002865F2" w:rsidRPr="002865F2" w:rsidRDefault="002865F2" w:rsidP="002865F2">
            <w:pPr>
              <w:spacing w:after="0"/>
              <w:rPr>
                <w:rFonts w:ascii="Arial Narrow" w:eastAsia="Times New Roman" w:hAnsi="Arial Narrow" w:cs="Times New Roman"/>
                <w:b/>
                <w:bCs/>
                <w:sz w:val="20"/>
                <w:szCs w:val="20"/>
              </w:rPr>
            </w:pPr>
            <w:r>
              <w:rPr>
                <w:rFonts w:ascii="Arial Narrow" w:eastAsia="Times New Roman" w:hAnsi="Arial Narrow" w:cs="Times New Roman"/>
                <w:b/>
                <w:bCs/>
                <w:sz w:val="20"/>
                <w:szCs w:val="20"/>
              </w:rPr>
              <w:t>Brand (manufacturer)</w:t>
            </w:r>
          </w:p>
        </w:tc>
      </w:tr>
      <w:tr w:rsidR="002865F2" w:rsidRPr="002865F2" w14:paraId="62E9124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32C61B0" w14:textId="77777777" w:rsidR="002865F2" w:rsidRPr="002865F2" w:rsidRDefault="002865F2" w:rsidP="00541B09">
            <w:pPr>
              <w:pStyle w:val="Tablewriting"/>
            </w:pPr>
            <w:r w:rsidRPr="002865F2">
              <w:t>08736T</w:t>
            </w:r>
          </w:p>
        </w:tc>
        <w:tc>
          <w:tcPr>
            <w:tcW w:w="1182" w:type="dxa"/>
            <w:tcBorders>
              <w:top w:val="nil"/>
              <w:left w:val="nil"/>
              <w:bottom w:val="single" w:sz="4" w:space="0" w:color="auto"/>
              <w:right w:val="single" w:sz="4" w:space="0" w:color="auto"/>
            </w:tcBorders>
            <w:shd w:val="clear" w:color="auto" w:fill="auto"/>
            <w:hideMark/>
          </w:tcPr>
          <w:p w14:paraId="78AC5DE6" w14:textId="77777777" w:rsidR="002865F2" w:rsidRPr="002865F2" w:rsidRDefault="002865F2" w:rsidP="00541B09">
            <w:pPr>
              <w:pStyle w:val="Tablewriting"/>
            </w:pPr>
            <w:r w:rsidRPr="002865F2">
              <w:t>01May2004</w:t>
            </w:r>
          </w:p>
        </w:tc>
        <w:tc>
          <w:tcPr>
            <w:tcW w:w="600" w:type="dxa"/>
            <w:tcBorders>
              <w:top w:val="nil"/>
              <w:left w:val="nil"/>
              <w:bottom w:val="single" w:sz="4" w:space="0" w:color="auto"/>
              <w:right w:val="single" w:sz="4" w:space="0" w:color="auto"/>
            </w:tcBorders>
            <w:shd w:val="clear" w:color="auto" w:fill="auto"/>
            <w:hideMark/>
          </w:tcPr>
          <w:p w14:paraId="079B2CE8"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6716666B"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6164022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4B409A8" w14:textId="77777777" w:rsidR="002865F2" w:rsidRPr="002865F2" w:rsidRDefault="002865F2" w:rsidP="00541B09">
            <w:pPr>
              <w:pStyle w:val="Tablewriting"/>
            </w:pPr>
            <w:r w:rsidRPr="002865F2">
              <w:t>$148.74</w:t>
            </w:r>
          </w:p>
        </w:tc>
        <w:tc>
          <w:tcPr>
            <w:tcW w:w="3903" w:type="dxa"/>
            <w:tcBorders>
              <w:top w:val="nil"/>
              <w:left w:val="nil"/>
              <w:bottom w:val="single" w:sz="4" w:space="0" w:color="auto"/>
              <w:right w:val="single" w:sz="4" w:space="0" w:color="auto"/>
            </w:tcBorders>
            <w:shd w:val="clear" w:color="auto" w:fill="auto"/>
            <w:hideMark/>
          </w:tcPr>
          <w:p w14:paraId="19E34A4D" w14:textId="081EFC33" w:rsidR="002865F2" w:rsidRPr="002865F2" w:rsidRDefault="002865F2" w:rsidP="00541B09">
            <w:pPr>
              <w:pStyle w:val="Tablewriting"/>
            </w:pPr>
            <w:r w:rsidRPr="002865F2">
              <w:t>Amisulpride, Oral solution 100 mg per mL, 60</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3FA61E66" w14:textId="0137B9C6" w:rsidR="002865F2" w:rsidRPr="002865F2" w:rsidRDefault="00B31BA2" w:rsidP="00541B09">
            <w:pPr>
              <w:pStyle w:val="Tablewriting"/>
            </w:pPr>
            <w:r>
              <w:t>Solian Solution (SA</w:t>
            </w:r>
            <w:r w:rsidR="002865F2" w:rsidRPr="002865F2">
              <w:t>NOFI-AVENTIS AUSTRALIA PTY LTD)</w:t>
            </w:r>
          </w:p>
        </w:tc>
      </w:tr>
      <w:tr w:rsidR="002865F2" w:rsidRPr="002865F2" w14:paraId="251BADDA"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26E5AB3" w14:textId="77777777" w:rsidR="002865F2" w:rsidRPr="002865F2" w:rsidRDefault="002865F2" w:rsidP="00541B09">
            <w:pPr>
              <w:pStyle w:val="Tablewriting"/>
            </w:pPr>
            <w:r w:rsidRPr="002865F2">
              <w:t>08594H</w:t>
            </w:r>
          </w:p>
        </w:tc>
        <w:tc>
          <w:tcPr>
            <w:tcW w:w="1182" w:type="dxa"/>
            <w:tcBorders>
              <w:top w:val="nil"/>
              <w:left w:val="nil"/>
              <w:bottom w:val="single" w:sz="4" w:space="0" w:color="auto"/>
              <w:right w:val="single" w:sz="4" w:space="0" w:color="auto"/>
            </w:tcBorders>
            <w:shd w:val="clear" w:color="auto" w:fill="auto"/>
            <w:hideMark/>
          </w:tcPr>
          <w:p w14:paraId="7E9A4E01" w14:textId="77777777" w:rsidR="002865F2" w:rsidRPr="002865F2" w:rsidRDefault="002865F2" w:rsidP="00541B09">
            <w:pPr>
              <w:pStyle w:val="Tablewriting"/>
            </w:pPr>
            <w:r w:rsidRPr="002865F2">
              <w:t>01Aug2002</w:t>
            </w:r>
          </w:p>
        </w:tc>
        <w:tc>
          <w:tcPr>
            <w:tcW w:w="600" w:type="dxa"/>
            <w:tcBorders>
              <w:top w:val="nil"/>
              <w:left w:val="nil"/>
              <w:bottom w:val="single" w:sz="4" w:space="0" w:color="auto"/>
              <w:right w:val="single" w:sz="4" w:space="0" w:color="auto"/>
            </w:tcBorders>
            <w:shd w:val="clear" w:color="auto" w:fill="auto"/>
            <w:hideMark/>
          </w:tcPr>
          <w:p w14:paraId="00AF796C"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66D1DDDA"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1C38E83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E303F45" w14:textId="77777777" w:rsidR="002865F2" w:rsidRPr="002865F2" w:rsidRDefault="002865F2" w:rsidP="00541B09">
            <w:pPr>
              <w:pStyle w:val="Tablewriting"/>
            </w:pPr>
            <w:r w:rsidRPr="002865F2">
              <w:t>$23.27</w:t>
            </w:r>
          </w:p>
        </w:tc>
        <w:tc>
          <w:tcPr>
            <w:tcW w:w="3903" w:type="dxa"/>
            <w:tcBorders>
              <w:top w:val="nil"/>
              <w:left w:val="nil"/>
              <w:bottom w:val="single" w:sz="4" w:space="0" w:color="auto"/>
              <w:right w:val="single" w:sz="4" w:space="0" w:color="auto"/>
            </w:tcBorders>
            <w:shd w:val="clear" w:color="auto" w:fill="auto"/>
            <w:hideMark/>
          </w:tcPr>
          <w:p w14:paraId="2BF81EFF" w14:textId="77777777" w:rsidR="002865F2" w:rsidRPr="002865F2" w:rsidRDefault="002865F2" w:rsidP="00541B09">
            <w:pPr>
              <w:pStyle w:val="Tablewriting"/>
            </w:pPr>
            <w:r w:rsidRPr="002865F2">
              <w:t>Amisulpride, Tablet 100 mg</w:t>
            </w:r>
          </w:p>
        </w:tc>
        <w:tc>
          <w:tcPr>
            <w:tcW w:w="3773" w:type="dxa"/>
            <w:tcBorders>
              <w:top w:val="nil"/>
              <w:left w:val="nil"/>
              <w:bottom w:val="single" w:sz="4" w:space="0" w:color="auto"/>
              <w:right w:val="single" w:sz="4" w:space="0" w:color="auto"/>
            </w:tcBorders>
            <w:shd w:val="clear" w:color="auto" w:fill="auto"/>
            <w:hideMark/>
          </w:tcPr>
          <w:p w14:paraId="68C9E9D0" w14:textId="77777777" w:rsidR="002865F2" w:rsidRPr="002865F2" w:rsidRDefault="002865F2" w:rsidP="00541B09">
            <w:pPr>
              <w:pStyle w:val="Tablewriting"/>
            </w:pPr>
            <w:r w:rsidRPr="002865F2">
              <w:t>Amisulpride Sandoz (SANDOZ PTY LTD)</w:t>
            </w:r>
          </w:p>
        </w:tc>
      </w:tr>
      <w:tr w:rsidR="002865F2" w:rsidRPr="002865F2" w14:paraId="39F96ED7"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1E93D24" w14:textId="77777777" w:rsidR="002865F2" w:rsidRPr="002865F2" w:rsidRDefault="002865F2" w:rsidP="00541B09">
            <w:pPr>
              <w:pStyle w:val="Tablewriting"/>
            </w:pPr>
            <w:r w:rsidRPr="002865F2">
              <w:t>08595J</w:t>
            </w:r>
          </w:p>
        </w:tc>
        <w:tc>
          <w:tcPr>
            <w:tcW w:w="1182" w:type="dxa"/>
            <w:tcBorders>
              <w:top w:val="nil"/>
              <w:left w:val="nil"/>
              <w:bottom w:val="single" w:sz="4" w:space="0" w:color="auto"/>
              <w:right w:val="single" w:sz="4" w:space="0" w:color="auto"/>
            </w:tcBorders>
            <w:shd w:val="clear" w:color="auto" w:fill="auto"/>
            <w:hideMark/>
          </w:tcPr>
          <w:p w14:paraId="5BDB69B7" w14:textId="77777777" w:rsidR="002865F2" w:rsidRPr="002865F2" w:rsidRDefault="002865F2" w:rsidP="00541B09">
            <w:pPr>
              <w:pStyle w:val="Tablewriting"/>
            </w:pPr>
            <w:r w:rsidRPr="002865F2">
              <w:t>01Aug2002</w:t>
            </w:r>
          </w:p>
        </w:tc>
        <w:tc>
          <w:tcPr>
            <w:tcW w:w="600" w:type="dxa"/>
            <w:tcBorders>
              <w:top w:val="nil"/>
              <w:left w:val="nil"/>
              <w:bottom w:val="single" w:sz="4" w:space="0" w:color="auto"/>
              <w:right w:val="single" w:sz="4" w:space="0" w:color="auto"/>
            </w:tcBorders>
            <w:shd w:val="clear" w:color="auto" w:fill="auto"/>
            <w:hideMark/>
          </w:tcPr>
          <w:p w14:paraId="0B7370F1"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66C090C2"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047E600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F37E368" w14:textId="77777777" w:rsidR="002865F2" w:rsidRPr="002865F2" w:rsidRDefault="002865F2" w:rsidP="00541B09">
            <w:pPr>
              <w:pStyle w:val="Tablewriting"/>
            </w:pPr>
            <w:r w:rsidRPr="002865F2">
              <w:t>$114.44</w:t>
            </w:r>
          </w:p>
        </w:tc>
        <w:tc>
          <w:tcPr>
            <w:tcW w:w="3903" w:type="dxa"/>
            <w:tcBorders>
              <w:top w:val="nil"/>
              <w:left w:val="nil"/>
              <w:bottom w:val="single" w:sz="4" w:space="0" w:color="auto"/>
              <w:right w:val="single" w:sz="4" w:space="0" w:color="auto"/>
            </w:tcBorders>
            <w:shd w:val="clear" w:color="auto" w:fill="auto"/>
            <w:hideMark/>
          </w:tcPr>
          <w:p w14:paraId="1E1C0352" w14:textId="77777777" w:rsidR="002865F2" w:rsidRPr="002865F2" w:rsidRDefault="002865F2" w:rsidP="00541B09">
            <w:pPr>
              <w:pStyle w:val="Tablewriting"/>
            </w:pPr>
            <w:r w:rsidRPr="002865F2">
              <w:t>Amisulpride, Tablet 200 mg</w:t>
            </w:r>
          </w:p>
        </w:tc>
        <w:tc>
          <w:tcPr>
            <w:tcW w:w="3773" w:type="dxa"/>
            <w:tcBorders>
              <w:top w:val="nil"/>
              <w:left w:val="nil"/>
              <w:bottom w:val="single" w:sz="4" w:space="0" w:color="auto"/>
              <w:right w:val="single" w:sz="4" w:space="0" w:color="auto"/>
            </w:tcBorders>
            <w:shd w:val="clear" w:color="auto" w:fill="auto"/>
            <w:hideMark/>
          </w:tcPr>
          <w:p w14:paraId="33B821E7" w14:textId="77777777" w:rsidR="002865F2" w:rsidRPr="002865F2" w:rsidRDefault="002865F2" w:rsidP="00541B09">
            <w:pPr>
              <w:pStyle w:val="Tablewriting"/>
            </w:pPr>
            <w:r w:rsidRPr="002865F2">
              <w:t>Amisulpride Sandoz (SANDOZ PTY LTD)</w:t>
            </w:r>
          </w:p>
        </w:tc>
      </w:tr>
      <w:tr w:rsidR="002865F2" w:rsidRPr="002865F2" w14:paraId="56458A43"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11DF25E" w14:textId="77777777" w:rsidR="002865F2" w:rsidRPr="002865F2" w:rsidRDefault="002865F2" w:rsidP="00541B09">
            <w:pPr>
              <w:pStyle w:val="Tablewriting"/>
            </w:pPr>
            <w:r w:rsidRPr="002865F2">
              <w:t>08596K</w:t>
            </w:r>
          </w:p>
        </w:tc>
        <w:tc>
          <w:tcPr>
            <w:tcW w:w="1182" w:type="dxa"/>
            <w:tcBorders>
              <w:top w:val="nil"/>
              <w:left w:val="nil"/>
              <w:bottom w:val="single" w:sz="4" w:space="0" w:color="auto"/>
              <w:right w:val="single" w:sz="4" w:space="0" w:color="auto"/>
            </w:tcBorders>
            <w:shd w:val="clear" w:color="auto" w:fill="auto"/>
            <w:hideMark/>
          </w:tcPr>
          <w:p w14:paraId="64E7C5D4" w14:textId="77777777" w:rsidR="002865F2" w:rsidRPr="002865F2" w:rsidRDefault="002865F2" w:rsidP="00541B09">
            <w:pPr>
              <w:pStyle w:val="Tablewriting"/>
            </w:pPr>
            <w:r w:rsidRPr="002865F2">
              <w:t>01Aug2002</w:t>
            </w:r>
          </w:p>
        </w:tc>
        <w:tc>
          <w:tcPr>
            <w:tcW w:w="600" w:type="dxa"/>
            <w:tcBorders>
              <w:top w:val="nil"/>
              <w:left w:val="nil"/>
              <w:bottom w:val="single" w:sz="4" w:space="0" w:color="auto"/>
              <w:right w:val="single" w:sz="4" w:space="0" w:color="auto"/>
            </w:tcBorders>
            <w:shd w:val="clear" w:color="auto" w:fill="auto"/>
            <w:hideMark/>
          </w:tcPr>
          <w:p w14:paraId="2A9D535F"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709438ED"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0158DF0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96FC310" w14:textId="77777777" w:rsidR="002865F2" w:rsidRPr="002865F2" w:rsidRDefault="002865F2" w:rsidP="00541B09">
            <w:pPr>
              <w:pStyle w:val="Tablewriting"/>
            </w:pPr>
            <w:r w:rsidRPr="002865F2">
              <w:t>$226.90</w:t>
            </w:r>
          </w:p>
        </w:tc>
        <w:tc>
          <w:tcPr>
            <w:tcW w:w="3903" w:type="dxa"/>
            <w:tcBorders>
              <w:top w:val="nil"/>
              <w:left w:val="nil"/>
              <w:bottom w:val="single" w:sz="4" w:space="0" w:color="auto"/>
              <w:right w:val="single" w:sz="4" w:space="0" w:color="auto"/>
            </w:tcBorders>
            <w:shd w:val="clear" w:color="auto" w:fill="auto"/>
            <w:hideMark/>
          </w:tcPr>
          <w:p w14:paraId="5F9B2244" w14:textId="77777777" w:rsidR="002865F2" w:rsidRPr="002865F2" w:rsidRDefault="002865F2" w:rsidP="00541B09">
            <w:pPr>
              <w:pStyle w:val="Tablewriting"/>
            </w:pPr>
            <w:r w:rsidRPr="002865F2">
              <w:t>Amisulpride, Tablet 400 mg</w:t>
            </w:r>
          </w:p>
        </w:tc>
        <w:tc>
          <w:tcPr>
            <w:tcW w:w="3773" w:type="dxa"/>
            <w:tcBorders>
              <w:top w:val="nil"/>
              <w:left w:val="nil"/>
              <w:bottom w:val="single" w:sz="4" w:space="0" w:color="auto"/>
              <w:right w:val="single" w:sz="4" w:space="0" w:color="auto"/>
            </w:tcBorders>
            <w:shd w:val="clear" w:color="auto" w:fill="auto"/>
            <w:hideMark/>
          </w:tcPr>
          <w:p w14:paraId="5D7E6DC2" w14:textId="77777777" w:rsidR="002865F2" w:rsidRPr="002865F2" w:rsidRDefault="002865F2" w:rsidP="00541B09">
            <w:pPr>
              <w:pStyle w:val="Tablewriting"/>
            </w:pPr>
            <w:r w:rsidRPr="002865F2">
              <w:t>Amisulpride Sandoz (SANDOZ PTY LTD)</w:t>
            </w:r>
          </w:p>
        </w:tc>
      </w:tr>
      <w:tr w:rsidR="002865F2" w:rsidRPr="002865F2" w14:paraId="141E3C9B"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4D5FD90" w14:textId="77777777" w:rsidR="002865F2" w:rsidRPr="002865F2" w:rsidRDefault="002865F2" w:rsidP="00541B09">
            <w:pPr>
              <w:pStyle w:val="Tablewriting"/>
            </w:pPr>
            <w:r w:rsidRPr="002865F2">
              <w:t>10224D</w:t>
            </w:r>
          </w:p>
        </w:tc>
        <w:tc>
          <w:tcPr>
            <w:tcW w:w="1182" w:type="dxa"/>
            <w:tcBorders>
              <w:top w:val="nil"/>
              <w:left w:val="nil"/>
              <w:bottom w:val="single" w:sz="4" w:space="0" w:color="auto"/>
              <w:right w:val="single" w:sz="4" w:space="0" w:color="auto"/>
            </w:tcBorders>
            <w:shd w:val="clear" w:color="auto" w:fill="auto"/>
            <w:hideMark/>
          </w:tcPr>
          <w:p w14:paraId="606D5341" w14:textId="77777777" w:rsidR="002865F2" w:rsidRPr="002865F2" w:rsidRDefault="002865F2" w:rsidP="00541B09">
            <w:pPr>
              <w:pStyle w:val="Tablewriting"/>
            </w:pPr>
            <w:r w:rsidRPr="002865F2">
              <w:t>01Mar2015</w:t>
            </w:r>
          </w:p>
        </w:tc>
        <w:tc>
          <w:tcPr>
            <w:tcW w:w="600" w:type="dxa"/>
            <w:tcBorders>
              <w:top w:val="nil"/>
              <w:left w:val="nil"/>
              <w:bottom w:val="single" w:sz="4" w:space="0" w:color="auto"/>
              <w:right w:val="single" w:sz="4" w:space="0" w:color="auto"/>
            </w:tcBorders>
            <w:shd w:val="clear" w:color="auto" w:fill="auto"/>
            <w:hideMark/>
          </w:tcPr>
          <w:p w14:paraId="5D1FCB90"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27D1432F"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220B1CD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F5D675A" w14:textId="77777777" w:rsidR="002865F2" w:rsidRPr="002865F2" w:rsidRDefault="002865F2" w:rsidP="00541B09">
            <w:pPr>
              <w:pStyle w:val="Tablewriting"/>
            </w:pPr>
            <w:r w:rsidRPr="002865F2">
              <w:t>$314.78</w:t>
            </w:r>
          </w:p>
        </w:tc>
        <w:tc>
          <w:tcPr>
            <w:tcW w:w="3903" w:type="dxa"/>
            <w:tcBorders>
              <w:top w:val="nil"/>
              <w:left w:val="nil"/>
              <w:bottom w:val="single" w:sz="4" w:space="0" w:color="auto"/>
              <w:right w:val="single" w:sz="4" w:space="0" w:color="auto"/>
            </w:tcBorders>
            <w:shd w:val="clear" w:color="auto" w:fill="auto"/>
            <w:hideMark/>
          </w:tcPr>
          <w:p w14:paraId="5D52B0F9" w14:textId="77777777" w:rsidR="002865F2" w:rsidRPr="002865F2" w:rsidRDefault="002865F2" w:rsidP="00541B09">
            <w:pPr>
              <w:pStyle w:val="Tablewriting"/>
            </w:pPr>
            <w:r w:rsidRPr="002865F2">
              <w:t>Aripiprazole, Powder for injection 300 mg (as monohydrate) with diluent</w:t>
            </w:r>
          </w:p>
        </w:tc>
        <w:tc>
          <w:tcPr>
            <w:tcW w:w="3773" w:type="dxa"/>
            <w:tcBorders>
              <w:top w:val="nil"/>
              <w:left w:val="nil"/>
              <w:bottom w:val="single" w:sz="4" w:space="0" w:color="auto"/>
              <w:right w:val="single" w:sz="4" w:space="0" w:color="auto"/>
            </w:tcBorders>
            <w:shd w:val="clear" w:color="auto" w:fill="auto"/>
            <w:hideMark/>
          </w:tcPr>
          <w:p w14:paraId="485C3306" w14:textId="77777777" w:rsidR="002865F2" w:rsidRPr="002865F2" w:rsidRDefault="002865F2" w:rsidP="00541B09">
            <w:pPr>
              <w:pStyle w:val="Tablewriting"/>
            </w:pPr>
            <w:r w:rsidRPr="002865F2">
              <w:t>Abilify Maintena (LUNDBECK AUSTRALIA PTY LTD)</w:t>
            </w:r>
          </w:p>
        </w:tc>
      </w:tr>
      <w:tr w:rsidR="002865F2" w:rsidRPr="002865F2" w14:paraId="6243AE2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707CE76" w14:textId="77777777" w:rsidR="002865F2" w:rsidRPr="002865F2" w:rsidRDefault="002865F2" w:rsidP="00541B09">
            <w:pPr>
              <w:pStyle w:val="Tablewriting"/>
            </w:pPr>
            <w:r w:rsidRPr="002865F2">
              <w:t>10219W</w:t>
            </w:r>
          </w:p>
        </w:tc>
        <w:tc>
          <w:tcPr>
            <w:tcW w:w="1182" w:type="dxa"/>
            <w:tcBorders>
              <w:top w:val="nil"/>
              <w:left w:val="nil"/>
              <w:bottom w:val="single" w:sz="4" w:space="0" w:color="auto"/>
              <w:right w:val="single" w:sz="4" w:space="0" w:color="auto"/>
            </w:tcBorders>
            <w:shd w:val="clear" w:color="auto" w:fill="auto"/>
            <w:hideMark/>
          </w:tcPr>
          <w:p w14:paraId="31888200" w14:textId="77777777" w:rsidR="002865F2" w:rsidRPr="002865F2" w:rsidRDefault="002865F2" w:rsidP="00541B09">
            <w:pPr>
              <w:pStyle w:val="Tablewriting"/>
            </w:pPr>
            <w:r w:rsidRPr="002865F2">
              <w:t>01Mar2015</w:t>
            </w:r>
          </w:p>
        </w:tc>
        <w:tc>
          <w:tcPr>
            <w:tcW w:w="600" w:type="dxa"/>
            <w:tcBorders>
              <w:top w:val="nil"/>
              <w:left w:val="nil"/>
              <w:bottom w:val="single" w:sz="4" w:space="0" w:color="auto"/>
              <w:right w:val="single" w:sz="4" w:space="0" w:color="auto"/>
            </w:tcBorders>
            <w:shd w:val="clear" w:color="auto" w:fill="auto"/>
            <w:hideMark/>
          </w:tcPr>
          <w:p w14:paraId="5CEFFA83"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7D6A5C7C"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746B0CA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9D0B257" w14:textId="77777777" w:rsidR="002865F2" w:rsidRPr="002865F2" w:rsidRDefault="002865F2" w:rsidP="00541B09">
            <w:pPr>
              <w:pStyle w:val="Tablewriting"/>
            </w:pPr>
            <w:r w:rsidRPr="002865F2">
              <w:t>$392.44</w:t>
            </w:r>
          </w:p>
        </w:tc>
        <w:tc>
          <w:tcPr>
            <w:tcW w:w="3903" w:type="dxa"/>
            <w:tcBorders>
              <w:top w:val="nil"/>
              <w:left w:val="nil"/>
              <w:bottom w:val="single" w:sz="4" w:space="0" w:color="auto"/>
              <w:right w:val="single" w:sz="4" w:space="0" w:color="auto"/>
            </w:tcBorders>
            <w:shd w:val="clear" w:color="auto" w:fill="auto"/>
            <w:hideMark/>
          </w:tcPr>
          <w:p w14:paraId="66568773" w14:textId="77777777" w:rsidR="002865F2" w:rsidRPr="002865F2" w:rsidRDefault="002865F2" w:rsidP="00541B09">
            <w:pPr>
              <w:pStyle w:val="Tablewriting"/>
            </w:pPr>
            <w:r w:rsidRPr="002865F2">
              <w:t>Aripiprazole, Powder for injection 400 mg (as monohydrate) with diluent</w:t>
            </w:r>
          </w:p>
        </w:tc>
        <w:tc>
          <w:tcPr>
            <w:tcW w:w="3773" w:type="dxa"/>
            <w:tcBorders>
              <w:top w:val="nil"/>
              <w:left w:val="nil"/>
              <w:bottom w:val="single" w:sz="4" w:space="0" w:color="auto"/>
              <w:right w:val="single" w:sz="4" w:space="0" w:color="auto"/>
            </w:tcBorders>
            <w:shd w:val="clear" w:color="auto" w:fill="auto"/>
            <w:hideMark/>
          </w:tcPr>
          <w:p w14:paraId="20972A6F" w14:textId="77777777" w:rsidR="002865F2" w:rsidRPr="002865F2" w:rsidRDefault="002865F2" w:rsidP="00541B09">
            <w:pPr>
              <w:pStyle w:val="Tablewriting"/>
            </w:pPr>
            <w:r w:rsidRPr="002865F2">
              <w:t>Abilify Maintena (LUNDBECK AUSTRALIA PTY LTD)</w:t>
            </w:r>
          </w:p>
        </w:tc>
      </w:tr>
      <w:tr w:rsidR="002865F2" w:rsidRPr="002865F2" w14:paraId="7BF29B55"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97BFE9B" w14:textId="77777777" w:rsidR="002865F2" w:rsidRPr="002865F2" w:rsidRDefault="002865F2" w:rsidP="00541B09">
            <w:pPr>
              <w:pStyle w:val="Tablewriting"/>
            </w:pPr>
            <w:r w:rsidRPr="002865F2">
              <w:t>08717T</w:t>
            </w:r>
          </w:p>
        </w:tc>
        <w:tc>
          <w:tcPr>
            <w:tcW w:w="1182" w:type="dxa"/>
            <w:tcBorders>
              <w:top w:val="nil"/>
              <w:left w:val="nil"/>
              <w:bottom w:val="single" w:sz="4" w:space="0" w:color="auto"/>
              <w:right w:val="single" w:sz="4" w:space="0" w:color="auto"/>
            </w:tcBorders>
            <w:shd w:val="clear" w:color="auto" w:fill="auto"/>
            <w:hideMark/>
          </w:tcPr>
          <w:p w14:paraId="04E35941" w14:textId="77777777" w:rsidR="002865F2" w:rsidRPr="002865F2" w:rsidRDefault="002865F2" w:rsidP="00541B09">
            <w:pPr>
              <w:pStyle w:val="Tablewriting"/>
            </w:pPr>
            <w:r w:rsidRPr="002865F2">
              <w:t>01May2004</w:t>
            </w:r>
          </w:p>
        </w:tc>
        <w:tc>
          <w:tcPr>
            <w:tcW w:w="600" w:type="dxa"/>
            <w:tcBorders>
              <w:top w:val="nil"/>
              <w:left w:val="nil"/>
              <w:bottom w:val="single" w:sz="4" w:space="0" w:color="auto"/>
              <w:right w:val="single" w:sz="4" w:space="0" w:color="auto"/>
            </w:tcBorders>
            <w:shd w:val="clear" w:color="auto" w:fill="auto"/>
            <w:hideMark/>
          </w:tcPr>
          <w:p w14:paraId="20E3B708"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5AF16C05"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7AC9EBE8"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F6C194B" w14:textId="77777777" w:rsidR="002865F2" w:rsidRPr="002865F2" w:rsidRDefault="002865F2" w:rsidP="00541B09">
            <w:pPr>
              <w:pStyle w:val="Tablewriting"/>
            </w:pPr>
            <w:r w:rsidRPr="002865F2">
              <w:t>$142.99</w:t>
            </w:r>
          </w:p>
        </w:tc>
        <w:tc>
          <w:tcPr>
            <w:tcW w:w="3903" w:type="dxa"/>
            <w:tcBorders>
              <w:top w:val="nil"/>
              <w:left w:val="nil"/>
              <w:bottom w:val="single" w:sz="4" w:space="0" w:color="auto"/>
              <w:right w:val="single" w:sz="4" w:space="0" w:color="auto"/>
            </w:tcBorders>
            <w:shd w:val="clear" w:color="auto" w:fill="auto"/>
            <w:hideMark/>
          </w:tcPr>
          <w:p w14:paraId="61132F61" w14:textId="77777777" w:rsidR="002865F2" w:rsidRPr="002865F2" w:rsidRDefault="002865F2" w:rsidP="00541B09">
            <w:pPr>
              <w:pStyle w:val="Tablewriting"/>
            </w:pPr>
            <w:r w:rsidRPr="002865F2">
              <w:t>Aripiprazole, Tablet 10 mg</w:t>
            </w:r>
          </w:p>
        </w:tc>
        <w:tc>
          <w:tcPr>
            <w:tcW w:w="3773" w:type="dxa"/>
            <w:tcBorders>
              <w:top w:val="nil"/>
              <w:left w:val="nil"/>
              <w:bottom w:val="single" w:sz="4" w:space="0" w:color="auto"/>
              <w:right w:val="single" w:sz="4" w:space="0" w:color="auto"/>
            </w:tcBorders>
            <w:shd w:val="clear" w:color="auto" w:fill="auto"/>
            <w:hideMark/>
          </w:tcPr>
          <w:p w14:paraId="380D93F9" w14:textId="77777777" w:rsidR="002865F2" w:rsidRPr="002865F2" w:rsidRDefault="002865F2" w:rsidP="00541B09">
            <w:pPr>
              <w:pStyle w:val="Tablewriting"/>
            </w:pPr>
            <w:r w:rsidRPr="002865F2">
              <w:t>Abilify (OTSUKA AUSTRALIA PHARMACEUTICAL PTY LTD)</w:t>
            </w:r>
          </w:p>
        </w:tc>
      </w:tr>
      <w:tr w:rsidR="002865F2" w:rsidRPr="002865F2" w14:paraId="22256E91"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53E10F4" w14:textId="77777777" w:rsidR="002865F2" w:rsidRPr="002865F2" w:rsidRDefault="002865F2" w:rsidP="00541B09">
            <w:pPr>
              <w:pStyle w:val="Tablewriting"/>
            </w:pPr>
            <w:r w:rsidRPr="002865F2">
              <w:t>08718W</w:t>
            </w:r>
          </w:p>
        </w:tc>
        <w:tc>
          <w:tcPr>
            <w:tcW w:w="1182" w:type="dxa"/>
            <w:tcBorders>
              <w:top w:val="nil"/>
              <w:left w:val="nil"/>
              <w:bottom w:val="single" w:sz="4" w:space="0" w:color="auto"/>
              <w:right w:val="single" w:sz="4" w:space="0" w:color="auto"/>
            </w:tcBorders>
            <w:shd w:val="clear" w:color="auto" w:fill="auto"/>
            <w:hideMark/>
          </w:tcPr>
          <w:p w14:paraId="591D2AE5" w14:textId="77777777" w:rsidR="002865F2" w:rsidRPr="002865F2" w:rsidRDefault="002865F2" w:rsidP="00541B09">
            <w:pPr>
              <w:pStyle w:val="Tablewriting"/>
            </w:pPr>
            <w:r w:rsidRPr="002865F2">
              <w:t>01May2004</w:t>
            </w:r>
          </w:p>
        </w:tc>
        <w:tc>
          <w:tcPr>
            <w:tcW w:w="600" w:type="dxa"/>
            <w:tcBorders>
              <w:top w:val="nil"/>
              <w:left w:val="nil"/>
              <w:bottom w:val="single" w:sz="4" w:space="0" w:color="auto"/>
              <w:right w:val="single" w:sz="4" w:space="0" w:color="auto"/>
            </w:tcBorders>
            <w:shd w:val="clear" w:color="auto" w:fill="auto"/>
            <w:hideMark/>
          </w:tcPr>
          <w:p w14:paraId="4F036D41"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51833D30"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32CF4DD4"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5E98D5D" w14:textId="77777777" w:rsidR="002865F2" w:rsidRPr="002865F2" w:rsidRDefault="002865F2" w:rsidP="00541B09">
            <w:pPr>
              <w:pStyle w:val="Tablewriting"/>
            </w:pPr>
            <w:r w:rsidRPr="002865F2">
              <w:t>$198.84</w:t>
            </w:r>
          </w:p>
        </w:tc>
        <w:tc>
          <w:tcPr>
            <w:tcW w:w="3903" w:type="dxa"/>
            <w:tcBorders>
              <w:top w:val="nil"/>
              <w:left w:val="nil"/>
              <w:bottom w:val="single" w:sz="4" w:space="0" w:color="auto"/>
              <w:right w:val="single" w:sz="4" w:space="0" w:color="auto"/>
            </w:tcBorders>
            <w:shd w:val="clear" w:color="auto" w:fill="auto"/>
            <w:hideMark/>
          </w:tcPr>
          <w:p w14:paraId="7BE11055" w14:textId="77777777" w:rsidR="002865F2" w:rsidRPr="002865F2" w:rsidRDefault="002865F2" w:rsidP="00541B09">
            <w:pPr>
              <w:pStyle w:val="Tablewriting"/>
            </w:pPr>
            <w:r w:rsidRPr="002865F2">
              <w:t>Aripiprazole, Tablet 15 mg</w:t>
            </w:r>
          </w:p>
        </w:tc>
        <w:tc>
          <w:tcPr>
            <w:tcW w:w="3773" w:type="dxa"/>
            <w:tcBorders>
              <w:top w:val="nil"/>
              <w:left w:val="nil"/>
              <w:bottom w:val="single" w:sz="4" w:space="0" w:color="auto"/>
              <w:right w:val="single" w:sz="4" w:space="0" w:color="auto"/>
            </w:tcBorders>
            <w:shd w:val="clear" w:color="auto" w:fill="auto"/>
            <w:hideMark/>
          </w:tcPr>
          <w:p w14:paraId="043C8E22" w14:textId="77777777" w:rsidR="002865F2" w:rsidRPr="002865F2" w:rsidRDefault="002865F2" w:rsidP="00541B09">
            <w:pPr>
              <w:pStyle w:val="Tablewriting"/>
            </w:pPr>
            <w:r w:rsidRPr="002865F2">
              <w:t>Abilify (OTSUKA AUSTRALIA PHARMACEUTICAL PTY LTD)</w:t>
            </w:r>
          </w:p>
        </w:tc>
      </w:tr>
      <w:tr w:rsidR="002865F2" w:rsidRPr="002865F2" w14:paraId="2D73E99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10F7DB5" w14:textId="77777777" w:rsidR="002865F2" w:rsidRPr="002865F2" w:rsidRDefault="002865F2" w:rsidP="00541B09">
            <w:pPr>
              <w:pStyle w:val="Tablewriting"/>
            </w:pPr>
            <w:r w:rsidRPr="002865F2">
              <w:t>08719X</w:t>
            </w:r>
          </w:p>
        </w:tc>
        <w:tc>
          <w:tcPr>
            <w:tcW w:w="1182" w:type="dxa"/>
            <w:tcBorders>
              <w:top w:val="nil"/>
              <w:left w:val="nil"/>
              <w:bottom w:val="single" w:sz="4" w:space="0" w:color="auto"/>
              <w:right w:val="single" w:sz="4" w:space="0" w:color="auto"/>
            </w:tcBorders>
            <w:shd w:val="clear" w:color="auto" w:fill="auto"/>
            <w:hideMark/>
          </w:tcPr>
          <w:p w14:paraId="1A5631BE" w14:textId="77777777" w:rsidR="002865F2" w:rsidRPr="002865F2" w:rsidRDefault="002865F2" w:rsidP="00541B09">
            <w:pPr>
              <w:pStyle w:val="Tablewriting"/>
            </w:pPr>
            <w:r w:rsidRPr="002865F2">
              <w:t>01May2004</w:t>
            </w:r>
          </w:p>
        </w:tc>
        <w:tc>
          <w:tcPr>
            <w:tcW w:w="600" w:type="dxa"/>
            <w:tcBorders>
              <w:top w:val="nil"/>
              <w:left w:val="nil"/>
              <w:bottom w:val="single" w:sz="4" w:space="0" w:color="auto"/>
              <w:right w:val="single" w:sz="4" w:space="0" w:color="auto"/>
            </w:tcBorders>
            <w:shd w:val="clear" w:color="auto" w:fill="auto"/>
            <w:hideMark/>
          </w:tcPr>
          <w:p w14:paraId="77BF0735"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76847D81"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53CFA47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FE45026" w14:textId="77777777" w:rsidR="002865F2" w:rsidRPr="002865F2" w:rsidRDefault="002865F2" w:rsidP="00541B09">
            <w:pPr>
              <w:pStyle w:val="Tablewriting"/>
            </w:pPr>
            <w:r w:rsidRPr="002865F2">
              <w:t>$241.15</w:t>
            </w:r>
          </w:p>
        </w:tc>
        <w:tc>
          <w:tcPr>
            <w:tcW w:w="3903" w:type="dxa"/>
            <w:tcBorders>
              <w:top w:val="nil"/>
              <w:left w:val="nil"/>
              <w:bottom w:val="single" w:sz="4" w:space="0" w:color="auto"/>
              <w:right w:val="single" w:sz="4" w:space="0" w:color="auto"/>
            </w:tcBorders>
            <w:shd w:val="clear" w:color="auto" w:fill="auto"/>
            <w:hideMark/>
          </w:tcPr>
          <w:p w14:paraId="54E3BE7C" w14:textId="77777777" w:rsidR="002865F2" w:rsidRPr="002865F2" w:rsidRDefault="002865F2" w:rsidP="00541B09">
            <w:pPr>
              <w:pStyle w:val="Tablewriting"/>
            </w:pPr>
            <w:r w:rsidRPr="002865F2">
              <w:t>Aripiprazole, Tablet 20 mg</w:t>
            </w:r>
          </w:p>
        </w:tc>
        <w:tc>
          <w:tcPr>
            <w:tcW w:w="3773" w:type="dxa"/>
            <w:tcBorders>
              <w:top w:val="nil"/>
              <w:left w:val="nil"/>
              <w:bottom w:val="single" w:sz="4" w:space="0" w:color="auto"/>
              <w:right w:val="single" w:sz="4" w:space="0" w:color="auto"/>
            </w:tcBorders>
            <w:shd w:val="clear" w:color="auto" w:fill="auto"/>
            <w:hideMark/>
          </w:tcPr>
          <w:p w14:paraId="400F7E7A" w14:textId="77777777" w:rsidR="002865F2" w:rsidRPr="002865F2" w:rsidRDefault="002865F2" w:rsidP="00541B09">
            <w:pPr>
              <w:pStyle w:val="Tablewriting"/>
            </w:pPr>
            <w:r w:rsidRPr="002865F2">
              <w:t>Abilify (OTSUKA AUSTRALIA PHARMACEUTICAL PTY LTD)</w:t>
            </w:r>
          </w:p>
        </w:tc>
      </w:tr>
      <w:tr w:rsidR="002865F2" w:rsidRPr="002865F2" w14:paraId="146235BB"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2D4DC1C" w14:textId="77777777" w:rsidR="002865F2" w:rsidRPr="002865F2" w:rsidRDefault="002865F2" w:rsidP="00541B09">
            <w:pPr>
              <w:pStyle w:val="Tablewriting"/>
            </w:pPr>
            <w:r w:rsidRPr="002865F2">
              <w:t>08720Y</w:t>
            </w:r>
          </w:p>
        </w:tc>
        <w:tc>
          <w:tcPr>
            <w:tcW w:w="1182" w:type="dxa"/>
            <w:tcBorders>
              <w:top w:val="nil"/>
              <w:left w:val="nil"/>
              <w:bottom w:val="single" w:sz="4" w:space="0" w:color="auto"/>
              <w:right w:val="single" w:sz="4" w:space="0" w:color="auto"/>
            </w:tcBorders>
            <w:shd w:val="clear" w:color="auto" w:fill="auto"/>
            <w:hideMark/>
          </w:tcPr>
          <w:p w14:paraId="4B0CF5FD" w14:textId="77777777" w:rsidR="002865F2" w:rsidRPr="002865F2" w:rsidRDefault="002865F2" w:rsidP="00541B09">
            <w:pPr>
              <w:pStyle w:val="Tablewriting"/>
            </w:pPr>
            <w:r w:rsidRPr="002865F2">
              <w:t>01May2004</w:t>
            </w:r>
          </w:p>
        </w:tc>
        <w:tc>
          <w:tcPr>
            <w:tcW w:w="600" w:type="dxa"/>
            <w:tcBorders>
              <w:top w:val="nil"/>
              <w:left w:val="nil"/>
              <w:bottom w:val="single" w:sz="4" w:space="0" w:color="auto"/>
              <w:right w:val="single" w:sz="4" w:space="0" w:color="auto"/>
            </w:tcBorders>
            <w:shd w:val="clear" w:color="auto" w:fill="auto"/>
            <w:hideMark/>
          </w:tcPr>
          <w:p w14:paraId="4B45C041"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4DED532E"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249CF63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49D472F" w14:textId="77777777" w:rsidR="002865F2" w:rsidRPr="002865F2" w:rsidRDefault="002865F2" w:rsidP="00541B09">
            <w:pPr>
              <w:pStyle w:val="Tablewriting"/>
            </w:pPr>
            <w:r w:rsidRPr="002865F2">
              <w:t>$278.65</w:t>
            </w:r>
          </w:p>
        </w:tc>
        <w:tc>
          <w:tcPr>
            <w:tcW w:w="3903" w:type="dxa"/>
            <w:tcBorders>
              <w:top w:val="nil"/>
              <w:left w:val="nil"/>
              <w:bottom w:val="single" w:sz="4" w:space="0" w:color="auto"/>
              <w:right w:val="single" w:sz="4" w:space="0" w:color="auto"/>
            </w:tcBorders>
            <w:shd w:val="clear" w:color="auto" w:fill="auto"/>
            <w:hideMark/>
          </w:tcPr>
          <w:p w14:paraId="10C0B550" w14:textId="77777777" w:rsidR="002865F2" w:rsidRPr="002865F2" w:rsidRDefault="002865F2" w:rsidP="00541B09">
            <w:pPr>
              <w:pStyle w:val="Tablewriting"/>
            </w:pPr>
            <w:r w:rsidRPr="002865F2">
              <w:t>Aripiprazole, Tablet 30 mg</w:t>
            </w:r>
          </w:p>
        </w:tc>
        <w:tc>
          <w:tcPr>
            <w:tcW w:w="3773" w:type="dxa"/>
            <w:tcBorders>
              <w:top w:val="nil"/>
              <w:left w:val="nil"/>
              <w:bottom w:val="single" w:sz="4" w:space="0" w:color="auto"/>
              <w:right w:val="single" w:sz="4" w:space="0" w:color="auto"/>
            </w:tcBorders>
            <w:shd w:val="clear" w:color="auto" w:fill="auto"/>
            <w:hideMark/>
          </w:tcPr>
          <w:p w14:paraId="4BF86C5E" w14:textId="77777777" w:rsidR="002865F2" w:rsidRPr="002865F2" w:rsidRDefault="002865F2" w:rsidP="00541B09">
            <w:pPr>
              <w:pStyle w:val="Tablewriting"/>
            </w:pPr>
            <w:r w:rsidRPr="002865F2">
              <w:t>Abilify (OTSUKA AUSTRALIA PHARMACEUTICAL PTY LTD)</w:t>
            </w:r>
          </w:p>
        </w:tc>
      </w:tr>
      <w:tr w:rsidR="002865F2" w:rsidRPr="002865F2" w14:paraId="5868DD17"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6B409C6" w14:textId="77777777" w:rsidR="002865F2" w:rsidRPr="002865F2" w:rsidRDefault="002865F2" w:rsidP="00541B09">
            <w:pPr>
              <w:pStyle w:val="Tablewriting"/>
            </w:pPr>
            <w:r w:rsidRPr="002865F2">
              <w:t>05141N</w:t>
            </w:r>
          </w:p>
        </w:tc>
        <w:tc>
          <w:tcPr>
            <w:tcW w:w="1182" w:type="dxa"/>
            <w:tcBorders>
              <w:top w:val="nil"/>
              <w:left w:val="nil"/>
              <w:bottom w:val="single" w:sz="4" w:space="0" w:color="auto"/>
              <w:right w:val="single" w:sz="4" w:space="0" w:color="auto"/>
            </w:tcBorders>
            <w:shd w:val="clear" w:color="auto" w:fill="auto"/>
            <w:hideMark/>
          </w:tcPr>
          <w:p w14:paraId="13E7A54F"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38BD79E7"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57FA6138"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B70741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4217808" w14:textId="77777777" w:rsidR="002865F2" w:rsidRPr="002865F2" w:rsidRDefault="002865F2" w:rsidP="00541B09">
            <w:pPr>
              <w:pStyle w:val="Tablewriting"/>
            </w:pPr>
            <w:r w:rsidRPr="002865F2">
              <w:t>$252.82</w:t>
            </w:r>
          </w:p>
        </w:tc>
        <w:tc>
          <w:tcPr>
            <w:tcW w:w="3903" w:type="dxa"/>
            <w:tcBorders>
              <w:top w:val="nil"/>
              <w:left w:val="nil"/>
              <w:bottom w:val="single" w:sz="4" w:space="0" w:color="auto"/>
              <w:right w:val="single" w:sz="4" w:space="0" w:color="auto"/>
            </w:tcBorders>
            <w:shd w:val="clear" w:color="auto" w:fill="auto"/>
            <w:hideMark/>
          </w:tcPr>
          <w:p w14:paraId="7306AC29" w14:textId="77777777" w:rsidR="002865F2" w:rsidRPr="002865F2" w:rsidRDefault="002865F2" w:rsidP="00541B09">
            <w:pPr>
              <w:pStyle w:val="Tablewriting"/>
            </w:pPr>
            <w:r w:rsidRPr="002865F2">
              <w:t>Asenapine, Sublingual wafer 10 mg (as maleate)</w:t>
            </w:r>
          </w:p>
        </w:tc>
        <w:tc>
          <w:tcPr>
            <w:tcW w:w="3773" w:type="dxa"/>
            <w:tcBorders>
              <w:top w:val="nil"/>
              <w:left w:val="nil"/>
              <w:bottom w:val="single" w:sz="4" w:space="0" w:color="auto"/>
              <w:right w:val="single" w:sz="4" w:space="0" w:color="auto"/>
            </w:tcBorders>
            <w:shd w:val="clear" w:color="auto" w:fill="auto"/>
            <w:hideMark/>
          </w:tcPr>
          <w:p w14:paraId="62079841" w14:textId="77777777" w:rsidR="002865F2" w:rsidRPr="002865F2" w:rsidRDefault="002865F2" w:rsidP="00541B09">
            <w:pPr>
              <w:pStyle w:val="Tablewriting"/>
            </w:pPr>
            <w:r w:rsidRPr="002865F2">
              <w:t>Saphris (LUNDBECK AUSTRALIA PTY LTD)</w:t>
            </w:r>
          </w:p>
        </w:tc>
      </w:tr>
      <w:tr w:rsidR="002865F2" w:rsidRPr="002865F2" w14:paraId="67B7DED7"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9F68F46" w14:textId="77777777" w:rsidR="002865F2" w:rsidRPr="002865F2" w:rsidRDefault="002865F2" w:rsidP="00541B09">
            <w:pPr>
              <w:pStyle w:val="Tablewriting"/>
            </w:pPr>
            <w:r w:rsidRPr="002865F2">
              <w:t>05140M</w:t>
            </w:r>
          </w:p>
        </w:tc>
        <w:tc>
          <w:tcPr>
            <w:tcW w:w="1182" w:type="dxa"/>
            <w:tcBorders>
              <w:top w:val="nil"/>
              <w:left w:val="nil"/>
              <w:bottom w:val="single" w:sz="4" w:space="0" w:color="auto"/>
              <w:right w:val="single" w:sz="4" w:space="0" w:color="auto"/>
            </w:tcBorders>
            <w:shd w:val="clear" w:color="auto" w:fill="auto"/>
            <w:hideMark/>
          </w:tcPr>
          <w:p w14:paraId="12E35B0E"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3728EDC5"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3836758F"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1C48C45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EA226B0" w14:textId="77777777" w:rsidR="002865F2" w:rsidRPr="002865F2" w:rsidRDefault="002865F2" w:rsidP="00541B09">
            <w:pPr>
              <w:pStyle w:val="Tablewriting"/>
            </w:pPr>
            <w:r w:rsidRPr="002865F2">
              <w:t>$157.17</w:t>
            </w:r>
          </w:p>
        </w:tc>
        <w:tc>
          <w:tcPr>
            <w:tcW w:w="3903" w:type="dxa"/>
            <w:tcBorders>
              <w:top w:val="nil"/>
              <w:left w:val="nil"/>
              <w:bottom w:val="single" w:sz="4" w:space="0" w:color="auto"/>
              <w:right w:val="single" w:sz="4" w:space="0" w:color="auto"/>
            </w:tcBorders>
            <w:shd w:val="clear" w:color="auto" w:fill="auto"/>
            <w:hideMark/>
          </w:tcPr>
          <w:p w14:paraId="1DB2EDEE" w14:textId="77777777" w:rsidR="002865F2" w:rsidRPr="002865F2" w:rsidRDefault="002865F2" w:rsidP="00541B09">
            <w:pPr>
              <w:pStyle w:val="Tablewriting"/>
            </w:pPr>
            <w:r w:rsidRPr="002865F2">
              <w:t>Asenapine, Sublingual wafer 5 mg (as maleate)</w:t>
            </w:r>
          </w:p>
        </w:tc>
        <w:tc>
          <w:tcPr>
            <w:tcW w:w="3773" w:type="dxa"/>
            <w:tcBorders>
              <w:top w:val="nil"/>
              <w:left w:val="nil"/>
              <w:bottom w:val="single" w:sz="4" w:space="0" w:color="auto"/>
              <w:right w:val="single" w:sz="4" w:space="0" w:color="auto"/>
            </w:tcBorders>
            <w:shd w:val="clear" w:color="auto" w:fill="auto"/>
            <w:hideMark/>
          </w:tcPr>
          <w:p w14:paraId="745E7B94" w14:textId="77777777" w:rsidR="002865F2" w:rsidRPr="002865F2" w:rsidRDefault="002865F2" w:rsidP="00541B09">
            <w:pPr>
              <w:pStyle w:val="Tablewriting"/>
            </w:pPr>
            <w:r w:rsidRPr="002865F2">
              <w:t>Saphris (LUNDBECK AUSTRALIA PTY LTD)</w:t>
            </w:r>
          </w:p>
        </w:tc>
      </w:tr>
      <w:tr w:rsidR="00FB77D1" w:rsidRPr="002865F2" w14:paraId="379DB49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3ECC489" w14:textId="77777777" w:rsidR="00FB77D1" w:rsidRPr="002865F2" w:rsidRDefault="00FB77D1" w:rsidP="00541B09">
            <w:pPr>
              <w:pStyle w:val="Tablewriting"/>
            </w:pPr>
            <w:r w:rsidRPr="002865F2">
              <w:t>01195X</w:t>
            </w:r>
          </w:p>
        </w:tc>
        <w:tc>
          <w:tcPr>
            <w:tcW w:w="1182" w:type="dxa"/>
            <w:tcBorders>
              <w:top w:val="nil"/>
              <w:left w:val="nil"/>
              <w:bottom w:val="single" w:sz="4" w:space="0" w:color="auto"/>
              <w:right w:val="single" w:sz="4" w:space="0" w:color="auto"/>
            </w:tcBorders>
            <w:shd w:val="clear" w:color="auto" w:fill="auto"/>
            <w:hideMark/>
          </w:tcPr>
          <w:p w14:paraId="7D3C7ADB" w14:textId="77777777" w:rsidR="00FB77D1" w:rsidRPr="002865F2" w:rsidRDefault="00FB77D1"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14422184" w14:textId="77777777" w:rsidR="00FB77D1" w:rsidRPr="002865F2" w:rsidRDefault="00FB77D1" w:rsidP="00541B09">
            <w:pPr>
              <w:pStyle w:val="Tablewriting"/>
            </w:pPr>
            <w:r w:rsidRPr="002865F2">
              <w:t>10</w:t>
            </w:r>
          </w:p>
        </w:tc>
        <w:tc>
          <w:tcPr>
            <w:tcW w:w="1068" w:type="dxa"/>
            <w:tcBorders>
              <w:top w:val="nil"/>
              <w:left w:val="nil"/>
              <w:bottom w:val="single" w:sz="4" w:space="0" w:color="auto"/>
              <w:right w:val="single" w:sz="4" w:space="0" w:color="auto"/>
            </w:tcBorders>
            <w:shd w:val="clear" w:color="auto" w:fill="auto"/>
            <w:hideMark/>
          </w:tcPr>
          <w:p w14:paraId="480C8577" w14:textId="77777777" w:rsidR="00FB77D1" w:rsidRPr="002865F2" w:rsidRDefault="00FB77D1" w:rsidP="00541B09">
            <w:pPr>
              <w:pStyle w:val="Tablewriting"/>
            </w:pPr>
            <w:r w:rsidRPr="002865F2">
              <w:t>10</w:t>
            </w:r>
          </w:p>
        </w:tc>
        <w:tc>
          <w:tcPr>
            <w:tcW w:w="1126" w:type="dxa"/>
            <w:tcBorders>
              <w:top w:val="nil"/>
              <w:left w:val="nil"/>
              <w:bottom w:val="single" w:sz="4" w:space="0" w:color="auto"/>
              <w:right w:val="single" w:sz="4" w:space="0" w:color="auto"/>
            </w:tcBorders>
            <w:shd w:val="clear" w:color="auto" w:fill="auto"/>
            <w:hideMark/>
          </w:tcPr>
          <w:p w14:paraId="23690F22" w14:textId="77777777" w:rsidR="00FB77D1" w:rsidRPr="002865F2" w:rsidRDefault="00FB77D1"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10764A38" w14:textId="77777777" w:rsidR="00FB77D1" w:rsidRPr="002865F2" w:rsidRDefault="00FB77D1" w:rsidP="00541B09">
            <w:pPr>
              <w:pStyle w:val="Tablewriting"/>
            </w:pPr>
            <w:r w:rsidRPr="002865F2">
              <w:t>$12.53</w:t>
            </w:r>
          </w:p>
        </w:tc>
        <w:tc>
          <w:tcPr>
            <w:tcW w:w="3903" w:type="dxa"/>
            <w:tcBorders>
              <w:top w:val="nil"/>
              <w:left w:val="nil"/>
              <w:bottom w:val="single" w:sz="4" w:space="0" w:color="auto"/>
              <w:right w:val="single" w:sz="4" w:space="0" w:color="auto"/>
            </w:tcBorders>
            <w:shd w:val="clear" w:color="auto" w:fill="auto"/>
            <w:hideMark/>
          </w:tcPr>
          <w:p w14:paraId="250A0908" w14:textId="27BDEE32" w:rsidR="00FB77D1" w:rsidRPr="002865F2" w:rsidRDefault="00FB77D1" w:rsidP="00541B09">
            <w:pPr>
              <w:pStyle w:val="Tablewriting"/>
            </w:pPr>
            <w:r w:rsidRPr="002865F2">
              <w:t>Chlorpromazine hydrochloride, Injection 50</w:t>
            </w:r>
            <w:r w:rsidR="00541B09">
              <w:t> </w:t>
            </w:r>
            <w:r w:rsidRPr="002865F2">
              <w:t>mg in 2 mL ampoule</w:t>
            </w:r>
          </w:p>
        </w:tc>
        <w:tc>
          <w:tcPr>
            <w:tcW w:w="3773" w:type="dxa"/>
            <w:tcBorders>
              <w:top w:val="nil"/>
              <w:left w:val="nil"/>
              <w:bottom w:val="single" w:sz="4" w:space="0" w:color="auto"/>
              <w:right w:val="single" w:sz="4" w:space="0" w:color="auto"/>
            </w:tcBorders>
            <w:shd w:val="clear" w:color="auto" w:fill="auto"/>
            <w:hideMark/>
          </w:tcPr>
          <w:p w14:paraId="0D0944B6" w14:textId="35989DFA" w:rsidR="00FB77D1" w:rsidRPr="002865F2" w:rsidRDefault="00FB77D1" w:rsidP="00541B09">
            <w:pPr>
              <w:pStyle w:val="Tablewriting"/>
            </w:pPr>
            <w:r w:rsidRPr="002865F2">
              <w:t>Largactil (</w:t>
            </w:r>
            <w:r>
              <w:t>SA</w:t>
            </w:r>
            <w:r w:rsidRPr="002865F2">
              <w:t>NOFI-AVENTIS AUSTRALIA PTY LTD)</w:t>
            </w:r>
          </w:p>
        </w:tc>
      </w:tr>
      <w:tr w:rsidR="00FB77D1" w:rsidRPr="002865F2" w14:paraId="387A114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824C5DD" w14:textId="77777777" w:rsidR="00FB77D1" w:rsidRPr="002865F2" w:rsidRDefault="00FB77D1" w:rsidP="00541B09">
            <w:pPr>
              <w:pStyle w:val="Tablewriting"/>
            </w:pPr>
            <w:r w:rsidRPr="002865F2">
              <w:lastRenderedPageBreak/>
              <w:t>03455W</w:t>
            </w:r>
          </w:p>
        </w:tc>
        <w:tc>
          <w:tcPr>
            <w:tcW w:w="1182" w:type="dxa"/>
            <w:tcBorders>
              <w:top w:val="nil"/>
              <w:left w:val="nil"/>
              <w:bottom w:val="single" w:sz="4" w:space="0" w:color="auto"/>
              <w:right w:val="single" w:sz="4" w:space="0" w:color="auto"/>
            </w:tcBorders>
            <w:shd w:val="clear" w:color="auto" w:fill="auto"/>
            <w:hideMark/>
          </w:tcPr>
          <w:p w14:paraId="75C7890C" w14:textId="77777777" w:rsidR="00FB77D1" w:rsidRPr="002865F2" w:rsidRDefault="00FB77D1" w:rsidP="00541B09">
            <w:pPr>
              <w:pStyle w:val="Tablewriting"/>
            </w:pPr>
            <w:r w:rsidRPr="002865F2">
              <w:t>01Dec1990</w:t>
            </w:r>
          </w:p>
        </w:tc>
        <w:tc>
          <w:tcPr>
            <w:tcW w:w="600" w:type="dxa"/>
            <w:tcBorders>
              <w:top w:val="nil"/>
              <w:left w:val="nil"/>
              <w:bottom w:val="single" w:sz="4" w:space="0" w:color="auto"/>
              <w:right w:val="single" w:sz="4" w:space="0" w:color="auto"/>
            </w:tcBorders>
            <w:shd w:val="clear" w:color="auto" w:fill="auto"/>
            <w:hideMark/>
          </w:tcPr>
          <w:p w14:paraId="02E1826E" w14:textId="77777777" w:rsidR="00FB77D1" w:rsidRPr="002865F2" w:rsidRDefault="00FB77D1" w:rsidP="00541B09">
            <w:pPr>
              <w:pStyle w:val="Tablewriting"/>
            </w:pPr>
            <w:r w:rsidRPr="002865F2">
              <w:t>10</w:t>
            </w:r>
          </w:p>
        </w:tc>
        <w:tc>
          <w:tcPr>
            <w:tcW w:w="1068" w:type="dxa"/>
            <w:tcBorders>
              <w:top w:val="nil"/>
              <w:left w:val="nil"/>
              <w:bottom w:val="single" w:sz="4" w:space="0" w:color="auto"/>
              <w:right w:val="single" w:sz="4" w:space="0" w:color="auto"/>
            </w:tcBorders>
            <w:shd w:val="clear" w:color="auto" w:fill="auto"/>
            <w:hideMark/>
          </w:tcPr>
          <w:p w14:paraId="20556D2F" w14:textId="77777777" w:rsidR="00FB77D1" w:rsidRPr="002865F2" w:rsidRDefault="00FB77D1" w:rsidP="00541B09">
            <w:pPr>
              <w:pStyle w:val="Tablewriting"/>
            </w:pPr>
            <w:r w:rsidRPr="002865F2">
              <w:t>10</w:t>
            </w:r>
          </w:p>
        </w:tc>
        <w:tc>
          <w:tcPr>
            <w:tcW w:w="1126" w:type="dxa"/>
            <w:tcBorders>
              <w:top w:val="nil"/>
              <w:left w:val="nil"/>
              <w:bottom w:val="single" w:sz="4" w:space="0" w:color="auto"/>
              <w:right w:val="single" w:sz="4" w:space="0" w:color="auto"/>
            </w:tcBorders>
            <w:shd w:val="clear" w:color="auto" w:fill="auto"/>
            <w:hideMark/>
          </w:tcPr>
          <w:p w14:paraId="084A78E6" w14:textId="77777777" w:rsidR="00FB77D1" w:rsidRPr="002865F2" w:rsidRDefault="00FB77D1"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2C0CCB59" w14:textId="77777777" w:rsidR="00FB77D1" w:rsidRPr="002865F2" w:rsidRDefault="00FB77D1" w:rsidP="00541B09">
            <w:pPr>
              <w:pStyle w:val="Tablewriting"/>
            </w:pPr>
            <w:r w:rsidRPr="002865F2">
              <w:t>$13.40</w:t>
            </w:r>
          </w:p>
        </w:tc>
        <w:tc>
          <w:tcPr>
            <w:tcW w:w="3903" w:type="dxa"/>
            <w:tcBorders>
              <w:top w:val="nil"/>
              <w:left w:val="nil"/>
              <w:bottom w:val="single" w:sz="4" w:space="0" w:color="auto"/>
              <w:right w:val="single" w:sz="4" w:space="0" w:color="auto"/>
            </w:tcBorders>
            <w:shd w:val="clear" w:color="auto" w:fill="auto"/>
            <w:hideMark/>
          </w:tcPr>
          <w:p w14:paraId="01E1ED3A" w14:textId="77777777" w:rsidR="00FB77D1" w:rsidRPr="002865F2" w:rsidRDefault="00FB77D1" w:rsidP="00541B09">
            <w:pPr>
              <w:pStyle w:val="Tablewriting"/>
            </w:pPr>
            <w:r w:rsidRPr="002865F2">
              <w:t>Chlorpromazine hydrochloride, Injection 50 mg in 2 mL ampoule</w:t>
            </w:r>
          </w:p>
        </w:tc>
        <w:tc>
          <w:tcPr>
            <w:tcW w:w="3773" w:type="dxa"/>
            <w:tcBorders>
              <w:top w:val="nil"/>
              <w:left w:val="nil"/>
              <w:bottom w:val="single" w:sz="4" w:space="0" w:color="auto"/>
              <w:right w:val="single" w:sz="4" w:space="0" w:color="auto"/>
            </w:tcBorders>
            <w:shd w:val="clear" w:color="auto" w:fill="auto"/>
            <w:hideMark/>
          </w:tcPr>
          <w:p w14:paraId="53568005" w14:textId="57E6FB9E" w:rsidR="00FB77D1" w:rsidRPr="002865F2" w:rsidRDefault="00FB77D1" w:rsidP="00541B09">
            <w:pPr>
              <w:pStyle w:val="Tablewriting"/>
            </w:pPr>
            <w:r w:rsidRPr="002865F2">
              <w:t>Largactil (</w:t>
            </w:r>
            <w:r>
              <w:t>SA</w:t>
            </w:r>
            <w:r w:rsidRPr="002865F2">
              <w:t>NOFI-AVENTIS AUSTRALIA PTY LTD)</w:t>
            </w:r>
          </w:p>
        </w:tc>
      </w:tr>
      <w:tr w:rsidR="00FB77D1" w:rsidRPr="002865F2" w14:paraId="086EBA6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DF53931" w14:textId="77777777" w:rsidR="00FB77D1" w:rsidRPr="002865F2" w:rsidRDefault="00FB77D1" w:rsidP="00541B09">
            <w:pPr>
              <w:pStyle w:val="Tablewriting"/>
            </w:pPr>
            <w:r w:rsidRPr="002865F2">
              <w:t>01201F</w:t>
            </w:r>
          </w:p>
        </w:tc>
        <w:tc>
          <w:tcPr>
            <w:tcW w:w="1182" w:type="dxa"/>
            <w:tcBorders>
              <w:top w:val="nil"/>
              <w:left w:val="nil"/>
              <w:bottom w:val="single" w:sz="4" w:space="0" w:color="auto"/>
              <w:right w:val="single" w:sz="4" w:space="0" w:color="auto"/>
            </w:tcBorders>
            <w:shd w:val="clear" w:color="auto" w:fill="auto"/>
            <w:hideMark/>
          </w:tcPr>
          <w:p w14:paraId="039FDE54" w14:textId="77777777" w:rsidR="00FB77D1" w:rsidRPr="002865F2" w:rsidRDefault="00FB77D1"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2720E19B" w14:textId="77777777" w:rsidR="00FB77D1" w:rsidRPr="002865F2" w:rsidRDefault="00FB77D1"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337BCDC7" w14:textId="77777777" w:rsidR="00FB77D1" w:rsidRPr="002865F2" w:rsidRDefault="00FB77D1"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2F92164C" w14:textId="77777777" w:rsidR="00FB77D1" w:rsidRPr="002865F2" w:rsidRDefault="00FB77D1" w:rsidP="00541B09">
            <w:pPr>
              <w:pStyle w:val="Tablewriting"/>
            </w:pPr>
            <w:r w:rsidRPr="002865F2">
              <w:t>4</w:t>
            </w:r>
          </w:p>
        </w:tc>
        <w:tc>
          <w:tcPr>
            <w:tcW w:w="875" w:type="dxa"/>
            <w:tcBorders>
              <w:top w:val="nil"/>
              <w:left w:val="nil"/>
              <w:bottom w:val="single" w:sz="4" w:space="0" w:color="auto"/>
              <w:right w:val="single" w:sz="4" w:space="0" w:color="auto"/>
            </w:tcBorders>
            <w:shd w:val="clear" w:color="auto" w:fill="auto"/>
            <w:hideMark/>
          </w:tcPr>
          <w:p w14:paraId="126E34A2" w14:textId="77777777" w:rsidR="00FB77D1" w:rsidRPr="002865F2" w:rsidRDefault="00FB77D1" w:rsidP="00541B09">
            <w:pPr>
              <w:pStyle w:val="Tablewriting"/>
            </w:pPr>
            <w:r w:rsidRPr="002865F2">
              <w:t>$7.46</w:t>
            </w:r>
          </w:p>
        </w:tc>
        <w:tc>
          <w:tcPr>
            <w:tcW w:w="3903" w:type="dxa"/>
            <w:tcBorders>
              <w:top w:val="nil"/>
              <w:left w:val="nil"/>
              <w:bottom w:val="single" w:sz="4" w:space="0" w:color="auto"/>
              <w:right w:val="single" w:sz="4" w:space="0" w:color="auto"/>
            </w:tcBorders>
            <w:shd w:val="clear" w:color="auto" w:fill="auto"/>
            <w:hideMark/>
          </w:tcPr>
          <w:p w14:paraId="28E5E838" w14:textId="77777777" w:rsidR="00FB77D1" w:rsidRPr="002865F2" w:rsidRDefault="00FB77D1" w:rsidP="00541B09">
            <w:pPr>
              <w:pStyle w:val="Tablewriting"/>
            </w:pPr>
            <w:r w:rsidRPr="002865F2">
              <w:t>Chlorpromazine hydrochloride, Oral solution 25 mg per 5 mL, 100 mL</w:t>
            </w:r>
          </w:p>
        </w:tc>
        <w:tc>
          <w:tcPr>
            <w:tcW w:w="3773" w:type="dxa"/>
            <w:tcBorders>
              <w:top w:val="nil"/>
              <w:left w:val="nil"/>
              <w:bottom w:val="single" w:sz="4" w:space="0" w:color="auto"/>
              <w:right w:val="single" w:sz="4" w:space="0" w:color="auto"/>
            </w:tcBorders>
            <w:shd w:val="clear" w:color="auto" w:fill="auto"/>
            <w:hideMark/>
          </w:tcPr>
          <w:p w14:paraId="170A7D1F" w14:textId="35A74178" w:rsidR="00FB77D1" w:rsidRPr="002865F2" w:rsidRDefault="00FB77D1" w:rsidP="00541B09">
            <w:pPr>
              <w:pStyle w:val="Tablewriting"/>
            </w:pPr>
            <w:r w:rsidRPr="002865F2">
              <w:t>Largactil (</w:t>
            </w:r>
            <w:r>
              <w:t>SA</w:t>
            </w:r>
            <w:r w:rsidRPr="002865F2">
              <w:t>NOFI-AVENTIS AUSTRALIA PTY LTD)</w:t>
            </w:r>
          </w:p>
        </w:tc>
      </w:tr>
      <w:tr w:rsidR="00FB77D1" w:rsidRPr="002865F2" w14:paraId="793C4942"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AF18E02" w14:textId="77777777" w:rsidR="00FB77D1" w:rsidRPr="002865F2" w:rsidRDefault="00FB77D1" w:rsidP="00541B09">
            <w:pPr>
              <w:pStyle w:val="Tablewriting"/>
            </w:pPr>
            <w:r w:rsidRPr="002865F2">
              <w:t>01196Y</w:t>
            </w:r>
          </w:p>
        </w:tc>
        <w:tc>
          <w:tcPr>
            <w:tcW w:w="1182" w:type="dxa"/>
            <w:tcBorders>
              <w:top w:val="nil"/>
              <w:left w:val="nil"/>
              <w:bottom w:val="single" w:sz="4" w:space="0" w:color="auto"/>
              <w:right w:val="single" w:sz="4" w:space="0" w:color="auto"/>
            </w:tcBorders>
            <w:shd w:val="clear" w:color="auto" w:fill="auto"/>
            <w:hideMark/>
          </w:tcPr>
          <w:p w14:paraId="3FE1A9FC" w14:textId="77777777" w:rsidR="00FB77D1" w:rsidRPr="002865F2" w:rsidRDefault="00FB77D1"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4F42F86B" w14:textId="77777777" w:rsidR="00FB77D1" w:rsidRPr="002865F2" w:rsidRDefault="00FB77D1"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574112D6" w14:textId="77777777" w:rsidR="00FB77D1" w:rsidRPr="002865F2" w:rsidRDefault="00FB77D1"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767C8025" w14:textId="77777777" w:rsidR="00FB77D1" w:rsidRPr="002865F2" w:rsidRDefault="00FB77D1"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214CF491" w14:textId="77777777" w:rsidR="00FB77D1" w:rsidRPr="002865F2" w:rsidRDefault="00FB77D1" w:rsidP="00541B09">
            <w:pPr>
              <w:pStyle w:val="Tablewriting"/>
            </w:pPr>
            <w:r w:rsidRPr="002865F2">
              <w:t>$6.81</w:t>
            </w:r>
          </w:p>
        </w:tc>
        <w:tc>
          <w:tcPr>
            <w:tcW w:w="3903" w:type="dxa"/>
            <w:tcBorders>
              <w:top w:val="nil"/>
              <w:left w:val="nil"/>
              <w:bottom w:val="single" w:sz="4" w:space="0" w:color="auto"/>
              <w:right w:val="single" w:sz="4" w:space="0" w:color="auto"/>
            </w:tcBorders>
            <w:shd w:val="clear" w:color="auto" w:fill="auto"/>
            <w:hideMark/>
          </w:tcPr>
          <w:p w14:paraId="204F3286" w14:textId="3C67BA73" w:rsidR="00FB77D1" w:rsidRPr="002865F2" w:rsidRDefault="00FB77D1" w:rsidP="00541B09">
            <w:pPr>
              <w:pStyle w:val="Tablewriting"/>
            </w:pPr>
            <w:r w:rsidRPr="002865F2">
              <w:t>Chlorpromazine hydrochloride, Tablet 10</w:t>
            </w:r>
            <w:r w:rsidR="00541B09">
              <w:t> </w:t>
            </w:r>
            <w:r w:rsidRPr="002865F2">
              <w:t>mg</w:t>
            </w:r>
          </w:p>
        </w:tc>
        <w:tc>
          <w:tcPr>
            <w:tcW w:w="3773" w:type="dxa"/>
            <w:tcBorders>
              <w:top w:val="nil"/>
              <w:left w:val="nil"/>
              <w:bottom w:val="single" w:sz="4" w:space="0" w:color="auto"/>
              <w:right w:val="single" w:sz="4" w:space="0" w:color="auto"/>
            </w:tcBorders>
            <w:shd w:val="clear" w:color="auto" w:fill="auto"/>
            <w:hideMark/>
          </w:tcPr>
          <w:p w14:paraId="1951FBF9" w14:textId="21B6EF96" w:rsidR="00FB77D1" w:rsidRPr="002865F2" w:rsidRDefault="00FB77D1" w:rsidP="00541B09">
            <w:pPr>
              <w:pStyle w:val="Tablewriting"/>
            </w:pPr>
            <w:r w:rsidRPr="002865F2">
              <w:t>Largactil (</w:t>
            </w:r>
            <w:r>
              <w:t>SA</w:t>
            </w:r>
            <w:r w:rsidRPr="002865F2">
              <w:t>NOFI-AVENTIS AUSTRALIA PTY LTD)</w:t>
            </w:r>
          </w:p>
        </w:tc>
      </w:tr>
      <w:tr w:rsidR="00FB77D1" w:rsidRPr="002865F2" w14:paraId="6D42D88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8D365F6" w14:textId="77777777" w:rsidR="00FB77D1" w:rsidRPr="002865F2" w:rsidRDefault="00FB77D1" w:rsidP="00541B09">
            <w:pPr>
              <w:pStyle w:val="Tablewriting"/>
            </w:pPr>
            <w:r w:rsidRPr="002865F2">
              <w:t>01199D</w:t>
            </w:r>
          </w:p>
        </w:tc>
        <w:tc>
          <w:tcPr>
            <w:tcW w:w="1182" w:type="dxa"/>
            <w:tcBorders>
              <w:top w:val="nil"/>
              <w:left w:val="nil"/>
              <w:bottom w:val="single" w:sz="4" w:space="0" w:color="auto"/>
              <w:right w:val="single" w:sz="4" w:space="0" w:color="auto"/>
            </w:tcBorders>
            <w:shd w:val="clear" w:color="auto" w:fill="auto"/>
            <w:hideMark/>
          </w:tcPr>
          <w:p w14:paraId="00FB40F3" w14:textId="77777777" w:rsidR="00FB77D1" w:rsidRPr="002865F2" w:rsidRDefault="00FB77D1"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41F74EB1" w14:textId="77777777" w:rsidR="00FB77D1" w:rsidRPr="002865F2" w:rsidRDefault="00FB77D1"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4792C0C8" w14:textId="77777777" w:rsidR="00FB77D1" w:rsidRPr="002865F2" w:rsidRDefault="00FB77D1"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63FA8DD9" w14:textId="77777777" w:rsidR="00FB77D1" w:rsidRPr="002865F2" w:rsidRDefault="00FB77D1"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E20ABD4" w14:textId="77777777" w:rsidR="00FB77D1" w:rsidRPr="002865F2" w:rsidRDefault="00FB77D1" w:rsidP="00541B09">
            <w:pPr>
              <w:pStyle w:val="Tablewriting"/>
            </w:pPr>
            <w:r w:rsidRPr="002865F2">
              <w:t>$12.73</w:t>
            </w:r>
          </w:p>
        </w:tc>
        <w:tc>
          <w:tcPr>
            <w:tcW w:w="3903" w:type="dxa"/>
            <w:tcBorders>
              <w:top w:val="nil"/>
              <w:left w:val="nil"/>
              <w:bottom w:val="single" w:sz="4" w:space="0" w:color="auto"/>
              <w:right w:val="single" w:sz="4" w:space="0" w:color="auto"/>
            </w:tcBorders>
            <w:shd w:val="clear" w:color="auto" w:fill="auto"/>
            <w:hideMark/>
          </w:tcPr>
          <w:p w14:paraId="666CB05E" w14:textId="72688FC9" w:rsidR="00FB77D1" w:rsidRPr="002865F2" w:rsidRDefault="00FB77D1" w:rsidP="00541B09">
            <w:pPr>
              <w:pStyle w:val="Tablewriting"/>
            </w:pPr>
            <w:r w:rsidRPr="002865F2">
              <w:t>Chlorpromazine hydrochloride, Tablet 100</w:t>
            </w:r>
            <w:r w:rsidR="00541B09">
              <w:t> </w:t>
            </w:r>
            <w:r w:rsidRPr="002865F2">
              <w:t>mg</w:t>
            </w:r>
          </w:p>
        </w:tc>
        <w:tc>
          <w:tcPr>
            <w:tcW w:w="3773" w:type="dxa"/>
            <w:tcBorders>
              <w:top w:val="nil"/>
              <w:left w:val="nil"/>
              <w:bottom w:val="single" w:sz="4" w:space="0" w:color="auto"/>
              <w:right w:val="single" w:sz="4" w:space="0" w:color="auto"/>
            </w:tcBorders>
            <w:shd w:val="clear" w:color="auto" w:fill="auto"/>
            <w:hideMark/>
          </w:tcPr>
          <w:p w14:paraId="72B6E382" w14:textId="0B2B9432" w:rsidR="00FB77D1" w:rsidRPr="002865F2" w:rsidRDefault="00FB77D1" w:rsidP="00541B09">
            <w:pPr>
              <w:pStyle w:val="Tablewriting"/>
            </w:pPr>
            <w:r w:rsidRPr="002865F2">
              <w:t>Largactil (</w:t>
            </w:r>
            <w:r>
              <w:t>SA</w:t>
            </w:r>
            <w:r w:rsidRPr="002865F2">
              <w:t>NOFI-AVENTIS AUSTRALIA PTY LTD)</w:t>
            </w:r>
          </w:p>
        </w:tc>
      </w:tr>
      <w:tr w:rsidR="00FB77D1" w:rsidRPr="002865F2" w14:paraId="6F543A9D"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878A475" w14:textId="77777777" w:rsidR="00FB77D1" w:rsidRPr="002865F2" w:rsidRDefault="00FB77D1" w:rsidP="00541B09">
            <w:pPr>
              <w:pStyle w:val="Tablewriting"/>
            </w:pPr>
            <w:r w:rsidRPr="002865F2">
              <w:t>01197B</w:t>
            </w:r>
          </w:p>
        </w:tc>
        <w:tc>
          <w:tcPr>
            <w:tcW w:w="1182" w:type="dxa"/>
            <w:tcBorders>
              <w:top w:val="nil"/>
              <w:left w:val="nil"/>
              <w:bottom w:val="single" w:sz="4" w:space="0" w:color="auto"/>
              <w:right w:val="single" w:sz="4" w:space="0" w:color="auto"/>
            </w:tcBorders>
            <w:shd w:val="clear" w:color="auto" w:fill="auto"/>
            <w:hideMark/>
          </w:tcPr>
          <w:p w14:paraId="0749DD05" w14:textId="77777777" w:rsidR="00FB77D1" w:rsidRPr="002865F2" w:rsidRDefault="00FB77D1"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37B0CB5B" w14:textId="77777777" w:rsidR="00FB77D1" w:rsidRPr="002865F2" w:rsidRDefault="00FB77D1"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47620ED" w14:textId="77777777" w:rsidR="00FB77D1" w:rsidRPr="002865F2" w:rsidRDefault="00FB77D1"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12D9E6C9" w14:textId="77777777" w:rsidR="00FB77D1" w:rsidRPr="002865F2" w:rsidRDefault="00FB77D1"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C7779D2" w14:textId="77777777" w:rsidR="00FB77D1" w:rsidRPr="002865F2" w:rsidRDefault="00FB77D1" w:rsidP="00541B09">
            <w:pPr>
              <w:pStyle w:val="Tablewriting"/>
            </w:pPr>
            <w:r w:rsidRPr="002865F2">
              <w:t>$8.68</w:t>
            </w:r>
          </w:p>
        </w:tc>
        <w:tc>
          <w:tcPr>
            <w:tcW w:w="3903" w:type="dxa"/>
            <w:tcBorders>
              <w:top w:val="nil"/>
              <w:left w:val="nil"/>
              <w:bottom w:val="single" w:sz="4" w:space="0" w:color="auto"/>
              <w:right w:val="single" w:sz="4" w:space="0" w:color="auto"/>
            </w:tcBorders>
            <w:shd w:val="clear" w:color="auto" w:fill="auto"/>
            <w:hideMark/>
          </w:tcPr>
          <w:p w14:paraId="1E894E19" w14:textId="30611332" w:rsidR="00FB77D1" w:rsidRPr="002865F2" w:rsidRDefault="00FB77D1" w:rsidP="00541B09">
            <w:pPr>
              <w:pStyle w:val="Tablewriting"/>
            </w:pPr>
            <w:r w:rsidRPr="002865F2">
              <w:t>Chlorpromazine hydrochloride, Tablet 25</w:t>
            </w:r>
            <w:r w:rsidR="00541B09">
              <w:t> </w:t>
            </w:r>
            <w:r w:rsidRPr="002865F2">
              <w:t>mg</w:t>
            </w:r>
          </w:p>
        </w:tc>
        <w:tc>
          <w:tcPr>
            <w:tcW w:w="3773" w:type="dxa"/>
            <w:tcBorders>
              <w:top w:val="nil"/>
              <w:left w:val="nil"/>
              <w:bottom w:val="single" w:sz="4" w:space="0" w:color="auto"/>
              <w:right w:val="single" w:sz="4" w:space="0" w:color="auto"/>
            </w:tcBorders>
            <w:shd w:val="clear" w:color="auto" w:fill="auto"/>
            <w:hideMark/>
          </w:tcPr>
          <w:p w14:paraId="1485E2A3" w14:textId="4EE8F57C" w:rsidR="00FB77D1" w:rsidRPr="002865F2" w:rsidRDefault="00FB77D1" w:rsidP="00541B09">
            <w:pPr>
              <w:pStyle w:val="Tablewriting"/>
            </w:pPr>
            <w:r w:rsidRPr="002865F2">
              <w:t>Largactil (</w:t>
            </w:r>
            <w:r>
              <w:t>SA</w:t>
            </w:r>
            <w:r w:rsidRPr="002865F2">
              <w:t>NOFI-AVENTIS AUSTRALIA PTY LTD)</w:t>
            </w:r>
          </w:p>
        </w:tc>
      </w:tr>
      <w:tr w:rsidR="002865F2" w:rsidRPr="002865F2" w14:paraId="2827CA6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38D3023" w14:textId="77777777" w:rsidR="002865F2" w:rsidRPr="002865F2" w:rsidRDefault="002865F2" w:rsidP="00541B09">
            <w:pPr>
              <w:pStyle w:val="Tablewriting"/>
            </w:pPr>
            <w:r w:rsidRPr="002865F2">
              <w:t>05630H</w:t>
            </w:r>
          </w:p>
        </w:tc>
        <w:tc>
          <w:tcPr>
            <w:tcW w:w="1182" w:type="dxa"/>
            <w:tcBorders>
              <w:top w:val="nil"/>
              <w:left w:val="nil"/>
              <w:bottom w:val="single" w:sz="4" w:space="0" w:color="auto"/>
              <w:right w:val="single" w:sz="4" w:space="0" w:color="auto"/>
            </w:tcBorders>
            <w:shd w:val="clear" w:color="auto" w:fill="auto"/>
            <w:hideMark/>
          </w:tcPr>
          <w:p w14:paraId="2A7C5D3F" w14:textId="77777777" w:rsidR="002865F2" w:rsidRPr="002865F2" w:rsidRDefault="002865F2" w:rsidP="00541B09">
            <w:pPr>
              <w:pStyle w:val="Tablewriting"/>
            </w:pPr>
            <w:r w:rsidRPr="002865F2">
              <w:t>01Jul2010</w:t>
            </w:r>
          </w:p>
        </w:tc>
        <w:tc>
          <w:tcPr>
            <w:tcW w:w="600" w:type="dxa"/>
            <w:tcBorders>
              <w:top w:val="nil"/>
              <w:left w:val="nil"/>
              <w:bottom w:val="single" w:sz="4" w:space="0" w:color="auto"/>
              <w:right w:val="single" w:sz="4" w:space="0" w:color="auto"/>
            </w:tcBorders>
            <w:shd w:val="clear" w:color="auto" w:fill="auto"/>
            <w:hideMark/>
          </w:tcPr>
          <w:p w14:paraId="00120C03"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F638590"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3807C12D"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1C8AB6FD" w14:textId="77777777" w:rsidR="002865F2" w:rsidRPr="002865F2" w:rsidRDefault="002865F2" w:rsidP="00541B09">
            <w:pPr>
              <w:pStyle w:val="Tablewriting"/>
            </w:pPr>
            <w:r w:rsidRPr="002865F2">
              <w:t>$135.00</w:t>
            </w:r>
          </w:p>
        </w:tc>
        <w:tc>
          <w:tcPr>
            <w:tcW w:w="3903" w:type="dxa"/>
            <w:tcBorders>
              <w:top w:val="nil"/>
              <w:left w:val="nil"/>
              <w:bottom w:val="single" w:sz="4" w:space="0" w:color="auto"/>
              <w:right w:val="single" w:sz="4" w:space="0" w:color="auto"/>
            </w:tcBorders>
            <w:shd w:val="clear" w:color="auto" w:fill="auto"/>
            <w:hideMark/>
          </w:tcPr>
          <w:p w14:paraId="109AC102" w14:textId="172A44B3" w:rsidR="002865F2" w:rsidRPr="002865F2" w:rsidRDefault="002865F2" w:rsidP="00541B09">
            <w:pPr>
              <w:pStyle w:val="Tablewriting"/>
            </w:pPr>
            <w:r w:rsidRPr="002865F2">
              <w:t>Clozapine, Oral liquid 50 mg per mL, 100</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1BEB2CF1" w14:textId="77777777" w:rsidR="002865F2" w:rsidRPr="002865F2" w:rsidRDefault="002865F2" w:rsidP="00541B09">
            <w:pPr>
              <w:pStyle w:val="Tablewriting"/>
            </w:pPr>
            <w:r w:rsidRPr="002865F2">
              <w:t>Clopine Suspension (HOSPIRA PTY LIMITED)</w:t>
            </w:r>
          </w:p>
        </w:tc>
      </w:tr>
      <w:tr w:rsidR="002865F2" w:rsidRPr="002865F2" w14:paraId="2982E0A4"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98CBBBE" w14:textId="77777777" w:rsidR="002865F2" w:rsidRPr="002865F2" w:rsidRDefault="002865F2" w:rsidP="00541B09">
            <w:pPr>
              <w:pStyle w:val="Tablewriting"/>
            </w:pPr>
            <w:r w:rsidRPr="002865F2">
              <w:t>09632Y</w:t>
            </w:r>
          </w:p>
        </w:tc>
        <w:tc>
          <w:tcPr>
            <w:tcW w:w="1182" w:type="dxa"/>
            <w:tcBorders>
              <w:top w:val="nil"/>
              <w:left w:val="nil"/>
              <w:bottom w:val="single" w:sz="4" w:space="0" w:color="auto"/>
              <w:right w:val="single" w:sz="4" w:space="0" w:color="auto"/>
            </w:tcBorders>
            <w:shd w:val="clear" w:color="auto" w:fill="auto"/>
            <w:hideMark/>
          </w:tcPr>
          <w:p w14:paraId="470B3832" w14:textId="77777777" w:rsidR="002865F2" w:rsidRPr="002865F2" w:rsidRDefault="002865F2" w:rsidP="00541B09">
            <w:pPr>
              <w:pStyle w:val="Tablewriting"/>
            </w:pPr>
            <w:r w:rsidRPr="002865F2">
              <w:t>01Oct2008</w:t>
            </w:r>
          </w:p>
        </w:tc>
        <w:tc>
          <w:tcPr>
            <w:tcW w:w="600" w:type="dxa"/>
            <w:tcBorders>
              <w:top w:val="nil"/>
              <w:left w:val="nil"/>
              <w:bottom w:val="single" w:sz="4" w:space="0" w:color="auto"/>
              <w:right w:val="single" w:sz="4" w:space="0" w:color="auto"/>
            </w:tcBorders>
            <w:shd w:val="clear" w:color="auto" w:fill="auto"/>
            <w:hideMark/>
          </w:tcPr>
          <w:p w14:paraId="1477BDA5"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50B3107F"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008CC2C4"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33187886" w14:textId="77777777" w:rsidR="002865F2" w:rsidRPr="002865F2" w:rsidRDefault="002865F2" w:rsidP="00541B09">
            <w:pPr>
              <w:pStyle w:val="Tablewriting"/>
            </w:pPr>
            <w:r w:rsidRPr="002865F2">
              <w:t>$146.92</w:t>
            </w:r>
          </w:p>
        </w:tc>
        <w:tc>
          <w:tcPr>
            <w:tcW w:w="3903" w:type="dxa"/>
            <w:tcBorders>
              <w:top w:val="nil"/>
              <w:left w:val="nil"/>
              <w:bottom w:val="single" w:sz="4" w:space="0" w:color="auto"/>
              <w:right w:val="single" w:sz="4" w:space="0" w:color="auto"/>
            </w:tcBorders>
            <w:shd w:val="clear" w:color="auto" w:fill="auto"/>
            <w:hideMark/>
          </w:tcPr>
          <w:p w14:paraId="4CD483AC" w14:textId="4B9A5135" w:rsidR="002865F2" w:rsidRPr="002865F2" w:rsidRDefault="002865F2" w:rsidP="00541B09">
            <w:pPr>
              <w:pStyle w:val="Tablewriting"/>
            </w:pPr>
            <w:r w:rsidRPr="002865F2">
              <w:t>Clozapine, Oral liquid 50 mg per mL, 100</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0FCC3E68" w14:textId="77777777" w:rsidR="002865F2" w:rsidRPr="002865F2" w:rsidRDefault="002865F2" w:rsidP="00541B09">
            <w:pPr>
              <w:pStyle w:val="Tablewriting"/>
            </w:pPr>
            <w:r w:rsidRPr="002865F2">
              <w:t>Clopine Suspension (HOSPIRA PTY LIMITED)</w:t>
            </w:r>
          </w:p>
        </w:tc>
      </w:tr>
      <w:tr w:rsidR="002865F2" w:rsidRPr="002865F2" w14:paraId="28940633"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CF0CAA6" w14:textId="77777777" w:rsidR="002865F2" w:rsidRPr="002865F2" w:rsidRDefault="002865F2" w:rsidP="00541B09">
            <w:pPr>
              <w:pStyle w:val="Tablewriting"/>
            </w:pPr>
            <w:r w:rsidRPr="002865F2">
              <w:t>10341G</w:t>
            </w:r>
          </w:p>
        </w:tc>
        <w:tc>
          <w:tcPr>
            <w:tcW w:w="1182" w:type="dxa"/>
            <w:tcBorders>
              <w:top w:val="nil"/>
              <w:left w:val="nil"/>
              <w:bottom w:val="single" w:sz="4" w:space="0" w:color="auto"/>
              <w:right w:val="single" w:sz="4" w:space="0" w:color="auto"/>
            </w:tcBorders>
            <w:shd w:val="clear" w:color="auto" w:fill="auto"/>
            <w:hideMark/>
          </w:tcPr>
          <w:p w14:paraId="5C9AF854" w14:textId="77777777" w:rsidR="002865F2" w:rsidRPr="002865F2" w:rsidRDefault="002865F2" w:rsidP="00541B09">
            <w:pPr>
              <w:pStyle w:val="Tablewriting"/>
            </w:pPr>
            <w:r w:rsidRPr="002865F2">
              <w:t>01Jul2015</w:t>
            </w:r>
          </w:p>
        </w:tc>
        <w:tc>
          <w:tcPr>
            <w:tcW w:w="600" w:type="dxa"/>
            <w:tcBorders>
              <w:top w:val="nil"/>
              <w:left w:val="nil"/>
              <w:bottom w:val="single" w:sz="4" w:space="0" w:color="auto"/>
              <w:right w:val="single" w:sz="4" w:space="0" w:color="auto"/>
            </w:tcBorders>
            <w:shd w:val="clear" w:color="auto" w:fill="auto"/>
            <w:hideMark/>
          </w:tcPr>
          <w:p w14:paraId="403586EE"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60863F30"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1932EF67"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52170986" w14:textId="77777777" w:rsidR="002865F2" w:rsidRPr="002865F2" w:rsidRDefault="002865F2" w:rsidP="00541B09">
            <w:pPr>
              <w:pStyle w:val="Tablewriting"/>
            </w:pPr>
            <w:r w:rsidRPr="002865F2">
              <w:t>$147.42</w:t>
            </w:r>
          </w:p>
        </w:tc>
        <w:tc>
          <w:tcPr>
            <w:tcW w:w="3903" w:type="dxa"/>
            <w:tcBorders>
              <w:top w:val="nil"/>
              <w:left w:val="nil"/>
              <w:bottom w:val="single" w:sz="4" w:space="0" w:color="auto"/>
              <w:right w:val="single" w:sz="4" w:space="0" w:color="auto"/>
            </w:tcBorders>
            <w:shd w:val="clear" w:color="auto" w:fill="auto"/>
            <w:hideMark/>
          </w:tcPr>
          <w:p w14:paraId="58D541FB" w14:textId="7A2A3159" w:rsidR="002865F2" w:rsidRPr="002865F2" w:rsidRDefault="002865F2" w:rsidP="00541B09">
            <w:pPr>
              <w:pStyle w:val="Tablewriting"/>
            </w:pPr>
            <w:r w:rsidRPr="002865F2">
              <w:t>Clozapine, Oral liquid 50 mg per mL, 100</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08510E08" w14:textId="77777777" w:rsidR="002865F2" w:rsidRPr="002865F2" w:rsidRDefault="002865F2" w:rsidP="00541B09">
            <w:pPr>
              <w:pStyle w:val="Tablewriting"/>
            </w:pPr>
            <w:r w:rsidRPr="002865F2">
              <w:t>Clopine Suspension (HOSPIRA PTY LIMITED)</w:t>
            </w:r>
          </w:p>
        </w:tc>
      </w:tr>
      <w:tr w:rsidR="002865F2" w:rsidRPr="002865F2" w14:paraId="296A62C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1BE9C55" w14:textId="77777777" w:rsidR="002865F2" w:rsidRPr="002865F2" w:rsidRDefault="002865F2" w:rsidP="00541B09">
            <w:pPr>
              <w:pStyle w:val="Tablewriting"/>
            </w:pPr>
            <w:r w:rsidRPr="002865F2">
              <w:t>05629G</w:t>
            </w:r>
          </w:p>
        </w:tc>
        <w:tc>
          <w:tcPr>
            <w:tcW w:w="1182" w:type="dxa"/>
            <w:tcBorders>
              <w:top w:val="nil"/>
              <w:left w:val="nil"/>
              <w:bottom w:val="single" w:sz="4" w:space="0" w:color="auto"/>
              <w:right w:val="single" w:sz="4" w:space="0" w:color="auto"/>
            </w:tcBorders>
            <w:shd w:val="clear" w:color="auto" w:fill="auto"/>
            <w:hideMark/>
          </w:tcPr>
          <w:p w14:paraId="18803F80" w14:textId="77777777" w:rsidR="002865F2" w:rsidRPr="002865F2" w:rsidRDefault="002865F2" w:rsidP="00541B09">
            <w:pPr>
              <w:pStyle w:val="Tablewriting"/>
            </w:pPr>
            <w:r w:rsidRPr="002865F2">
              <w:t>01Jul2010</w:t>
            </w:r>
          </w:p>
        </w:tc>
        <w:tc>
          <w:tcPr>
            <w:tcW w:w="600" w:type="dxa"/>
            <w:tcBorders>
              <w:top w:val="nil"/>
              <w:left w:val="nil"/>
              <w:bottom w:val="single" w:sz="4" w:space="0" w:color="auto"/>
              <w:right w:val="single" w:sz="4" w:space="0" w:color="auto"/>
            </w:tcBorders>
            <w:shd w:val="clear" w:color="auto" w:fill="auto"/>
            <w:hideMark/>
          </w:tcPr>
          <w:p w14:paraId="0B10C415"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D3EFE0C"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14A4D07A"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11DEA20E" w14:textId="77777777" w:rsidR="002865F2" w:rsidRPr="002865F2" w:rsidRDefault="002865F2" w:rsidP="00541B09">
            <w:pPr>
              <w:pStyle w:val="Tablewriting"/>
            </w:pPr>
            <w:r w:rsidRPr="002865F2">
              <w:t>$242.38</w:t>
            </w:r>
          </w:p>
        </w:tc>
        <w:tc>
          <w:tcPr>
            <w:tcW w:w="3903" w:type="dxa"/>
            <w:tcBorders>
              <w:top w:val="nil"/>
              <w:left w:val="nil"/>
              <w:bottom w:val="single" w:sz="4" w:space="0" w:color="auto"/>
              <w:right w:val="single" w:sz="4" w:space="0" w:color="auto"/>
            </w:tcBorders>
            <w:shd w:val="clear" w:color="auto" w:fill="auto"/>
            <w:hideMark/>
          </w:tcPr>
          <w:p w14:paraId="24FB9C60" w14:textId="77777777" w:rsidR="002865F2" w:rsidRPr="002865F2" w:rsidRDefault="002865F2" w:rsidP="00541B09">
            <w:pPr>
              <w:pStyle w:val="Tablewriting"/>
            </w:pPr>
            <w:r w:rsidRPr="002865F2">
              <w:t>Clozapine, Tablet 100 mg</w:t>
            </w:r>
          </w:p>
        </w:tc>
        <w:tc>
          <w:tcPr>
            <w:tcW w:w="3773" w:type="dxa"/>
            <w:tcBorders>
              <w:top w:val="nil"/>
              <w:left w:val="nil"/>
              <w:bottom w:val="single" w:sz="4" w:space="0" w:color="auto"/>
              <w:right w:val="single" w:sz="4" w:space="0" w:color="auto"/>
            </w:tcBorders>
            <w:shd w:val="clear" w:color="auto" w:fill="auto"/>
            <w:hideMark/>
          </w:tcPr>
          <w:p w14:paraId="63AAC592" w14:textId="77777777" w:rsidR="002865F2" w:rsidRPr="002865F2" w:rsidRDefault="002865F2" w:rsidP="00541B09">
            <w:pPr>
              <w:pStyle w:val="Tablewriting"/>
            </w:pPr>
            <w:r w:rsidRPr="002865F2">
              <w:t>Clopine 100 (HOSPIRA PTY LIMITED)</w:t>
            </w:r>
          </w:p>
        </w:tc>
      </w:tr>
      <w:tr w:rsidR="002865F2" w:rsidRPr="002865F2" w14:paraId="2050030B"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15D60D5" w14:textId="77777777" w:rsidR="002865F2" w:rsidRPr="002865F2" w:rsidRDefault="002865F2" w:rsidP="00541B09">
            <w:pPr>
              <w:pStyle w:val="Tablewriting"/>
            </w:pPr>
            <w:r w:rsidRPr="002865F2">
              <w:t>06102E</w:t>
            </w:r>
          </w:p>
        </w:tc>
        <w:tc>
          <w:tcPr>
            <w:tcW w:w="1182" w:type="dxa"/>
            <w:tcBorders>
              <w:top w:val="nil"/>
              <w:left w:val="nil"/>
              <w:bottom w:val="single" w:sz="4" w:space="0" w:color="auto"/>
              <w:right w:val="single" w:sz="4" w:space="0" w:color="auto"/>
            </w:tcBorders>
            <w:shd w:val="clear" w:color="auto" w:fill="auto"/>
            <w:hideMark/>
          </w:tcPr>
          <w:p w14:paraId="2658D014" w14:textId="77777777" w:rsidR="002865F2" w:rsidRPr="002865F2" w:rsidRDefault="002865F2" w:rsidP="00541B09">
            <w:pPr>
              <w:pStyle w:val="Tablewriting"/>
            </w:pPr>
            <w:r w:rsidRPr="002865F2">
              <w:t>01Sep1993</w:t>
            </w:r>
          </w:p>
        </w:tc>
        <w:tc>
          <w:tcPr>
            <w:tcW w:w="600" w:type="dxa"/>
            <w:tcBorders>
              <w:top w:val="nil"/>
              <w:left w:val="nil"/>
              <w:bottom w:val="single" w:sz="4" w:space="0" w:color="auto"/>
              <w:right w:val="single" w:sz="4" w:space="0" w:color="auto"/>
            </w:tcBorders>
            <w:shd w:val="clear" w:color="auto" w:fill="auto"/>
            <w:hideMark/>
          </w:tcPr>
          <w:p w14:paraId="38335D1E"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588172D"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70EDD390"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EDA40AF" w14:textId="77777777" w:rsidR="002865F2" w:rsidRPr="002865F2" w:rsidRDefault="002865F2" w:rsidP="00541B09">
            <w:pPr>
              <w:pStyle w:val="Tablewriting"/>
            </w:pPr>
            <w:r w:rsidRPr="002865F2">
              <w:t>$276.10</w:t>
            </w:r>
          </w:p>
        </w:tc>
        <w:tc>
          <w:tcPr>
            <w:tcW w:w="3903" w:type="dxa"/>
            <w:tcBorders>
              <w:top w:val="nil"/>
              <w:left w:val="nil"/>
              <w:bottom w:val="single" w:sz="4" w:space="0" w:color="auto"/>
              <w:right w:val="single" w:sz="4" w:space="0" w:color="auto"/>
            </w:tcBorders>
            <w:shd w:val="clear" w:color="auto" w:fill="auto"/>
            <w:hideMark/>
          </w:tcPr>
          <w:p w14:paraId="45F05FB4" w14:textId="77777777" w:rsidR="002865F2" w:rsidRPr="002865F2" w:rsidRDefault="002865F2" w:rsidP="00541B09">
            <w:pPr>
              <w:pStyle w:val="Tablewriting"/>
            </w:pPr>
            <w:r w:rsidRPr="002865F2">
              <w:t>Clozapine, Tablet 100 mg</w:t>
            </w:r>
          </w:p>
        </w:tc>
        <w:tc>
          <w:tcPr>
            <w:tcW w:w="3773" w:type="dxa"/>
            <w:tcBorders>
              <w:top w:val="nil"/>
              <w:left w:val="nil"/>
              <w:bottom w:val="single" w:sz="4" w:space="0" w:color="auto"/>
              <w:right w:val="single" w:sz="4" w:space="0" w:color="auto"/>
            </w:tcBorders>
            <w:shd w:val="clear" w:color="auto" w:fill="auto"/>
            <w:hideMark/>
          </w:tcPr>
          <w:p w14:paraId="3194460C" w14:textId="77777777" w:rsidR="002865F2" w:rsidRPr="002865F2" w:rsidRDefault="002865F2" w:rsidP="00541B09">
            <w:pPr>
              <w:pStyle w:val="Tablewriting"/>
            </w:pPr>
            <w:r w:rsidRPr="002865F2">
              <w:t>Clopine 100 (HOSPIRA PTY LIMITED)</w:t>
            </w:r>
          </w:p>
        </w:tc>
      </w:tr>
      <w:tr w:rsidR="002865F2" w:rsidRPr="002865F2" w14:paraId="4EC15CEC"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89177D1" w14:textId="77777777" w:rsidR="002865F2" w:rsidRPr="002865F2" w:rsidRDefault="002865F2" w:rsidP="00541B09">
            <w:pPr>
              <w:pStyle w:val="Tablewriting"/>
            </w:pPr>
            <w:r w:rsidRPr="002865F2">
              <w:t>06463E</w:t>
            </w:r>
          </w:p>
        </w:tc>
        <w:tc>
          <w:tcPr>
            <w:tcW w:w="1182" w:type="dxa"/>
            <w:tcBorders>
              <w:top w:val="nil"/>
              <w:left w:val="nil"/>
              <w:bottom w:val="single" w:sz="4" w:space="0" w:color="auto"/>
              <w:right w:val="single" w:sz="4" w:space="0" w:color="auto"/>
            </w:tcBorders>
            <w:shd w:val="clear" w:color="auto" w:fill="auto"/>
            <w:hideMark/>
          </w:tcPr>
          <w:p w14:paraId="3FAE56F5" w14:textId="77777777" w:rsidR="002865F2" w:rsidRPr="002865F2" w:rsidRDefault="002865F2" w:rsidP="00541B09">
            <w:pPr>
              <w:pStyle w:val="Tablewriting"/>
            </w:pPr>
            <w:r w:rsidRPr="002865F2">
              <w:t>01Aug2005</w:t>
            </w:r>
          </w:p>
        </w:tc>
        <w:tc>
          <w:tcPr>
            <w:tcW w:w="600" w:type="dxa"/>
            <w:tcBorders>
              <w:top w:val="nil"/>
              <w:left w:val="nil"/>
              <w:bottom w:val="single" w:sz="4" w:space="0" w:color="auto"/>
              <w:right w:val="single" w:sz="4" w:space="0" w:color="auto"/>
            </w:tcBorders>
            <w:shd w:val="clear" w:color="auto" w:fill="auto"/>
            <w:hideMark/>
          </w:tcPr>
          <w:p w14:paraId="1E4ABA2A"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33D4A9D6"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008442A6"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CFD8DDA" w14:textId="77777777" w:rsidR="002865F2" w:rsidRPr="002865F2" w:rsidRDefault="002865F2" w:rsidP="00541B09">
            <w:pPr>
              <w:pStyle w:val="Tablewriting"/>
            </w:pPr>
            <w:r w:rsidRPr="002865F2">
              <w:t>$75.60</w:t>
            </w:r>
          </w:p>
        </w:tc>
        <w:tc>
          <w:tcPr>
            <w:tcW w:w="3903" w:type="dxa"/>
            <w:tcBorders>
              <w:top w:val="nil"/>
              <w:left w:val="nil"/>
              <w:bottom w:val="single" w:sz="4" w:space="0" w:color="auto"/>
              <w:right w:val="single" w:sz="4" w:space="0" w:color="auto"/>
            </w:tcBorders>
            <w:shd w:val="clear" w:color="auto" w:fill="auto"/>
            <w:hideMark/>
          </w:tcPr>
          <w:p w14:paraId="5637E333" w14:textId="77777777" w:rsidR="002865F2" w:rsidRPr="002865F2" w:rsidRDefault="002865F2" w:rsidP="00541B09">
            <w:pPr>
              <w:pStyle w:val="Tablewriting"/>
            </w:pPr>
            <w:r w:rsidRPr="002865F2">
              <w:t>Clozapine, Tablet 100 mg</w:t>
            </w:r>
          </w:p>
        </w:tc>
        <w:tc>
          <w:tcPr>
            <w:tcW w:w="3773" w:type="dxa"/>
            <w:tcBorders>
              <w:top w:val="nil"/>
              <w:left w:val="nil"/>
              <w:bottom w:val="single" w:sz="4" w:space="0" w:color="auto"/>
              <w:right w:val="single" w:sz="4" w:space="0" w:color="auto"/>
            </w:tcBorders>
            <w:shd w:val="clear" w:color="auto" w:fill="auto"/>
            <w:hideMark/>
          </w:tcPr>
          <w:p w14:paraId="3913FC43" w14:textId="77777777" w:rsidR="002865F2" w:rsidRPr="002865F2" w:rsidRDefault="002865F2" w:rsidP="00541B09">
            <w:pPr>
              <w:pStyle w:val="Tablewriting"/>
            </w:pPr>
            <w:r w:rsidRPr="002865F2">
              <w:t>Clozaril 100 (NOVARTIS PHARMACEUTICALS AUSTRALIA PTY LIMITED)</w:t>
            </w:r>
          </w:p>
        </w:tc>
      </w:tr>
      <w:tr w:rsidR="002865F2" w:rsidRPr="002865F2" w14:paraId="2FFF24F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B16A79E" w14:textId="77777777" w:rsidR="002865F2" w:rsidRPr="002865F2" w:rsidRDefault="002865F2" w:rsidP="00541B09">
            <w:pPr>
              <w:pStyle w:val="Tablewriting"/>
            </w:pPr>
            <w:r w:rsidRPr="002865F2">
              <w:t>10358E</w:t>
            </w:r>
          </w:p>
        </w:tc>
        <w:tc>
          <w:tcPr>
            <w:tcW w:w="1182" w:type="dxa"/>
            <w:tcBorders>
              <w:top w:val="nil"/>
              <w:left w:val="nil"/>
              <w:bottom w:val="single" w:sz="4" w:space="0" w:color="auto"/>
              <w:right w:val="single" w:sz="4" w:space="0" w:color="auto"/>
            </w:tcBorders>
            <w:shd w:val="clear" w:color="auto" w:fill="auto"/>
            <w:hideMark/>
          </w:tcPr>
          <w:p w14:paraId="5F294917" w14:textId="77777777" w:rsidR="002865F2" w:rsidRPr="002865F2" w:rsidRDefault="002865F2" w:rsidP="00541B09">
            <w:pPr>
              <w:pStyle w:val="Tablewriting"/>
            </w:pPr>
            <w:r w:rsidRPr="002865F2">
              <w:t>01Jul2015</w:t>
            </w:r>
          </w:p>
        </w:tc>
        <w:tc>
          <w:tcPr>
            <w:tcW w:w="600" w:type="dxa"/>
            <w:tcBorders>
              <w:top w:val="nil"/>
              <w:left w:val="nil"/>
              <w:bottom w:val="single" w:sz="4" w:space="0" w:color="auto"/>
              <w:right w:val="single" w:sz="4" w:space="0" w:color="auto"/>
            </w:tcBorders>
            <w:shd w:val="clear" w:color="auto" w:fill="auto"/>
            <w:hideMark/>
          </w:tcPr>
          <w:p w14:paraId="4DE5D863"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05AB306D"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136D6CA3"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7ED750A" w14:textId="77777777" w:rsidR="002865F2" w:rsidRPr="002865F2" w:rsidRDefault="002865F2" w:rsidP="00541B09">
            <w:pPr>
              <w:pStyle w:val="Tablewriting"/>
            </w:pPr>
            <w:r w:rsidRPr="002865F2">
              <w:t>$259.01</w:t>
            </w:r>
          </w:p>
        </w:tc>
        <w:tc>
          <w:tcPr>
            <w:tcW w:w="3903" w:type="dxa"/>
            <w:tcBorders>
              <w:top w:val="nil"/>
              <w:left w:val="nil"/>
              <w:bottom w:val="single" w:sz="4" w:space="0" w:color="auto"/>
              <w:right w:val="single" w:sz="4" w:space="0" w:color="auto"/>
            </w:tcBorders>
            <w:shd w:val="clear" w:color="auto" w:fill="auto"/>
            <w:hideMark/>
          </w:tcPr>
          <w:p w14:paraId="1BAFF9F2" w14:textId="77777777" w:rsidR="002865F2" w:rsidRPr="002865F2" w:rsidRDefault="002865F2" w:rsidP="00541B09">
            <w:pPr>
              <w:pStyle w:val="Tablewriting"/>
            </w:pPr>
            <w:r w:rsidRPr="002865F2">
              <w:t>Clozapine, Tablet 100 mg</w:t>
            </w:r>
          </w:p>
        </w:tc>
        <w:tc>
          <w:tcPr>
            <w:tcW w:w="3773" w:type="dxa"/>
            <w:tcBorders>
              <w:top w:val="nil"/>
              <w:left w:val="nil"/>
              <w:bottom w:val="single" w:sz="4" w:space="0" w:color="auto"/>
              <w:right w:val="single" w:sz="4" w:space="0" w:color="auto"/>
            </w:tcBorders>
            <w:shd w:val="clear" w:color="auto" w:fill="auto"/>
            <w:hideMark/>
          </w:tcPr>
          <w:p w14:paraId="49146F50" w14:textId="77777777" w:rsidR="002865F2" w:rsidRPr="002865F2" w:rsidRDefault="002865F2" w:rsidP="00541B09">
            <w:pPr>
              <w:pStyle w:val="Tablewriting"/>
            </w:pPr>
            <w:r w:rsidRPr="002865F2">
              <w:t>Clopine 100 (HOSPIRA PTY LIMITED)</w:t>
            </w:r>
          </w:p>
        </w:tc>
      </w:tr>
      <w:tr w:rsidR="002865F2" w:rsidRPr="002865F2" w14:paraId="09193B1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A399D20" w14:textId="77777777" w:rsidR="002865F2" w:rsidRPr="002865F2" w:rsidRDefault="002865F2" w:rsidP="00541B09">
            <w:pPr>
              <w:pStyle w:val="Tablewriting"/>
            </w:pPr>
            <w:r w:rsidRPr="002865F2">
              <w:t>05627E</w:t>
            </w:r>
          </w:p>
        </w:tc>
        <w:tc>
          <w:tcPr>
            <w:tcW w:w="1182" w:type="dxa"/>
            <w:tcBorders>
              <w:top w:val="nil"/>
              <w:left w:val="nil"/>
              <w:bottom w:val="single" w:sz="4" w:space="0" w:color="auto"/>
              <w:right w:val="single" w:sz="4" w:space="0" w:color="auto"/>
            </w:tcBorders>
            <w:shd w:val="clear" w:color="auto" w:fill="auto"/>
            <w:hideMark/>
          </w:tcPr>
          <w:p w14:paraId="3F4DB176" w14:textId="77777777" w:rsidR="002865F2" w:rsidRPr="002865F2" w:rsidRDefault="002865F2" w:rsidP="00541B09">
            <w:pPr>
              <w:pStyle w:val="Tablewriting"/>
            </w:pPr>
            <w:r w:rsidRPr="002865F2">
              <w:t>01Jul2010</w:t>
            </w:r>
          </w:p>
        </w:tc>
        <w:tc>
          <w:tcPr>
            <w:tcW w:w="600" w:type="dxa"/>
            <w:tcBorders>
              <w:top w:val="nil"/>
              <w:left w:val="nil"/>
              <w:bottom w:val="single" w:sz="4" w:space="0" w:color="auto"/>
              <w:right w:val="single" w:sz="4" w:space="0" w:color="auto"/>
            </w:tcBorders>
            <w:shd w:val="clear" w:color="auto" w:fill="auto"/>
            <w:hideMark/>
          </w:tcPr>
          <w:p w14:paraId="229DD7BB"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C69EEF0"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27002409"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4B73459C" w14:textId="77777777" w:rsidR="002865F2" w:rsidRPr="002865F2" w:rsidRDefault="002865F2" w:rsidP="00541B09">
            <w:pPr>
              <w:pStyle w:val="Tablewriting"/>
            </w:pPr>
            <w:r w:rsidRPr="002865F2">
              <w:t>$518.62</w:t>
            </w:r>
          </w:p>
        </w:tc>
        <w:tc>
          <w:tcPr>
            <w:tcW w:w="3903" w:type="dxa"/>
            <w:tcBorders>
              <w:top w:val="nil"/>
              <w:left w:val="nil"/>
              <w:bottom w:val="single" w:sz="4" w:space="0" w:color="auto"/>
              <w:right w:val="single" w:sz="4" w:space="0" w:color="auto"/>
            </w:tcBorders>
            <w:shd w:val="clear" w:color="auto" w:fill="auto"/>
            <w:hideMark/>
          </w:tcPr>
          <w:p w14:paraId="2042516F" w14:textId="77777777" w:rsidR="002865F2" w:rsidRPr="002865F2" w:rsidRDefault="002865F2" w:rsidP="00541B09">
            <w:pPr>
              <w:pStyle w:val="Tablewriting"/>
            </w:pPr>
            <w:r w:rsidRPr="002865F2">
              <w:t>Clozapine, Tablet 200 mg</w:t>
            </w:r>
          </w:p>
        </w:tc>
        <w:tc>
          <w:tcPr>
            <w:tcW w:w="3773" w:type="dxa"/>
            <w:tcBorders>
              <w:top w:val="nil"/>
              <w:left w:val="nil"/>
              <w:bottom w:val="single" w:sz="4" w:space="0" w:color="auto"/>
              <w:right w:val="single" w:sz="4" w:space="0" w:color="auto"/>
            </w:tcBorders>
            <w:shd w:val="clear" w:color="auto" w:fill="auto"/>
            <w:hideMark/>
          </w:tcPr>
          <w:p w14:paraId="2B3AC80C" w14:textId="77777777" w:rsidR="002865F2" w:rsidRPr="002865F2" w:rsidRDefault="002865F2" w:rsidP="00541B09">
            <w:pPr>
              <w:pStyle w:val="Tablewriting"/>
            </w:pPr>
            <w:r w:rsidRPr="002865F2">
              <w:t>Clopine 200 (HOSPIRA PTY LIMITED)</w:t>
            </w:r>
          </w:p>
        </w:tc>
      </w:tr>
      <w:tr w:rsidR="002865F2" w:rsidRPr="002865F2" w14:paraId="4B681E5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7FCCD2E" w14:textId="77777777" w:rsidR="002865F2" w:rsidRPr="002865F2" w:rsidRDefault="002865F2" w:rsidP="00541B09">
            <w:pPr>
              <w:pStyle w:val="Tablewriting"/>
            </w:pPr>
            <w:r w:rsidRPr="002865F2">
              <w:t>06418T</w:t>
            </w:r>
          </w:p>
        </w:tc>
        <w:tc>
          <w:tcPr>
            <w:tcW w:w="1182" w:type="dxa"/>
            <w:tcBorders>
              <w:top w:val="nil"/>
              <w:left w:val="nil"/>
              <w:bottom w:val="single" w:sz="4" w:space="0" w:color="auto"/>
              <w:right w:val="single" w:sz="4" w:space="0" w:color="auto"/>
            </w:tcBorders>
            <w:shd w:val="clear" w:color="auto" w:fill="auto"/>
            <w:hideMark/>
          </w:tcPr>
          <w:p w14:paraId="28581FCD" w14:textId="77777777" w:rsidR="002865F2" w:rsidRPr="002865F2" w:rsidRDefault="002865F2" w:rsidP="00541B09">
            <w:pPr>
              <w:pStyle w:val="Tablewriting"/>
            </w:pPr>
            <w:r w:rsidRPr="002865F2">
              <w:t>01Feb2004</w:t>
            </w:r>
          </w:p>
        </w:tc>
        <w:tc>
          <w:tcPr>
            <w:tcW w:w="600" w:type="dxa"/>
            <w:tcBorders>
              <w:top w:val="nil"/>
              <w:left w:val="nil"/>
              <w:bottom w:val="single" w:sz="4" w:space="0" w:color="auto"/>
              <w:right w:val="single" w:sz="4" w:space="0" w:color="auto"/>
            </w:tcBorders>
            <w:shd w:val="clear" w:color="auto" w:fill="auto"/>
            <w:hideMark/>
          </w:tcPr>
          <w:p w14:paraId="57C8B6E4"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4A1D243E"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5B042913"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49A8B3D7" w14:textId="77777777" w:rsidR="002865F2" w:rsidRPr="002865F2" w:rsidRDefault="002865F2" w:rsidP="00541B09">
            <w:pPr>
              <w:pStyle w:val="Tablewriting"/>
            </w:pPr>
            <w:r w:rsidRPr="002865F2">
              <w:t>$702.21</w:t>
            </w:r>
          </w:p>
        </w:tc>
        <w:tc>
          <w:tcPr>
            <w:tcW w:w="3903" w:type="dxa"/>
            <w:tcBorders>
              <w:top w:val="nil"/>
              <w:left w:val="nil"/>
              <w:bottom w:val="single" w:sz="4" w:space="0" w:color="auto"/>
              <w:right w:val="single" w:sz="4" w:space="0" w:color="auto"/>
            </w:tcBorders>
            <w:shd w:val="clear" w:color="auto" w:fill="auto"/>
            <w:hideMark/>
          </w:tcPr>
          <w:p w14:paraId="68081532" w14:textId="77777777" w:rsidR="002865F2" w:rsidRPr="002865F2" w:rsidRDefault="002865F2" w:rsidP="00541B09">
            <w:pPr>
              <w:pStyle w:val="Tablewriting"/>
            </w:pPr>
            <w:r w:rsidRPr="002865F2">
              <w:t>Clozapine, Tablet 200 mg</w:t>
            </w:r>
          </w:p>
        </w:tc>
        <w:tc>
          <w:tcPr>
            <w:tcW w:w="3773" w:type="dxa"/>
            <w:tcBorders>
              <w:top w:val="nil"/>
              <w:left w:val="nil"/>
              <w:bottom w:val="single" w:sz="4" w:space="0" w:color="auto"/>
              <w:right w:val="single" w:sz="4" w:space="0" w:color="auto"/>
            </w:tcBorders>
            <w:shd w:val="clear" w:color="auto" w:fill="auto"/>
            <w:hideMark/>
          </w:tcPr>
          <w:p w14:paraId="1922140E" w14:textId="77777777" w:rsidR="002865F2" w:rsidRPr="002865F2" w:rsidRDefault="002865F2" w:rsidP="00541B09">
            <w:pPr>
              <w:pStyle w:val="Tablewriting"/>
            </w:pPr>
            <w:r w:rsidRPr="002865F2">
              <w:t>Clopine 200 (HOSPIRA PTY LIMITED)</w:t>
            </w:r>
          </w:p>
        </w:tc>
      </w:tr>
      <w:tr w:rsidR="002865F2" w:rsidRPr="002865F2" w14:paraId="3D068290"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4611E2F" w14:textId="77777777" w:rsidR="002865F2" w:rsidRPr="002865F2" w:rsidRDefault="002865F2" w:rsidP="00541B09">
            <w:pPr>
              <w:pStyle w:val="Tablewriting"/>
            </w:pPr>
            <w:r w:rsidRPr="002865F2">
              <w:t>10288L</w:t>
            </w:r>
          </w:p>
        </w:tc>
        <w:tc>
          <w:tcPr>
            <w:tcW w:w="1182" w:type="dxa"/>
            <w:tcBorders>
              <w:top w:val="nil"/>
              <w:left w:val="nil"/>
              <w:bottom w:val="single" w:sz="4" w:space="0" w:color="auto"/>
              <w:right w:val="single" w:sz="4" w:space="0" w:color="auto"/>
            </w:tcBorders>
            <w:shd w:val="clear" w:color="auto" w:fill="auto"/>
            <w:hideMark/>
          </w:tcPr>
          <w:p w14:paraId="4CCFF9D1" w14:textId="77777777" w:rsidR="002865F2" w:rsidRPr="002865F2" w:rsidRDefault="002865F2" w:rsidP="00541B09">
            <w:pPr>
              <w:pStyle w:val="Tablewriting"/>
            </w:pPr>
            <w:r w:rsidRPr="002865F2">
              <w:t>01Jul2015</w:t>
            </w:r>
          </w:p>
        </w:tc>
        <w:tc>
          <w:tcPr>
            <w:tcW w:w="600" w:type="dxa"/>
            <w:tcBorders>
              <w:top w:val="nil"/>
              <w:left w:val="nil"/>
              <w:bottom w:val="single" w:sz="4" w:space="0" w:color="auto"/>
              <w:right w:val="single" w:sz="4" w:space="0" w:color="auto"/>
            </w:tcBorders>
            <w:shd w:val="clear" w:color="auto" w:fill="auto"/>
            <w:hideMark/>
          </w:tcPr>
          <w:p w14:paraId="61AFB3CB"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C917007"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62838AFE"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B7812EE" w14:textId="77777777" w:rsidR="002865F2" w:rsidRPr="002865F2" w:rsidRDefault="002865F2" w:rsidP="00541B09">
            <w:pPr>
              <w:pStyle w:val="Tablewriting"/>
            </w:pPr>
            <w:r w:rsidRPr="002865F2">
              <w:t>$511.09</w:t>
            </w:r>
          </w:p>
        </w:tc>
        <w:tc>
          <w:tcPr>
            <w:tcW w:w="3903" w:type="dxa"/>
            <w:tcBorders>
              <w:top w:val="nil"/>
              <w:left w:val="nil"/>
              <w:bottom w:val="single" w:sz="4" w:space="0" w:color="auto"/>
              <w:right w:val="single" w:sz="4" w:space="0" w:color="auto"/>
            </w:tcBorders>
            <w:shd w:val="clear" w:color="auto" w:fill="auto"/>
            <w:hideMark/>
          </w:tcPr>
          <w:p w14:paraId="787B1A6F" w14:textId="77777777" w:rsidR="002865F2" w:rsidRPr="002865F2" w:rsidRDefault="002865F2" w:rsidP="00541B09">
            <w:pPr>
              <w:pStyle w:val="Tablewriting"/>
            </w:pPr>
            <w:r w:rsidRPr="002865F2">
              <w:t>Clozapine, Tablet 200 mg</w:t>
            </w:r>
          </w:p>
        </w:tc>
        <w:tc>
          <w:tcPr>
            <w:tcW w:w="3773" w:type="dxa"/>
            <w:tcBorders>
              <w:top w:val="nil"/>
              <w:left w:val="nil"/>
              <w:bottom w:val="single" w:sz="4" w:space="0" w:color="auto"/>
              <w:right w:val="single" w:sz="4" w:space="0" w:color="auto"/>
            </w:tcBorders>
            <w:shd w:val="clear" w:color="auto" w:fill="auto"/>
            <w:hideMark/>
          </w:tcPr>
          <w:p w14:paraId="25B21CC5" w14:textId="77777777" w:rsidR="002865F2" w:rsidRPr="002865F2" w:rsidRDefault="002865F2" w:rsidP="00541B09">
            <w:pPr>
              <w:pStyle w:val="Tablewriting"/>
            </w:pPr>
            <w:r w:rsidRPr="002865F2">
              <w:t>Clopine 200 (HOSPIRA PTY LIMITED)</w:t>
            </w:r>
          </w:p>
        </w:tc>
      </w:tr>
      <w:tr w:rsidR="002865F2" w:rsidRPr="002865F2" w14:paraId="7784503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DCBB5B7" w14:textId="77777777" w:rsidR="002865F2" w:rsidRPr="002865F2" w:rsidRDefault="002865F2" w:rsidP="00541B09">
            <w:pPr>
              <w:pStyle w:val="Tablewriting"/>
            </w:pPr>
            <w:r w:rsidRPr="002865F2">
              <w:t>05628F</w:t>
            </w:r>
          </w:p>
        </w:tc>
        <w:tc>
          <w:tcPr>
            <w:tcW w:w="1182" w:type="dxa"/>
            <w:tcBorders>
              <w:top w:val="nil"/>
              <w:left w:val="nil"/>
              <w:bottom w:val="single" w:sz="4" w:space="0" w:color="auto"/>
              <w:right w:val="single" w:sz="4" w:space="0" w:color="auto"/>
            </w:tcBorders>
            <w:shd w:val="clear" w:color="auto" w:fill="auto"/>
            <w:hideMark/>
          </w:tcPr>
          <w:p w14:paraId="4B06FA6E" w14:textId="77777777" w:rsidR="002865F2" w:rsidRPr="002865F2" w:rsidRDefault="002865F2" w:rsidP="00541B09">
            <w:pPr>
              <w:pStyle w:val="Tablewriting"/>
            </w:pPr>
            <w:r w:rsidRPr="002865F2">
              <w:t>01Jul2010</w:t>
            </w:r>
          </w:p>
        </w:tc>
        <w:tc>
          <w:tcPr>
            <w:tcW w:w="600" w:type="dxa"/>
            <w:tcBorders>
              <w:top w:val="nil"/>
              <w:left w:val="nil"/>
              <w:bottom w:val="single" w:sz="4" w:space="0" w:color="auto"/>
              <w:right w:val="single" w:sz="4" w:space="0" w:color="auto"/>
            </w:tcBorders>
            <w:shd w:val="clear" w:color="auto" w:fill="auto"/>
            <w:hideMark/>
          </w:tcPr>
          <w:p w14:paraId="65C23CB4"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679FB10F"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74588D53"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0432932E" w14:textId="77777777" w:rsidR="002865F2" w:rsidRPr="002865F2" w:rsidRDefault="002865F2" w:rsidP="00541B09">
            <w:pPr>
              <w:pStyle w:val="Tablewriting"/>
            </w:pPr>
            <w:r w:rsidRPr="002865F2">
              <w:t>$64.64</w:t>
            </w:r>
          </w:p>
        </w:tc>
        <w:tc>
          <w:tcPr>
            <w:tcW w:w="3903" w:type="dxa"/>
            <w:tcBorders>
              <w:top w:val="nil"/>
              <w:left w:val="nil"/>
              <w:bottom w:val="single" w:sz="4" w:space="0" w:color="auto"/>
              <w:right w:val="single" w:sz="4" w:space="0" w:color="auto"/>
            </w:tcBorders>
            <w:shd w:val="clear" w:color="auto" w:fill="auto"/>
            <w:hideMark/>
          </w:tcPr>
          <w:p w14:paraId="23450017" w14:textId="77777777" w:rsidR="002865F2" w:rsidRPr="002865F2" w:rsidRDefault="002865F2" w:rsidP="00541B09">
            <w:pPr>
              <w:pStyle w:val="Tablewriting"/>
            </w:pPr>
            <w:r w:rsidRPr="002865F2">
              <w:t>Clozapine, Tablet 25 mg</w:t>
            </w:r>
          </w:p>
        </w:tc>
        <w:tc>
          <w:tcPr>
            <w:tcW w:w="3773" w:type="dxa"/>
            <w:tcBorders>
              <w:top w:val="nil"/>
              <w:left w:val="nil"/>
              <w:bottom w:val="single" w:sz="4" w:space="0" w:color="auto"/>
              <w:right w:val="single" w:sz="4" w:space="0" w:color="auto"/>
            </w:tcBorders>
            <w:shd w:val="clear" w:color="auto" w:fill="auto"/>
            <w:hideMark/>
          </w:tcPr>
          <w:p w14:paraId="2921248F" w14:textId="77777777" w:rsidR="002865F2" w:rsidRPr="002865F2" w:rsidRDefault="002865F2" w:rsidP="00541B09">
            <w:pPr>
              <w:pStyle w:val="Tablewriting"/>
            </w:pPr>
            <w:r w:rsidRPr="002865F2">
              <w:t>Clopine 25 (HOSPIRA PTY LIMITED)</w:t>
            </w:r>
          </w:p>
        </w:tc>
      </w:tr>
      <w:tr w:rsidR="002865F2" w:rsidRPr="002865F2" w14:paraId="5134151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A0779F9" w14:textId="77777777" w:rsidR="002865F2" w:rsidRPr="002865F2" w:rsidRDefault="002865F2" w:rsidP="00541B09">
            <w:pPr>
              <w:pStyle w:val="Tablewriting"/>
            </w:pPr>
            <w:r w:rsidRPr="002865F2">
              <w:t>06101D</w:t>
            </w:r>
          </w:p>
        </w:tc>
        <w:tc>
          <w:tcPr>
            <w:tcW w:w="1182" w:type="dxa"/>
            <w:tcBorders>
              <w:top w:val="nil"/>
              <w:left w:val="nil"/>
              <w:bottom w:val="single" w:sz="4" w:space="0" w:color="auto"/>
              <w:right w:val="single" w:sz="4" w:space="0" w:color="auto"/>
            </w:tcBorders>
            <w:shd w:val="clear" w:color="auto" w:fill="auto"/>
            <w:hideMark/>
          </w:tcPr>
          <w:p w14:paraId="7BDF0D4F" w14:textId="77777777" w:rsidR="002865F2" w:rsidRPr="002865F2" w:rsidRDefault="002865F2" w:rsidP="00541B09">
            <w:pPr>
              <w:pStyle w:val="Tablewriting"/>
            </w:pPr>
            <w:r w:rsidRPr="002865F2">
              <w:t>01Sep1993</w:t>
            </w:r>
          </w:p>
        </w:tc>
        <w:tc>
          <w:tcPr>
            <w:tcW w:w="600" w:type="dxa"/>
            <w:tcBorders>
              <w:top w:val="nil"/>
              <w:left w:val="nil"/>
              <w:bottom w:val="single" w:sz="4" w:space="0" w:color="auto"/>
              <w:right w:val="single" w:sz="4" w:space="0" w:color="auto"/>
            </w:tcBorders>
            <w:shd w:val="clear" w:color="auto" w:fill="auto"/>
            <w:hideMark/>
          </w:tcPr>
          <w:p w14:paraId="370E9752"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45CFF5C9"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5615076B"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7FCA872F" w14:textId="77777777" w:rsidR="002865F2" w:rsidRPr="002865F2" w:rsidRDefault="002865F2" w:rsidP="00541B09">
            <w:pPr>
              <w:pStyle w:val="Tablewriting"/>
            </w:pPr>
            <w:r w:rsidRPr="002865F2">
              <w:t>$85.88</w:t>
            </w:r>
          </w:p>
        </w:tc>
        <w:tc>
          <w:tcPr>
            <w:tcW w:w="3903" w:type="dxa"/>
            <w:tcBorders>
              <w:top w:val="nil"/>
              <w:left w:val="nil"/>
              <w:bottom w:val="single" w:sz="4" w:space="0" w:color="auto"/>
              <w:right w:val="single" w:sz="4" w:space="0" w:color="auto"/>
            </w:tcBorders>
            <w:shd w:val="clear" w:color="auto" w:fill="auto"/>
            <w:hideMark/>
          </w:tcPr>
          <w:p w14:paraId="17B104D2" w14:textId="77777777" w:rsidR="002865F2" w:rsidRPr="002865F2" w:rsidRDefault="002865F2" w:rsidP="00541B09">
            <w:pPr>
              <w:pStyle w:val="Tablewriting"/>
            </w:pPr>
            <w:r w:rsidRPr="002865F2">
              <w:t>Clozapine, Tablet 25 mg</w:t>
            </w:r>
          </w:p>
        </w:tc>
        <w:tc>
          <w:tcPr>
            <w:tcW w:w="3773" w:type="dxa"/>
            <w:tcBorders>
              <w:top w:val="nil"/>
              <w:left w:val="nil"/>
              <w:bottom w:val="single" w:sz="4" w:space="0" w:color="auto"/>
              <w:right w:val="single" w:sz="4" w:space="0" w:color="auto"/>
            </w:tcBorders>
            <w:shd w:val="clear" w:color="auto" w:fill="auto"/>
            <w:hideMark/>
          </w:tcPr>
          <w:p w14:paraId="7D12B198" w14:textId="77777777" w:rsidR="002865F2" w:rsidRPr="002865F2" w:rsidRDefault="002865F2" w:rsidP="00541B09">
            <w:pPr>
              <w:pStyle w:val="Tablewriting"/>
            </w:pPr>
            <w:r w:rsidRPr="002865F2">
              <w:t>Clopine 25 (HOSPIRA PTY LIMITED)</w:t>
            </w:r>
          </w:p>
        </w:tc>
      </w:tr>
      <w:tr w:rsidR="002865F2" w:rsidRPr="002865F2" w14:paraId="4456EDE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61A23BE" w14:textId="77777777" w:rsidR="002865F2" w:rsidRPr="002865F2" w:rsidRDefault="002865F2" w:rsidP="00541B09">
            <w:pPr>
              <w:pStyle w:val="Tablewriting"/>
            </w:pPr>
            <w:r w:rsidRPr="002865F2">
              <w:lastRenderedPageBreak/>
              <w:t>06462D</w:t>
            </w:r>
          </w:p>
        </w:tc>
        <w:tc>
          <w:tcPr>
            <w:tcW w:w="1182" w:type="dxa"/>
            <w:tcBorders>
              <w:top w:val="nil"/>
              <w:left w:val="nil"/>
              <w:bottom w:val="single" w:sz="4" w:space="0" w:color="auto"/>
              <w:right w:val="single" w:sz="4" w:space="0" w:color="auto"/>
            </w:tcBorders>
            <w:shd w:val="clear" w:color="auto" w:fill="auto"/>
            <w:hideMark/>
          </w:tcPr>
          <w:p w14:paraId="43DA0AB0" w14:textId="77777777" w:rsidR="002865F2" w:rsidRPr="002865F2" w:rsidRDefault="002865F2" w:rsidP="00541B09">
            <w:pPr>
              <w:pStyle w:val="Tablewriting"/>
            </w:pPr>
            <w:r w:rsidRPr="002865F2">
              <w:t>01Aug2005</w:t>
            </w:r>
          </w:p>
        </w:tc>
        <w:tc>
          <w:tcPr>
            <w:tcW w:w="600" w:type="dxa"/>
            <w:tcBorders>
              <w:top w:val="nil"/>
              <w:left w:val="nil"/>
              <w:bottom w:val="single" w:sz="4" w:space="0" w:color="auto"/>
              <w:right w:val="single" w:sz="4" w:space="0" w:color="auto"/>
            </w:tcBorders>
            <w:shd w:val="clear" w:color="auto" w:fill="auto"/>
            <w:hideMark/>
          </w:tcPr>
          <w:p w14:paraId="1ED8D389"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F380130"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2928726"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A578841" w14:textId="77777777" w:rsidR="002865F2" w:rsidRPr="002865F2" w:rsidRDefault="002865F2" w:rsidP="00541B09">
            <w:pPr>
              <w:pStyle w:val="Tablewriting"/>
            </w:pPr>
            <w:r w:rsidRPr="002865F2">
              <w:t>$20.16</w:t>
            </w:r>
          </w:p>
        </w:tc>
        <w:tc>
          <w:tcPr>
            <w:tcW w:w="3903" w:type="dxa"/>
            <w:tcBorders>
              <w:top w:val="nil"/>
              <w:left w:val="nil"/>
              <w:bottom w:val="single" w:sz="4" w:space="0" w:color="auto"/>
              <w:right w:val="single" w:sz="4" w:space="0" w:color="auto"/>
            </w:tcBorders>
            <w:shd w:val="clear" w:color="auto" w:fill="auto"/>
            <w:hideMark/>
          </w:tcPr>
          <w:p w14:paraId="3B132272" w14:textId="77777777" w:rsidR="002865F2" w:rsidRPr="002865F2" w:rsidRDefault="002865F2" w:rsidP="00541B09">
            <w:pPr>
              <w:pStyle w:val="Tablewriting"/>
            </w:pPr>
            <w:r w:rsidRPr="002865F2">
              <w:t>Clozapine, Tablet 25 mg</w:t>
            </w:r>
          </w:p>
        </w:tc>
        <w:tc>
          <w:tcPr>
            <w:tcW w:w="3773" w:type="dxa"/>
            <w:tcBorders>
              <w:top w:val="nil"/>
              <w:left w:val="nil"/>
              <w:bottom w:val="single" w:sz="4" w:space="0" w:color="auto"/>
              <w:right w:val="single" w:sz="4" w:space="0" w:color="auto"/>
            </w:tcBorders>
            <w:shd w:val="clear" w:color="auto" w:fill="auto"/>
            <w:hideMark/>
          </w:tcPr>
          <w:p w14:paraId="681D3A6A" w14:textId="77777777" w:rsidR="002865F2" w:rsidRPr="002865F2" w:rsidRDefault="002865F2" w:rsidP="00541B09">
            <w:pPr>
              <w:pStyle w:val="Tablewriting"/>
            </w:pPr>
            <w:r w:rsidRPr="002865F2">
              <w:t>Clozaril 25 (NOVARTIS PHARMACEUTICALS AUSTRALIA PTY LIMITED)</w:t>
            </w:r>
          </w:p>
        </w:tc>
      </w:tr>
      <w:tr w:rsidR="002865F2" w:rsidRPr="002865F2" w14:paraId="0110324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5F1278F" w14:textId="77777777" w:rsidR="002865F2" w:rsidRPr="002865F2" w:rsidRDefault="002865F2" w:rsidP="00541B09">
            <w:pPr>
              <w:pStyle w:val="Tablewriting"/>
            </w:pPr>
            <w:r w:rsidRPr="002865F2">
              <w:t>10289M</w:t>
            </w:r>
          </w:p>
        </w:tc>
        <w:tc>
          <w:tcPr>
            <w:tcW w:w="1182" w:type="dxa"/>
            <w:tcBorders>
              <w:top w:val="nil"/>
              <w:left w:val="nil"/>
              <w:bottom w:val="single" w:sz="4" w:space="0" w:color="auto"/>
              <w:right w:val="single" w:sz="4" w:space="0" w:color="auto"/>
            </w:tcBorders>
            <w:shd w:val="clear" w:color="auto" w:fill="auto"/>
            <w:hideMark/>
          </w:tcPr>
          <w:p w14:paraId="1F8769B9" w14:textId="77777777" w:rsidR="002865F2" w:rsidRPr="002865F2" w:rsidRDefault="002865F2" w:rsidP="00541B09">
            <w:pPr>
              <w:pStyle w:val="Tablewriting"/>
            </w:pPr>
            <w:r w:rsidRPr="002865F2">
              <w:t>01Jul2015</w:t>
            </w:r>
          </w:p>
        </w:tc>
        <w:tc>
          <w:tcPr>
            <w:tcW w:w="600" w:type="dxa"/>
            <w:tcBorders>
              <w:top w:val="nil"/>
              <w:left w:val="nil"/>
              <w:bottom w:val="single" w:sz="4" w:space="0" w:color="auto"/>
              <w:right w:val="single" w:sz="4" w:space="0" w:color="auto"/>
            </w:tcBorders>
            <w:shd w:val="clear" w:color="auto" w:fill="auto"/>
            <w:hideMark/>
          </w:tcPr>
          <w:p w14:paraId="28EFB0B4"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0E5AC2B5"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4AEC6103"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9527FF6" w14:textId="77777777" w:rsidR="002865F2" w:rsidRPr="002865F2" w:rsidRDefault="002865F2" w:rsidP="00541B09">
            <w:pPr>
              <w:pStyle w:val="Tablewriting"/>
            </w:pPr>
            <w:r w:rsidRPr="002865F2">
              <w:t>$75.57</w:t>
            </w:r>
          </w:p>
        </w:tc>
        <w:tc>
          <w:tcPr>
            <w:tcW w:w="3903" w:type="dxa"/>
            <w:tcBorders>
              <w:top w:val="nil"/>
              <w:left w:val="nil"/>
              <w:bottom w:val="single" w:sz="4" w:space="0" w:color="auto"/>
              <w:right w:val="single" w:sz="4" w:space="0" w:color="auto"/>
            </w:tcBorders>
            <w:shd w:val="clear" w:color="auto" w:fill="auto"/>
            <w:hideMark/>
          </w:tcPr>
          <w:p w14:paraId="1D03F256" w14:textId="77777777" w:rsidR="002865F2" w:rsidRPr="002865F2" w:rsidRDefault="002865F2" w:rsidP="00541B09">
            <w:pPr>
              <w:pStyle w:val="Tablewriting"/>
            </w:pPr>
            <w:r w:rsidRPr="002865F2">
              <w:t>Clozapine, Tablet 25 mg</w:t>
            </w:r>
          </w:p>
        </w:tc>
        <w:tc>
          <w:tcPr>
            <w:tcW w:w="3773" w:type="dxa"/>
            <w:tcBorders>
              <w:top w:val="nil"/>
              <w:left w:val="nil"/>
              <w:bottom w:val="single" w:sz="4" w:space="0" w:color="auto"/>
              <w:right w:val="single" w:sz="4" w:space="0" w:color="auto"/>
            </w:tcBorders>
            <w:shd w:val="clear" w:color="auto" w:fill="auto"/>
            <w:hideMark/>
          </w:tcPr>
          <w:p w14:paraId="3B748B49" w14:textId="77777777" w:rsidR="002865F2" w:rsidRPr="002865F2" w:rsidRDefault="002865F2" w:rsidP="00541B09">
            <w:pPr>
              <w:pStyle w:val="Tablewriting"/>
            </w:pPr>
            <w:r w:rsidRPr="002865F2">
              <w:t>Clopine 25 (HOSPIRA PTY LIMITED)</w:t>
            </w:r>
          </w:p>
        </w:tc>
      </w:tr>
      <w:tr w:rsidR="002865F2" w:rsidRPr="002865F2" w14:paraId="71899BC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565C7ED" w14:textId="77777777" w:rsidR="002865F2" w:rsidRPr="002865F2" w:rsidRDefault="002865F2" w:rsidP="00541B09">
            <w:pPr>
              <w:pStyle w:val="Tablewriting"/>
            </w:pPr>
            <w:r w:rsidRPr="002865F2">
              <w:t>05626D</w:t>
            </w:r>
          </w:p>
        </w:tc>
        <w:tc>
          <w:tcPr>
            <w:tcW w:w="1182" w:type="dxa"/>
            <w:tcBorders>
              <w:top w:val="nil"/>
              <w:left w:val="nil"/>
              <w:bottom w:val="single" w:sz="4" w:space="0" w:color="auto"/>
              <w:right w:val="single" w:sz="4" w:space="0" w:color="auto"/>
            </w:tcBorders>
            <w:shd w:val="clear" w:color="auto" w:fill="auto"/>
            <w:hideMark/>
          </w:tcPr>
          <w:p w14:paraId="0CB3ABCA" w14:textId="77777777" w:rsidR="002865F2" w:rsidRPr="002865F2" w:rsidRDefault="002865F2" w:rsidP="00541B09">
            <w:pPr>
              <w:pStyle w:val="Tablewriting"/>
            </w:pPr>
            <w:r w:rsidRPr="002865F2">
              <w:t>01Jul2010</w:t>
            </w:r>
          </w:p>
        </w:tc>
        <w:tc>
          <w:tcPr>
            <w:tcW w:w="600" w:type="dxa"/>
            <w:tcBorders>
              <w:top w:val="nil"/>
              <w:left w:val="nil"/>
              <w:bottom w:val="single" w:sz="4" w:space="0" w:color="auto"/>
              <w:right w:val="single" w:sz="4" w:space="0" w:color="auto"/>
            </w:tcBorders>
            <w:shd w:val="clear" w:color="auto" w:fill="auto"/>
            <w:hideMark/>
          </w:tcPr>
          <w:p w14:paraId="63D21768"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0DD8E560"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54E43943"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5275B1AE" w14:textId="77777777" w:rsidR="002865F2" w:rsidRPr="002865F2" w:rsidRDefault="002865F2" w:rsidP="00541B09">
            <w:pPr>
              <w:pStyle w:val="Tablewriting"/>
            </w:pPr>
            <w:r w:rsidRPr="002865F2">
              <w:t>$129.28</w:t>
            </w:r>
          </w:p>
        </w:tc>
        <w:tc>
          <w:tcPr>
            <w:tcW w:w="3903" w:type="dxa"/>
            <w:tcBorders>
              <w:top w:val="nil"/>
              <w:left w:val="nil"/>
              <w:bottom w:val="single" w:sz="4" w:space="0" w:color="auto"/>
              <w:right w:val="single" w:sz="4" w:space="0" w:color="auto"/>
            </w:tcBorders>
            <w:shd w:val="clear" w:color="auto" w:fill="auto"/>
            <w:hideMark/>
          </w:tcPr>
          <w:p w14:paraId="082E4119" w14:textId="77777777" w:rsidR="002865F2" w:rsidRPr="002865F2" w:rsidRDefault="002865F2" w:rsidP="00541B09">
            <w:pPr>
              <w:pStyle w:val="Tablewriting"/>
            </w:pPr>
            <w:r w:rsidRPr="002865F2">
              <w:t>Clozapine, Tablet 50 mg</w:t>
            </w:r>
          </w:p>
        </w:tc>
        <w:tc>
          <w:tcPr>
            <w:tcW w:w="3773" w:type="dxa"/>
            <w:tcBorders>
              <w:top w:val="nil"/>
              <w:left w:val="nil"/>
              <w:bottom w:val="single" w:sz="4" w:space="0" w:color="auto"/>
              <w:right w:val="single" w:sz="4" w:space="0" w:color="auto"/>
            </w:tcBorders>
            <w:shd w:val="clear" w:color="auto" w:fill="auto"/>
            <w:hideMark/>
          </w:tcPr>
          <w:p w14:paraId="71840A3C" w14:textId="77777777" w:rsidR="002865F2" w:rsidRPr="002865F2" w:rsidRDefault="002865F2" w:rsidP="00541B09">
            <w:pPr>
              <w:pStyle w:val="Tablewriting"/>
            </w:pPr>
            <w:r w:rsidRPr="002865F2">
              <w:t>Clopine 50 (HOSPIRA PTY LIMITED)</w:t>
            </w:r>
          </w:p>
        </w:tc>
      </w:tr>
      <w:tr w:rsidR="002865F2" w:rsidRPr="002865F2" w14:paraId="2EEFB6AA"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72AF8FD" w14:textId="77777777" w:rsidR="002865F2" w:rsidRPr="002865F2" w:rsidRDefault="002865F2" w:rsidP="00541B09">
            <w:pPr>
              <w:pStyle w:val="Tablewriting"/>
            </w:pPr>
            <w:r w:rsidRPr="002865F2">
              <w:t>06417R</w:t>
            </w:r>
          </w:p>
        </w:tc>
        <w:tc>
          <w:tcPr>
            <w:tcW w:w="1182" w:type="dxa"/>
            <w:tcBorders>
              <w:top w:val="nil"/>
              <w:left w:val="nil"/>
              <w:bottom w:val="single" w:sz="4" w:space="0" w:color="auto"/>
              <w:right w:val="single" w:sz="4" w:space="0" w:color="auto"/>
            </w:tcBorders>
            <w:shd w:val="clear" w:color="auto" w:fill="auto"/>
            <w:hideMark/>
          </w:tcPr>
          <w:p w14:paraId="569EE2F1" w14:textId="77777777" w:rsidR="002865F2" w:rsidRPr="002865F2" w:rsidRDefault="002865F2" w:rsidP="00541B09">
            <w:pPr>
              <w:pStyle w:val="Tablewriting"/>
            </w:pPr>
            <w:r w:rsidRPr="002865F2">
              <w:t>01Feb2004</w:t>
            </w:r>
          </w:p>
        </w:tc>
        <w:tc>
          <w:tcPr>
            <w:tcW w:w="600" w:type="dxa"/>
            <w:tcBorders>
              <w:top w:val="nil"/>
              <w:left w:val="nil"/>
              <w:bottom w:val="single" w:sz="4" w:space="0" w:color="auto"/>
              <w:right w:val="single" w:sz="4" w:space="0" w:color="auto"/>
            </w:tcBorders>
            <w:shd w:val="clear" w:color="auto" w:fill="auto"/>
            <w:hideMark/>
          </w:tcPr>
          <w:p w14:paraId="28751A02"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F738C21"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7ED399D0"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16C0B9E0" w14:textId="77777777" w:rsidR="002865F2" w:rsidRPr="002865F2" w:rsidRDefault="002865F2" w:rsidP="00541B09">
            <w:pPr>
              <w:pStyle w:val="Tablewriting"/>
            </w:pPr>
            <w:r w:rsidRPr="002865F2">
              <w:t>$141.22</w:t>
            </w:r>
          </w:p>
        </w:tc>
        <w:tc>
          <w:tcPr>
            <w:tcW w:w="3903" w:type="dxa"/>
            <w:tcBorders>
              <w:top w:val="nil"/>
              <w:left w:val="nil"/>
              <w:bottom w:val="single" w:sz="4" w:space="0" w:color="auto"/>
              <w:right w:val="single" w:sz="4" w:space="0" w:color="auto"/>
            </w:tcBorders>
            <w:shd w:val="clear" w:color="auto" w:fill="auto"/>
            <w:hideMark/>
          </w:tcPr>
          <w:p w14:paraId="7AA77CD8" w14:textId="77777777" w:rsidR="002865F2" w:rsidRPr="002865F2" w:rsidRDefault="002865F2" w:rsidP="00541B09">
            <w:pPr>
              <w:pStyle w:val="Tablewriting"/>
            </w:pPr>
            <w:r w:rsidRPr="002865F2">
              <w:t>Clozapine, Tablet 50 mg</w:t>
            </w:r>
          </w:p>
        </w:tc>
        <w:tc>
          <w:tcPr>
            <w:tcW w:w="3773" w:type="dxa"/>
            <w:tcBorders>
              <w:top w:val="nil"/>
              <w:left w:val="nil"/>
              <w:bottom w:val="single" w:sz="4" w:space="0" w:color="auto"/>
              <w:right w:val="single" w:sz="4" w:space="0" w:color="auto"/>
            </w:tcBorders>
            <w:shd w:val="clear" w:color="auto" w:fill="auto"/>
            <w:hideMark/>
          </w:tcPr>
          <w:p w14:paraId="066D6CB3" w14:textId="77777777" w:rsidR="002865F2" w:rsidRPr="002865F2" w:rsidRDefault="002865F2" w:rsidP="00541B09">
            <w:pPr>
              <w:pStyle w:val="Tablewriting"/>
            </w:pPr>
            <w:r w:rsidRPr="002865F2">
              <w:t>Clopine 50 (HOSPIRA PTY LIMITED)</w:t>
            </w:r>
          </w:p>
        </w:tc>
      </w:tr>
      <w:tr w:rsidR="002865F2" w:rsidRPr="002865F2" w14:paraId="484FB28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D3F74F8" w14:textId="77777777" w:rsidR="002865F2" w:rsidRPr="002865F2" w:rsidRDefault="002865F2" w:rsidP="00541B09">
            <w:pPr>
              <w:pStyle w:val="Tablewriting"/>
            </w:pPr>
            <w:r w:rsidRPr="002865F2">
              <w:t>10302F</w:t>
            </w:r>
          </w:p>
        </w:tc>
        <w:tc>
          <w:tcPr>
            <w:tcW w:w="1182" w:type="dxa"/>
            <w:tcBorders>
              <w:top w:val="nil"/>
              <w:left w:val="nil"/>
              <w:bottom w:val="single" w:sz="4" w:space="0" w:color="auto"/>
              <w:right w:val="single" w:sz="4" w:space="0" w:color="auto"/>
            </w:tcBorders>
            <w:shd w:val="clear" w:color="auto" w:fill="auto"/>
            <w:hideMark/>
          </w:tcPr>
          <w:p w14:paraId="4677266F" w14:textId="77777777" w:rsidR="002865F2" w:rsidRPr="002865F2" w:rsidRDefault="002865F2" w:rsidP="00541B09">
            <w:pPr>
              <w:pStyle w:val="Tablewriting"/>
            </w:pPr>
            <w:r w:rsidRPr="002865F2">
              <w:t>01Jul2015</w:t>
            </w:r>
          </w:p>
        </w:tc>
        <w:tc>
          <w:tcPr>
            <w:tcW w:w="600" w:type="dxa"/>
            <w:tcBorders>
              <w:top w:val="nil"/>
              <w:left w:val="nil"/>
              <w:bottom w:val="single" w:sz="4" w:space="0" w:color="auto"/>
              <w:right w:val="single" w:sz="4" w:space="0" w:color="auto"/>
            </w:tcBorders>
            <w:shd w:val="clear" w:color="auto" w:fill="auto"/>
            <w:hideMark/>
          </w:tcPr>
          <w:p w14:paraId="640A5015"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7AAF14B6"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29BA7737"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717C3E70" w14:textId="77777777" w:rsidR="002865F2" w:rsidRPr="002865F2" w:rsidRDefault="002865F2" w:rsidP="00541B09">
            <w:pPr>
              <w:pStyle w:val="Tablewriting"/>
            </w:pPr>
            <w:r w:rsidRPr="002865F2">
              <w:t>$141.48</w:t>
            </w:r>
          </w:p>
        </w:tc>
        <w:tc>
          <w:tcPr>
            <w:tcW w:w="3903" w:type="dxa"/>
            <w:tcBorders>
              <w:top w:val="nil"/>
              <w:left w:val="nil"/>
              <w:bottom w:val="single" w:sz="4" w:space="0" w:color="auto"/>
              <w:right w:val="single" w:sz="4" w:space="0" w:color="auto"/>
            </w:tcBorders>
            <w:shd w:val="clear" w:color="auto" w:fill="auto"/>
            <w:hideMark/>
          </w:tcPr>
          <w:p w14:paraId="46743723" w14:textId="77777777" w:rsidR="002865F2" w:rsidRPr="002865F2" w:rsidRDefault="002865F2" w:rsidP="00541B09">
            <w:pPr>
              <w:pStyle w:val="Tablewriting"/>
            </w:pPr>
            <w:r w:rsidRPr="002865F2">
              <w:t>Clozapine, Tablet 50 mg</w:t>
            </w:r>
          </w:p>
        </w:tc>
        <w:tc>
          <w:tcPr>
            <w:tcW w:w="3773" w:type="dxa"/>
            <w:tcBorders>
              <w:top w:val="nil"/>
              <w:left w:val="nil"/>
              <w:bottom w:val="single" w:sz="4" w:space="0" w:color="auto"/>
              <w:right w:val="single" w:sz="4" w:space="0" w:color="auto"/>
            </w:tcBorders>
            <w:shd w:val="clear" w:color="auto" w:fill="auto"/>
            <w:hideMark/>
          </w:tcPr>
          <w:p w14:paraId="73741B7E" w14:textId="77777777" w:rsidR="002865F2" w:rsidRPr="002865F2" w:rsidRDefault="002865F2" w:rsidP="00541B09">
            <w:pPr>
              <w:pStyle w:val="Tablewriting"/>
            </w:pPr>
            <w:r w:rsidRPr="002865F2">
              <w:t>Clopine 50 (HOSPIRA PTY LIMITED)</w:t>
            </w:r>
          </w:p>
        </w:tc>
      </w:tr>
      <w:tr w:rsidR="002865F2" w:rsidRPr="002865F2" w14:paraId="3F61F4BB"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48195C7" w14:textId="77777777" w:rsidR="002865F2" w:rsidRPr="002865F2" w:rsidRDefault="002865F2" w:rsidP="00541B09">
            <w:pPr>
              <w:pStyle w:val="Tablewriting"/>
            </w:pPr>
            <w:r w:rsidRPr="002865F2">
              <w:t>02257T</w:t>
            </w:r>
          </w:p>
        </w:tc>
        <w:tc>
          <w:tcPr>
            <w:tcW w:w="1182" w:type="dxa"/>
            <w:tcBorders>
              <w:top w:val="nil"/>
              <w:left w:val="nil"/>
              <w:bottom w:val="single" w:sz="4" w:space="0" w:color="auto"/>
              <w:right w:val="single" w:sz="4" w:space="0" w:color="auto"/>
            </w:tcBorders>
            <w:shd w:val="clear" w:color="auto" w:fill="auto"/>
            <w:hideMark/>
          </w:tcPr>
          <w:p w14:paraId="6A5BC2DD" w14:textId="77777777" w:rsidR="002865F2" w:rsidRPr="002865F2" w:rsidRDefault="002865F2" w:rsidP="00541B09">
            <w:pPr>
              <w:pStyle w:val="Tablewriting"/>
            </w:pPr>
            <w:r w:rsidRPr="002865F2">
              <w:t>01Aug1994</w:t>
            </w:r>
          </w:p>
        </w:tc>
        <w:tc>
          <w:tcPr>
            <w:tcW w:w="600" w:type="dxa"/>
            <w:tcBorders>
              <w:top w:val="nil"/>
              <w:left w:val="nil"/>
              <w:bottom w:val="single" w:sz="4" w:space="0" w:color="auto"/>
              <w:right w:val="single" w:sz="4" w:space="0" w:color="auto"/>
            </w:tcBorders>
            <w:shd w:val="clear" w:color="auto" w:fill="auto"/>
            <w:hideMark/>
          </w:tcPr>
          <w:p w14:paraId="5D4F94BD"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510A0B8C"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0969E17D"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3DFC33E7" w14:textId="77777777" w:rsidR="002865F2" w:rsidRPr="002865F2" w:rsidRDefault="002865F2" w:rsidP="00541B09">
            <w:pPr>
              <w:pStyle w:val="Tablewriting"/>
            </w:pPr>
            <w:r w:rsidRPr="002865F2">
              <w:t>$43.28</w:t>
            </w:r>
          </w:p>
        </w:tc>
        <w:tc>
          <w:tcPr>
            <w:tcW w:w="3903" w:type="dxa"/>
            <w:tcBorders>
              <w:top w:val="nil"/>
              <w:left w:val="nil"/>
              <w:bottom w:val="single" w:sz="4" w:space="0" w:color="auto"/>
              <w:right w:val="single" w:sz="4" w:space="0" w:color="auto"/>
            </w:tcBorders>
            <w:shd w:val="clear" w:color="auto" w:fill="auto"/>
            <w:hideMark/>
          </w:tcPr>
          <w:p w14:paraId="0F60074D" w14:textId="77777777" w:rsidR="002865F2" w:rsidRPr="002865F2" w:rsidRDefault="002865F2" w:rsidP="00541B09">
            <w:pPr>
              <w:pStyle w:val="Tablewriting"/>
            </w:pPr>
            <w:r w:rsidRPr="002865F2">
              <w:t>Flupenthixol decanoate, Oily I.M. injection 100 mg in 1 mL ampoule</w:t>
            </w:r>
          </w:p>
        </w:tc>
        <w:tc>
          <w:tcPr>
            <w:tcW w:w="3773" w:type="dxa"/>
            <w:tcBorders>
              <w:top w:val="nil"/>
              <w:left w:val="nil"/>
              <w:bottom w:val="single" w:sz="4" w:space="0" w:color="auto"/>
              <w:right w:val="single" w:sz="4" w:space="0" w:color="auto"/>
            </w:tcBorders>
            <w:shd w:val="clear" w:color="auto" w:fill="auto"/>
            <w:hideMark/>
          </w:tcPr>
          <w:p w14:paraId="7204DB67" w14:textId="0A6E5E50" w:rsidR="002865F2" w:rsidRPr="002865F2" w:rsidRDefault="002865F2" w:rsidP="00541B09">
            <w:pPr>
              <w:pStyle w:val="Tablewriting"/>
            </w:pPr>
            <w:r w:rsidRPr="002865F2">
              <w:t>Fluanxol Concentrated Depot (</w:t>
            </w:r>
            <w:r w:rsidR="001E588D">
              <w:t>LUNBECK AUSTRALIA PTY LTD</w:t>
            </w:r>
            <w:r w:rsidRPr="002865F2">
              <w:t>)</w:t>
            </w:r>
          </w:p>
        </w:tc>
      </w:tr>
      <w:tr w:rsidR="002865F2" w:rsidRPr="002865F2" w14:paraId="3D8ED78F"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BF67C95" w14:textId="77777777" w:rsidR="002865F2" w:rsidRPr="002865F2" w:rsidRDefault="002865F2" w:rsidP="00541B09">
            <w:pPr>
              <w:pStyle w:val="Tablewriting"/>
            </w:pPr>
            <w:r w:rsidRPr="002865F2">
              <w:t>02255Q</w:t>
            </w:r>
          </w:p>
        </w:tc>
        <w:tc>
          <w:tcPr>
            <w:tcW w:w="1182" w:type="dxa"/>
            <w:tcBorders>
              <w:top w:val="nil"/>
              <w:left w:val="nil"/>
              <w:bottom w:val="single" w:sz="4" w:space="0" w:color="auto"/>
              <w:right w:val="single" w:sz="4" w:space="0" w:color="auto"/>
            </w:tcBorders>
            <w:shd w:val="clear" w:color="auto" w:fill="auto"/>
            <w:hideMark/>
          </w:tcPr>
          <w:p w14:paraId="2A162105" w14:textId="77777777" w:rsidR="002865F2" w:rsidRPr="002865F2" w:rsidRDefault="002865F2" w:rsidP="00541B09">
            <w:pPr>
              <w:pStyle w:val="Tablewriting"/>
            </w:pPr>
            <w:r w:rsidRPr="002865F2">
              <w:t>01Aug1994</w:t>
            </w:r>
          </w:p>
        </w:tc>
        <w:tc>
          <w:tcPr>
            <w:tcW w:w="600" w:type="dxa"/>
            <w:tcBorders>
              <w:top w:val="nil"/>
              <w:left w:val="nil"/>
              <w:bottom w:val="single" w:sz="4" w:space="0" w:color="auto"/>
              <w:right w:val="single" w:sz="4" w:space="0" w:color="auto"/>
            </w:tcBorders>
            <w:shd w:val="clear" w:color="auto" w:fill="auto"/>
            <w:hideMark/>
          </w:tcPr>
          <w:p w14:paraId="2DFD7BD5"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70846B00"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2309C9ED"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4994445E" w14:textId="77777777" w:rsidR="002865F2" w:rsidRPr="002865F2" w:rsidRDefault="002865F2" w:rsidP="00541B09">
            <w:pPr>
              <w:pStyle w:val="Tablewriting"/>
            </w:pPr>
            <w:r w:rsidRPr="002865F2">
              <w:t>$17.33</w:t>
            </w:r>
          </w:p>
        </w:tc>
        <w:tc>
          <w:tcPr>
            <w:tcW w:w="3903" w:type="dxa"/>
            <w:tcBorders>
              <w:top w:val="nil"/>
              <w:left w:val="nil"/>
              <w:bottom w:val="single" w:sz="4" w:space="0" w:color="auto"/>
              <w:right w:val="single" w:sz="4" w:space="0" w:color="auto"/>
            </w:tcBorders>
            <w:shd w:val="clear" w:color="auto" w:fill="auto"/>
            <w:hideMark/>
          </w:tcPr>
          <w:p w14:paraId="580F97A0" w14:textId="77777777" w:rsidR="002865F2" w:rsidRPr="002865F2" w:rsidRDefault="002865F2" w:rsidP="00541B09">
            <w:pPr>
              <w:pStyle w:val="Tablewriting"/>
            </w:pPr>
            <w:r w:rsidRPr="002865F2">
              <w:t>Flupenthixol decanoate, Oily I.M. injection 20 mg in 1 mL ampoule</w:t>
            </w:r>
          </w:p>
        </w:tc>
        <w:tc>
          <w:tcPr>
            <w:tcW w:w="3773" w:type="dxa"/>
            <w:tcBorders>
              <w:top w:val="nil"/>
              <w:left w:val="nil"/>
              <w:bottom w:val="single" w:sz="4" w:space="0" w:color="auto"/>
              <w:right w:val="single" w:sz="4" w:space="0" w:color="auto"/>
            </w:tcBorders>
            <w:shd w:val="clear" w:color="auto" w:fill="auto"/>
            <w:hideMark/>
          </w:tcPr>
          <w:p w14:paraId="6938A7EB" w14:textId="5D1C957A" w:rsidR="002865F2" w:rsidRPr="002865F2" w:rsidRDefault="002865F2" w:rsidP="00541B09">
            <w:pPr>
              <w:pStyle w:val="Tablewriting"/>
            </w:pPr>
            <w:r w:rsidRPr="002865F2">
              <w:t>Fluanxol Depot (</w:t>
            </w:r>
            <w:r w:rsidR="001E588D">
              <w:t>LUNBECK AUSTRALIA PTY LTD</w:t>
            </w:r>
            <w:r w:rsidRPr="002865F2">
              <w:t>)</w:t>
            </w:r>
          </w:p>
        </w:tc>
      </w:tr>
      <w:tr w:rsidR="002865F2" w:rsidRPr="002865F2" w14:paraId="651124C5"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BF06616" w14:textId="77777777" w:rsidR="002865F2" w:rsidRPr="002865F2" w:rsidRDefault="002865F2" w:rsidP="00541B09">
            <w:pPr>
              <w:pStyle w:val="Tablewriting"/>
            </w:pPr>
            <w:r w:rsidRPr="002865F2">
              <w:t>02256R</w:t>
            </w:r>
          </w:p>
        </w:tc>
        <w:tc>
          <w:tcPr>
            <w:tcW w:w="1182" w:type="dxa"/>
            <w:tcBorders>
              <w:top w:val="nil"/>
              <w:left w:val="nil"/>
              <w:bottom w:val="single" w:sz="4" w:space="0" w:color="auto"/>
              <w:right w:val="single" w:sz="4" w:space="0" w:color="auto"/>
            </w:tcBorders>
            <w:shd w:val="clear" w:color="auto" w:fill="auto"/>
            <w:hideMark/>
          </w:tcPr>
          <w:p w14:paraId="40892B5D" w14:textId="77777777" w:rsidR="002865F2" w:rsidRPr="002865F2" w:rsidRDefault="002865F2" w:rsidP="00541B09">
            <w:pPr>
              <w:pStyle w:val="Tablewriting"/>
            </w:pPr>
            <w:r w:rsidRPr="002865F2">
              <w:t>01Aug1994</w:t>
            </w:r>
          </w:p>
        </w:tc>
        <w:tc>
          <w:tcPr>
            <w:tcW w:w="600" w:type="dxa"/>
            <w:tcBorders>
              <w:top w:val="nil"/>
              <w:left w:val="nil"/>
              <w:bottom w:val="single" w:sz="4" w:space="0" w:color="auto"/>
              <w:right w:val="single" w:sz="4" w:space="0" w:color="auto"/>
            </w:tcBorders>
            <w:shd w:val="clear" w:color="auto" w:fill="auto"/>
            <w:hideMark/>
          </w:tcPr>
          <w:p w14:paraId="695172AA"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74A8C277"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09393FDA"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745341F8" w14:textId="77777777" w:rsidR="002865F2" w:rsidRPr="002865F2" w:rsidRDefault="002865F2" w:rsidP="00541B09">
            <w:pPr>
              <w:pStyle w:val="Tablewriting"/>
            </w:pPr>
            <w:r w:rsidRPr="002865F2">
              <w:t>$24.41</w:t>
            </w:r>
          </w:p>
        </w:tc>
        <w:tc>
          <w:tcPr>
            <w:tcW w:w="3903" w:type="dxa"/>
            <w:tcBorders>
              <w:top w:val="nil"/>
              <w:left w:val="nil"/>
              <w:bottom w:val="single" w:sz="4" w:space="0" w:color="auto"/>
              <w:right w:val="single" w:sz="4" w:space="0" w:color="auto"/>
            </w:tcBorders>
            <w:shd w:val="clear" w:color="auto" w:fill="auto"/>
            <w:hideMark/>
          </w:tcPr>
          <w:p w14:paraId="3916B4A4" w14:textId="77777777" w:rsidR="002865F2" w:rsidRPr="002865F2" w:rsidRDefault="002865F2" w:rsidP="00541B09">
            <w:pPr>
              <w:pStyle w:val="Tablewriting"/>
            </w:pPr>
            <w:r w:rsidRPr="002865F2">
              <w:t>Flupenthixol decanoate, Oily I.M. injection 40 mg in 2 mL ampoule</w:t>
            </w:r>
          </w:p>
        </w:tc>
        <w:tc>
          <w:tcPr>
            <w:tcW w:w="3773" w:type="dxa"/>
            <w:tcBorders>
              <w:top w:val="nil"/>
              <w:left w:val="nil"/>
              <w:bottom w:val="single" w:sz="4" w:space="0" w:color="auto"/>
              <w:right w:val="single" w:sz="4" w:space="0" w:color="auto"/>
            </w:tcBorders>
            <w:shd w:val="clear" w:color="auto" w:fill="auto"/>
            <w:hideMark/>
          </w:tcPr>
          <w:p w14:paraId="371CC07C" w14:textId="748188D6" w:rsidR="002865F2" w:rsidRPr="002865F2" w:rsidRDefault="002865F2" w:rsidP="00541B09">
            <w:pPr>
              <w:pStyle w:val="Tablewriting"/>
            </w:pPr>
            <w:r w:rsidRPr="002865F2">
              <w:t>Fluanxol Depot (</w:t>
            </w:r>
            <w:r w:rsidR="001E588D">
              <w:t>LUNBECK AUSTRALIA PTY LTD</w:t>
            </w:r>
            <w:r w:rsidRPr="002865F2">
              <w:t>)</w:t>
            </w:r>
          </w:p>
        </w:tc>
      </w:tr>
      <w:tr w:rsidR="002865F2" w:rsidRPr="002865F2" w14:paraId="0B712D57"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DBC7D98" w14:textId="77777777" w:rsidR="002865F2" w:rsidRPr="002865F2" w:rsidRDefault="002865F2" w:rsidP="00541B09">
            <w:pPr>
              <w:pStyle w:val="Tablewriting"/>
            </w:pPr>
            <w:r w:rsidRPr="002865F2">
              <w:t>01046C</w:t>
            </w:r>
          </w:p>
        </w:tc>
        <w:tc>
          <w:tcPr>
            <w:tcW w:w="1182" w:type="dxa"/>
            <w:tcBorders>
              <w:top w:val="nil"/>
              <w:left w:val="nil"/>
              <w:bottom w:val="single" w:sz="4" w:space="0" w:color="auto"/>
              <w:right w:val="single" w:sz="4" w:space="0" w:color="auto"/>
            </w:tcBorders>
            <w:shd w:val="clear" w:color="auto" w:fill="auto"/>
            <w:hideMark/>
          </w:tcPr>
          <w:p w14:paraId="232B1CDE" w14:textId="77777777" w:rsidR="002865F2" w:rsidRPr="002865F2" w:rsidRDefault="002865F2" w:rsidP="00541B09">
            <w:pPr>
              <w:pStyle w:val="Tablewriting"/>
            </w:pPr>
            <w:r w:rsidRPr="002865F2">
              <w:t>01Apr1973</w:t>
            </w:r>
          </w:p>
        </w:tc>
        <w:tc>
          <w:tcPr>
            <w:tcW w:w="600" w:type="dxa"/>
            <w:tcBorders>
              <w:top w:val="nil"/>
              <w:left w:val="nil"/>
              <w:bottom w:val="single" w:sz="4" w:space="0" w:color="auto"/>
              <w:right w:val="single" w:sz="4" w:space="0" w:color="auto"/>
            </w:tcBorders>
            <w:shd w:val="clear" w:color="auto" w:fill="auto"/>
            <w:hideMark/>
          </w:tcPr>
          <w:p w14:paraId="47FF32A9"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24475836"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600FC8C9"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5896B790" w14:textId="77777777" w:rsidR="002865F2" w:rsidRPr="002865F2" w:rsidRDefault="002865F2" w:rsidP="00541B09">
            <w:pPr>
              <w:pStyle w:val="Tablewriting"/>
            </w:pPr>
            <w:r w:rsidRPr="002865F2">
              <w:t>$16.08</w:t>
            </w:r>
          </w:p>
        </w:tc>
        <w:tc>
          <w:tcPr>
            <w:tcW w:w="3903" w:type="dxa"/>
            <w:tcBorders>
              <w:top w:val="nil"/>
              <w:left w:val="nil"/>
              <w:bottom w:val="single" w:sz="4" w:space="0" w:color="auto"/>
              <w:right w:val="single" w:sz="4" w:space="0" w:color="auto"/>
            </w:tcBorders>
            <w:shd w:val="clear" w:color="auto" w:fill="auto"/>
            <w:hideMark/>
          </w:tcPr>
          <w:p w14:paraId="290CE269" w14:textId="77777777" w:rsidR="002865F2" w:rsidRPr="002865F2" w:rsidRDefault="002865F2" w:rsidP="00541B09">
            <w:pPr>
              <w:pStyle w:val="Tablewriting"/>
            </w:pPr>
            <w:r w:rsidRPr="002865F2">
              <w:t>Fluphenazine decanoate, Injection 12.5 mg in 0.5 mL ampoule</w:t>
            </w:r>
          </w:p>
        </w:tc>
        <w:tc>
          <w:tcPr>
            <w:tcW w:w="3773" w:type="dxa"/>
            <w:tcBorders>
              <w:top w:val="nil"/>
              <w:left w:val="nil"/>
              <w:bottom w:val="single" w:sz="4" w:space="0" w:color="auto"/>
              <w:right w:val="single" w:sz="4" w:space="0" w:color="auto"/>
            </w:tcBorders>
            <w:shd w:val="clear" w:color="auto" w:fill="auto"/>
            <w:hideMark/>
          </w:tcPr>
          <w:p w14:paraId="6E569A7A" w14:textId="758E1E6B" w:rsidR="002865F2" w:rsidRPr="002865F2" w:rsidRDefault="002865F2" w:rsidP="00541B09">
            <w:pPr>
              <w:pStyle w:val="Tablewriting"/>
            </w:pPr>
            <w:r w:rsidRPr="002865F2">
              <w:t>Modecate (</w:t>
            </w:r>
            <w:r w:rsidR="007C2FF6">
              <w:t>BRISTOL-MYERS SQUIBB AUSTRALIA PTY LTD</w:t>
            </w:r>
            <w:r w:rsidRPr="002865F2">
              <w:t>)</w:t>
            </w:r>
          </w:p>
        </w:tc>
      </w:tr>
      <w:tr w:rsidR="002865F2" w:rsidRPr="002865F2" w14:paraId="2EA9CA3C"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FE50F31" w14:textId="77777777" w:rsidR="002865F2" w:rsidRPr="002865F2" w:rsidRDefault="002865F2" w:rsidP="00541B09">
            <w:pPr>
              <w:pStyle w:val="Tablewriting"/>
            </w:pPr>
            <w:r w:rsidRPr="002865F2">
              <w:t>03098C</w:t>
            </w:r>
          </w:p>
        </w:tc>
        <w:tc>
          <w:tcPr>
            <w:tcW w:w="1182" w:type="dxa"/>
            <w:tcBorders>
              <w:top w:val="nil"/>
              <w:left w:val="nil"/>
              <w:bottom w:val="single" w:sz="4" w:space="0" w:color="auto"/>
              <w:right w:val="single" w:sz="4" w:space="0" w:color="auto"/>
            </w:tcBorders>
            <w:shd w:val="clear" w:color="auto" w:fill="auto"/>
            <w:hideMark/>
          </w:tcPr>
          <w:p w14:paraId="61848132" w14:textId="77777777" w:rsidR="002865F2" w:rsidRPr="002865F2" w:rsidRDefault="002865F2" w:rsidP="00541B09">
            <w:pPr>
              <w:pStyle w:val="Tablewriting"/>
            </w:pPr>
            <w:r w:rsidRPr="002865F2">
              <w:t>01Apr1972</w:t>
            </w:r>
          </w:p>
        </w:tc>
        <w:tc>
          <w:tcPr>
            <w:tcW w:w="600" w:type="dxa"/>
            <w:tcBorders>
              <w:top w:val="nil"/>
              <w:left w:val="nil"/>
              <w:bottom w:val="single" w:sz="4" w:space="0" w:color="auto"/>
              <w:right w:val="single" w:sz="4" w:space="0" w:color="auto"/>
            </w:tcBorders>
            <w:shd w:val="clear" w:color="auto" w:fill="auto"/>
            <w:hideMark/>
          </w:tcPr>
          <w:p w14:paraId="335D566C"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1EC93F5C"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299062E5"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232EC70E" w14:textId="77777777" w:rsidR="002865F2" w:rsidRPr="002865F2" w:rsidRDefault="002865F2" w:rsidP="00541B09">
            <w:pPr>
              <w:pStyle w:val="Tablewriting"/>
            </w:pPr>
            <w:r w:rsidRPr="002865F2">
              <w:t>$23.16</w:t>
            </w:r>
          </w:p>
        </w:tc>
        <w:tc>
          <w:tcPr>
            <w:tcW w:w="3903" w:type="dxa"/>
            <w:tcBorders>
              <w:top w:val="nil"/>
              <w:left w:val="nil"/>
              <w:bottom w:val="single" w:sz="4" w:space="0" w:color="auto"/>
              <w:right w:val="single" w:sz="4" w:space="0" w:color="auto"/>
            </w:tcBorders>
            <w:shd w:val="clear" w:color="auto" w:fill="auto"/>
            <w:hideMark/>
          </w:tcPr>
          <w:p w14:paraId="54973216" w14:textId="77777777" w:rsidR="002865F2" w:rsidRPr="002865F2" w:rsidRDefault="002865F2" w:rsidP="00541B09">
            <w:pPr>
              <w:pStyle w:val="Tablewriting"/>
            </w:pPr>
            <w:r w:rsidRPr="002865F2">
              <w:t>Fluphenazine decanoate, Injection 25 mg in 1 mL ampoule</w:t>
            </w:r>
          </w:p>
        </w:tc>
        <w:tc>
          <w:tcPr>
            <w:tcW w:w="3773" w:type="dxa"/>
            <w:tcBorders>
              <w:top w:val="nil"/>
              <w:left w:val="nil"/>
              <w:bottom w:val="single" w:sz="4" w:space="0" w:color="auto"/>
              <w:right w:val="single" w:sz="4" w:space="0" w:color="auto"/>
            </w:tcBorders>
            <w:shd w:val="clear" w:color="auto" w:fill="auto"/>
            <w:hideMark/>
          </w:tcPr>
          <w:p w14:paraId="47695334" w14:textId="2289B469" w:rsidR="002865F2" w:rsidRPr="002865F2" w:rsidRDefault="002865F2" w:rsidP="00541B09">
            <w:pPr>
              <w:pStyle w:val="Tablewriting"/>
            </w:pPr>
            <w:r w:rsidRPr="002865F2">
              <w:t>Modecate (</w:t>
            </w:r>
            <w:r w:rsidR="007C2FF6">
              <w:t>BRISTOL-MYERS SQUIBB AUSTRALIA PTY LTD</w:t>
            </w:r>
            <w:r w:rsidRPr="002865F2">
              <w:t>)</w:t>
            </w:r>
          </w:p>
        </w:tc>
      </w:tr>
      <w:tr w:rsidR="002865F2" w:rsidRPr="002865F2" w14:paraId="2B1ADD7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2C01931" w14:textId="77777777" w:rsidR="002865F2" w:rsidRPr="002865F2" w:rsidRDefault="002865F2" w:rsidP="00541B09">
            <w:pPr>
              <w:pStyle w:val="Tablewriting"/>
            </w:pPr>
            <w:r w:rsidRPr="002865F2">
              <w:t>01001Q</w:t>
            </w:r>
          </w:p>
        </w:tc>
        <w:tc>
          <w:tcPr>
            <w:tcW w:w="1182" w:type="dxa"/>
            <w:tcBorders>
              <w:top w:val="nil"/>
              <w:left w:val="nil"/>
              <w:bottom w:val="single" w:sz="4" w:space="0" w:color="auto"/>
              <w:right w:val="single" w:sz="4" w:space="0" w:color="auto"/>
            </w:tcBorders>
            <w:shd w:val="clear" w:color="auto" w:fill="auto"/>
            <w:hideMark/>
          </w:tcPr>
          <w:p w14:paraId="5E934BE2" w14:textId="77777777" w:rsidR="002865F2" w:rsidRPr="002865F2" w:rsidRDefault="002865F2" w:rsidP="00541B09">
            <w:pPr>
              <w:pStyle w:val="Tablewriting"/>
            </w:pPr>
            <w:r w:rsidRPr="002865F2">
              <w:t>01Apr1973</w:t>
            </w:r>
          </w:p>
        </w:tc>
        <w:tc>
          <w:tcPr>
            <w:tcW w:w="600" w:type="dxa"/>
            <w:tcBorders>
              <w:top w:val="nil"/>
              <w:left w:val="nil"/>
              <w:bottom w:val="single" w:sz="4" w:space="0" w:color="auto"/>
              <w:right w:val="single" w:sz="4" w:space="0" w:color="auto"/>
            </w:tcBorders>
            <w:shd w:val="clear" w:color="auto" w:fill="auto"/>
            <w:hideMark/>
          </w:tcPr>
          <w:p w14:paraId="53D30A32"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623B0BFC"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0E47AB00"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E77DA6A" w14:textId="77777777" w:rsidR="002865F2" w:rsidRPr="002865F2" w:rsidRDefault="002865F2" w:rsidP="00541B09">
            <w:pPr>
              <w:pStyle w:val="Tablewriting"/>
            </w:pPr>
            <w:r w:rsidRPr="002865F2">
              <w:t>$34.31</w:t>
            </w:r>
          </w:p>
        </w:tc>
        <w:tc>
          <w:tcPr>
            <w:tcW w:w="3903" w:type="dxa"/>
            <w:tcBorders>
              <w:top w:val="nil"/>
              <w:left w:val="nil"/>
              <w:bottom w:val="single" w:sz="4" w:space="0" w:color="auto"/>
              <w:right w:val="single" w:sz="4" w:space="0" w:color="auto"/>
            </w:tcBorders>
            <w:shd w:val="clear" w:color="auto" w:fill="auto"/>
            <w:hideMark/>
          </w:tcPr>
          <w:p w14:paraId="0703164A" w14:textId="77777777" w:rsidR="002865F2" w:rsidRPr="002865F2" w:rsidRDefault="002865F2" w:rsidP="00541B09">
            <w:pPr>
              <w:pStyle w:val="Tablewriting"/>
            </w:pPr>
            <w:r w:rsidRPr="002865F2">
              <w:t>Fluphenazine decanoate, Injection 50 mg in 2 mL ampoule</w:t>
            </w:r>
          </w:p>
        </w:tc>
        <w:tc>
          <w:tcPr>
            <w:tcW w:w="3773" w:type="dxa"/>
            <w:tcBorders>
              <w:top w:val="nil"/>
              <w:left w:val="nil"/>
              <w:bottom w:val="single" w:sz="4" w:space="0" w:color="auto"/>
              <w:right w:val="single" w:sz="4" w:space="0" w:color="auto"/>
            </w:tcBorders>
            <w:shd w:val="clear" w:color="auto" w:fill="auto"/>
            <w:hideMark/>
          </w:tcPr>
          <w:p w14:paraId="1C7AB913" w14:textId="44BE00DA" w:rsidR="002865F2" w:rsidRPr="002865F2" w:rsidRDefault="002865F2" w:rsidP="00541B09">
            <w:pPr>
              <w:pStyle w:val="Tablewriting"/>
            </w:pPr>
            <w:r w:rsidRPr="002865F2">
              <w:t>Modecate (</w:t>
            </w:r>
            <w:r w:rsidR="007C2FF6">
              <w:t>BRISTOL-MYERS SQUIBB AUSTRALIA PTY LTD</w:t>
            </w:r>
            <w:r w:rsidRPr="002865F2">
              <w:t>)</w:t>
            </w:r>
          </w:p>
        </w:tc>
      </w:tr>
      <w:tr w:rsidR="002865F2" w:rsidRPr="002865F2" w14:paraId="14E3DF5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0AF676A" w14:textId="77777777" w:rsidR="002865F2" w:rsidRPr="002865F2" w:rsidRDefault="002865F2" w:rsidP="00541B09">
            <w:pPr>
              <w:pStyle w:val="Tablewriting"/>
            </w:pPr>
            <w:r w:rsidRPr="002865F2">
              <w:t>02659Y</w:t>
            </w:r>
          </w:p>
        </w:tc>
        <w:tc>
          <w:tcPr>
            <w:tcW w:w="1182" w:type="dxa"/>
            <w:tcBorders>
              <w:top w:val="nil"/>
              <w:left w:val="nil"/>
              <w:bottom w:val="single" w:sz="4" w:space="0" w:color="auto"/>
              <w:right w:val="single" w:sz="4" w:space="0" w:color="auto"/>
            </w:tcBorders>
            <w:shd w:val="clear" w:color="auto" w:fill="auto"/>
            <w:hideMark/>
          </w:tcPr>
          <w:p w14:paraId="241F1C09" w14:textId="77777777" w:rsidR="002865F2" w:rsidRPr="002865F2" w:rsidRDefault="002865F2" w:rsidP="00541B09">
            <w:pPr>
              <w:pStyle w:val="Tablewriting"/>
            </w:pPr>
            <w:r w:rsidRPr="002865F2">
              <w:t>01Sep1967</w:t>
            </w:r>
          </w:p>
        </w:tc>
        <w:tc>
          <w:tcPr>
            <w:tcW w:w="600" w:type="dxa"/>
            <w:tcBorders>
              <w:top w:val="nil"/>
              <w:left w:val="nil"/>
              <w:bottom w:val="single" w:sz="4" w:space="0" w:color="auto"/>
              <w:right w:val="single" w:sz="4" w:space="0" w:color="auto"/>
            </w:tcBorders>
            <w:shd w:val="clear" w:color="auto" w:fill="auto"/>
            <w:hideMark/>
          </w:tcPr>
          <w:p w14:paraId="58834688"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3F35B143"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09DE39B9"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2D5934A4" w14:textId="77777777" w:rsidR="002865F2" w:rsidRPr="002865F2" w:rsidRDefault="002865F2" w:rsidP="00541B09">
            <w:pPr>
              <w:pStyle w:val="Tablewriting"/>
            </w:pPr>
            <w:r w:rsidRPr="002865F2">
              <w:t>$6.82</w:t>
            </w:r>
          </w:p>
        </w:tc>
        <w:tc>
          <w:tcPr>
            <w:tcW w:w="3903" w:type="dxa"/>
            <w:tcBorders>
              <w:top w:val="nil"/>
              <w:left w:val="nil"/>
              <w:bottom w:val="single" w:sz="4" w:space="0" w:color="auto"/>
              <w:right w:val="single" w:sz="4" w:space="0" w:color="auto"/>
            </w:tcBorders>
            <w:shd w:val="clear" w:color="auto" w:fill="auto"/>
            <w:hideMark/>
          </w:tcPr>
          <w:p w14:paraId="52454787" w14:textId="77777777" w:rsidR="002865F2" w:rsidRPr="002865F2" w:rsidRDefault="002865F2" w:rsidP="00541B09">
            <w:pPr>
              <w:pStyle w:val="Tablewriting"/>
            </w:pPr>
            <w:r w:rsidRPr="002865F2">
              <w:t>Fluphenazine hydrochloride, Tablet 1 mg</w:t>
            </w:r>
          </w:p>
        </w:tc>
        <w:tc>
          <w:tcPr>
            <w:tcW w:w="3773" w:type="dxa"/>
            <w:tcBorders>
              <w:top w:val="nil"/>
              <w:left w:val="nil"/>
              <w:bottom w:val="single" w:sz="4" w:space="0" w:color="auto"/>
              <w:right w:val="single" w:sz="4" w:space="0" w:color="auto"/>
            </w:tcBorders>
            <w:shd w:val="clear" w:color="auto" w:fill="auto"/>
            <w:hideMark/>
          </w:tcPr>
          <w:p w14:paraId="46D5D89D" w14:textId="348D78F5" w:rsidR="002865F2" w:rsidRPr="002865F2" w:rsidRDefault="002865F2" w:rsidP="00541B09">
            <w:pPr>
              <w:pStyle w:val="Tablewriting"/>
            </w:pPr>
            <w:r w:rsidRPr="002865F2">
              <w:t>Anatensol (</w:t>
            </w:r>
            <w:r w:rsidR="007C2FF6">
              <w:t>BRISTOL-MYERS SQUIBB AUSTRALIA PTY LTD</w:t>
            </w:r>
            <w:r w:rsidRPr="002865F2">
              <w:t>)</w:t>
            </w:r>
          </w:p>
        </w:tc>
      </w:tr>
      <w:tr w:rsidR="002865F2" w:rsidRPr="002865F2" w14:paraId="0F9AEAF0"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4FB0FEE" w14:textId="77777777" w:rsidR="002865F2" w:rsidRPr="002865F2" w:rsidRDefault="002865F2" w:rsidP="00541B09">
            <w:pPr>
              <w:pStyle w:val="Tablewriting"/>
            </w:pPr>
            <w:r w:rsidRPr="002865F2">
              <w:t>02660B</w:t>
            </w:r>
          </w:p>
        </w:tc>
        <w:tc>
          <w:tcPr>
            <w:tcW w:w="1182" w:type="dxa"/>
            <w:tcBorders>
              <w:top w:val="nil"/>
              <w:left w:val="nil"/>
              <w:bottom w:val="single" w:sz="4" w:space="0" w:color="auto"/>
              <w:right w:val="single" w:sz="4" w:space="0" w:color="auto"/>
            </w:tcBorders>
            <w:shd w:val="clear" w:color="auto" w:fill="auto"/>
            <w:hideMark/>
          </w:tcPr>
          <w:p w14:paraId="2E9EC759" w14:textId="77777777" w:rsidR="002865F2" w:rsidRPr="002865F2" w:rsidRDefault="002865F2" w:rsidP="00541B09">
            <w:pPr>
              <w:pStyle w:val="Tablewriting"/>
            </w:pPr>
            <w:r w:rsidRPr="002865F2">
              <w:t>01Sep1967</w:t>
            </w:r>
          </w:p>
        </w:tc>
        <w:tc>
          <w:tcPr>
            <w:tcW w:w="600" w:type="dxa"/>
            <w:tcBorders>
              <w:top w:val="nil"/>
              <w:left w:val="nil"/>
              <w:bottom w:val="single" w:sz="4" w:space="0" w:color="auto"/>
              <w:right w:val="single" w:sz="4" w:space="0" w:color="auto"/>
            </w:tcBorders>
            <w:shd w:val="clear" w:color="auto" w:fill="auto"/>
            <w:hideMark/>
          </w:tcPr>
          <w:p w14:paraId="1C52696A"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0A2D74F"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222AB656"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5BA1C367" w14:textId="77777777" w:rsidR="002865F2" w:rsidRPr="002865F2" w:rsidRDefault="002865F2" w:rsidP="00541B09">
            <w:pPr>
              <w:pStyle w:val="Tablewriting"/>
            </w:pPr>
            <w:r w:rsidRPr="002865F2">
              <w:t>$8.26</w:t>
            </w:r>
          </w:p>
        </w:tc>
        <w:tc>
          <w:tcPr>
            <w:tcW w:w="3903" w:type="dxa"/>
            <w:tcBorders>
              <w:top w:val="nil"/>
              <w:left w:val="nil"/>
              <w:bottom w:val="single" w:sz="4" w:space="0" w:color="auto"/>
              <w:right w:val="single" w:sz="4" w:space="0" w:color="auto"/>
            </w:tcBorders>
            <w:shd w:val="clear" w:color="auto" w:fill="auto"/>
            <w:hideMark/>
          </w:tcPr>
          <w:p w14:paraId="67D22F2A" w14:textId="77777777" w:rsidR="002865F2" w:rsidRPr="002865F2" w:rsidRDefault="002865F2" w:rsidP="00541B09">
            <w:pPr>
              <w:pStyle w:val="Tablewriting"/>
            </w:pPr>
            <w:r w:rsidRPr="002865F2">
              <w:t>Fluphenazine hydrochloride, Tablet 2.5 mg</w:t>
            </w:r>
          </w:p>
        </w:tc>
        <w:tc>
          <w:tcPr>
            <w:tcW w:w="3773" w:type="dxa"/>
            <w:tcBorders>
              <w:top w:val="nil"/>
              <w:left w:val="nil"/>
              <w:bottom w:val="single" w:sz="4" w:space="0" w:color="auto"/>
              <w:right w:val="single" w:sz="4" w:space="0" w:color="auto"/>
            </w:tcBorders>
            <w:shd w:val="clear" w:color="auto" w:fill="auto"/>
            <w:hideMark/>
          </w:tcPr>
          <w:p w14:paraId="02FE2640" w14:textId="77777777" w:rsidR="002865F2" w:rsidRDefault="002865F2" w:rsidP="00541B09">
            <w:pPr>
              <w:pStyle w:val="Tablewriting"/>
            </w:pPr>
            <w:r w:rsidRPr="002865F2">
              <w:t>Anatensol (</w:t>
            </w:r>
            <w:r w:rsidR="00B90086">
              <w:t>BRISTOL-MYERS SQUIBB AUSTRALIA PTY LTD</w:t>
            </w:r>
            <w:r w:rsidRPr="002865F2">
              <w:t>)</w:t>
            </w:r>
          </w:p>
          <w:p w14:paraId="05685BEB" w14:textId="3A6560E1" w:rsidR="00541B09" w:rsidRPr="002865F2" w:rsidRDefault="00541B09" w:rsidP="00541B09">
            <w:pPr>
              <w:pStyle w:val="Tablewriting"/>
            </w:pPr>
          </w:p>
        </w:tc>
      </w:tr>
      <w:tr w:rsidR="002865F2" w:rsidRPr="002865F2" w14:paraId="29C07BE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533C53D" w14:textId="77777777" w:rsidR="002865F2" w:rsidRPr="002865F2" w:rsidRDefault="002865F2" w:rsidP="00541B09">
            <w:pPr>
              <w:pStyle w:val="Tablewriting"/>
            </w:pPr>
            <w:r w:rsidRPr="002865F2">
              <w:t>02661C</w:t>
            </w:r>
          </w:p>
        </w:tc>
        <w:tc>
          <w:tcPr>
            <w:tcW w:w="1182" w:type="dxa"/>
            <w:tcBorders>
              <w:top w:val="nil"/>
              <w:left w:val="nil"/>
              <w:bottom w:val="single" w:sz="4" w:space="0" w:color="auto"/>
              <w:right w:val="single" w:sz="4" w:space="0" w:color="auto"/>
            </w:tcBorders>
            <w:shd w:val="clear" w:color="auto" w:fill="auto"/>
            <w:hideMark/>
          </w:tcPr>
          <w:p w14:paraId="6E229D02" w14:textId="77777777" w:rsidR="002865F2" w:rsidRPr="002865F2" w:rsidRDefault="002865F2" w:rsidP="00541B09">
            <w:pPr>
              <w:pStyle w:val="Tablewriting"/>
            </w:pPr>
            <w:r w:rsidRPr="002865F2">
              <w:t>01Sep1967</w:t>
            </w:r>
          </w:p>
        </w:tc>
        <w:tc>
          <w:tcPr>
            <w:tcW w:w="600" w:type="dxa"/>
            <w:tcBorders>
              <w:top w:val="nil"/>
              <w:left w:val="nil"/>
              <w:bottom w:val="single" w:sz="4" w:space="0" w:color="auto"/>
              <w:right w:val="single" w:sz="4" w:space="0" w:color="auto"/>
            </w:tcBorders>
            <w:shd w:val="clear" w:color="auto" w:fill="auto"/>
            <w:hideMark/>
          </w:tcPr>
          <w:p w14:paraId="40EE4C7D"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0F92D82"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42537C63"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17D7C998" w14:textId="77777777" w:rsidR="002865F2" w:rsidRPr="002865F2" w:rsidRDefault="002865F2" w:rsidP="00541B09">
            <w:pPr>
              <w:pStyle w:val="Tablewriting"/>
            </w:pPr>
            <w:r w:rsidRPr="002865F2">
              <w:t>$10.56</w:t>
            </w:r>
          </w:p>
        </w:tc>
        <w:tc>
          <w:tcPr>
            <w:tcW w:w="3903" w:type="dxa"/>
            <w:tcBorders>
              <w:top w:val="nil"/>
              <w:left w:val="nil"/>
              <w:bottom w:val="single" w:sz="4" w:space="0" w:color="auto"/>
              <w:right w:val="single" w:sz="4" w:space="0" w:color="auto"/>
            </w:tcBorders>
            <w:shd w:val="clear" w:color="auto" w:fill="auto"/>
            <w:hideMark/>
          </w:tcPr>
          <w:p w14:paraId="4C5D87B6" w14:textId="77777777" w:rsidR="002865F2" w:rsidRPr="002865F2" w:rsidRDefault="002865F2" w:rsidP="00541B09">
            <w:pPr>
              <w:pStyle w:val="Tablewriting"/>
            </w:pPr>
            <w:r w:rsidRPr="002865F2">
              <w:t>Fluphenazine hydrochloride, Tablet 5 mg</w:t>
            </w:r>
          </w:p>
        </w:tc>
        <w:tc>
          <w:tcPr>
            <w:tcW w:w="3773" w:type="dxa"/>
            <w:tcBorders>
              <w:top w:val="nil"/>
              <w:left w:val="nil"/>
              <w:bottom w:val="single" w:sz="4" w:space="0" w:color="auto"/>
              <w:right w:val="single" w:sz="4" w:space="0" w:color="auto"/>
            </w:tcBorders>
            <w:shd w:val="clear" w:color="auto" w:fill="auto"/>
            <w:hideMark/>
          </w:tcPr>
          <w:p w14:paraId="3B2C3380" w14:textId="60B827C3" w:rsidR="002865F2" w:rsidRPr="002865F2" w:rsidRDefault="002865F2" w:rsidP="00541B09">
            <w:pPr>
              <w:pStyle w:val="Tablewriting"/>
            </w:pPr>
            <w:r w:rsidRPr="002865F2">
              <w:t>Anatensol (</w:t>
            </w:r>
            <w:r w:rsidR="00B90086">
              <w:t>BRISTOL-MYERS SQUIBB AUSTRALIA PTY LTD</w:t>
            </w:r>
            <w:r w:rsidRPr="002865F2">
              <w:t>)</w:t>
            </w:r>
          </w:p>
        </w:tc>
      </w:tr>
      <w:tr w:rsidR="002865F2" w:rsidRPr="002865F2" w14:paraId="27DFFAE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85F4FC6" w14:textId="77777777" w:rsidR="002865F2" w:rsidRPr="002865F2" w:rsidRDefault="002865F2" w:rsidP="00541B09">
            <w:pPr>
              <w:pStyle w:val="Tablewriting"/>
            </w:pPr>
            <w:r w:rsidRPr="002865F2">
              <w:lastRenderedPageBreak/>
              <w:t>02766N</w:t>
            </w:r>
          </w:p>
        </w:tc>
        <w:tc>
          <w:tcPr>
            <w:tcW w:w="1182" w:type="dxa"/>
            <w:tcBorders>
              <w:top w:val="nil"/>
              <w:left w:val="nil"/>
              <w:bottom w:val="single" w:sz="4" w:space="0" w:color="auto"/>
              <w:right w:val="single" w:sz="4" w:space="0" w:color="auto"/>
            </w:tcBorders>
            <w:shd w:val="clear" w:color="auto" w:fill="auto"/>
            <w:hideMark/>
          </w:tcPr>
          <w:p w14:paraId="5B843180" w14:textId="77777777" w:rsidR="002865F2" w:rsidRPr="002865F2" w:rsidRDefault="002865F2" w:rsidP="00541B09">
            <w:pPr>
              <w:pStyle w:val="Tablewriting"/>
            </w:pPr>
            <w:r w:rsidRPr="002865F2">
              <w:t>01Aug1990</w:t>
            </w:r>
          </w:p>
        </w:tc>
        <w:tc>
          <w:tcPr>
            <w:tcW w:w="600" w:type="dxa"/>
            <w:tcBorders>
              <w:top w:val="nil"/>
              <w:left w:val="nil"/>
              <w:bottom w:val="single" w:sz="4" w:space="0" w:color="auto"/>
              <w:right w:val="single" w:sz="4" w:space="0" w:color="auto"/>
            </w:tcBorders>
            <w:shd w:val="clear" w:color="auto" w:fill="auto"/>
            <w:hideMark/>
          </w:tcPr>
          <w:p w14:paraId="796BDBC8"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39DB7128"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3290DBC8"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7A4C4FBC" w14:textId="77777777" w:rsidR="002865F2" w:rsidRPr="002865F2" w:rsidRDefault="002865F2" w:rsidP="00541B09">
            <w:pPr>
              <w:pStyle w:val="Tablewriting"/>
            </w:pPr>
            <w:r w:rsidRPr="002865F2">
              <w:t>$42.89</w:t>
            </w:r>
          </w:p>
        </w:tc>
        <w:tc>
          <w:tcPr>
            <w:tcW w:w="3903" w:type="dxa"/>
            <w:tcBorders>
              <w:top w:val="nil"/>
              <w:left w:val="nil"/>
              <w:bottom w:val="single" w:sz="4" w:space="0" w:color="auto"/>
              <w:right w:val="single" w:sz="4" w:space="0" w:color="auto"/>
            </w:tcBorders>
            <w:shd w:val="clear" w:color="auto" w:fill="auto"/>
            <w:hideMark/>
          </w:tcPr>
          <w:p w14:paraId="5C9BD575" w14:textId="77777777" w:rsidR="002865F2" w:rsidRPr="002865F2" w:rsidRDefault="002865F2" w:rsidP="00541B09">
            <w:pPr>
              <w:pStyle w:val="Tablewriting"/>
            </w:pPr>
            <w:r w:rsidRPr="002865F2">
              <w:t>Haloperidol decanoate, I.M. injection equivalent to 150 mg haloperidol in 3 mL ampoule</w:t>
            </w:r>
          </w:p>
        </w:tc>
        <w:tc>
          <w:tcPr>
            <w:tcW w:w="3773" w:type="dxa"/>
            <w:tcBorders>
              <w:top w:val="nil"/>
              <w:left w:val="nil"/>
              <w:bottom w:val="single" w:sz="4" w:space="0" w:color="auto"/>
              <w:right w:val="single" w:sz="4" w:space="0" w:color="auto"/>
            </w:tcBorders>
            <w:shd w:val="clear" w:color="auto" w:fill="auto"/>
            <w:hideMark/>
          </w:tcPr>
          <w:p w14:paraId="6158D493" w14:textId="7A704422" w:rsidR="002865F2" w:rsidRPr="002865F2" w:rsidRDefault="007A0CA4" w:rsidP="00541B09">
            <w:pPr>
              <w:pStyle w:val="Tablewriting"/>
            </w:pPr>
            <w:r>
              <w:t xml:space="preserve">Haldol Decanoate </w:t>
            </w:r>
            <w:r w:rsidR="002865F2" w:rsidRPr="002865F2">
              <w:t>(</w:t>
            </w:r>
            <w:r>
              <w:t>JANSSEN-CILAG PTY LTD</w:t>
            </w:r>
            <w:r w:rsidR="002865F2" w:rsidRPr="002865F2">
              <w:t>)</w:t>
            </w:r>
          </w:p>
        </w:tc>
      </w:tr>
      <w:tr w:rsidR="002865F2" w:rsidRPr="002865F2" w14:paraId="27DCC937"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6A907D2" w14:textId="77777777" w:rsidR="002865F2" w:rsidRPr="002865F2" w:rsidRDefault="002865F2" w:rsidP="00541B09">
            <w:pPr>
              <w:pStyle w:val="Tablewriting"/>
            </w:pPr>
            <w:r w:rsidRPr="002865F2">
              <w:t>02765M</w:t>
            </w:r>
          </w:p>
        </w:tc>
        <w:tc>
          <w:tcPr>
            <w:tcW w:w="1182" w:type="dxa"/>
            <w:tcBorders>
              <w:top w:val="nil"/>
              <w:left w:val="nil"/>
              <w:bottom w:val="single" w:sz="4" w:space="0" w:color="auto"/>
              <w:right w:val="single" w:sz="4" w:space="0" w:color="auto"/>
            </w:tcBorders>
            <w:shd w:val="clear" w:color="auto" w:fill="auto"/>
            <w:hideMark/>
          </w:tcPr>
          <w:p w14:paraId="2D9DDAF5" w14:textId="77777777" w:rsidR="002865F2" w:rsidRPr="002865F2" w:rsidRDefault="002865F2" w:rsidP="00541B09">
            <w:pPr>
              <w:pStyle w:val="Tablewriting"/>
            </w:pPr>
            <w:r w:rsidRPr="002865F2">
              <w:t>01Aug1990</w:t>
            </w:r>
          </w:p>
        </w:tc>
        <w:tc>
          <w:tcPr>
            <w:tcW w:w="600" w:type="dxa"/>
            <w:tcBorders>
              <w:top w:val="nil"/>
              <w:left w:val="nil"/>
              <w:bottom w:val="single" w:sz="4" w:space="0" w:color="auto"/>
              <w:right w:val="single" w:sz="4" w:space="0" w:color="auto"/>
            </w:tcBorders>
            <w:shd w:val="clear" w:color="auto" w:fill="auto"/>
            <w:hideMark/>
          </w:tcPr>
          <w:p w14:paraId="1BE5B06A"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55AD89F4"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7D923F5C"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6E95B7F0" w14:textId="77777777" w:rsidR="002865F2" w:rsidRPr="002865F2" w:rsidRDefault="002865F2" w:rsidP="00541B09">
            <w:pPr>
              <w:pStyle w:val="Tablewriting"/>
            </w:pPr>
            <w:r w:rsidRPr="002865F2">
              <w:t>$24.19</w:t>
            </w:r>
          </w:p>
        </w:tc>
        <w:tc>
          <w:tcPr>
            <w:tcW w:w="3903" w:type="dxa"/>
            <w:tcBorders>
              <w:top w:val="nil"/>
              <w:left w:val="nil"/>
              <w:bottom w:val="single" w:sz="4" w:space="0" w:color="auto"/>
              <w:right w:val="single" w:sz="4" w:space="0" w:color="auto"/>
            </w:tcBorders>
            <w:shd w:val="clear" w:color="auto" w:fill="auto"/>
            <w:hideMark/>
          </w:tcPr>
          <w:p w14:paraId="00BE5446" w14:textId="77777777" w:rsidR="002865F2" w:rsidRPr="002865F2" w:rsidRDefault="002865F2" w:rsidP="00541B09">
            <w:pPr>
              <w:pStyle w:val="Tablewriting"/>
            </w:pPr>
            <w:r w:rsidRPr="002865F2">
              <w:t>Haloperidol decanoate, I.M. injection equivalent to 50 mg haloperidol in 1 mL ampoule</w:t>
            </w:r>
          </w:p>
        </w:tc>
        <w:tc>
          <w:tcPr>
            <w:tcW w:w="3773" w:type="dxa"/>
            <w:tcBorders>
              <w:top w:val="nil"/>
              <w:left w:val="nil"/>
              <w:bottom w:val="single" w:sz="4" w:space="0" w:color="auto"/>
              <w:right w:val="single" w:sz="4" w:space="0" w:color="auto"/>
            </w:tcBorders>
            <w:shd w:val="clear" w:color="auto" w:fill="auto"/>
            <w:hideMark/>
          </w:tcPr>
          <w:p w14:paraId="20B3AC11" w14:textId="10D8BE5E" w:rsidR="002865F2" w:rsidRPr="002865F2" w:rsidRDefault="007A0CA4" w:rsidP="00541B09">
            <w:pPr>
              <w:pStyle w:val="Tablewriting"/>
            </w:pPr>
            <w:r>
              <w:t xml:space="preserve">Haldol Decanoate </w:t>
            </w:r>
            <w:r w:rsidRPr="002865F2">
              <w:t>(</w:t>
            </w:r>
            <w:r>
              <w:t>JANSSEN-CILAG PTY LTD</w:t>
            </w:r>
            <w:r w:rsidRPr="002865F2">
              <w:t>)</w:t>
            </w:r>
          </w:p>
        </w:tc>
      </w:tr>
      <w:tr w:rsidR="002865F2" w:rsidRPr="002865F2" w14:paraId="58E8078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C201B6F" w14:textId="77777777" w:rsidR="002865F2" w:rsidRPr="002865F2" w:rsidRDefault="002865F2" w:rsidP="00541B09">
            <w:pPr>
              <w:pStyle w:val="Tablewriting"/>
            </w:pPr>
            <w:r w:rsidRPr="002865F2">
              <w:t>02768Q</w:t>
            </w:r>
          </w:p>
        </w:tc>
        <w:tc>
          <w:tcPr>
            <w:tcW w:w="1182" w:type="dxa"/>
            <w:tcBorders>
              <w:top w:val="nil"/>
              <w:left w:val="nil"/>
              <w:bottom w:val="single" w:sz="4" w:space="0" w:color="auto"/>
              <w:right w:val="single" w:sz="4" w:space="0" w:color="auto"/>
            </w:tcBorders>
            <w:shd w:val="clear" w:color="auto" w:fill="auto"/>
            <w:hideMark/>
          </w:tcPr>
          <w:p w14:paraId="56C9485A" w14:textId="77777777" w:rsidR="002865F2" w:rsidRPr="002865F2" w:rsidRDefault="002865F2" w:rsidP="00541B09">
            <w:pPr>
              <w:pStyle w:val="Tablewriting"/>
            </w:pPr>
            <w:r w:rsidRPr="002865F2">
              <w:t>01Aug1968</w:t>
            </w:r>
          </w:p>
        </w:tc>
        <w:tc>
          <w:tcPr>
            <w:tcW w:w="600" w:type="dxa"/>
            <w:tcBorders>
              <w:top w:val="nil"/>
              <w:left w:val="nil"/>
              <w:bottom w:val="single" w:sz="4" w:space="0" w:color="auto"/>
              <w:right w:val="single" w:sz="4" w:space="0" w:color="auto"/>
            </w:tcBorders>
            <w:shd w:val="clear" w:color="auto" w:fill="auto"/>
            <w:hideMark/>
          </w:tcPr>
          <w:p w14:paraId="02E990D2" w14:textId="77777777" w:rsidR="002865F2" w:rsidRPr="002865F2" w:rsidRDefault="002865F2" w:rsidP="00541B09">
            <w:pPr>
              <w:pStyle w:val="Tablewriting"/>
            </w:pPr>
            <w:r w:rsidRPr="002865F2">
              <w:t>10</w:t>
            </w:r>
          </w:p>
        </w:tc>
        <w:tc>
          <w:tcPr>
            <w:tcW w:w="1068" w:type="dxa"/>
            <w:tcBorders>
              <w:top w:val="nil"/>
              <w:left w:val="nil"/>
              <w:bottom w:val="single" w:sz="4" w:space="0" w:color="auto"/>
              <w:right w:val="single" w:sz="4" w:space="0" w:color="auto"/>
            </w:tcBorders>
            <w:shd w:val="clear" w:color="auto" w:fill="auto"/>
            <w:hideMark/>
          </w:tcPr>
          <w:p w14:paraId="55657FE3" w14:textId="77777777" w:rsidR="002865F2" w:rsidRPr="002865F2" w:rsidRDefault="002865F2" w:rsidP="00541B09">
            <w:pPr>
              <w:pStyle w:val="Tablewriting"/>
            </w:pPr>
            <w:r w:rsidRPr="002865F2">
              <w:t>10</w:t>
            </w:r>
          </w:p>
        </w:tc>
        <w:tc>
          <w:tcPr>
            <w:tcW w:w="1126" w:type="dxa"/>
            <w:tcBorders>
              <w:top w:val="nil"/>
              <w:left w:val="nil"/>
              <w:bottom w:val="single" w:sz="4" w:space="0" w:color="auto"/>
              <w:right w:val="single" w:sz="4" w:space="0" w:color="auto"/>
            </w:tcBorders>
            <w:shd w:val="clear" w:color="auto" w:fill="auto"/>
            <w:hideMark/>
          </w:tcPr>
          <w:p w14:paraId="31E7F8C4"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2B3F44C1" w14:textId="77777777" w:rsidR="002865F2" w:rsidRPr="002865F2" w:rsidRDefault="002865F2" w:rsidP="00541B09">
            <w:pPr>
              <w:pStyle w:val="Tablewriting"/>
            </w:pPr>
            <w:r w:rsidRPr="002865F2">
              <w:t>$22.28</w:t>
            </w:r>
          </w:p>
        </w:tc>
        <w:tc>
          <w:tcPr>
            <w:tcW w:w="3903" w:type="dxa"/>
            <w:tcBorders>
              <w:top w:val="nil"/>
              <w:left w:val="nil"/>
              <w:bottom w:val="single" w:sz="4" w:space="0" w:color="auto"/>
              <w:right w:val="single" w:sz="4" w:space="0" w:color="auto"/>
            </w:tcBorders>
            <w:shd w:val="clear" w:color="auto" w:fill="auto"/>
            <w:hideMark/>
          </w:tcPr>
          <w:p w14:paraId="353D79E1" w14:textId="77777777" w:rsidR="002865F2" w:rsidRPr="002865F2" w:rsidRDefault="002865F2" w:rsidP="00541B09">
            <w:pPr>
              <w:pStyle w:val="Tablewriting"/>
            </w:pPr>
            <w:r w:rsidRPr="002865F2">
              <w:t>Haloperidol, Injection 5 mg in 1 mL</w:t>
            </w:r>
          </w:p>
        </w:tc>
        <w:tc>
          <w:tcPr>
            <w:tcW w:w="3773" w:type="dxa"/>
            <w:tcBorders>
              <w:top w:val="nil"/>
              <w:left w:val="nil"/>
              <w:bottom w:val="single" w:sz="4" w:space="0" w:color="auto"/>
              <w:right w:val="single" w:sz="4" w:space="0" w:color="auto"/>
            </w:tcBorders>
            <w:shd w:val="clear" w:color="auto" w:fill="auto"/>
            <w:hideMark/>
          </w:tcPr>
          <w:p w14:paraId="12797772" w14:textId="7DC2823B" w:rsidR="002865F2" w:rsidRPr="002865F2" w:rsidRDefault="002865F2" w:rsidP="00541B09">
            <w:pPr>
              <w:pStyle w:val="Tablewriting"/>
            </w:pPr>
            <w:r w:rsidRPr="002865F2">
              <w:t>Serenace (</w:t>
            </w:r>
            <w:r w:rsidR="006B7689">
              <w:t>ASPEN PHARMA PTY LTD</w:t>
            </w:r>
            <w:r w:rsidRPr="002865F2">
              <w:t>)</w:t>
            </w:r>
          </w:p>
        </w:tc>
      </w:tr>
      <w:tr w:rsidR="002865F2" w:rsidRPr="002865F2" w14:paraId="1095BE4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876ED29" w14:textId="77777777" w:rsidR="002865F2" w:rsidRPr="002865F2" w:rsidRDefault="002865F2" w:rsidP="00541B09">
            <w:pPr>
              <w:pStyle w:val="Tablewriting"/>
            </w:pPr>
            <w:r w:rsidRPr="002865F2">
              <w:t>03456X</w:t>
            </w:r>
          </w:p>
        </w:tc>
        <w:tc>
          <w:tcPr>
            <w:tcW w:w="1182" w:type="dxa"/>
            <w:tcBorders>
              <w:top w:val="nil"/>
              <w:left w:val="nil"/>
              <w:bottom w:val="single" w:sz="4" w:space="0" w:color="auto"/>
              <w:right w:val="single" w:sz="4" w:space="0" w:color="auto"/>
            </w:tcBorders>
            <w:shd w:val="clear" w:color="auto" w:fill="auto"/>
            <w:hideMark/>
          </w:tcPr>
          <w:p w14:paraId="65753388" w14:textId="77777777" w:rsidR="002865F2" w:rsidRPr="002865F2" w:rsidRDefault="002865F2" w:rsidP="00541B09">
            <w:pPr>
              <w:pStyle w:val="Tablewriting"/>
            </w:pPr>
            <w:r w:rsidRPr="002865F2">
              <w:t>01Dec1990</w:t>
            </w:r>
          </w:p>
        </w:tc>
        <w:tc>
          <w:tcPr>
            <w:tcW w:w="600" w:type="dxa"/>
            <w:tcBorders>
              <w:top w:val="nil"/>
              <w:left w:val="nil"/>
              <w:bottom w:val="single" w:sz="4" w:space="0" w:color="auto"/>
              <w:right w:val="single" w:sz="4" w:space="0" w:color="auto"/>
            </w:tcBorders>
            <w:shd w:val="clear" w:color="auto" w:fill="auto"/>
            <w:hideMark/>
          </w:tcPr>
          <w:p w14:paraId="5C46C8FD" w14:textId="77777777" w:rsidR="002865F2" w:rsidRPr="002865F2" w:rsidRDefault="002865F2" w:rsidP="00541B09">
            <w:pPr>
              <w:pStyle w:val="Tablewriting"/>
            </w:pPr>
            <w:r w:rsidRPr="002865F2">
              <w:t>10</w:t>
            </w:r>
          </w:p>
        </w:tc>
        <w:tc>
          <w:tcPr>
            <w:tcW w:w="1068" w:type="dxa"/>
            <w:tcBorders>
              <w:top w:val="nil"/>
              <w:left w:val="nil"/>
              <w:bottom w:val="single" w:sz="4" w:space="0" w:color="auto"/>
              <w:right w:val="single" w:sz="4" w:space="0" w:color="auto"/>
            </w:tcBorders>
            <w:shd w:val="clear" w:color="auto" w:fill="auto"/>
            <w:hideMark/>
          </w:tcPr>
          <w:p w14:paraId="229970EC" w14:textId="77777777" w:rsidR="002865F2" w:rsidRPr="002865F2" w:rsidRDefault="002865F2" w:rsidP="00541B09">
            <w:pPr>
              <w:pStyle w:val="Tablewriting"/>
            </w:pPr>
            <w:r w:rsidRPr="002865F2">
              <w:t>10</w:t>
            </w:r>
          </w:p>
        </w:tc>
        <w:tc>
          <w:tcPr>
            <w:tcW w:w="1126" w:type="dxa"/>
            <w:tcBorders>
              <w:top w:val="nil"/>
              <w:left w:val="nil"/>
              <w:bottom w:val="single" w:sz="4" w:space="0" w:color="auto"/>
              <w:right w:val="single" w:sz="4" w:space="0" w:color="auto"/>
            </w:tcBorders>
            <w:shd w:val="clear" w:color="auto" w:fill="auto"/>
            <w:hideMark/>
          </w:tcPr>
          <w:p w14:paraId="738DCD7F"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22117115" w14:textId="77777777" w:rsidR="002865F2" w:rsidRPr="002865F2" w:rsidRDefault="002865F2" w:rsidP="00541B09">
            <w:pPr>
              <w:pStyle w:val="Tablewriting"/>
            </w:pPr>
            <w:r w:rsidRPr="002865F2">
              <w:t>$14.31</w:t>
            </w:r>
          </w:p>
        </w:tc>
        <w:tc>
          <w:tcPr>
            <w:tcW w:w="3903" w:type="dxa"/>
            <w:tcBorders>
              <w:top w:val="nil"/>
              <w:left w:val="nil"/>
              <w:bottom w:val="single" w:sz="4" w:space="0" w:color="auto"/>
              <w:right w:val="single" w:sz="4" w:space="0" w:color="auto"/>
            </w:tcBorders>
            <w:shd w:val="clear" w:color="auto" w:fill="auto"/>
            <w:hideMark/>
          </w:tcPr>
          <w:p w14:paraId="122BF458" w14:textId="77777777" w:rsidR="002865F2" w:rsidRPr="002865F2" w:rsidRDefault="002865F2" w:rsidP="00541B09">
            <w:pPr>
              <w:pStyle w:val="Tablewriting"/>
            </w:pPr>
            <w:r w:rsidRPr="002865F2">
              <w:t>Haloperidol, Injection 5 mg in 1 mL ampoule</w:t>
            </w:r>
          </w:p>
        </w:tc>
        <w:tc>
          <w:tcPr>
            <w:tcW w:w="3773" w:type="dxa"/>
            <w:tcBorders>
              <w:top w:val="nil"/>
              <w:left w:val="nil"/>
              <w:bottom w:val="single" w:sz="4" w:space="0" w:color="auto"/>
              <w:right w:val="single" w:sz="4" w:space="0" w:color="auto"/>
            </w:tcBorders>
            <w:shd w:val="clear" w:color="auto" w:fill="auto"/>
            <w:hideMark/>
          </w:tcPr>
          <w:p w14:paraId="3B4992E9" w14:textId="79D3E771" w:rsidR="002865F2" w:rsidRPr="002865F2" w:rsidRDefault="002865F2" w:rsidP="00541B09">
            <w:pPr>
              <w:pStyle w:val="Tablewriting"/>
            </w:pPr>
            <w:r w:rsidRPr="002865F2">
              <w:t>Serenace (</w:t>
            </w:r>
            <w:r w:rsidR="006B7689">
              <w:t>ASPEN PHARMA PTY LTD</w:t>
            </w:r>
            <w:r w:rsidRPr="002865F2">
              <w:t>)</w:t>
            </w:r>
          </w:p>
        </w:tc>
      </w:tr>
      <w:tr w:rsidR="002865F2" w:rsidRPr="002865F2" w14:paraId="3F03AA6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BB258A7" w14:textId="77777777" w:rsidR="002865F2" w:rsidRPr="002865F2" w:rsidRDefault="002865F2" w:rsidP="00541B09">
            <w:pPr>
              <w:pStyle w:val="Tablewriting"/>
            </w:pPr>
            <w:r w:rsidRPr="002865F2">
              <w:t>02763K</w:t>
            </w:r>
          </w:p>
        </w:tc>
        <w:tc>
          <w:tcPr>
            <w:tcW w:w="1182" w:type="dxa"/>
            <w:tcBorders>
              <w:top w:val="nil"/>
              <w:left w:val="nil"/>
              <w:bottom w:val="single" w:sz="4" w:space="0" w:color="auto"/>
              <w:right w:val="single" w:sz="4" w:space="0" w:color="auto"/>
            </w:tcBorders>
            <w:shd w:val="clear" w:color="auto" w:fill="auto"/>
            <w:hideMark/>
          </w:tcPr>
          <w:p w14:paraId="63FFDFD9" w14:textId="77777777" w:rsidR="002865F2" w:rsidRPr="002865F2" w:rsidRDefault="002865F2" w:rsidP="00541B09">
            <w:pPr>
              <w:pStyle w:val="Tablewriting"/>
            </w:pPr>
            <w:r w:rsidRPr="002865F2">
              <w:t>01Apr1988</w:t>
            </w:r>
          </w:p>
        </w:tc>
        <w:tc>
          <w:tcPr>
            <w:tcW w:w="600" w:type="dxa"/>
            <w:tcBorders>
              <w:top w:val="nil"/>
              <w:left w:val="nil"/>
              <w:bottom w:val="single" w:sz="4" w:space="0" w:color="auto"/>
              <w:right w:val="single" w:sz="4" w:space="0" w:color="auto"/>
            </w:tcBorders>
            <w:shd w:val="clear" w:color="auto" w:fill="auto"/>
            <w:hideMark/>
          </w:tcPr>
          <w:p w14:paraId="6A3B7839"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06800E3C"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79AEBA0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F22D0FE" w14:textId="77777777" w:rsidR="002865F2" w:rsidRPr="002865F2" w:rsidRDefault="002865F2" w:rsidP="00541B09">
            <w:pPr>
              <w:pStyle w:val="Tablewriting"/>
            </w:pPr>
            <w:r w:rsidRPr="002865F2">
              <w:t>$14.22</w:t>
            </w:r>
          </w:p>
        </w:tc>
        <w:tc>
          <w:tcPr>
            <w:tcW w:w="3903" w:type="dxa"/>
            <w:tcBorders>
              <w:top w:val="nil"/>
              <w:left w:val="nil"/>
              <w:bottom w:val="single" w:sz="4" w:space="0" w:color="auto"/>
              <w:right w:val="single" w:sz="4" w:space="0" w:color="auto"/>
            </w:tcBorders>
            <w:shd w:val="clear" w:color="auto" w:fill="auto"/>
            <w:hideMark/>
          </w:tcPr>
          <w:p w14:paraId="35B87A43" w14:textId="77777777" w:rsidR="002865F2" w:rsidRPr="002865F2" w:rsidRDefault="002865F2" w:rsidP="00541B09">
            <w:pPr>
              <w:pStyle w:val="Tablewriting"/>
            </w:pPr>
            <w:r w:rsidRPr="002865F2">
              <w:t>Haloperidol, Oral solution 2 mg per mL, 100 mL</w:t>
            </w:r>
          </w:p>
        </w:tc>
        <w:tc>
          <w:tcPr>
            <w:tcW w:w="3773" w:type="dxa"/>
            <w:tcBorders>
              <w:top w:val="nil"/>
              <w:left w:val="nil"/>
              <w:bottom w:val="single" w:sz="4" w:space="0" w:color="auto"/>
              <w:right w:val="single" w:sz="4" w:space="0" w:color="auto"/>
            </w:tcBorders>
            <w:shd w:val="clear" w:color="auto" w:fill="auto"/>
            <w:hideMark/>
          </w:tcPr>
          <w:p w14:paraId="01373BF4" w14:textId="5958B5FA" w:rsidR="002865F2" w:rsidRPr="002865F2" w:rsidRDefault="002865F2" w:rsidP="00541B09">
            <w:pPr>
              <w:pStyle w:val="Tablewriting"/>
            </w:pPr>
            <w:r w:rsidRPr="002865F2">
              <w:t>Serenace (</w:t>
            </w:r>
            <w:r w:rsidR="006B7689">
              <w:t>ASPEN PHARMA PTY LTD</w:t>
            </w:r>
            <w:r w:rsidRPr="002865F2">
              <w:t>)</w:t>
            </w:r>
          </w:p>
        </w:tc>
      </w:tr>
      <w:tr w:rsidR="002865F2" w:rsidRPr="002865F2" w14:paraId="5BA3C46C"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AADE694" w14:textId="77777777" w:rsidR="002865F2" w:rsidRPr="002865F2" w:rsidRDefault="002865F2" w:rsidP="00541B09">
            <w:pPr>
              <w:pStyle w:val="Tablewriting"/>
            </w:pPr>
            <w:r w:rsidRPr="002865F2">
              <w:t>02762J</w:t>
            </w:r>
          </w:p>
        </w:tc>
        <w:tc>
          <w:tcPr>
            <w:tcW w:w="1182" w:type="dxa"/>
            <w:tcBorders>
              <w:top w:val="nil"/>
              <w:left w:val="nil"/>
              <w:bottom w:val="single" w:sz="4" w:space="0" w:color="auto"/>
              <w:right w:val="single" w:sz="4" w:space="0" w:color="auto"/>
            </w:tcBorders>
            <w:shd w:val="clear" w:color="auto" w:fill="auto"/>
            <w:hideMark/>
          </w:tcPr>
          <w:p w14:paraId="4C736593" w14:textId="77777777" w:rsidR="002865F2" w:rsidRPr="002865F2" w:rsidRDefault="002865F2" w:rsidP="00541B09">
            <w:pPr>
              <w:pStyle w:val="Tablewriting"/>
            </w:pPr>
            <w:r w:rsidRPr="002865F2">
              <w:t>01Apr1988</w:t>
            </w:r>
          </w:p>
        </w:tc>
        <w:tc>
          <w:tcPr>
            <w:tcW w:w="600" w:type="dxa"/>
            <w:tcBorders>
              <w:top w:val="nil"/>
              <w:left w:val="nil"/>
              <w:bottom w:val="single" w:sz="4" w:space="0" w:color="auto"/>
              <w:right w:val="single" w:sz="4" w:space="0" w:color="auto"/>
            </w:tcBorders>
            <w:shd w:val="clear" w:color="auto" w:fill="auto"/>
            <w:hideMark/>
          </w:tcPr>
          <w:p w14:paraId="020C9FE2"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395E4EA9"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71FC6DA7"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C07A2B7" w14:textId="77777777" w:rsidR="002865F2" w:rsidRPr="002865F2" w:rsidRDefault="002865F2" w:rsidP="00541B09">
            <w:pPr>
              <w:pStyle w:val="Tablewriting"/>
            </w:pPr>
            <w:r w:rsidRPr="002865F2">
              <w:t>$9.40</w:t>
            </w:r>
          </w:p>
        </w:tc>
        <w:tc>
          <w:tcPr>
            <w:tcW w:w="3903" w:type="dxa"/>
            <w:tcBorders>
              <w:top w:val="nil"/>
              <w:left w:val="nil"/>
              <w:bottom w:val="single" w:sz="4" w:space="0" w:color="auto"/>
              <w:right w:val="single" w:sz="4" w:space="0" w:color="auto"/>
            </w:tcBorders>
            <w:shd w:val="clear" w:color="auto" w:fill="auto"/>
            <w:hideMark/>
          </w:tcPr>
          <w:p w14:paraId="4BFA3AD8" w14:textId="3FB40E08" w:rsidR="002865F2" w:rsidRPr="002865F2" w:rsidRDefault="002865F2" w:rsidP="00541B09">
            <w:pPr>
              <w:pStyle w:val="Tablewriting"/>
            </w:pPr>
            <w:r w:rsidRPr="002865F2">
              <w:t>Haloperidol, Oral solution 2 mg per mL, 15</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59B04DC1" w14:textId="27B3429B" w:rsidR="002865F2" w:rsidRPr="002865F2" w:rsidRDefault="002865F2" w:rsidP="00541B09">
            <w:pPr>
              <w:pStyle w:val="Tablewriting"/>
            </w:pPr>
            <w:r w:rsidRPr="002865F2">
              <w:t>Serenace (</w:t>
            </w:r>
            <w:r w:rsidR="006B7689">
              <w:t>ASPEN PHARMA PTY LTD</w:t>
            </w:r>
            <w:r w:rsidRPr="002865F2">
              <w:t>)</w:t>
            </w:r>
          </w:p>
        </w:tc>
      </w:tr>
      <w:tr w:rsidR="002865F2" w:rsidRPr="002865F2" w14:paraId="22E910BA"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4B33EDF" w14:textId="77777777" w:rsidR="002865F2" w:rsidRPr="002865F2" w:rsidRDefault="002865F2" w:rsidP="00541B09">
            <w:pPr>
              <w:pStyle w:val="Tablewriting"/>
            </w:pPr>
            <w:r w:rsidRPr="002865F2">
              <w:t>02767P</w:t>
            </w:r>
          </w:p>
        </w:tc>
        <w:tc>
          <w:tcPr>
            <w:tcW w:w="1182" w:type="dxa"/>
            <w:tcBorders>
              <w:top w:val="nil"/>
              <w:left w:val="nil"/>
              <w:bottom w:val="single" w:sz="4" w:space="0" w:color="auto"/>
              <w:right w:val="single" w:sz="4" w:space="0" w:color="auto"/>
            </w:tcBorders>
            <w:shd w:val="clear" w:color="auto" w:fill="auto"/>
            <w:hideMark/>
          </w:tcPr>
          <w:p w14:paraId="5B7FD078" w14:textId="77777777" w:rsidR="002865F2" w:rsidRPr="002865F2" w:rsidRDefault="002865F2" w:rsidP="00541B09">
            <w:pPr>
              <w:pStyle w:val="Tablewriting"/>
            </w:pPr>
            <w:r w:rsidRPr="002865F2">
              <w:t>01Aug1968</w:t>
            </w:r>
          </w:p>
        </w:tc>
        <w:tc>
          <w:tcPr>
            <w:tcW w:w="600" w:type="dxa"/>
            <w:tcBorders>
              <w:top w:val="nil"/>
              <w:left w:val="nil"/>
              <w:bottom w:val="single" w:sz="4" w:space="0" w:color="auto"/>
              <w:right w:val="single" w:sz="4" w:space="0" w:color="auto"/>
            </w:tcBorders>
            <w:shd w:val="clear" w:color="auto" w:fill="auto"/>
            <w:hideMark/>
          </w:tcPr>
          <w:p w14:paraId="516D752B"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6F34C9D6"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5730011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7A5B96C" w14:textId="77777777" w:rsidR="002865F2" w:rsidRPr="002865F2" w:rsidRDefault="002865F2" w:rsidP="00541B09">
            <w:pPr>
              <w:pStyle w:val="Tablewriting"/>
            </w:pPr>
            <w:r w:rsidRPr="002865F2">
              <w:t>$8.76</w:t>
            </w:r>
          </w:p>
        </w:tc>
        <w:tc>
          <w:tcPr>
            <w:tcW w:w="3903" w:type="dxa"/>
            <w:tcBorders>
              <w:top w:val="nil"/>
              <w:left w:val="nil"/>
              <w:bottom w:val="single" w:sz="4" w:space="0" w:color="auto"/>
              <w:right w:val="single" w:sz="4" w:space="0" w:color="auto"/>
            </w:tcBorders>
            <w:shd w:val="clear" w:color="auto" w:fill="auto"/>
            <w:hideMark/>
          </w:tcPr>
          <w:p w14:paraId="5BC752AD" w14:textId="77777777" w:rsidR="002865F2" w:rsidRPr="002865F2" w:rsidRDefault="002865F2" w:rsidP="00541B09">
            <w:pPr>
              <w:pStyle w:val="Tablewriting"/>
            </w:pPr>
            <w:r w:rsidRPr="002865F2">
              <w:t>Haloperidol, Tablet 1.5 mg</w:t>
            </w:r>
          </w:p>
        </w:tc>
        <w:tc>
          <w:tcPr>
            <w:tcW w:w="3773" w:type="dxa"/>
            <w:tcBorders>
              <w:top w:val="nil"/>
              <w:left w:val="nil"/>
              <w:bottom w:val="single" w:sz="4" w:space="0" w:color="auto"/>
              <w:right w:val="single" w:sz="4" w:space="0" w:color="auto"/>
            </w:tcBorders>
            <w:shd w:val="clear" w:color="auto" w:fill="auto"/>
            <w:hideMark/>
          </w:tcPr>
          <w:p w14:paraId="08BBAD03" w14:textId="111D9652" w:rsidR="002865F2" w:rsidRPr="002865F2" w:rsidRDefault="002865F2" w:rsidP="00541B09">
            <w:pPr>
              <w:pStyle w:val="Tablewriting"/>
            </w:pPr>
            <w:r w:rsidRPr="002865F2">
              <w:t>Serenace (</w:t>
            </w:r>
            <w:r w:rsidR="006B7689">
              <w:t>ASPEN PHARMA PTY LTD</w:t>
            </w:r>
            <w:r w:rsidRPr="002865F2">
              <w:t>)</w:t>
            </w:r>
          </w:p>
        </w:tc>
      </w:tr>
      <w:tr w:rsidR="002865F2" w:rsidRPr="002865F2" w14:paraId="163A1F5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23371BB" w14:textId="77777777" w:rsidR="002865F2" w:rsidRPr="002865F2" w:rsidRDefault="002865F2" w:rsidP="00541B09">
            <w:pPr>
              <w:pStyle w:val="Tablewriting"/>
            </w:pPr>
            <w:r w:rsidRPr="002865F2">
              <w:t>02770T</w:t>
            </w:r>
          </w:p>
        </w:tc>
        <w:tc>
          <w:tcPr>
            <w:tcW w:w="1182" w:type="dxa"/>
            <w:tcBorders>
              <w:top w:val="nil"/>
              <w:left w:val="nil"/>
              <w:bottom w:val="single" w:sz="4" w:space="0" w:color="auto"/>
              <w:right w:val="single" w:sz="4" w:space="0" w:color="auto"/>
            </w:tcBorders>
            <w:shd w:val="clear" w:color="auto" w:fill="auto"/>
            <w:hideMark/>
          </w:tcPr>
          <w:p w14:paraId="6A9EFBAE" w14:textId="77777777" w:rsidR="002865F2" w:rsidRPr="002865F2" w:rsidRDefault="002865F2" w:rsidP="00541B09">
            <w:pPr>
              <w:pStyle w:val="Tablewriting"/>
            </w:pPr>
            <w:r w:rsidRPr="002865F2">
              <w:t>01Dec1977</w:t>
            </w:r>
          </w:p>
        </w:tc>
        <w:tc>
          <w:tcPr>
            <w:tcW w:w="600" w:type="dxa"/>
            <w:tcBorders>
              <w:top w:val="nil"/>
              <w:left w:val="nil"/>
              <w:bottom w:val="single" w:sz="4" w:space="0" w:color="auto"/>
              <w:right w:val="single" w:sz="4" w:space="0" w:color="auto"/>
            </w:tcBorders>
            <w:shd w:val="clear" w:color="auto" w:fill="auto"/>
            <w:hideMark/>
          </w:tcPr>
          <w:p w14:paraId="702A3FDD" w14:textId="77777777" w:rsidR="002865F2" w:rsidRPr="002865F2" w:rsidRDefault="002865F2" w:rsidP="00541B09">
            <w:pPr>
              <w:pStyle w:val="Tablewriting"/>
            </w:pPr>
            <w:r w:rsidRPr="002865F2">
              <w:t>50</w:t>
            </w:r>
          </w:p>
        </w:tc>
        <w:tc>
          <w:tcPr>
            <w:tcW w:w="1068" w:type="dxa"/>
            <w:tcBorders>
              <w:top w:val="nil"/>
              <w:left w:val="nil"/>
              <w:bottom w:val="single" w:sz="4" w:space="0" w:color="auto"/>
              <w:right w:val="single" w:sz="4" w:space="0" w:color="auto"/>
            </w:tcBorders>
            <w:shd w:val="clear" w:color="auto" w:fill="auto"/>
            <w:hideMark/>
          </w:tcPr>
          <w:p w14:paraId="1FE0F294" w14:textId="77777777" w:rsidR="002865F2" w:rsidRPr="002865F2" w:rsidRDefault="002865F2" w:rsidP="00541B09">
            <w:pPr>
              <w:pStyle w:val="Tablewriting"/>
            </w:pPr>
            <w:r w:rsidRPr="002865F2">
              <w:t>50</w:t>
            </w:r>
          </w:p>
        </w:tc>
        <w:tc>
          <w:tcPr>
            <w:tcW w:w="1126" w:type="dxa"/>
            <w:tcBorders>
              <w:top w:val="nil"/>
              <w:left w:val="nil"/>
              <w:bottom w:val="single" w:sz="4" w:space="0" w:color="auto"/>
              <w:right w:val="single" w:sz="4" w:space="0" w:color="auto"/>
            </w:tcBorders>
            <w:shd w:val="clear" w:color="auto" w:fill="auto"/>
            <w:hideMark/>
          </w:tcPr>
          <w:p w14:paraId="13C6E3D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01EB0C7" w14:textId="77777777" w:rsidR="002865F2" w:rsidRPr="002865F2" w:rsidRDefault="002865F2" w:rsidP="00541B09">
            <w:pPr>
              <w:pStyle w:val="Tablewriting"/>
            </w:pPr>
            <w:r w:rsidRPr="002865F2">
              <w:t>$8.75</w:t>
            </w:r>
          </w:p>
        </w:tc>
        <w:tc>
          <w:tcPr>
            <w:tcW w:w="3903" w:type="dxa"/>
            <w:tcBorders>
              <w:top w:val="nil"/>
              <w:left w:val="nil"/>
              <w:bottom w:val="single" w:sz="4" w:space="0" w:color="auto"/>
              <w:right w:val="single" w:sz="4" w:space="0" w:color="auto"/>
            </w:tcBorders>
            <w:shd w:val="clear" w:color="auto" w:fill="auto"/>
            <w:hideMark/>
          </w:tcPr>
          <w:p w14:paraId="447092B1" w14:textId="77777777" w:rsidR="002865F2" w:rsidRPr="002865F2" w:rsidRDefault="002865F2" w:rsidP="00541B09">
            <w:pPr>
              <w:pStyle w:val="Tablewriting"/>
            </w:pPr>
            <w:r w:rsidRPr="002865F2">
              <w:t>Haloperidol, Tablet 5 mg</w:t>
            </w:r>
          </w:p>
        </w:tc>
        <w:tc>
          <w:tcPr>
            <w:tcW w:w="3773" w:type="dxa"/>
            <w:tcBorders>
              <w:top w:val="nil"/>
              <w:left w:val="nil"/>
              <w:bottom w:val="single" w:sz="4" w:space="0" w:color="auto"/>
              <w:right w:val="single" w:sz="4" w:space="0" w:color="auto"/>
            </w:tcBorders>
            <w:shd w:val="clear" w:color="auto" w:fill="auto"/>
            <w:hideMark/>
          </w:tcPr>
          <w:p w14:paraId="2DB86652" w14:textId="5A5E5520" w:rsidR="002865F2" w:rsidRPr="002865F2" w:rsidRDefault="002865F2" w:rsidP="00541B09">
            <w:pPr>
              <w:pStyle w:val="Tablewriting"/>
            </w:pPr>
            <w:r w:rsidRPr="002865F2">
              <w:t>Serenace (</w:t>
            </w:r>
            <w:r w:rsidR="006B7689">
              <w:t>ASPEN PHARMA PTY LTD</w:t>
            </w:r>
            <w:r w:rsidRPr="002865F2">
              <w:t>)</w:t>
            </w:r>
          </w:p>
        </w:tc>
      </w:tr>
      <w:tr w:rsidR="002865F2" w:rsidRPr="002865F2" w14:paraId="1C2C444B"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ED15EB7" w14:textId="77777777" w:rsidR="002865F2" w:rsidRPr="002865F2" w:rsidRDefault="002865F2" w:rsidP="00541B09">
            <w:pPr>
              <w:pStyle w:val="Tablewriting"/>
            </w:pPr>
            <w:r w:rsidRPr="002865F2">
              <w:t>02761H</w:t>
            </w:r>
          </w:p>
        </w:tc>
        <w:tc>
          <w:tcPr>
            <w:tcW w:w="1182" w:type="dxa"/>
            <w:tcBorders>
              <w:top w:val="nil"/>
              <w:left w:val="nil"/>
              <w:bottom w:val="single" w:sz="4" w:space="0" w:color="auto"/>
              <w:right w:val="single" w:sz="4" w:space="0" w:color="auto"/>
            </w:tcBorders>
            <w:shd w:val="clear" w:color="auto" w:fill="auto"/>
            <w:hideMark/>
          </w:tcPr>
          <w:p w14:paraId="512B73F6" w14:textId="77777777" w:rsidR="002865F2" w:rsidRPr="002865F2" w:rsidRDefault="002865F2" w:rsidP="00541B09">
            <w:pPr>
              <w:pStyle w:val="Tablewriting"/>
            </w:pPr>
            <w:r w:rsidRPr="002865F2">
              <w:t>01Oct1992</w:t>
            </w:r>
          </w:p>
        </w:tc>
        <w:tc>
          <w:tcPr>
            <w:tcW w:w="600" w:type="dxa"/>
            <w:tcBorders>
              <w:top w:val="nil"/>
              <w:left w:val="nil"/>
              <w:bottom w:val="single" w:sz="4" w:space="0" w:color="auto"/>
              <w:right w:val="single" w:sz="4" w:space="0" w:color="auto"/>
            </w:tcBorders>
            <w:shd w:val="clear" w:color="auto" w:fill="auto"/>
            <w:hideMark/>
          </w:tcPr>
          <w:p w14:paraId="0B0C8A46"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7B21541A"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48A45DE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4B28B47" w14:textId="77777777" w:rsidR="002865F2" w:rsidRPr="002865F2" w:rsidRDefault="002865F2" w:rsidP="00541B09">
            <w:pPr>
              <w:pStyle w:val="Tablewriting"/>
            </w:pPr>
            <w:r w:rsidRPr="002865F2">
              <w:t>$8.13</w:t>
            </w:r>
          </w:p>
        </w:tc>
        <w:tc>
          <w:tcPr>
            <w:tcW w:w="3903" w:type="dxa"/>
            <w:tcBorders>
              <w:top w:val="nil"/>
              <w:left w:val="nil"/>
              <w:bottom w:val="single" w:sz="4" w:space="0" w:color="auto"/>
              <w:right w:val="single" w:sz="4" w:space="0" w:color="auto"/>
            </w:tcBorders>
            <w:shd w:val="clear" w:color="auto" w:fill="auto"/>
            <w:hideMark/>
          </w:tcPr>
          <w:p w14:paraId="30961D60" w14:textId="77777777" w:rsidR="002865F2" w:rsidRPr="002865F2" w:rsidRDefault="002865F2" w:rsidP="00541B09">
            <w:pPr>
              <w:pStyle w:val="Tablewriting"/>
            </w:pPr>
            <w:r w:rsidRPr="002865F2">
              <w:t>Haloperidol, Tablet 500 micrograms</w:t>
            </w:r>
          </w:p>
        </w:tc>
        <w:tc>
          <w:tcPr>
            <w:tcW w:w="3773" w:type="dxa"/>
            <w:tcBorders>
              <w:top w:val="nil"/>
              <w:left w:val="nil"/>
              <w:bottom w:val="single" w:sz="4" w:space="0" w:color="auto"/>
              <w:right w:val="single" w:sz="4" w:space="0" w:color="auto"/>
            </w:tcBorders>
            <w:shd w:val="clear" w:color="auto" w:fill="auto"/>
            <w:hideMark/>
          </w:tcPr>
          <w:p w14:paraId="09F1CC03" w14:textId="136FAE0D" w:rsidR="002865F2" w:rsidRPr="002865F2" w:rsidRDefault="002865F2" w:rsidP="00541B09">
            <w:pPr>
              <w:pStyle w:val="Tablewriting"/>
            </w:pPr>
            <w:r w:rsidRPr="002865F2">
              <w:t>Serenace (</w:t>
            </w:r>
            <w:r w:rsidR="006B7689">
              <w:t>ASPEN PHARMA PTY LTD</w:t>
            </w:r>
            <w:r w:rsidRPr="002865F2">
              <w:t>)</w:t>
            </w:r>
          </w:p>
        </w:tc>
      </w:tr>
      <w:tr w:rsidR="002865F2" w:rsidRPr="002865F2" w14:paraId="01FB4C6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944A35F" w14:textId="77777777" w:rsidR="002865F2" w:rsidRPr="002865F2" w:rsidRDefault="002865F2" w:rsidP="00541B09">
            <w:pPr>
              <w:pStyle w:val="Tablewriting"/>
            </w:pPr>
            <w:r w:rsidRPr="002865F2">
              <w:t>04251R</w:t>
            </w:r>
          </w:p>
        </w:tc>
        <w:tc>
          <w:tcPr>
            <w:tcW w:w="1182" w:type="dxa"/>
            <w:tcBorders>
              <w:top w:val="nil"/>
              <w:left w:val="nil"/>
              <w:bottom w:val="single" w:sz="4" w:space="0" w:color="auto"/>
              <w:right w:val="single" w:sz="4" w:space="0" w:color="auto"/>
            </w:tcBorders>
            <w:shd w:val="clear" w:color="auto" w:fill="auto"/>
            <w:hideMark/>
          </w:tcPr>
          <w:p w14:paraId="093C6136" w14:textId="77777777" w:rsidR="002865F2" w:rsidRPr="002865F2" w:rsidRDefault="002865F2" w:rsidP="00541B09">
            <w:pPr>
              <w:pStyle w:val="Tablewriting"/>
            </w:pPr>
            <w:r w:rsidRPr="002865F2">
              <w:t>01Aug1985</w:t>
            </w:r>
          </w:p>
        </w:tc>
        <w:tc>
          <w:tcPr>
            <w:tcW w:w="600" w:type="dxa"/>
            <w:tcBorders>
              <w:top w:val="nil"/>
              <w:left w:val="nil"/>
              <w:bottom w:val="single" w:sz="4" w:space="0" w:color="auto"/>
              <w:right w:val="single" w:sz="4" w:space="0" w:color="auto"/>
            </w:tcBorders>
            <w:shd w:val="clear" w:color="auto" w:fill="auto"/>
            <w:hideMark/>
          </w:tcPr>
          <w:p w14:paraId="6C6A0518"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3A525790"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03F61418"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126D9BF6" w14:textId="77777777" w:rsidR="002865F2" w:rsidRPr="002865F2" w:rsidRDefault="002865F2" w:rsidP="00541B09">
            <w:pPr>
              <w:pStyle w:val="Tablewriting"/>
            </w:pPr>
            <w:r w:rsidRPr="002865F2">
              <w:t>$6.07</w:t>
            </w:r>
          </w:p>
        </w:tc>
        <w:tc>
          <w:tcPr>
            <w:tcW w:w="3903" w:type="dxa"/>
            <w:tcBorders>
              <w:top w:val="nil"/>
              <w:left w:val="nil"/>
              <w:bottom w:val="single" w:sz="4" w:space="0" w:color="auto"/>
              <w:right w:val="single" w:sz="4" w:space="0" w:color="auto"/>
            </w:tcBorders>
            <w:shd w:val="clear" w:color="auto" w:fill="auto"/>
            <w:hideMark/>
          </w:tcPr>
          <w:p w14:paraId="1204EB89" w14:textId="77777777" w:rsidR="002865F2" w:rsidRPr="002865F2" w:rsidRDefault="002865F2" w:rsidP="00541B09">
            <w:pPr>
              <w:pStyle w:val="Tablewriting"/>
            </w:pPr>
            <w:r w:rsidRPr="002865F2">
              <w:t>Haloperidol, Tablet 500 micrograms</w:t>
            </w:r>
          </w:p>
        </w:tc>
        <w:tc>
          <w:tcPr>
            <w:tcW w:w="3773" w:type="dxa"/>
            <w:tcBorders>
              <w:top w:val="nil"/>
              <w:left w:val="nil"/>
              <w:bottom w:val="single" w:sz="4" w:space="0" w:color="auto"/>
              <w:right w:val="single" w:sz="4" w:space="0" w:color="auto"/>
            </w:tcBorders>
            <w:shd w:val="clear" w:color="auto" w:fill="auto"/>
            <w:hideMark/>
          </w:tcPr>
          <w:p w14:paraId="61CC9EF7" w14:textId="25E54E8B" w:rsidR="002865F2" w:rsidRPr="002865F2" w:rsidRDefault="002865F2" w:rsidP="00541B09">
            <w:pPr>
              <w:pStyle w:val="Tablewriting"/>
            </w:pPr>
            <w:r w:rsidRPr="002865F2">
              <w:t>Serenace (</w:t>
            </w:r>
            <w:r w:rsidR="006B7689">
              <w:t>ASPEN PHARMA PTY LTD</w:t>
            </w:r>
            <w:r w:rsidRPr="002865F2">
              <w:t>)</w:t>
            </w:r>
          </w:p>
        </w:tc>
      </w:tr>
      <w:tr w:rsidR="002865F2" w:rsidRPr="002865F2" w14:paraId="564BF563"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0AF3A74" w14:textId="77777777" w:rsidR="002865F2" w:rsidRPr="002865F2" w:rsidRDefault="002865F2" w:rsidP="00541B09">
            <w:pPr>
              <w:pStyle w:val="Tablewriting"/>
            </w:pPr>
            <w:r w:rsidRPr="002865F2">
              <w:t>03059B</w:t>
            </w:r>
          </w:p>
        </w:tc>
        <w:tc>
          <w:tcPr>
            <w:tcW w:w="1182" w:type="dxa"/>
            <w:tcBorders>
              <w:top w:val="nil"/>
              <w:left w:val="nil"/>
              <w:bottom w:val="single" w:sz="4" w:space="0" w:color="auto"/>
              <w:right w:val="single" w:sz="4" w:space="0" w:color="auto"/>
            </w:tcBorders>
            <w:shd w:val="clear" w:color="auto" w:fill="auto"/>
            <w:hideMark/>
          </w:tcPr>
          <w:p w14:paraId="7D62339B" w14:textId="77777777" w:rsidR="002865F2" w:rsidRPr="002865F2" w:rsidRDefault="002865F2" w:rsidP="00541B09">
            <w:pPr>
              <w:pStyle w:val="Tablewriting"/>
            </w:pPr>
            <w:r w:rsidRPr="002865F2">
              <w:t>01Dec1971</w:t>
            </w:r>
          </w:p>
        </w:tc>
        <w:tc>
          <w:tcPr>
            <w:tcW w:w="600" w:type="dxa"/>
            <w:tcBorders>
              <w:top w:val="nil"/>
              <w:left w:val="nil"/>
              <w:bottom w:val="single" w:sz="4" w:space="0" w:color="auto"/>
              <w:right w:val="single" w:sz="4" w:space="0" w:color="auto"/>
            </w:tcBorders>
            <w:shd w:val="clear" w:color="auto" w:fill="auto"/>
            <w:hideMark/>
          </w:tcPr>
          <w:p w14:paraId="3B62AC62"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537BF4CE"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556B6E6F"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15786BDF" w14:textId="77777777" w:rsidR="002865F2" w:rsidRPr="002865F2" w:rsidRDefault="002865F2" w:rsidP="00541B09">
            <w:pPr>
              <w:pStyle w:val="Tablewriting"/>
            </w:pPr>
            <w:r w:rsidRPr="002865F2">
              <w:t>$10.17</w:t>
            </w:r>
          </w:p>
        </w:tc>
        <w:tc>
          <w:tcPr>
            <w:tcW w:w="3903" w:type="dxa"/>
            <w:tcBorders>
              <w:top w:val="nil"/>
              <w:left w:val="nil"/>
              <w:bottom w:val="single" w:sz="4" w:space="0" w:color="auto"/>
              <w:right w:val="single" w:sz="4" w:space="0" w:color="auto"/>
            </w:tcBorders>
            <w:shd w:val="clear" w:color="auto" w:fill="auto"/>
            <w:hideMark/>
          </w:tcPr>
          <w:p w14:paraId="47CF11CB" w14:textId="77777777" w:rsidR="002865F2" w:rsidRPr="002865F2" w:rsidRDefault="002865F2" w:rsidP="00541B09">
            <w:pPr>
              <w:pStyle w:val="Tablewriting"/>
            </w:pPr>
            <w:r w:rsidRPr="002865F2">
              <w:t>Lithium carbonate, Tablet 250 mg</w:t>
            </w:r>
          </w:p>
        </w:tc>
        <w:tc>
          <w:tcPr>
            <w:tcW w:w="3773" w:type="dxa"/>
            <w:tcBorders>
              <w:top w:val="nil"/>
              <w:left w:val="nil"/>
              <w:bottom w:val="single" w:sz="4" w:space="0" w:color="auto"/>
              <w:right w:val="single" w:sz="4" w:space="0" w:color="auto"/>
            </w:tcBorders>
            <w:shd w:val="clear" w:color="auto" w:fill="auto"/>
            <w:hideMark/>
          </w:tcPr>
          <w:p w14:paraId="6DEA7308" w14:textId="77777777" w:rsidR="002865F2" w:rsidRPr="002865F2" w:rsidRDefault="002865F2" w:rsidP="00541B09">
            <w:pPr>
              <w:pStyle w:val="Tablewriting"/>
            </w:pPr>
            <w:r w:rsidRPr="002865F2">
              <w:t>Lithicarb (CP PROTEA)</w:t>
            </w:r>
          </w:p>
        </w:tc>
      </w:tr>
      <w:tr w:rsidR="002865F2" w:rsidRPr="002865F2" w14:paraId="2E2112A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B11BDFE" w14:textId="77777777" w:rsidR="002865F2" w:rsidRPr="002865F2" w:rsidRDefault="002865F2" w:rsidP="00541B09">
            <w:pPr>
              <w:pStyle w:val="Tablewriting"/>
            </w:pPr>
            <w:r w:rsidRPr="002865F2">
              <w:t>03060C</w:t>
            </w:r>
          </w:p>
        </w:tc>
        <w:tc>
          <w:tcPr>
            <w:tcW w:w="1182" w:type="dxa"/>
            <w:tcBorders>
              <w:top w:val="nil"/>
              <w:left w:val="nil"/>
              <w:bottom w:val="single" w:sz="4" w:space="0" w:color="auto"/>
              <w:right w:val="single" w:sz="4" w:space="0" w:color="auto"/>
            </w:tcBorders>
            <w:shd w:val="clear" w:color="auto" w:fill="auto"/>
            <w:hideMark/>
          </w:tcPr>
          <w:p w14:paraId="32B289BF" w14:textId="77777777" w:rsidR="002865F2" w:rsidRPr="002865F2" w:rsidRDefault="002865F2" w:rsidP="00541B09">
            <w:pPr>
              <w:pStyle w:val="Tablewriting"/>
            </w:pPr>
            <w:r w:rsidRPr="002865F2">
              <w:t>01Aug1981</w:t>
            </w:r>
          </w:p>
        </w:tc>
        <w:tc>
          <w:tcPr>
            <w:tcW w:w="600" w:type="dxa"/>
            <w:tcBorders>
              <w:top w:val="nil"/>
              <w:left w:val="nil"/>
              <w:bottom w:val="single" w:sz="4" w:space="0" w:color="auto"/>
              <w:right w:val="single" w:sz="4" w:space="0" w:color="auto"/>
            </w:tcBorders>
            <w:shd w:val="clear" w:color="auto" w:fill="auto"/>
            <w:hideMark/>
          </w:tcPr>
          <w:p w14:paraId="065B4160"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75E7C34F" w14:textId="77777777" w:rsidR="002865F2" w:rsidRPr="002865F2" w:rsidRDefault="002865F2" w:rsidP="00541B09">
            <w:pPr>
              <w:pStyle w:val="Tablewriting"/>
            </w:pPr>
            <w:r w:rsidRPr="002865F2">
              <w:t>200</w:t>
            </w:r>
          </w:p>
        </w:tc>
        <w:tc>
          <w:tcPr>
            <w:tcW w:w="1126" w:type="dxa"/>
            <w:tcBorders>
              <w:top w:val="nil"/>
              <w:left w:val="nil"/>
              <w:bottom w:val="single" w:sz="4" w:space="0" w:color="auto"/>
              <w:right w:val="single" w:sz="4" w:space="0" w:color="auto"/>
            </w:tcBorders>
            <w:shd w:val="clear" w:color="auto" w:fill="auto"/>
            <w:hideMark/>
          </w:tcPr>
          <w:p w14:paraId="573C99D2"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4AE5EB53" w14:textId="77777777" w:rsidR="002865F2" w:rsidRPr="002865F2" w:rsidRDefault="002865F2" w:rsidP="00541B09">
            <w:pPr>
              <w:pStyle w:val="Tablewriting"/>
            </w:pPr>
            <w:r w:rsidRPr="002865F2">
              <w:t>$18.99</w:t>
            </w:r>
          </w:p>
        </w:tc>
        <w:tc>
          <w:tcPr>
            <w:tcW w:w="3903" w:type="dxa"/>
            <w:tcBorders>
              <w:top w:val="nil"/>
              <w:left w:val="nil"/>
              <w:bottom w:val="single" w:sz="4" w:space="0" w:color="auto"/>
              <w:right w:val="single" w:sz="4" w:space="0" w:color="auto"/>
            </w:tcBorders>
            <w:shd w:val="clear" w:color="auto" w:fill="auto"/>
            <w:hideMark/>
          </w:tcPr>
          <w:p w14:paraId="7181A76A" w14:textId="77777777" w:rsidR="002865F2" w:rsidRPr="002865F2" w:rsidRDefault="002865F2" w:rsidP="00541B09">
            <w:pPr>
              <w:pStyle w:val="Tablewriting"/>
            </w:pPr>
            <w:r w:rsidRPr="002865F2">
              <w:t>Lithium carbonate, Tablet 400 mg (delayed release)</w:t>
            </w:r>
          </w:p>
        </w:tc>
        <w:tc>
          <w:tcPr>
            <w:tcW w:w="3773" w:type="dxa"/>
            <w:tcBorders>
              <w:top w:val="nil"/>
              <w:left w:val="nil"/>
              <w:bottom w:val="single" w:sz="4" w:space="0" w:color="auto"/>
              <w:right w:val="single" w:sz="4" w:space="0" w:color="auto"/>
            </w:tcBorders>
            <w:shd w:val="clear" w:color="auto" w:fill="auto"/>
            <w:hideMark/>
          </w:tcPr>
          <w:p w14:paraId="16008CAA" w14:textId="77777777" w:rsidR="002865F2" w:rsidRPr="002865F2" w:rsidRDefault="002865F2" w:rsidP="00541B09">
            <w:pPr>
              <w:pStyle w:val="Tablewriting"/>
            </w:pPr>
            <w:r w:rsidRPr="002865F2">
              <w:t>Priadel (CP PROTEA)</w:t>
            </w:r>
          </w:p>
        </w:tc>
      </w:tr>
      <w:tr w:rsidR="002865F2" w:rsidRPr="002865F2" w14:paraId="14C484C5"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5D6442C" w14:textId="77777777" w:rsidR="002865F2" w:rsidRPr="002865F2" w:rsidRDefault="002865F2" w:rsidP="00541B09">
            <w:pPr>
              <w:pStyle w:val="Tablewriting"/>
            </w:pPr>
            <w:r w:rsidRPr="002865F2">
              <w:t>10526B</w:t>
            </w:r>
          </w:p>
        </w:tc>
        <w:tc>
          <w:tcPr>
            <w:tcW w:w="1182" w:type="dxa"/>
            <w:tcBorders>
              <w:top w:val="nil"/>
              <w:left w:val="nil"/>
              <w:bottom w:val="single" w:sz="4" w:space="0" w:color="auto"/>
              <w:right w:val="single" w:sz="4" w:space="0" w:color="auto"/>
            </w:tcBorders>
            <w:shd w:val="clear" w:color="auto" w:fill="auto"/>
            <w:hideMark/>
          </w:tcPr>
          <w:p w14:paraId="48023735" w14:textId="77777777" w:rsidR="002865F2" w:rsidRPr="002865F2" w:rsidRDefault="002865F2" w:rsidP="00541B09">
            <w:pPr>
              <w:pStyle w:val="Tablewriting"/>
            </w:pPr>
            <w:r w:rsidRPr="002865F2">
              <w:t>01Nov2015</w:t>
            </w:r>
          </w:p>
        </w:tc>
        <w:tc>
          <w:tcPr>
            <w:tcW w:w="600" w:type="dxa"/>
            <w:tcBorders>
              <w:top w:val="nil"/>
              <w:left w:val="nil"/>
              <w:bottom w:val="single" w:sz="4" w:space="0" w:color="auto"/>
              <w:right w:val="single" w:sz="4" w:space="0" w:color="auto"/>
            </w:tcBorders>
            <w:shd w:val="clear" w:color="auto" w:fill="auto"/>
            <w:hideMark/>
          </w:tcPr>
          <w:p w14:paraId="180CC353"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3CADFD2D"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79D67FC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4F04291" w14:textId="77777777" w:rsidR="002865F2" w:rsidRPr="002865F2" w:rsidRDefault="002865F2" w:rsidP="00541B09">
            <w:pPr>
              <w:pStyle w:val="Tablewriting"/>
            </w:pPr>
            <w:r w:rsidRPr="002865F2">
              <w:t>$77.05</w:t>
            </w:r>
          </w:p>
        </w:tc>
        <w:tc>
          <w:tcPr>
            <w:tcW w:w="3903" w:type="dxa"/>
            <w:tcBorders>
              <w:top w:val="nil"/>
              <w:left w:val="nil"/>
              <w:bottom w:val="single" w:sz="4" w:space="0" w:color="auto"/>
              <w:right w:val="single" w:sz="4" w:space="0" w:color="auto"/>
            </w:tcBorders>
            <w:shd w:val="clear" w:color="auto" w:fill="auto"/>
            <w:hideMark/>
          </w:tcPr>
          <w:p w14:paraId="00368FB8" w14:textId="77777777" w:rsidR="002865F2" w:rsidRPr="002865F2" w:rsidRDefault="002865F2" w:rsidP="00541B09">
            <w:pPr>
              <w:pStyle w:val="Tablewriting"/>
            </w:pPr>
            <w:r w:rsidRPr="002865F2">
              <w:t>Lurasidone, Tablet containing lurasidone hydrochloride 40 mg</w:t>
            </w:r>
          </w:p>
        </w:tc>
        <w:tc>
          <w:tcPr>
            <w:tcW w:w="3773" w:type="dxa"/>
            <w:tcBorders>
              <w:top w:val="nil"/>
              <w:left w:val="nil"/>
              <w:bottom w:val="single" w:sz="4" w:space="0" w:color="auto"/>
              <w:right w:val="single" w:sz="4" w:space="0" w:color="auto"/>
            </w:tcBorders>
            <w:shd w:val="clear" w:color="auto" w:fill="auto"/>
            <w:hideMark/>
          </w:tcPr>
          <w:p w14:paraId="48342D8E" w14:textId="77777777" w:rsidR="002865F2" w:rsidRPr="002865F2" w:rsidRDefault="002865F2" w:rsidP="00541B09">
            <w:pPr>
              <w:pStyle w:val="Tablewriting"/>
            </w:pPr>
            <w:r w:rsidRPr="002865F2">
              <w:t>Latuda (SERVIER LABORATORIES (AUST)PTY LTD)</w:t>
            </w:r>
          </w:p>
        </w:tc>
      </w:tr>
      <w:tr w:rsidR="002865F2" w:rsidRPr="002865F2" w14:paraId="6E5666B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22635CF" w14:textId="77777777" w:rsidR="002865F2" w:rsidRPr="002865F2" w:rsidRDefault="002865F2" w:rsidP="00541B09">
            <w:pPr>
              <w:pStyle w:val="Tablewriting"/>
            </w:pPr>
            <w:r w:rsidRPr="002865F2">
              <w:t>10529E</w:t>
            </w:r>
          </w:p>
        </w:tc>
        <w:tc>
          <w:tcPr>
            <w:tcW w:w="1182" w:type="dxa"/>
            <w:tcBorders>
              <w:top w:val="nil"/>
              <w:left w:val="nil"/>
              <w:bottom w:val="single" w:sz="4" w:space="0" w:color="auto"/>
              <w:right w:val="single" w:sz="4" w:space="0" w:color="auto"/>
            </w:tcBorders>
            <w:shd w:val="clear" w:color="auto" w:fill="auto"/>
            <w:hideMark/>
          </w:tcPr>
          <w:p w14:paraId="1EEB218A" w14:textId="77777777" w:rsidR="002865F2" w:rsidRPr="002865F2" w:rsidRDefault="002865F2" w:rsidP="00541B09">
            <w:pPr>
              <w:pStyle w:val="Tablewriting"/>
            </w:pPr>
            <w:r w:rsidRPr="002865F2">
              <w:t>01Nov2015</w:t>
            </w:r>
          </w:p>
        </w:tc>
        <w:tc>
          <w:tcPr>
            <w:tcW w:w="600" w:type="dxa"/>
            <w:tcBorders>
              <w:top w:val="nil"/>
              <w:left w:val="nil"/>
              <w:bottom w:val="single" w:sz="4" w:space="0" w:color="auto"/>
              <w:right w:val="single" w:sz="4" w:space="0" w:color="auto"/>
            </w:tcBorders>
            <w:shd w:val="clear" w:color="auto" w:fill="auto"/>
            <w:hideMark/>
          </w:tcPr>
          <w:p w14:paraId="3D726EB8"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6A0E5C89"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4400EFDA"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2FE503D" w14:textId="77777777" w:rsidR="002865F2" w:rsidRPr="002865F2" w:rsidRDefault="002865F2" w:rsidP="00541B09">
            <w:pPr>
              <w:pStyle w:val="Tablewriting"/>
            </w:pPr>
            <w:r w:rsidRPr="002865F2">
              <w:t>$143.68</w:t>
            </w:r>
          </w:p>
        </w:tc>
        <w:tc>
          <w:tcPr>
            <w:tcW w:w="3903" w:type="dxa"/>
            <w:tcBorders>
              <w:top w:val="nil"/>
              <w:left w:val="nil"/>
              <w:bottom w:val="single" w:sz="4" w:space="0" w:color="auto"/>
              <w:right w:val="single" w:sz="4" w:space="0" w:color="auto"/>
            </w:tcBorders>
            <w:shd w:val="clear" w:color="auto" w:fill="auto"/>
            <w:hideMark/>
          </w:tcPr>
          <w:p w14:paraId="21593065" w14:textId="77777777" w:rsidR="002865F2" w:rsidRPr="002865F2" w:rsidRDefault="002865F2" w:rsidP="00541B09">
            <w:pPr>
              <w:pStyle w:val="Tablewriting"/>
            </w:pPr>
            <w:r w:rsidRPr="002865F2">
              <w:t>Lurasidone, Tablet containing lurasidone hydrochloride 80 mg</w:t>
            </w:r>
          </w:p>
        </w:tc>
        <w:tc>
          <w:tcPr>
            <w:tcW w:w="3773" w:type="dxa"/>
            <w:tcBorders>
              <w:top w:val="nil"/>
              <w:left w:val="nil"/>
              <w:bottom w:val="single" w:sz="4" w:space="0" w:color="auto"/>
              <w:right w:val="single" w:sz="4" w:space="0" w:color="auto"/>
            </w:tcBorders>
            <w:shd w:val="clear" w:color="auto" w:fill="auto"/>
            <w:hideMark/>
          </w:tcPr>
          <w:p w14:paraId="75A24C4F" w14:textId="77777777" w:rsidR="002865F2" w:rsidRPr="002865F2" w:rsidRDefault="002865F2" w:rsidP="00541B09">
            <w:pPr>
              <w:pStyle w:val="Tablewriting"/>
            </w:pPr>
            <w:r w:rsidRPr="002865F2">
              <w:t>Latuda (SERVIER LABORATORIES (AUST)PTY LTD)</w:t>
            </w:r>
          </w:p>
        </w:tc>
      </w:tr>
      <w:tr w:rsidR="002865F2" w:rsidRPr="002865F2" w14:paraId="6B77EA4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3AE4EAD" w14:textId="77777777" w:rsidR="002865F2" w:rsidRPr="002865F2" w:rsidRDefault="002865F2" w:rsidP="00541B09">
            <w:pPr>
              <w:pStyle w:val="Tablewriting"/>
            </w:pPr>
            <w:r w:rsidRPr="002865F2">
              <w:t>09294E</w:t>
            </w:r>
          </w:p>
        </w:tc>
        <w:tc>
          <w:tcPr>
            <w:tcW w:w="1182" w:type="dxa"/>
            <w:tcBorders>
              <w:top w:val="nil"/>
              <w:left w:val="nil"/>
              <w:bottom w:val="single" w:sz="4" w:space="0" w:color="auto"/>
              <w:right w:val="single" w:sz="4" w:space="0" w:color="auto"/>
            </w:tcBorders>
            <w:shd w:val="clear" w:color="auto" w:fill="auto"/>
            <w:hideMark/>
          </w:tcPr>
          <w:p w14:paraId="510CE324" w14:textId="77777777" w:rsidR="002865F2" w:rsidRPr="002865F2" w:rsidRDefault="002865F2" w:rsidP="00541B09">
            <w:pPr>
              <w:pStyle w:val="Tablewriting"/>
            </w:pPr>
            <w:r w:rsidRPr="002865F2">
              <w:t>01Dec2009</w:t>
            </w:r>
          </w:p>
        </w:tc>
        <w:tc>
          <w:tcPr>
            <w:tcW w:w="600" w:type="dxa"/>
            <w:tcBorders>
              <w:top w:val="nil"/>
              <w:left w:val="nil"/>
              <w:bottom w:val="single" w:sz="4" w:space="0" w:color="auto"/>
              <w:right w:val="single" w:sz="4" w:space="0" w:color="auto"/>
            </w:tcBorders>
            <w:shd w:val="clear" w:color="auto" w:fill="auto"/>
            <w:hideMark/>
          </w:tcPr>
          <w:p w14:paraId="7672C0EE"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2B605709"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29F7AF64"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E104EDF" w14:textId="77777777" w:rsidR="002865F2" w:rsidRPr="002865F2" w:rsidRDefault="002865F2" w:rsidP="00541B09">
            <w:pPr>
              <w:pStyle w:val="Tablewriting"/>
            </w:pPr>
            <w:r w:rsidRPr="002865F2">
              <w:t>$499.88</w:t>
            </w:r>
          </w:p>
        </w:tc>
        <w:tc>
          <w:tcPr>
            <w:tcW w:w="3903" w:type="dxa"/>
            <w:tcBorders>
              <w:top w:val="nil"/>
              <w:left w:val="nil"/>
              <w:bottom w:val="single" w:sz="4" w:space="0" w:color="auto"/>
              <w:right w:val="single" w:sz="4" w:space="0" w:color="auto"/>
            </w:tcBorders>
            <w:shd w:val="clear" w:color="auto" w:fill="auto"/>
            <w:hideMark/>
          </w:tcPr>
          <w:p w14:paraId="72AE75AF" w14:textId="77777777" w:rsidR="002865F2" w:rsidRPr="002865F2" w:rsidRDefault="002865F2" w:rsidP="00541B09">
            <w:pPr>
              <w:pStyle w:val="Tablewriting"/>
            </w:pPr>
            <w:r w:rsidRPr="002865F2">
              <w:t>Olanzapine, Powder for injection 210 mg (as pamoate monohydrate) with diluent</w:t>
            </w:r>
          </w:p>
        </w:tc>
        <w:tc>
          <w:tcPr>
            <w:tcW w:w="3773" w:type="dxa"/>
            <w:tcBorders>
              <w:top w:val="nil"/>
              <w:left w:val="nil"/>
              <w:bottom w:val="single" w:sz="4" w:space="0" w:color="auto"/>
              <w:right w:val="single" w:sz="4" w:space="0" w:color="auto"/>
            </w:tcBorders>
            <w:shd w:val="clear" w:color="auto" w:fill="auto"/>
            <w:hideMark/>
          </w:tcPr>
          <w:p w14:paraId="29E5AF04" w14:textId="77777777" w:rsidR="002865F2" w:rsidRPr="002865F2" w:rsidRDefault="002865F2" w:rsidP="00541B09">
            <w:pPr>
              <w:pStyle w:val="Tablewriting"/>
            </w:pPr>
            <w:r w:rsidRPr="002865F2">
              <w:t>Zyprexa Relprevv (ELI LILLY AUSTRALIA PTY LTD)</w:t>
            </w:r>
          </w:p>
        </w:tc>
      </w:tr>
      <w:tr w:rsidR="002865F2" w:rsidRPr="002865F2" w14:paraId="257C8F9D"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72632D48" w14:textId="77777777" w:rsidR="002865F2" w:rsidRPr="002865F2" w:rsidRDefault="002865F2" w:rsidP="00541B09">
            <w:pPr>
              <w:pStyle w:val="Tablewriting"/>
            </w:pPr>
            <w:r w:rsidRPr="002865F2">
              <w:lastRenderedPageBreak/>
              <w:t>09295F</w:t>
            </w:r>
          </w:p>
        </w:tc>
        <w:tc>
          <w:tcPr>
            <w:tcW w:w="1182" w:type="dxa"/>
            <w:tcBorders>
              <w:top w:val="nil"/>
              <w:left w:val="nil"/>
              <w:bottom w:val="single" w:sz="4" w:space="0" w:color="auto"/>
              <w:right w:val="single" w:sz="4" w:space="0" w:color="auto"/>
            </w:tcBorders>
            <w:shd w:val="clear" w:color="auto" w:fill="auto"/>
            <w:hideMark/>
          </w:tcPr>
          <w:p w14:paraId="61CD29A7" w14:textId="77777777" w:rsidR="002865F2" w:rsidRPr="002865F2" w:rsidRDefault="002865F2" w:rsidP="00541B09">
            <w:pPr>
              <w:pStyle w:val="Tablewriting"/>
            </w:pPr>
            <w:r w:rsidRPr="002865F2">
              <w:t>01Dec2009</w:t>
            </w:r>
          </w:p>
        </w:tc>
        <w:tc>
          <w:tcPr>
            <w:tcW w:w="600" w:type="dxa"/>
            <w:tcBorders>
              <w:top w:val="nil"/>
              <w:left w:val="nil"/>
              <w:bottom w:val="single" w:sz="4" w:space="0" w:color="auto"/>
              <w:right w:val="single" w:sz="4" w:space="0" w:color="auto"/>
            </w:tcBorders>
            <w:shd w:val="clear" w:color="auto" w:fill="auto"/>
            <w:hideMark/>
          </w:tcPr>
          <w:p w14:paraId="16C3C74F"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6FC1DACB"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7AF3875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B9B2C14" w14:textId="77777777" w:rsidR="002865F2" w:rsidRPr="002865F2" w:rsidRDefault="002865F2" w:rsidP="00541B09">
            <w:pPr>
              <w:pStyle w:val="Tablewriting"/>
            </w:pPr>
            <w:r w:rsidRPr="002865F2">
              <w:t>$809.26</w:t>
            </w:r>
          </w:p>
        </w:tc>
        <w:tc>
          <w:tcPr>
            <w:tcW w:w="3903" w:type="dxa"/>
            <w:tcBorders>
              <w:top w:val="nil"/>
              <w:left w:val="nil"/>
              <w:bottom w:val="single" w:sz="4" w:space="0" w:color="auto"/>
              <w:right w:val="single" w:sz="4" w:space="0" w:color="auto"/>
            </w:tcBorders>
            <w:shd w:val="clear" w:color="auto" w:fill="auto"/>
            <w:hideMark/>
          </w:tcPr>
          <w:p w14:paraId="3AF6ECA2" w14:textId="77777777" w:rsidR="002865F2" w:rsidRPr="002865F2" w:rsidRDefault="002865F2" w:rsidP="00541B09">
            <w:pPr>
              <w:pStyle w:val="Tablewriting"/>
            </w:pPr>
            <w:r w:rsidRPr="002865F2">
              <w:t>Olanzapine, Powder for injection 300 mg (as pamoate monohydrate) with diluent</w:t>
            </w:r>
          </w:p>
        </w:tc>
        <w:tc>
          <w:tcPr>
            <w:tcW w:w="3773" w:type="dxa"/>
            <w:tcBorders>
              <w:top w:val="nil"/>
              <w:left w:val="nil"/>
              <w:bottom w:val="single" w:sz="4" w:space="0" w:color="auto"/>
              <w:right w:val="single" w:sz="4" w:space="0" w:color="auto"/>
            </w:tcBorders>
            <w:shd w:val="clear" w:color="auto" w:fill="auto"/>
            <w:hideMark/>
          </w:tcPr>
          <w:p w14:paraId="2DE0D5F3" w14:textId="77777777" w:rsidR="002865F2" w:rsidRPr="002865F2" w:rsidRDefault="002865F2" w:rsidP="00541B09">
            <w:pPr>
              <w:pStyle w:val="Tablewriting"/>
            </w:pPr>
            <w:r w:rsidRPr="002865F2">
              <w:t>Zyprexa Relprevv (ELI LILLY AUSTRALIA PTY LTD)</w:t>
            </w:r>
          </w:p>
        </w:tc>
      </w:tr>
      <w:tr w:rsidR="002865F2" w:rsidRPr="002865F2" w14:paraId="2FCACAC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69E46B0" w14:textId="77777777" w:rsidR="002865F2" w:rsidRPr="002865F2" w:rsidRDefault="002865F2" w:rsidP="00541B09">
            <w:pPr>
              <w:pStyle w:val="Tablewriting"/>
            </w:pPr>
            <w:r w:rsidRPr="002865F2">
              <w:t>09303P</w:t>
            </w:r>
          </w:p>
        </w:tc>
        <w:tc>
          <w:tcPr>
            <w:tcW w:w="1182" w:type="dxa"/>
            <w:tcBorders>
              <w:top w:val="nil"/>
              <w:left w:val="nil"/>
              <w:bottom w:val="single" w:sz="4" w:space="0" w:color="auto"/>
              <w:right w:val="single" w:sz="4" w:space="0" w:color="auto"/>
            </w:tcBorders>
            <w:shd w:val="clear" w:color="auto" w:fill="auto"/>
            <w:hideMark/>
          </w:tcPr>
          <w:p w14:paraId="710AA0CE" w14:textId="77777777" w:rsidR="002865F2" w:rsidRPr="002865F2" w:rsidRDefault="002865F2" w:rsidP="00541B09">
            <w:pPr>
              <w:pStyle w:val="Tablewriting"/>
            </w:pPr>
            <w:r w:rsidRPr="002865F2">
              <w:t>01Mar2010</w:t>
            </w:r>
          </w:p>
        </w:tc>
        <w:tc>
          <w:tcPr>
            <w:tcW w:w="600" w:type="dxa"/>
            <w:tcBorders>
              <w:top w:val="nil"/>
              <w:left w:val="nil"/>
              <w:bottom w:val="single" w:sz="4" w:space="0" w:color="auto"/>
              <w:right w:val="single" w:sz="4" w:space="0" w:color="auto"/>
            </w:tcBorders>
            <w:shd w:val="clear" w:color="auto" w:fill="auto"/>
            <w:hideMark/>
          </w:tcPr>
          <w:p w14:paraId="3FC7FAFE"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75F4BB5C"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48C4B78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DC085BD" w14:textId="77777777" w:rsidR="002865F2" w:rsidRPr="002865F2" w:rsidRDefault="002865F2" w:rsidP="00541B09">
            <w:pPr>
              <w:pStyle w:val="Tablewriting"/>
            </w:pPr>
            <w:r w:rsidRPr="002865F2">
              <w:t>$499.99</w:t>
            </w:r>
          </w:p>
        </w:tc>
        <w:tc>
          <w:tcPr>
            <w:tcW w:w="3903" w:type="dxa"/>
            <w:tcBorders>
              <w:top w:val="nil"/>
              <w:left w:val="nil"/>
              <w:bottom w:val="single" w:sz="4" w:space="0" w:color="auto"/>
              <w:right w:val="single" w:sz="4" w:space="0" w:color="auto"/>
            </w:tcBorders>
            <w:shd w:val="clear" w:color="auto" w:fill="auto"/>
            <w:hideMark/>
          </w:tcPr>
          <w:p w14:paraId="1DD76E24" w14:textId="77777777" w:rsidR="002865F2" w:rsidRPr="002865F2" w:rsidRDefault="002865F2" w:rsidP="00541B09">
            <w:pPr>
              <w:pStyle w:val="Tablewriting"/>
            </w:pPr>
            <w:r w:rsidRPr="002865F2">
              <w:t>Olanzapine, Powder for injection 405 mg (as pamoate monohydrate) with diluent</w:t>
            </w:r>
          </w:p>
        </w:tc>
        <w:tc>
          <w:tcPr>
            <w:tcW w:w="3773" w:type="dxa"/>
            <w:tcBorders>
              <w:top w:val="nil"/>
              <w:left w:val="nil"/>
              <w:bottom w:val="single" w:sz="4" w:space="0" w:color="auto"/>
              <w:right w:val="single" w:sz="4" w:space="0" w:color="auto"/>
            </w:tcBorders>
            <w:shd w:val="clear" w:color="auto" w:fill="auto"/>
            <w:hideMark/>
          </w:tcPr>
          <w:p w14:paraId="6CA923AE" w14:textId="77777777" w:rsidR="002865F2" w:rsidRPr="002865F2" w:rsidRDefault="002865F2" w:rsidP="00541B09">
            <w:pPr>
              <w:pStyle w:val="Tablewriting"/>
            </w:pPr>
            <w:r w:rsidRPr="002865F2">
              <w:t>Zyprexa Relprevv (ELI LILLY AUSTRALIA PTY LTD)</w:t>
            </w:r>
          </w:p>
        </w:tc>
      </w:tr>
      <w:tr w:rsidR="002865F2" w:rsidRPr="002865F2" w14:paraId="3BAB18D0"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1D27589" w14:textId="77777777" w:rsidR="002865F2" w:rsidRPr="002865F2" w:rsidRDefault="002865F2" w:rsidP="00541B09">
            <w:pPr>
              <w:pStyle w:val="Tablewriting"/>
            </w:pPr>
            <w:r w:rsidRPr="002865F2">
              <w:t>08187X</w:t>
            </w:r>
          </w:p>
        </w:tc>
        <w:tc>
          <w:tcPr>
            <w:tcW w:w="1182" w:type="dxa"/>
            <w:tcBorders>
              <w:top w:val="nil"/>
              <w:left w:val="nil"/>
              <w:bottom w:val="single" w:sz="4" w:space="0" w:color="auto"/>
              <w:right w:val="single" w:sz="4" w:space="0" w:color="auto"/>
            </w:tcBorders>
            <w:shd w:val="clear" w:color="auto" w:fill="auto"/>
            <w:hideMark/>
          </w:tcPr>
          <w:p w14:paraId="51F3CD8E" w14:textId="77777777" w:rsidR="002865F2" w:rsidRPr="002865F2" w:rsidRDefault="002865F2" w:rsidP="00541B09">
            <w:pPr>
              <w:pStyle w:val="Tablewriting"/>
            </w:pPr>
            <w:r w:rsidRPr="002865F2">
              <w:t>01Aug1997</w:t>
            </w:r>
          </w:p>
        </w:tc>
        <w:tc>
          <w:tcPr>
            <w:tcW w:w="600" w:type="dxa"/>
            <w:tcBorders>
              <w:top w:val="nil"/>
              <w:left w:val="nil"/>
              <w:bottom w:val="single" w:sz="4" w:space="0" w:color="auto"/>
              <w:right w:val="single" w:sz="4" w:space="0" w:color="auto"/>
            </w:tcBorders>
            <w:shd w:val="clear" w:color="auto" w:fill="auto"/>
            <w:hideMark/>
          </w:tcPr>
          <w:p w14:paraId="112190B0"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4FB86A15"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70CA7FA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390AD5F" w14:textId="77777777" w:rsidR="002865F2" w:rsidRPr="002865F2" w:rsidRDefault="002865F2" w:rsidP="00541B09">
            <w:pPr>
              <w:pStyle w:val="Tablewriting"/>
            </w:pPr>
            <w:r w:rsidRPr="002865F2">
              <w:t>$221.94</w:t>
            </w:r>
          </w:p>
        </w:tc>
        <w:tc>
          <w:tcPr>
            <w:tcW w:w="3903" w:type="dxa"/>
            <w:tcBorders>
              <w:top w:val="nil"/>
              <w:left w:val="nil"/>
              <w:bottom w:val="single" w:sz="4" w:space="0" w:color="auto"/>
              <w:right w:val="single" w:sz="4" w:space="0" w:color="auto"/>
            </w:tcBorders>
            <w:shd w:val="clear" w:color="auto" w:fill="auto"/>
            <w:hideMark/>
          </w:tcPr>
          <w:p w14:paraId="0057DEB9" w14:textId="77777777" w:rsidR="002865F2" w:rsidRPr="002865F2" w:rsidRDefault="002865F2" w:rsidP="00541B09">
            <w:pPr>
              <w:pStyle w:val="Tablewriting"/>
            </w:pPr>
            <w:r w:rsidRPr="002865F2">
              <w:t>Olanzapine, Tablet 10 mg</w:t>
            </w:r>
          </w:p>
        </w:tc>
        <w:tc>
          <w:tcPr>
            <w:tcW w:w="3773" w:type="dxa"/>
            <w:tcBorders>
              <w:top w:val="nil"/>
              <w:left w:val="nil"/>
              <w:bottom w:val="single" w:sz="4" w:space="0" w:color="auto"/>
              <w:right w:val="single" w:sz="4" w:space="0" w:color="auto"/>
            </w:tcBorders>
            <w:shd w:val="clear" w:color="auto" w:fill="auto"/>
            <w:hideMark/>
          </w:tcPr>
          <w:p w14:paraId="4607FE14" w14:textId="77777777" w:rsidR="002865F2" w:rsidRPr="002865F2" w:rsidRDefault="002865F2" w:rsidP="00541B09">
            <w:pPr>
              <w:pStyle w:val="Tablewriting"/>
            </w:pPr>
            <w:r w:rsidRPr="002865F2">
              <w:t>Zyprexa (ELI LILLY AUSTRALIA PTY LTD)</w:t>
            </w:r>
          </w:p>
        </w:tc>
      </w:tr>
      <w:tr w:rsidR="002865F2" w:rsidRPr="002865F2" w14:paraId="08613801"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DE3B9BB" w14:textId="77777777" w:rsidR="002865F2" w:rsidRPr="002865F2" w:rsidRDefault="002865F2" w:rsidP="00541B09">
            <w:pPr>
              <w:pStyle w:val="Tablewriting"/>
            </w:pPr>
            <w:r w:rsidRPr="002865F2">
              <w:t>01042W</w:t>
            </w:r>
          </w:p>
        </w:tc>
        <w:tc>
          <w:tcPr>
            <w:tcW w:w="1182" w:type="dxa"/>
            <w:tcBorders>
              <w:top w:val="nil"/>
              <w:left w:val="nil"/>
              <w:bottom w:val="single" w:sz="4" w:space="0" w:color="auto"/>
              <w:right w:val="single" w:sz="4" w:space="0" w:color="auto"/>
            </w:tcBorders>
            <w:shd w:val="clear" w:color="auto" w:fill="auto"/>
            <w:hideMark/>
          </w:tcPr>
          <w:p w14:paraId="1459106E"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37D8091A"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5E20CAC"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7C0D27B4"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FB922F2" w14:textId="77777777" w:rsidR="002865F2" w:rsidRPr="002865F2" w:rsidRDefault="002865F2" w:rsidP="00541B09">
            <w:pPr>
              <w:pStyle w:val="Tablewriting"/>
            </w:pPr>
            <w:r w:rsidRPr="002865F2">
              <w:t>$93.78</w:t>
            </w:r>
          </w:p>
        </w:tc>
        <w:tc>
          <w:tcPr>
            <w:tcW w:w="3903" w:type="dxa"/>
            <w:tcBorders>
              <w:top w:val="nil"/>
              <w:left w:val="nil"/>
              <w:bottom w:val="single" w:sz="4" w:space="0" w:color="auto"/>
              <w:right w:val="single" w:sz="4" w:space="0" w:color="auto"/>
            </w:tcBorders>
            <w:shd w:val="clear" w:color="auto" w:fill="auto"/>
            <w:hideMark/>
          </w:tcPr>
          <w:p w14:paraId="1C7E6FD0" w14:textId="77777777" w:rsidR="002865F2" w:rsidRPr="002865F2" w:rsidRDefault="002865F2" w:rsidP="00541B09">
            <w:pPr>
              <w:pStyle w:val="Tablewriting"/>
            </w:pPr>
            <w:r w:rsidRPr="002865F2">
              <w:t>Olanzapine, Tablet 10 mg (as benzoate)</w:t>
            </w:r>
          </w:p>
        </w:tc>
        <w:tc>
          <w:tcPr>
            <w:tcW w:w="3773" w:type="dxa"/>
            <w:tcBorders>
              <w:top w:val="nil"/>
              <w:left w:val="nil"/>
              <w:bottom w:val="single" w:sz="4" w:space="0" w:color="auto"/>
              <w:right w:val="single" w:sz="4" w:space="0" w:color="auto"/>
            </w:tcBorders>
            <w:shd w:val="clear" w:color="auto" w:fill="auto"/>
            <w:hideMark/>
          </w:tcPr>
          <w:p w14:paraId="3994467F" w14:textId="77777777" w:rsidR="002865F2" w:rsidRPr="002865F2" w:rsidRDefault="002865F2" w:rsidP="00541B09">
            <w:pPr>
              <w:pStyle w:val="Tablewriting"/>
            </w:pPr>
            <w:r w:rsidRPr="002865F2">
              <w:t>Olanzapine generichealth 10 (GENERIC HEALTH PTY LTD)</w:t>
            </w:r>
          </w:p>
        </w:tc>
      </w:tr>
      <w:tr w:rsidR="002865F2" w:rsidRPr="002865F2" w14:paraId="3DE6836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4AE24E1" w14:textId="77777777" w:rsidR="002865F2" w:rsidRPr="002865F2" w:rsidRDefault="002865F2" w:rsidP="00541B09">
            <w:pPr>
              <w:pStyle w:val="Tablewriting"/>
            </w:pPr>
            <w:r w:rsidRPr="002865F2">
              <w:t>03382B</w:t>
            </w:r>
          </w:p>
        </w:tc>
        <w:tc>
          <w:tcPr>
            <w:tcW w:w="1182" w:type="dxa"/>
            <w:tcBorders>
              <w:top w:val="nil"/>
              <w:left w:val="nil"/>
              <w:bottom w:val="single" w:sz="4" w:space="0" w:color="auto"/>
              <w:right w:val="single" w:sz="4" w:space="0" w:color="auto"/>
            </w:tcBorders>
            <w:shd w:val="clear" w:color="auto" w:fill="auto"/>
            <w:hideMark/>
          </w:tcPr>
          <w:p w14:paraId="77C98D26"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0A38DA9A"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226F9B9"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6C46F56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940C63B" w14:textId="77777777" w:rsidR="002865F2" w:rsidRPr="002865F2" w:rsidRDefault="002865F2" w:rsidP="00541B09">
            <w:pPr>
              <w:pStyle w:val="Tablewriting"/>
            </w:pPr>
            <w:r w:rsidRPr="002865F2">
              <w:t>$93.91</w:t>
            </w:r>
          </w:p>
        </w:tc>
        <w:tc>
          <w:tcPr>
            <w:tcW w:w="3903" w:type="dxa"/>
            <w:tcBorders>
              <w:top w:val="nil"/>
              <w:left w:val="nil"/>
              <w:bottom w:val="single" w:sz="4" w:space="0" w:color="auto"/>
              <w:right w:val="single" w:sz="4" w:space="0" w:color="auto"/>
            </w:tcBorders>
            <w:shd w:val="clear" w:color="auto" w:fill="auto"/>
            <w:hideMark/>
          </w:tcPr>
          <w:p w14:paraId="4501BB98" w14:textId="77777777" w:rsidR="002865F2" w:rsidRPr="002865F2" w:rsidRDefault="002865F2" w:rsidP="00541B09">
            <w:pPr>
              <w:pStyle w:val="Tablewriting"/>
            </w:pPr>
            <w:r w:rsidRPr="002865F2">
              <w:t>Olanzapine, Tablet 10 mg (orally disintegrating)</w:t>
            </w:r>
          </w:p>
        </w:tc>
        <w:tc>
          <w:tcPr>
            <w:tcW w:w="3773" w:type="dxa"/>
            <w:tcBorders>
              <w:top w:val="nil"/>
              <w:left w:val="nil"/>
              <w:bottom w:val="single" w:sz="4" w:space="0" w:color="auto"/>
              <w:right w:val="single" w:sz="4" w:space="0" w:color="auto"/>
            </w:tcBorders>
            <w:shd w:val="clear" w:color="auto" w:fill="auto"/>
            <w:hideMark/>
          </w:tcPr>
          <w:p w14:paraId="6E86A14A" w14:textId="77777777" w:rsidR="002865F2" w:rsidRPr="002865F2" w:rsidRDefault="002865F2" w:rsidP="00541B09">
            <w:pPr>
              <w:pStyle w:val="Tablewriting"/>
            </w:pPr>
            <w:r w:rsidRPr="002865F2">
              <w:t>Olanzapine ODT generichealth 10 (GENERIC HEALTH PTY LTD)</w:t>
            </w:r>
          </w:p>
        </w:tc>
      </w:tr>
      <w:tr w:rsidR="002865F2" w:rsidRPr="002865F2" w14:paraId="669C956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F4ADE81" w14:textId="77777777" w:rsidR="002865F2" w:rsidRPr="002865F2" w:rsidRDefault="002865F2" w:rsidP="00541B09">
            <w:pPr>
              <w:pStyle w:val="Tablewriting"/>
            </w:pPr>
            <w:r w:rsidRPr="002865F2">
              <w:t>03384D</w:t>
            </w:r>
          </w:p>
        </w:tc>
        <w:tc>
          <w:tcPr>
            <w:tcW w:w="1182" w:type="dxa"/>
            <w:tcBorders>
              <w:top w:val="nil"/>
              <w:left w:val="nil"/>
              <w:bottom w:val="single" w:sz="4" w:space="0" w:color="auto"/>
              <w:right w:val="single" w:sz="4" w:space="0" w:color="auto"/>
            </w:tcBorders>
            <w:shd w:val="clear" w:color="auto" w:fill="auto"/>
            <w:hideMark/>
          </w:tcPr>
          <w:p w14:paraId="0646D289"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660772D0"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6CC735F"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C72ED3D"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003FBF3" w14:textId="77777777" w:rsidR="002865F2" w:rsidRPr="002865F2" w:rsidRDefault="002865F2" w:rsidP="00541B09">
            <w:pPr>
              <w:pStyle w:val="Tablewriting"/>
            </w:pPr>
            <w:r w:rsidRPr="002865F2">
              <w:t>$51.07</w:t>
            </w:r>
          </w:p>
        </w:tc>
        <w:tc>
          <w:tcPr>
            <w:tcW w:w="3903" w:type="dxa"/>
            <w:tcBorders>
              <w:top w:val="nil"/>
              <w:left w:val="nil"/>
              <w:bottom w:val="single" w:sz="4" w:space="0" w:color="auto"/>
              <w:right w:val="single" w:sz="4" w:space="0" w:color="auto"/>
            </w:tcBorders>
            <w:shd w:val="clear" w:color="auto" w:fill="auto"/>
            <w:hideMark/>
          </w:tcPr>
          <w:p w14:paraId="43E57B5C" w14:textId="77777777" w:rsidR="002865F2" w:rsidRPr="002865F2" w:rsidRDefault="002865F2" w:rsidP="00541B09">
            <w:pPr>
              <w:pStyle w:val="Tablewriting"/>
            </w:pPr>
            <w:r w:rsidRPr="002865F2">
              <w:t>Olanzapine, Tablet 15 mg (orally disintegrating)</w:t>
            </w:r>
          </w:p>
        </w:tc>
        <w:tc>
          <w:tcPr>
            <w:tcW w:w="3773" w:type="dxa"/>
            <w:tcBorders>
              <w:top w:val="nil"/>
              <w:left w:val="nil"/>
              <w:bottom w:val="single" w:sz="4" w:space="0" w:color="auto"/>
              <w:right w:val="single" w:sz="4" w:space="0" w:color="auto"/>
            </w:tcBorders>
            <w:shd w:val="clear" w:color="auto" w:fill="auto"/>
            <w:hideMark/>
          </w:tcPr>
          <w:p w14:paraId="55BA4958" w14:textId="77777777" w:rsidR="002865F2" w:rsidRPr="002865F2" w:rsidRDefault="002865F2" w:rsidP="00541B09">
            <w:pPr>
              <w:pStyle w:val="Tablewriting"/>
            </w:pPr>
            <w:r w:rsidRPr="002865F2">
              <w:t>Olanzapine AN ODT (AMNEAL PHARMACEUTICALS PTY LTD)</w:t>
            </w:r>
          </w:p>
        </w:tc>
      </w:tr>
      <w:tr w:rsidR="002865F2" w:rsidRPr="002865F2" w14:paraId="660E41A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01C617E" w14:textId="77777777" w:rsidR="002865F2" w:rsidRPr="002865F2" w:rsidRDefault="002865F2" w:rsidP="00541B09">
            <w:pPr>
              <w:pStyle w:val="Tablewriting"/>
            </w:pPr>
            <w:r w:rsidRPr="002865F2">
              <w:t>08170B</w:t>
            </w:r>
          </w:p>
        </w:tc>
        <w:tc>
          <w:tcPr>
            <w:tcW w:w="1182" w:type="dxa"/>
            <w:tcBorders>
              <w:top w:val="nil"/>
              <w:left w:val="nil"/>
              <w:bottom w:val="single" w:sz="4" w:space="0" w:color="auto"/>
              <w:right w:val="single" w:sz="4" w:space="0" w:color="auto"/>
            </w:tcBorders>
            <w:shd w:val="clear" w:color="auto" w:fill="auto"/>
            <w:hideMark/>
          </w:tcPr>
          <w:p w14:paraId="7BD4E6C7" w14:textId="77777777" w:rsidR="002865F2" w:rsidRPr="002865F2" w:rsidRDefault="002865F2" w:rsidP="00541B09">
            <w:pPr>
              <w:pStyle w:val="Tablewriting"/>
            </w:pPr>
            <w:r w:rsidRPr="002865F2">
              <w:t>01Aug1998</w:t>
            </w:r>
          </w:p>
        </w:tc>
        <w:tc>
          <w:tcPr>
            <w:tcW w:w="600" w:type="dxa"/>
            <w:tcBorders>
              <w:top w:val="nil"/>
              <w:left w:val="nil"/>
              <w:bottom w:val="single" w:sz="4" w:space="0" w:color="auto"/>
              <w:right w:val="single" w:sz="4" w:space="0" w:color="auto"/>
            </w:tcBorders>
            <w:shd w:val="clear" w:color="auto" w:fill="auto"/>
            <w:hideMark/>
          </w:tcPr>
          <w:p w14:paraId="31A64F7D"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444372A"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58052E68"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9D2380D" w14:textId="77777777" w:rsidR="002865F2" w:rsidRPr="002865F2" w:rsidRDefault="002865F2" w:rsidP="00541B09">
            <w:pPr>
              <w:pStyle w:val="Tablewriting"/>
            </w:pPr>
            <w:r w:rsidRPr="002865F2">
              <w:t>$53.12</w:t>
            </w:r>
          </w:p>
        </w:tc>
        <w:tc>
          <w:tcPr>
            <w:tcW w:w="3903" w:type="dxa"/>
            <w:tcBorders>
              <w:top w:val="nil"/>
              <w:left w:val="nil"/>
              <w:bottom w:val="single" w:sz="4" w:space="0" w:color="auto"/>
              <w:right w:val="single" w:sz="4" w:space="0" w:color="auto"/>
            </w:tcBorders>
            <w:shd w:val="clear" w:color="auto" w:fill="auto"/>
            <w:hideMark/>
          </w:tcPr>
          <w:p w14:paraId="70BD369E" w14:textId="77777777" w:rsidR="002865F2" w:rsidRPr="002865F2" w:rsidRDefault="002865F2" w:rsidP="00541B09">
            <w:pPr>
              <w:pStyle w:val="Tablewriting"/>
            </w:pPr>
            <w:r w:rsidRPr="002865F2">
              <w:t>Olanzapine, Tablet 2.5 mg</w:t>
            </w:r>
          </w:p>
        </w:tc>
        <w:tc>
          <w:tcPr>
            <w:tcW w:w="3773" w:type="dxa"/>
            <w:tcBorders>
              <w:top w:val="nil"/>
              <w:left w:val="nil"/>
              <w:bottom w:val="single" w:sz="4" w:space="0" w:color="auto"/>
              <w:right w:val="single" w:sz="4" w:space="0" w:color="auto"/>
            </w:tcBorders>
            <w:shd w:val="clear" w:color="auto" w:fill="auto"/>
            <w:hideMark/>
          </w:tcPr>
          <w:p w14:paraId="25E53AD2" w14:textId="77777777" w:rsidR="002865F2" w:rsidRPr="002865F2" w:rsidRDefault="002865F2" w:rsidP="00541B09">
            <w:pPr>
              <w:pStyle w:val="Tablewriting"/>
            </w:pPr>
            <w:r w:rsidRPr="002865F2">
              <w:t>Zyprexa (ELI LILLY AUSTRALIA PTY LTD)</w:t>
            </w:r>
          </w:p>
        </w:tc>
      </w:tr>
      <w:tr w:rsidR="002865F2" w:rsidRPr="002865F2" w14:paraId="5ED06619"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BF9D326" w14:textId="77777777" w:rsidR="002865F2" w:rsidRPr="002865F2" w:rsidRDefault="002865F2" w:rsidP="00541B09">
            <w:pPr>
              <w:pStyle w:val="Tablewriting"/>
            </w:pPr>
            <w:r w:rsidRPr="002865F2">
              <w:t>01024X</w:t>
            </w:r>
          </w:p>
        </w:tc>
        <w:tc>
          <w:tcPr>
            <w:tcW w:w="1182" w:type="dxa"/>
            <w:tcBorders>
              <w:top w:val="nil"/>
              <w:left w:val="nil"/>
              <w:bottom w:val="single" w:sz="4" w:space="0" w:color="auto"/>
              <w:right w:val="single" w:sz="4" w:space="0" w:color="auto"/>
            </w:tcBorders>
            <w:shd w:val="clear" w:color="auto" w:fill="auto"/>
            <w:hideMark/>
          </w:tcPr>
          <w:p w14:paraId="4A264214"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38C1DAF9"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FFA56E6"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41E4AA98"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C71586A" w14:textId="77777777" w:rsidR="002865F2" w:rsidRPr="002865F2" w:rsidRDefault="002865F2" w:rsidP="00541B09">
            <w:pPr>
              <w:pStyle w:val="Tablewriting"/>
            </w:pPr>
            <w:r w:rsidRPr="002865F2">
              <w:t>$15.57</w:t>
            </w:r>
          </w:p>
        </w:tc>
        <w:tc>
          <w:tcPr>
            <w:tcW w:w="3903" w:type="dxa"/>
            <w:tcBorders>
              <w:top w:val="nil"/>
              <w:left w:val="nil"/>
              <w:bottom w:val="single" w:sz="4" w:space="0" w:color="auto"/>
              <w:right w:val="single" w:sz="4" w:space="0" w:color="auto"/>
            </w:tcBorders>
            <w:shd w:val="clear" w:color="auto" w:fill="auto"/>
            <w:hideMark/>
          </w:tcPr>
          <w:p w14:paraId="2359DA7D" w14:textId="77777777" w:rsidR="002865F2" w:rsidRPr="002865F2" w:rsidRDefault="002865F2" w:rsidP="00541B09">
            <w:pPr>
              <w:pStyle w:val="Tablewriting"/>
            </w:pPr>
            <w:r w:rsidRPr="002865F2">
              <w:t>Olanzapine, Tablet 2.5 mg (as benzoate)</w:t>
            </w:r>
          </w:p>
        </w:tc>
        <w:tc>
          <w:tcPr>
            <w:tcW w:w="3773" w:type="dxa"/>
            <w:tcBorders>
              <w:top w:val="nil"/>
              <w:left w:val="nil"/>
              <w:bottom w:val="single" w:sz="4" w:space="0" w:color="auto"/>
              <w:right w:val="single" w:sz="4" w:space="0" w:color="auto"/>
            </w:tcBorders>
            <w:shd w:val="clear" w:color="auto" w:fill="auto"/>
            <w:hideMark/>
          </w:tcPr>
          <w:p w14:paraId="491FAA2D" w14:textId="77777777" w:rsidR="002865F2" w:rsidRPr="002865F2" w:rsidRDefault="002865F2" w:rsidP="00541B09">
            <w:pPr>
              <w:pStyle w:val="Tablewriting"/>
            </w:pPr>
            <w:r w:rsidRPr="002865F2">
              <w:t>Olanzapine generichealth 2.5 (GENERIC HEALTH PTY LTD)</w:t>
            </w:r>
          </w:p>
        </w:tc>
      </w:tr>
      <w:tr w:rsidR="002865F2" w:rsidRPr="002865F2" w14:paraId="28FADDB5"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7BE9C08B" w14:textId="77777777" w:rsidR="002865F2" w:rsidRPr="002865F2" w:rsidRDefault="002865F2" w:rsidP="00541B09">
            <w:pPr>
              <w:pStyle w:val="Tablewriting"/>
            </w:pPr>
            <w:r w:rsidRPr="002865F2">
              <w:t>03385E</w:t>
            </w:r>
          </w:p>
        </w:tc>
        <w:tc>
          <w:tcPr>
            <w:tcW w:w="1182" w:type="dxa"/>
            <w:tcBorders>
              <w:top w:val="nil"/>
              <w:left w:val="nil"/>
              <w:bottom w:val="single" w:sz="4" w:space="0" w:color="auto"/>
              <w:right w:val="single" w:sz="4" w:space="0" w:color="auto"/>
            </w:tcBorders>
            <w:shd w:val="clear" w:color="auto" w:fill="auto"/>
            <w:hideMark/>
          </w:tcPr>
          <w:p w14:paraId="518C912D"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18AA4EC8"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89D038E"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1A9E419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4462F7E" w14:textId="77777777" w:rsidR="002865F2" w:rsidRPr="002865F2" w:rsidRDefault="002865F2" w:rsidP="00541B09">
            <w:pPr>
              <w:pStyle w:val="Tablewriting"/>
            </w:pPr>
            <w:r w:rsidRPr="002865F2">
              <w:t>$119.54</w:t>
            </w:r>
          </w:p>
        </w:tc>
        <w:tc>
          <w:tcPr>
            <w:tcW w:w="3903" w:type="dxa"/>
            <w:tcBorders>
              <w:top w:val="nil"/>
              <w:left w:val="nil"/>
              <w:bottom w:val="single" w:sz="4" w:space="0" w:color="auto"/>
              <w:right w:val="single" w:sz="4" w:space="0" w:color="auto"/>
            </w:tcBorders>
            <w:shd w:val="clear" w:color="auto" w:fill="auto"/>
            <w:hideMark/>
          </w:tcPr>
          <w:p w14:paraId="5398CA1E" w14:textId="77777777" w:rsidR="002865F2" w:rsidRPr="002865F2" w:rsidRDefault="002865F2" w:rsidP="00541B09">
            <w:pPr>
              <w:pStyle w:val="Tablewriting"/>
            </w:pPr>
            <w:r w:rsidRPr="002865F2">
              <w:t>Olanzapine, Tablet 20 mg (orally disintegrating)</w:t>
            </w:r>
          </w:p>
        </w:tc>
        <w:tc>
          <w:tcPr>
            <w:tcW w:w="3773" w:type="dxa"/>
            <w:tcBorders>
              <w:top w:val="nil"/>
              <w:left w:val="nil"/>
              <w:bottom w:val="single" w:sz="4" w:space="0" w:color="auto"/>
              <w:right w:val="single" w:sz="4" w:space="0" w:color="auto"/>
            </w:tcBorders>
            <w:shd w:val="clear" w:color="auto" w:fill="auto"/>
            <w:hideMark/>
          </w:tcPr>
          <w:p w14:paraId="278EB678" w14:textId="77777777" w:rsidR="002865F2" w:rsidRPr="002865F2" w:rsidRDefault="002865F2" w:rsidP="00541B09">
            <w:pPr>
              <w:pStyle w:val="Tablewriting"/>
            </w:pPr>
            <w:r w:rsidRPr="002865F2">
              <w:t>Olanzapine AN ODT (AMNEAL PHARMACEUTICALS PTY LTD)</w:t>
            </w:r>
          </w:p>
        </w:tc>
      </w:tr>
      <w:tr w:rsidR="002865F2" w:rsidRPr="002865F2" w14:paraId="52387801"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B182080" w14:textId="77777777" w:rsidR="002865F2" w:rsidRPr="002865F2" w:rsidRDefault="002865F2" w:rsidP="00541B09">
            <w:pPr>
              <w:pStyle w:val="Tablewriting"/>
            </w:pPr>
            <w:r w:rsidRPr="002865F2">
              <w:t>08185T</w:t>
            </w:r>
          </w:p>
        </w:tc>
        <w:tc>
          <w:tcPr>
            <w:tcW w:w="1182" w:type="dxa"/>
            <w:tcBorders>
              <w:top w:val="nil"/>
              <w:left w:val="nil"/>
              <w:bottom w:val="single" w:sz="4" w:space="0" w:color="auto"/>
              <w:right w:val="single" w:sz="4" w:space="0" w:color="auto"/>
            </w:tcBorders>
            <w:shd w:val="clear" w:color="auto" w:fill="auto"/>
            <w:hideMark/>
          </w:tcPr>
          <w:p w14:paraId="27A3ADBC" w14:textId="77777777" w:rsidR="002865F2" w:rsidRPr="002865F2" w:rsidRDefault="002865F2" w:rsidP="00541B09">
            <w:pPr>
              <w:pStyle w:val="Tablewriting"/>
            </w:pPr>
            <w:r w:rsidRPr="002865F2">
              <w:t>01Aug1997</w:t>
            </w:r>
          </w:p>
        </w:tc>
        <w:tc>
          <w:tcPr>
            <w:tcW w:w="600" w:type="dxa"/>
            <w:tcBorders>
              <w:top w:val="nil"/>
              <w:left w:val="nil"/>
              <w:bottom w:val="single" w:sz="4" w:space="0" w:color="auto"/>
              <w:right w:val="single" w:sz="4" w:space="0" w:color="auto"/>
            </w:tcBorders>
            <w:shd w:val="clear" w:color="auto" w:fill="auto"/>
            <w:hideMark/>
          </w:tcPr>
          <w:p w14:paraId="4D4CD9F7" w14:textId="77777777" w:rsidR="002865F2" w:rsidRPr="002865F2" w:rsidRDefault="002865F2" w:rsidP="00541B09">
            <w:pPr>
              <w:pStyle w:val="Tablewriting"/>
            </w:pPr>
            <w:r w:rsidRPr="002865F2">
              <w:t>30</w:t>
            </w:r>
          </w:p>
        </w:tc>
        <w:tc>
          <w:tcPr>
            <w:tcW w:w="1068" w:type="dxa"/>
            <w:tcBorders>
              <w:top w:val="nil"/>
              <w:left w:val="nil"/>
              <w:bottom w:val="single" w:sz="4" w:space="0" w:color="auto"/>
              <w:right w:val="single" w:sz="4" w:space="0" w:color="auto"/>
            </w:tcBorders>
            <w:shd w:val="clear" w:color="auto" w:fill="auto"/>
            <w:hideMark/>
          </w:tcPr>
          <w:p w14:paraId="1852BC50" w14:textId="77777777" w:rsidR="002865F2" w:rsidRPr="002865F2" w:rsidRDefault="002865F2" w:rsidP="00541B09">
            <w:pPr>
              <w:pStyle w:val="Tablewriting"/>
            </w:pPr>
            <w:r w:rsidRPr="002865F2">
              <w:t>30</w:t>
            </w:r>
          </w:p>
        </w:tc>
        <w:tc>
          <w:tcPr>
            <w:tcW w:w="1126" w:type="dxa"/>
            <w:tcBorders>
              <w:top w:val="nil"/>
              <w:left w:val="nil"/>
              <w:bottom w:val="single" w:sz="4" w:space="0" w:color="auto"/>
              <w:right w:val="single" w:sz="4" w:space="0" w:color="auto"/>
            </w:tcBorders>
            <w:shd w:val="clear" w:color="auto" w:fill="auto"/>
            <w:hideMark/>
          </w:tcPr>
          <w:p w14:paraId="390F0BE6"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148514C" w14:textId="77777777" w:rsidR="002865F2" w:rsidRPr="002865F2" w:rsidRDefault="002865F2" w:rsidP="00541B09">
            <w:pPr>
              <w:pStyle w:val="Tablewriting"/>
            </w:pPr>
            <w:r w:rsidRPr="002865F2">
              <w:t>$113.06</w:t>
            </w:r>
          </w:p>
        </w:tc>
        <w:tc>
          <w:tcPr>
            <w:tcW w:w="3903" w:type="dxa"/>
            <w:tcBorders>
              <w:top w:val="nil"/>
              <w:left w:val="nil"/>
              <w:bottom w:val="single" w:sz="4" w:space="0" w:color="auto"/>
              <w:right w:val="single" w:sz="4" w:space="0" w:color="auto"/>
            </w:tcBorders>
            <w:shd w:val="clear" w:color="auto" w:fill="auto"/>
            <w:hideMark/>
          </w:tcPr>
          <w:p w14:paraId="1E6382D0" w14:textId="77777777" w:rsidR="002865F2" w:rsidRPr="002865F2" w:rsidRDefault="002865F2" w:rsidP="00541B09">
            <w:pPr>
              <w:pStyle w:val="Tablewriting"/>
            </w:pPr>
            <w:r w:rsidRPr="002865F2">
              <w:t>Olanzapine, Tablet 5 mg</w:t>
            </w:r>
          </w:p>
        </w:tc>
        <w:tc>
          <w:tcPr>
            <w:tcW w:w="3773" w:type="dxa"/>
            <w:tcBorders>
              <w:top w:val="nil"/>
              <w:left w:val="nil"/>
              <w:bottom w:val="single" w:sz="4" w:space="0" w:color="auto"/>
              <w:right w:val="single" w:sz="4" w:space="0" w:color="auto"/>
            </w:tcBorders>
            <w:shd w:val="clear" w:color="auto" w:fill="auto"/>
            <w:hideMark/>
          </w:tcPr>
          <w:p w14:paraId="6A9E33DC" w14:textId="77777777" w:rsidR="002865F2" w:rsidRPr="002865F2" w:rsidRDefault="002865F2" w:rsidP="00541B09">
            <w:pPr>
              <w:pStyle w:val="Tablewriting"/>
            </w:pPr>
            <w:r w:rsidRPr="002865F2">
              <w:t>Zyprexa (ELI LILLY AUSTRALIA PTY LTD)</w:t>
            </w:r>
          </w:p>
        </w:tc>
      </w:tr>
      <w:tr w:rsidR="002865F2" w:rsidRPr="002865F2" w14:paraId="024AD65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B60AC95" w14:textId="77777777" w:rsidR="002865F2" w:rsidRPr="002865F2" w:rsidRDefault="002865F2" w:rsidP="00541B09">
            <w:pPr>
              <w:pStyle w:val="Tablewriting"/>
            </w:pPr>
            <w:r w:rsidRPr="002865F2">
              <w:t>01037N</w:t>
            </w:r>
          </w:p>
        </w:tc>
        <w:tc>
          <w:tcPr>
            <w:tcW w:w="1182" w:type="dxa"/>
            <w:tcBorders>
              <w:top w:val="nil"/>
              <w:left w:val="nil"/>
              <w:bottom w:val="single" w:sz="4" w:space="0" w:color="auto"/>
              <w:right w:val="single" w:sz="4" w:space="0" w:color="auto"/>
            </w:tcBorders>
            <w:shd w:val="clear" w:color="auto" w:fill="auto"/>
            <w:hideMark/>
          </w:tcPr>
          <w:p w14:paraId="26C9B163"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22A6F3F7"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9EA0BC4"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2D25185"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98E23C5" w14:textId="77777777" w:rsidR="002865F2" w:rsidRPr="002865F2" w:rsidRDefault="002865F2" w:rsidP="00541B09">
            <w:pPr>
              <w:pStyle w:val="Tablewriting"/>
            </w:pPr>
            <w:r w:rsidRPr="002865F2">
              <w:t>$23.84</w:t>
            </w:r>
          </w:p>
        </w:tc>
        <w:tc>
          <w:tcPr>
            <w:tcW w:w="3903" w:type="dxa"/>
            <w:tcBorders>
              <w:top w:val="nil"/>
              <w:left w:val="nil"/>
              <w:bottom w:val="single" w:sz="4" w:space="0" w:color="auto"/>
              <w:right w:val="single" w:sz="4" w:space="0" w:color="auto"/>
            </w:tcBorders>
            <w:shd w:val="clear" w:color="auto" w:fill="auto"/>
            <w:hideMark/>
          </w:tcPr>
          <w:p w14:paraId="5CFF2F35" w14:textId="77777777" w:rsidR="002865F2" w:rsidRPr="002865F2" w:rsidRDefault="002865F2" w:rsidP="00541B09">
            <w:pPr>
              <w:pStyle w:val="Tablewriting"/>
            </w:pPr>
            <w:r w:rsidRPr="002865F2">
              <w:t>Olanzapine, Tablet 5 mg (as benzoate)</w:t>
            </w:r>
          </w:p>
        </w:tc>
        <w:tc>
          <w:tcPr>
            <w:tcW w:w="3773" w:type="dxa"/>
            <w:tcBorders>
              <w:top w:val="nil"/>
              <w:left w:val="nil"/>
              <w:bottom w:val="single" w:sz="4" w:space="0" w:color="auto"/>
              <w:right w:val="single" w:sz="4" w:space="0" w:color="auto"/>
            </w:tcBorders>
            <w:shd w:val="clear" w:color="auto" w:fill="auto"/>
            <w:hideMark/>
          </w:tcPr>
          <w:p w14:paraId="44C2DAA5" w14:textId="77777777" w:rsidR="002865F2" w:rsidRPr="002865F2" w:rsidRDefault="002865F2" w:rsidP="00541B09">
            <w:pPr>
              <w:pStyle w:val="Tablewriting"/>
            </w:pPr>
            <w:r w:rsidRPr="002865F2">
              <w:t>Olanzapine generichealth 5 (GENERIC HEALTH PTY LTD)</w:t>
            </w:r>
          </w:p>
        </w:tc>
      </w:tr>
      <w:tr w:rsidR="002865F2" w:rsidRPr="002865F2" w14:paraId="18C1B0F7"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C0D9EC0" w14:textId="77777777" w:rsidR="002865F2" w:rsidRPr="002865F2" w:rsidRDefault="002865F2" w:rsidP="00541B09">
            <w:pPr>
              <w:pStyle w:val="Tablewriting"/>
            </w:pPr>
            <w:r w:rsidRPr="002865F2">
              <w:t>03381Y</w:t>
            </w:r>
          </w:p>
        </w:tc>
        <w:tc>
          <w:tcPr>
            <w:tcW w:w="1182" w:type="dxa"/>
            <w:tcBorders>
              <w:top w:val="nil"/>
              <w:left w:val="nil"/>
              <w:bottom w:val="single" w:sz="4" w:space="0" w:color="auto"/>
              <w:right w:val="single" w:sz="4" w:space="0" w:color="auto"/>
            </w:tcBorders>
            <w:shd w:val="clear" w:color="auto" w:fill="auto"/>
            <w:hideMark/>
          </w:tcPr>
          <w:p w14:paraId="018FE8C0"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08E0AC51"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2E3F47D8"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4CB3EC2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D789B4C" w14:textId="77777777" w:rsidR="002865F2" w:rsidRPr="002865F2" w:rsidRDefault="002865F2" w:rsidP="00541B09">
            <w:pPr>
              <w:pStyle w:val="Tablewriting"/>
            </w:pPr>
            <w:r w:rsidRPr="002865F2">
              <w:t>$35.94</w:t>
            </w:r>
          </w:p>
        </w:tc>
        <w:tc>
          <w:tcPr>
            <w:tcW w:w="3903" w:type="dxa"/>
            <w:tcBorders>
              <w:top w:val="nil"/>
              <w:left w:val="nil"/>
              <w:bottom w:val="single" w:sz="4" w:space="0" w:color="auto"/>
              <w:right w:val="single" w:sz="4" w:space="0" w:color="auto"/>
            </w:tcBorders>
            <w:shd w:val="clear" w:color="auto" w:fill="auto"/>
            <w:hideMark/>
          </w:tcPr>
          <w:p w14:paraId="06EA6C62" w14:textId="77777777" w:rsidR="002865F2" w:rsidRPr="002865F2" w:rsidRDefault="002865F2" w:rsidP="00541B09">
            <w:pPr>
              <w:pStyle w:val="Tablewriting"/>
            </w:pPr>
            <w:r w:rsidRPr="002865F2">
              <w:t>Olanzapine, Tablet 5 mg (orally disintegrating)</w:t>
            </w:r>
          </w:p>
        </w:tc>
        <w:tc>
          <w:tcPr>
            <w:tcW w:w="3773" w:type="dxa"/>
            <w:tcBorders>
              <w:top w:val="nil"/>
              <w:left w:val="nil"/>
              <w:bottom w:val="single" w:sz="4" w:space="0" w:color="auto"/>
              <w:right w:val="single" w:sz="4" w:space="0" w:color="auto"/>
            </w:tcBorders>
            <w:shd w:val="clear" w:color="auto" w:fill="auto"/>
            <w:hideMark/>
          </w:tcPr>
          <w:p w14:paraId="6A4CA0CC" w14:textId="77777777" w:rsidR="002865F2" w:rsidRPr="002865F2" w:rsidRDefault="002865F2" w:rsidP="00541B09">
            <w:pPr>
              <w:pStyle w:val="Tablewriting"/>
            </w:pPr>
            <w:r w:rsidRPr="002865F2">
              <w:t>Olanzapine ODT generichealth 5 (GENERIC HEALTH PTY LTD)</w:t>
            </w:r>
          </w:p>
        </w:tc>
      </w:tr>
      <w:tr w:rsidR="002865F2" w:rsidRPr="002865F2" w14:paraId="64D3EF1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9AEBB10" w14:textId="77777777" w:rsidR="002865F2" w:rsidRPr="002865F2" w:rsidRDefault="002865F2" w:rsidP="00541B09">
            <w:pPr>
              <w:pStyle w:val="Tablewriting"/>
            </w:pPr>
            <w:r w:rsidRPr="002865F2">
              <w:t>08186W</w:t>
            </w:r>
          </w:p>
        </w:tc>
        <w:tc>
          <w:tcPr>
            <w:tcW w:w="1182" w:type="dxa"/>
            <w:tcBorders>
              <w:top w:val="nil"/>
              <w:left w:val="nil"/>
              <w:bottom w:val="single" w:sz="4" w:space="0" w:color="auto"/>
              <w:right w:val="single" w:sz="4" w:space="0" w:color="auto"/>
            </w:tcBorders>
            <w:shd w:val="clear" w:color="auto" w:fill="auto"/>
            <w:hideMark/>
          </w:tcPr>
          <w:p w14:paraId="1F4B2BA8" w14:textId="77777777" w:rsidR="002865F2" w:rsidRPr="002865F2" w:rsidRDefault="002865F2" w:rsidP="00541B09">
            <w:pPr>
              <w:pStyle w:val="Tablewriting"/>
            </w:pPr>
            <w:r w:rsidRPr="002865F2">
              <w:t>01Aug1997</w:t>
            </w:r>
          </w:p>
        </w:tc>
        <w:tc>
          <w:tcPr>
            <w:tcW w:w="600" w:type="dxa"/>
            <w:tcBorders>
              <w:top w:val="nil"/>
              <w:left w:val="nil"/>
              <w:bottom w:val="single" w:sz="4" w:space="0" w:color="auto"/>
              <w:right w:val="single" w:sz="4" w:space="0" w:color="auto"/>
            </w:tcBorders>
            <w:shd w:val="clear" w:color="auto" w:fill="auto"/>
            <w:hideMark/>
          </w:tcPr>
          <w:p w14:paraId="21D69384"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3FE5ED5E"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72D014C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3B8EF47" w14:textId="77777777" w:rsidR="002865F2" w:rsidRPr="002865F2" w:rsidRDefault="002865F2" w:rsidP="00541B09">
            <w:pPr>
              <w:pStyle w:val="Tablewriting"/>
            </w:pPr>
            <w:r w:rsidRPr="002865F2">
              <w:t>$147.11</w:t>
            </w:r>
          </w:p>
        </w:tc>
        <w:tc>
          <w:tcPr>
            <w:tcW w:w="3903" w:type="dxa"/>
            <w:tcBorders>
              <w:top w:val="nil"/>
              <w:left w:val="nil"/>
              <w:bottom w:val="single" w:sz="4" w:space="0" w:color="auto"/>
              <w:right w:val="single" w:sz="4" w:space="0" w:color="auto"/>
            </w:tcBorders>
            <w:shd w:val="clear" w:color="auto" w:fill="auto"/>
            <w:hideMark/>
          </w:tcPr>
          <w:p w14:paraId="58C0556D" w14:textId="77777777" w:rsidR="002865F2" w:rsidRPr="002865F2" w:rsidRDefault="002865F2" w:rsidP="00541B09">
            <w:pPr>
              <w:pStyle w:val="Tablewriting"/>
            </w:pPr>
            <w:r w:rsidRPr="002865F2">
              <w:t>Olanzapine, Tablet 7.5 mg</w:t>
            </w:r>
          </w:p>
        </w:tc>
        <w:tc>
          <w:tcPr>
            <w:tcW w:w="3773" w:type="dxa"/>
            <w:tcBorders>
              <w:top w:val="nil"/>
              <w:left w:val="nil"/>
              <w:bottom w:val="single" w:sz="4" w:space="0" w:color="auto"/>
              <w:right w:val="single" w:sz="4" w:space="0" w:color="auto"/>
            </w:tcBorders>
            <w:shd w:val="clear" w:color="auto" w:fill="auto"/>
            <w:hideMark/>
          </w:tcPr>
          <w:p w14:paraId="659A203F" w14:textId="77777777" w:rsidR="002865F2" w:rsidRPr="002865F2" w:rsidRDefault="002865F2" w:rsidP="00541B09">
            <w:pPr>
              <w:pStyle w:val="Tablewriting"/>
            </w:pPr>
            <w:r w:rsidRPr="002865F2">
              <w:t>Zyprexa (ELI LILLY AUSTRALIA PTY LTD)</w:t>
            </w:r>
          </w:p>
        </w:tc>
      </w:tr>
      <w:tr w:rsidR="002865F2" w:rsidRPr="002865F2" w14:paraId="69F88148"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1876BBE" w14:textId="77777777" w:rsidR="002865F2" w:rsidRPr="002865F2" w:rsidRDefault="002865F2" w:rsidP="00541B09">
            <w:pPr>
              <w:pStyle w:val="Tablewriting"/>
            </w:pPr>
            <w:r w:rsidRPr="002865F2">
              <w:t>01041T</w:t>
            </w:r>
          </w:p>
        </w:tc>
        <w:tc>
          <w:tcPr>
            <w:tcW w:w="1182" w:type="dxa"/>
            <w:tcBorders>
              <w:top w:val="nil"/>
              <w:left w:val="nil"/>
              <w:bottom w:val="single" w:sz="4" w:space="0" w:color="auto"/>
              <w:right w:val="single" w:sz="4" w:space="0" w:color="auto"/>
            </w:tcBorders>
            <w:shd w:val="clear" w:color="auto" w:fill="auto"/>
            <w:hideMark/>
          </w:tcPr>
          <w:p w14:paraId="333D2893" w14:textId="77777777" w:rsidR="002865F2" w:rsidRPr="002865F2" w:rsidRDefault="002865F2" w:rsidP="00541B09">
            <w:pPr>
              <w:pStyle w:val="Tablewriting"/>
            </w:pPr>
            <w:r w:rsidRPr="002865F2">
              <w:t>01Apr2012</w:t>
            </w:r>
          </w:p>
        </w:tc>
        <w:tc>
          <w:tcPr>
            <w:tcW w:w="600" w:type="dxa"/>
            <w:tcBorders>
              <w:top w:val="nil"/>
              <w:left w:val="nil"/>
              <w:bottom w:val="single" w:sz="4" w:space="0" w:color="auto"/>
              <w:right w:val="single" w:sz="4" w:space="0" w:color="auto"/>
            </w:tcBorders>
            <w:shd w:val="clear" w:color="auto" w:fill="auto"/>
            <w:hideMark/>
          </w:tcPr>
          <w:p w14:paraId="4C4A4CFE"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97891F3"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018403C7"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0919D5E" w14:textId="77777777" w:rsidR="002865F2" w:rsidRPr="002865F2" w:rsidRDefault="002865F2" w:rsidP="00541B09">
            <w:pPr>
              <w:pStyle w:val="Tablewriting"/>
            </w:pPr>
            <w:r w:rsidRPr="002865F2">
              <w:t>$72.00</w:t>
            </w:r>
          </w:p>
        </w:tc>
        <w:tc>
          <w:tcPr>
            <w:tcW w:w="3903" w:type="dxa"/>
            <w:tcBorders>
              <w:top w:val="nil"/>
              <w:left w:val="nil"/>
              <w:bottom w:val="single" w:sz="4" w:space="0" w:color="auto"/>
              <w:right w:val="single" w:sz="4" w:space="0" w:color="auto"/>
            </w:tcBorders>
            <w:shd w:val="clear" w:color="auto" w:fill="auto"/>
            <w:hideMark/>
          </w:tcPr>
          <w:p w14:paraId="2D4F0235" w14:textId="77777777" w:rsidR="002865F2" w:rsidRPr="002865F2" w:rsidRDefault="002865F2" w:rsidP="00541B09">
            <w:pPr>
              <w:pStyle w:val="Tablewriting"/>
            </w:pPr>
            <w:r w:rsidRPr="002865F2">
              <w:t>Olanzapine, Tablet 7.5 mg (as benzoate)</w:t>
            </w:r>
          </w:p>
        </w:tc>
        <w:tc>
          <w:tcPr>
            <w:tcW w:w="3773" w:type="dxa"/>
            <w:tcBorders>
              <w:top w:val="nil"/>
              <w:left w:val="nil"/>
              <w:bottom w:val="single" w:sz="4" w:space="0" w:color="auto"/>
              <w:right w:val="single" w:sz="4" w:space="0" w:color="auto"/>
            </w:tcBorders>
            <w:shd w:val="clear" w:color="auto" w:fill="auto"/>
            <w:hideMark/>
          </w:tcPr>
          <w:p w14:paraId="4B146F23" w14:textId="77777777" w:rsidR="002865F2" w:rsidRPr="002865F2" w:rsidRDefault="002865F2" w:rsidP="00541B09">
            <w:pPr>
              <w:pStyle w:val="Tablewriting"/>
            </w:pPr>
            <w:r w:rsidRPr="002865F2">
              <w:t>Olanzapine generichealth 7.5 (GENERIC HEALTH PTY LTD)</w:t>
            </w:r>
          </w:p>
        </w:tc>
      </w:tr>
      <w:tr w:rsidR="002865F2" w:rsidRPr="002865F2" w14:paraId="71660354"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D8492C0" w14:textId="77777777" w:rsidR="002865F2" w:rsidRPr="002865F2" w:rsidRDefault="002865F2" w:rsidP="00541B09">
            <w:pPr>
              <w:pStyle w:val="Tablewriting"/>
            </w:pPr>
            <w:r w:rsidRPr="002865F2">
              <w:t>08434X</w:t>
            </w:r>
          </w:p>
        </w:tc>
        <w:tc>
          <w:tcPr>
            <w:tcW w:w="1182" w:type="dxa"/>
            <w:tcBorders>
              <w:top w:val="nil"/>
              <w:left w:val="nil"/>
              <w:bottom w:val="single" w:sz="4" w:space="0" w:color="auto"/>
              <w:right w:val="single" w:sz="4" w:space="0" w:color="auto"/>
            </w:tcBorders>
            <w:shd w:val="clear" w:color="auto" w:fill="auto"/>
            <w:hideMark/>
          </w:tcPr>
          <w:p w14:paraId="61FEC9A8" w14:textId="77777777" w:rsidR="002865F2" w:rsidRPr="002865F2" w:rsidRDefault="002865F2" w:rsidP="00541B09">
            <w:pPr>
              <w:pStyle w:val="Tablewriting"/>
            </w:pPr>
            <w:r w:rsidRPr="002865F2">
              <w:t>01Aug2000</w:t>
            </w:r>
          </w:p>
        </w:tc>
        <w:tc>
          <w:tcPr>
            <w:tcW w:w="600" w:type="dxa"/>
            <w:tcBorders>
              <w:top w:val="nil"/>
              <w:left w:val="nil"/>
              <w:bottom w:val="single" w:sz="4" w:space="0" w:color="auto"/>
              <w:right w:val="single" w:sz="4" w:space="0" w:color="auto"/>
            </w:tcBorders>
            <w:shd w:val="clear" w:color="auto" w:fill="auto"/>
            <w:hideMark/>
          </w:tcPr>
          <w:p w14:paraId="068B2041"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22611882"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01F6043A"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60CE61B" w14:textId="77777777" w:rsidR="002865F2" w:rsidRPr="002865F2" w:rsidRDefault="002865F2" w:rsidP="00541B09">
            <w:pPr>
              <w:pStyle w:val="Tablewriting"/>
            </w:pPr>
            <w:r w:rsidRPr="002865F2">
              <w:t>$208.65</w:t>
            </w:r>
          </w:p>
        </w:tc>
        <w:tc>
          <w:tcPr>
            <w:tcW w:w="3903" w:type="dxa"/>
            <w:tcBorders>
              <w:top w:val="nil"/>
              <w:left w:val="nil"/>
              <w:bottom w:val="single" w:sz="4" w:space="0" w:color="auto"/>
              <w:right w:val="single" w:sz="4" w:space="0" w:color="auto"/>
            </w:tcBorders>
            <w:shd w:val="clear" w:color="auto" w:fill="auto"/>
            <w:hideMark/>
          </w:tcPr>
          <w:p w14:paraId="47E48D20" w14:textId="77777777" w:rsidR="002865F2" w:rsidRPr="002865F2" w:rsidRDefault="002865F2" w:rsidP="00541B09">
            <w:pPr>
              <w:pStyle w:val="Tablewriting"/>
            </w:pPr>
            <w:r w:rsidRPr="002865F2">
              <w:t>Olanzapine, Wafer 10 mg</w:t>
            </w:r>
          </w:p>
        </w:tc>
        <w:tc>
          <w:tcPr>
            <w:tcW w:w="3773" w:type="dxa"/>
            <w:tcBorders>
              <w:top w:val="nil"/>
              <w:left w:val="nil"/>
              <w:bottom w:val="single" w:sz="4" w:space="0" w:color="auto"/>
              <w:right w:val="single" w:sz="4" w:space="0" w:color="auto"/>
            </w:tcBorders>
            <w:shd w:val="clear" w:color="auto" w:fill="auto"/>
            <w:hideMark/>
          </w:tcPr>
          <w:p w14:paraId="2606E403" w14:textId="77777777" w:rsidR="002865F2" w:rsidRPr="002865F2" w:rsidRDefault="002865F2" w:rsidP="00541B09">
            <w:pPr>
              <w:pStyle w:val="Tablewriting"/>
            </w:pPr>
            <w:r w:rsidRPr="002865F2">
              <w:t>Zyprexa Zydis (ELI LILLY AUSTRALIA PTY LTD)</w:t>
            </w:r>
          </w:p>
        </w:tc>
      </w:tr>
      <w:tr w:rsidR="002865F2" w:rsidRPr="002865F2" w14:paraId="3D43A62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19AAF37" w14:textId="77777777" w:rsidR="002865F2" w:rsidRPr="002865F2" w:rsidRDefault="002865F2" w:rsidP="00541B09">
            <w:pPr>
              <w:pStyle w:val="Tablewriting"/>
            </w:pPr>
            <w:r w:rsidRPr="002865F2">
              <w:lastRenderedPageBreak/>
              <w:t>08952E</w:t>
            </w:r>
          </w:p>
        </w:tc>
        <w:tc>
          <w:tcPr>
            <w:tcW w:w="1182" w:type="dxa"/>
            <w:tcBorders>
              <w:top w:val="nil"/>
              <w:left w:val="nil"/>
              <w:bottom w:val="single" w:sz="4" w:space="0" w:color="auto"/>
              <w:right w:val="single" w:sz="4" w:space="0" w:color="auto"/>
            </w:tcBorders>
            <w:shd w:val="clear" w:color="auto" w:fill="auto"/>
            <w:hideMark/>
          </w:tcPr>
          <w:p w14:paraId="5640BB01" w14:textId="77777777" w:rsidR="002865F2" w:rsidRPr="002865F2" w:rsidRDefault="002865F2" w:rsidP="00541B09">
            <w:pPr>
              <w:pStyle w:val="Tablewriting"/>
            </w:pPr>
            <w:r w:rsidRPr="002865F2">
              <w:t>01Apr2011</w:t>
            </w:r>
          </w:p>
        </w:tc>
        <w:tc>
          <w:tcPr>
            <w:tcW w:w="600" w:type="dxa"/>
            <w:tcBorders>
              <w:top w:val="nil"/>
              <w:left w:val="nil"/>
              <w:bottom w:val="single" w:sz="4" w:space="0" w:color="auto"/>
              <w:right w:val="single" w:sz="4" w:space="0" w:color="auto"/>
            </w:tcBorders>
            <w:shd w:val="clear" w:color="auto" w:fill="auto"/>
            <w:hideMark/>
          </w:tcPr>
          <w:p w14:paraId="0C52F01B"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64D1EE02"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64A4B76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E1C4A0D" w14:textId="77777777" w:rsidR="002865F2" w:rsidRPr="002865F2" w:rsidRDefault="002865F2" w:rsidP="00541B09">
            <w:pPr>
              <w:pStyle w:val="Tablewriting"/>
            </w:pPr>
            <w:r w:rsidRPr="002865F2">
              <w:t>$239.39</w:t>
            </w:r>
          </w:p>
        </w:tc>
        <w:tc>
          <w:tcPr>
            <w:tcW w:w="3903" w:type="dxa"/>
            <w:tcBorders>
              <w:top w:val="nil"/>
              <w:left w:val="nil"/>
              <w:bottom w:val="single" w:sz="4" w:space="0" w:color="auto"/>
              <w:right w:val="single" w:sz="4" w:space="0" w:color="auto"/>
            </w:tcBorders>
            <w:shd w:val="clear" w:color="auto" w:fill="auto"/>
            <w:hideMark/>
          </w:tcPr>
          <w:p w14:paraId="3E519C94" w14:textId="77777777" w:rsidR="002865F2" w:rsidRPr="002865F2" w:rsidRDefault="002865F2" w:rsidP="00541B09">
            <w:pPr>
              <w:pStyle w:val="Tablewriting"/>
            </w:pPr>
            <w:r w:rsidRPr="002865F2">
              <w:t>Olanzapine, Wafer 15 mg</w:t>
            </w:r>
          </w:p>
        </w:tc>
        <w:tc>
          <w:tcPr>
            <w:tcW w:w="3773" w:type="dxa"/>
            <w:tcBorders>
              <w:top w:val="nil"/>
              <w:left w:val="nil"/>
              <w:bottom w:val="single" w:sz="4" w:space="0" w:color="auto"/>
              <w:right w:val="single" w:sz="4" w:space="0" w:color="auto"/>
            </w:tcBorders>
            <w:shd w:val="clear" w:color="auto" w:fill="auto"/>
            <w:hideMark/>
          </w:tcPr>
          <w:p w14:paraId="5BF0BB05" w14:textId="77777777" w:rsidR="002865F2" w:rsidRPr="002865F2" w:rsidRDefault="002865F2" w:rsidP="00541B09">
            <w:pPr>
              <w:pStyle w:val="Tablewriting"/>
            </w:pPr>
            <w:r w:rsidRPr="002865F2">
              <w:t>Zyprexa Zydis (ELI LILLY AUSTRALIA PTY LTD)</w:t>
            </w:r>
          </w:p>
        </w:tc>
      </w:tr>
      <w:tr w:rsidR="002865F2" w:rsidRPr="002865F2" w14:paraId="26BC821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74AF3BF" w14:textId="77777777" w:rsidR="002865F2" w:rsidRPr="002865F2" w:rsidRDefault="002865F2" w:rsidP="00541B09">
            <w:pPr>
              <w:pStyle w:val="Tablewriting"/>
            </w:pPr>
            <w:r w:rsidRPr="002865F2">
              <w:t>08953F</w:t>
            </w:r>
          </w:p>
        </w:tc>
        <w:tc>
          <w:tcPr>
            <w:tcW w:w="1182" w:type="dxa"/>
            <w:tcBorders>
              <w:top w:val="nil"/>
              <w:left w:val="nil"/>
              <w:bottom w:val="single" w:sz="4" w:space="0" w:color="auto"/>
              <w:right w:val="single" w:sz="4" w:space="0" w:color="auto"/>
            </w:tcBorders>
            <w:shd w:val="clear" w:color="auto" w:fill="auto"/>
            <w:hideMark/>
          </w:tcPr>
          <w:p w14:paraId="4175D9B4" w14:textId="77777777" w:rsidR="002865F2" w:rsidRPr="002865F2" w:rsidRDefault="002865F2" w:rsidP="00541B09">
            <w:pPr>
              <w:pStyle w:val="Tablewriting"/>
            </w:pPr>
            <w:r w:rsidRPr="002865F2">
              <w:t>01Apr2011</w:t>
            </w:r>
          </w:p>
        </w:tc>
        <w:tc>
          <w:tcPr>
            <w:tcW w:w="600" w:type="dxa"/>
            <w:tcBorders>
              <w:top w:val="nil"/>
              <w:left w:val="nil"/>
              <w:bottom w:val="single" w:sz="4" w:space="0" w:color="auto"/>
              <w:right w:val="single" w:sz="4" w:space="0" w:color="auto"/>
            </w:tcBorders>
            <w:shd w:val="clear" w:color="auto" w:fill="auto"/>
            <w:hideMark/>
          </w:tcPr>
          <w:p w14:paraId="612D96C5"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2CFDEF3D"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4CFD1AD"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3AB9D82" w14:textId="77777777" w:rsidR="002865F2" w:rsidRPr="002865F2" w:rsidRDefault="002865F2" w:rsidP="00541B09">
            <w:pPr>
              <w:pStyle w:val="Tablewriting"/>
            </w:pPr>
            <w:r w:rsidRPr="002865F2">
              <w:t>$311.11</w:t>
            </w:r>
          </w:p>
        </w:tc>
        <w:tc>
          <w:tcPr>
            <w:tcW w:w="3903" w:type="dxa"/>
            <w:tcBorders>
              <w:top w:val="nil"/>
              <w:left w:val="nil"/>
              <w:bottom w:val="single" w:sz="4" w:space="0" w:color="auto"/>
              <w:right w:val="single" w:sz="4" w:space="0" w:color="auto"/>
            </w:tcBorders>
            <w:shd w:val="clear" w:color="auto" w:fill="auto"/>
            <w:hideMark/>
          </w:tcPr>
          <w:p w14:paraId="79C65EE3" w14:textId="77777777" w:rsidR="002865F2" w:rsidRPr="002865F2" w:rsidRDefault="002865F2" w:rsidP="00541B09">
            <w:pPr>
              <w:pStyle w:val="Tablewriting"/>
            </w:pPr>
            <w:r w:rsidRPr="002865F2">
              <w:t>Olanzapine, Wafer 20 mg</w:t>
            </w:r>
          </w:p>
        </w:tc>
        <w:tc>
          <w:tcPr>
            <w:tcW w:w="3773" w:type="dxa"/>
            <w:tcBorders>
              <w:top w:val="nil"/>
              <w:left w:val="nil"/>
              <w:bottom w:val="single" w:sz="4" w:space="0" w:color="auto"/>
              <w:right w:val="single" w:sz="4" w:space="0" w:color="auto"/>
            </w:tcBorders>
            <w:shd w:val="clear" w:color="auto" w:fill="auto"/>
            <w:hideMark/>
          </w:tcPr>
          <w:p w14:paraId="4A33226D" w14:textId="77777777" w:rsidR="002865F2" w:rsidRPr="002865F2" w:rsidRDefault="002865F2" w:rsidP="00541B09">
            <w:pPr>
              <w:pStyle w:val="Tablewriting"/>
            </w:pPr>
            <w:r w:rsidRPr="002865F2">
              <w:t>Zyprexa Zydis (ELI LILLY AUSTRALIA PTY LTD)</w:t>
            </w:r>
          </w:p>
        </w:tc>
      </w:tr>
      <w:tr w:rsidR="002865F2" w:rsidRPr="002865F2" w14:paraId="3B73A9C6"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8D7AC09" w14:textId="77777777" w:rsidR="002865F2" w:rsidRPr="002865F2" w:rsidRDefault="002865F2" w:rsidP="00541B09">
            <w:pPr>
              <w:pStyle w:val="Tablewriting"/>
            </w:pPr>
            <w:r w:rsidRPr="002865F2">
              <w:t>08433W</w:t>
            </w:r>
          </w:p>
        </w:tc>
        <w:tc>
          <w:tcPr>
            <w:tcW w:w="1182" w:type="dxa"/>
            <w:tcBorders>
              <w:top w:val="nil"/>
              <w:left w:val="nil"/>
              <w:bottom w:val="single" w:sz="4" w:space="0" w:color="auto"/>
              <w:right w:val="single" w:sz="4" w:space="0" w:color="auto"/>
            </w:tcBorders>
            <w:shd w:val="clear" w:color="auto" w:fill="auto"/>
            <w:hideMark/>
          </w:tcPr>
          <w:p w14:paraId="74EF9C86" w14:textId="77777777" w:rsidR="002865F2" w:rsidRPr="002865F2" w:rsidRDefault="002865F2" w:rsidP="00541B09">
            <w:pPr>
              <w:pStyle w:val="Tablewriting"/>
            </w:pPr>
            <w:r w:rsidRPr="002865F2">
              <w:t>01Aug2000</w:t>
            </w:r>
          </w:p>
        </w:tc>
        <w:tc>
          <w:tcPr>
            <w:tcW w:w="600" w:type="dxa"/>
            <w:tcBorders>
              <w:top w:val="nil"/>
              <w:left w:val="nil"/>
              <w:bottom w:val="single" w:sz="4" w:space="0" w:color="auto"/>
              <w:right w:val="single" w:sz="4" w:space="0" w:color="auto"/>
            </w:tcBorders>
            <w:shd w:val="clear" w:color="auto" w:fill="auto"/>
            <w:hideMark/>
          </w:tcPr>
          <w:p w14:paraId="2754B6EB"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7FA20F8"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51CFD4DC"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D25E50C" w14:textId="77777777" w:rsidR="002865F2" w:rsidRPr="002865F2" w:rsidRDefault="002865F2" w:rsidP="00541B09">
            <w:pPr>
              <w:pStyle w:val="Tablewriting"/>
            </w:pPr>
            <w:r w:rsidRPr="002865F2">
              <w:t>$99.27</w:t>
            </w:r>
          </w:p>
        </w:tc>
        <w:tc>
          <w:tcPr>
            <w:tcW w:w="3903" w:type="dxa"/>
            <w:tcBorders>
              <w:top w:val="nil"/>
              <w:left w:val="nil"/>
              <w:bottom w:val="single" w:sz="4" w:space="0" w:color="auto"/>
              <w:right w:val="single" w:sz="4" w:space="0" w:color="auto"/>
            </w:tcBorders>
            <w:shd w:val="clear" w:color="auto" w:fill="auto"/>
            <w:hideMark/>
          </w:tcPr>
          <w:p w14:paraId="21D0D122" w14:textId="77777777" w:rsidR="002865F2" w:rsidRPr="002865F2" w:rsidRDefault="002865F2" w:rsidP="00541B09">
            <w:pPr>
              <w:pStyle w:val="Tablewriting"/>
            </w:pPr>
            <w:r w:rsidRPr="002865F2">
              <w:t>Olanzapine, Wafer 5 mg</w:t>
            </w:r>
          </w:p>
        </w:tc>
        <w:tc>
          <w:tcPr>
            <w:tcW w:w="3773" w:type="dxa"/>
            <w:tcBorders>
              <w:top w:val="nil"/>
              <w:left w:val="nil"/>
              <w:bottom w:val="single" w:sz="4" w:space="0" w:color="auto"/>
              <w:right w:val="single" w:sz="4" w:space="0" w:color="auto"/>
            </w:tcBorders>
            <w:shd w:val="clear" w:color="auto" w:fill="auto"/>
            <w:hideMark/>
          </w:tcPr>
          <w:p w14:paraId="62F3BBAC" w14:textId="77777777" w:rsidR="002865F2" w:rsidRPr="002865F2" w:rsidRDefault="002865F2" w:rsidP="00541B09">
            <w:pPr>
              <w:pStyle w:val="Tablewriting"/>
            </w:pPr>
            <w:r w:rsidRPr="002865F2">
              <w:t>Zyprexa Zydis (ELI LILLY AUSTRALIA PTY LTD)</w:t>
            </w:r>
          </w:p>
        </w:tc>
      </w:tr>
      <w:tr w:rsidR="002865F2" w:rsidRPr="002865F2" w14:paraId="2EF0CEEE"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F44E72C" w14:textId="77777777" w:rsidR="002865F2" w:rsidRPr="002865F2" w:rsidRDefault="002865F2" w:rsidP="00541B09">
            <w:pPr>
              <w:pStyle w:val="Tablewriting"/>
            </w:pPr>
            <w:r w:rsidRPr="002865F2">
              <w:t>05107T</w:t>
            </w:r>
          </w:p>
        </w:tc>
        <w:tc>
          <w:tcPr>
            <w:tcW w:w="1182" w:type="dxa"/>
            <w:tcBorders>
              <w:top w:val="nil"/>
              <w:left w:val="nil"/>
              <w:bottom w:val="single" w:sz="4" w:space="0" w:color="auto"/>
              <w:right w:val="single" w:sz="4" w:space="0" w:color="auto"/>
            </w:tcBorders>
            <w:shd w:val="clear" w:color="auto" w:fill="auto"/>
            <w:hideMark/>
          </w:tcPr>
          <w:p w14:paraId="71655F71"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590B77CC"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27FFAFCB"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1707BAB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E91D7C4" w14:textId="77777777" w:rsidR="002865F2" w:rsidRPr="002865F2" w:rsidRDefault="002865F2" w:rsidP="00541B09">
            <w:pPr>
              <w:pStyle w:val="Tablewriting"/>
            </w:pPr>
            <w:r w:rsidRPr="002865F2">
              <w:t>$440.69</w:t>
            </w:r>
          </w:p>
        </w:tc>
        <w:tc>
          <w:tcPr>
            <w:tcW w:w="3903" w:type="dxa"/>
            <w:tcBorders>
              <w:top w:val="nil"/>
              <w:left w:val="nil"/>
              <w:bottom w:val="single" w:sz="4" w:space="0" w:color="auto"/>
              <w:right w:val="single" w:sz="4" w:space="0" w:color="auto"/>
            </w:tcBorders>
            <w:shd w:val="clear" w:color="auto" w:fill="auto"/>
            <w:hideMark/>
          </w:tcPr>
          <w:p w14:paraId="5C0F4E45" w14:textId="77777777" w:rsidR="002865F2" w:rsidRPr="002865F2" w:rsidRDefault="002865F2" w:rsidP="00541B09">
            <w:pPr>
              <w:pStyle w:val="Tablewriting"/>
            </w:pPr>
            <w:r w:rsidRPr="002865F2">
              <w:t>Paliperidone, I.M. injection (modified release) 100 mg (as palmitate) in pre-filled syringe</w:t>
            </w:r>
          </w:p>
        </w:tc>
        <w:tc>
          <w:tcPr>
            <w:tcW w:w="3773" w:type="dxa"/>
            <w:tcBorders>
              <w:top w:val="nil"/>
              <w:left w:val="nil"/>
              <w:bottom w:val="single" w:sz="4" w:space="0" w:color="auto"/>
              <w:right w:val="single" w:sz="4" w:space="0" w:color="auto"/>
            </w:tcBorders>
            <w:shd w:val="clear" w:color="auto" w:fill="auto"/>
            <w:hideMark/>
          </w:tcPr>
          <w:p w14:paraId="523AA5A0" w14:textId="77777777" w:rsidR="002865F2" w:rsidRPr="002865F2" w:rsidRDefault="002865F2" w:rsidP="00541B09">
            <w:pPr>
              <w:pStyle w:val="Tablewriting"/>
            </w:pPr>
            <w:r w:rsidRPr="002865F2">
              <w:t>Invega Sustenna (JANSSEN-CILAG PTY LTD)</w:t>
            </w:r>
          </w:p>
        </w:tc>
      </w:tr>
      <w:tr w:rsidR="002865F2" w:rsidRPr="002865F2" w14:paraId="5EB24461"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73F5833" w14:textId="77777777" w:rsidR="002865F2" w:rsidRPr="002865F2" w:rsidRDefault="002865F2" w:rsidP="00541B09">
            <w:pPr>
              <w:pStyle w:val="Tablewriting"/>
            </w:pPr>
            <w:r w:rsidRPr="002865F2">
              <w:t>05109X</w:t>
            </w:r>
          </w:p>
        </w:tc>
        <w:tc>
          <w:tcPr>
            <w:tcW w:w="1182" w:type="dxa"/>
            <w:tcBorders>
              <w:top w:val="nil"/>
              <w:left w:val="nil"/>
              <w:bottom w:val="single" w:sz="4" w:space="0" w:color="auto"/>
              <w:right w:val="single" w:sz="4" w:space="0" w:color="auto"/>
            </w:tcBorders>
            <w:shd w:val="clear" w:color="auto" w:fill="auto"/>
            <w:hideMark/>
          </w:tcPr>
          <w:p w14:paraId="04279145"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7CFCB764"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0614616E"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56EA743A"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B79C8E8" w14:textId="77777777" w:rsidR="002865F2" w:rsidRPr="002865F2" w:rsidRDefault="002865F2" w:rsidP="00541B09">
            <w:pPr>
              <w:pStyle w:val="Tablewriting"/>
            </w:pPr>
            <w:r w:rsidRPr="002865F2">
              <w:t>$440.79</w:t>
            </w:r>
          </w:p>
        </w:tc>
        <w:tc>
          <w:tcPr>
            <w:tcW w:w="3903" w:type="dxa"/>
            <w:tcBorders>
              <w:top w:val="nil"/>
              <w:left w:val="nil"/>
              <w:bottom w:val="single" w:sz="4" w:space="0" w:color="auto"/>
              <w:right w:val="single" w:sz="4" w:space="0" w:color="auto"/>
            </w:tcBorders>
            <w:shd w:val="clear" w:color="auto" w:fill="auto"/>
            <w:hideMark/>
          </w:tcPr>
          <w:p w14:paraId="0A1D6572" w14:textId="77777777" w:rsidR="002865F2" w:rsidRPr="002865F2" w:rsidRDefault="002865F2" w:rsidP="00541B09">
            <w:pPr>
              <w:pStyle w:val="Tablewriting"/>
            </w:pPr>
            <w:r w:rsidRPr="002865F2">
              <w:t>Paliperidone, I.M. injection (modified release) 150 mg (as palmitate) in pre-filled syringe</w:t>
            </w:r>
          </w:p>
        </w:tc>
        <w:tc>
          <w:tcPr>
            <w:tcW w:w="3773" w:type="dxa"/>
            <w:tcBorders>
              <w:top w:val="nil"/>
              <w:left w:val="nil"/>
              <w:bottom w:val="single" w:sz="4" w:space="0" w:color="auto"/>
              <w:right w:val="single" w:sz="4" w:space="0" w:color="auto"/>
            </w:tcBorders>
            <w:shd w:val="clear" w:color="auto" w:fill="auto"/>
            <w:hideMark/>
          </w:tcPr>
          <w:p w14:paraId="24C96EF4" w14:textId="77777777" w:rsidR="002865F2" w:rsidRPr="002865F2" w:rsidRDefault="002865F2" w:rsidP="00541B09">
            <w:pPr>
              <w:pStyle w:val="Tablewriting"/>
            </w:pPr>
            <w:r w:rsidRPr="002865F2">
              <w:t>Invega Sustenna (JANSSEN-CILAG PTY LTD)</w:t>
            </w:r>
          </w:p>
        </w:tc>
      </w:tr>
      <w:tr w:rsidR="002865F2" w:rsidRPr="002865F2" w14:paraId="3210F275"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77F630D9" w14:textId="77777777" w:rsidR="002865F2" w:rsidRPr="002865F2" w:rsidRDefault="002865F2" w:rsidP="00541B09">
            <w:pPr>
              <w:pStyle w:val="Tablewriting"/>
            </w:pPr>
            <w:r w:rsidRPr="002865F2">
              <w:t>05100K</w:t>
            </w:r>
          </w:p>
        </w:tc>
        <w:tc>
          <w:tcPr>
            <w:tcW w:w="1182" w:type="dxa"/>
            <w:tcBorders>
              <w:top w:val="nil"/>
              <w:left w:val="nil"/>
              <w:bottom w:val="single" w:sz="4" w:space="0" w:color="auto"/>
              <w:right w:val="single" w:sz="4" w:space="0" w:color="auto"/>
            </w:tcBorders>
            <w:shd w:val="clear" w:color="auto" w:fill="auto"/>
            <w:hideMark/>
          </w:tcPr>
          <w:p w14:paraId="3ABCFF73"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7FA0B9F6"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540B14BE"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482798F6"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223EA56" w14:textId="77777777" w:rsidR="002865F2" w:rsidRPr="002865F2" w:rsidRDefault="002865F2" w:rsidP="00541B09">
            <w:pPr>
              <w:pStyle w:val="Tablewriting"/>
            </w:pPr>
            <w:r w:rsidRPr="002865F2">
              <w:t>$140.61</w:t>
            </w:r>
          </w:p>
        </w:tc>
        <w:tc>
          <w:tcPr>
            <w:tcW w:w="3903" w:type="dxa"/>
            <w:tcBorders>
              <w:top w:val="nil"/>
              <w:left w:val="nil"/>
              <w:bottom w:val="single" w:sz="4" w:space="0" w:color="auto"/>
              <w:right w:val="single" w:sz="4" w:space="0" w:color="auto"/>
            </w:tcBorders>
            <w:shd w:val="clear" w:color="auto" w:fill="auto"/>
            <w:hideMark/>
          </w:tcPr>
          <w:p w14:paraId="26E1BE55" w14:textId="77777777" w:rsidR="002865F2" w:rsidRPr="002865F2" w:rsidRDefault="002865F2" w:rsidP="00541B09">
            <w:pPr>
              <w:pStyle w:val="Tablewriting"/>
            </w:pPr>
            <w:r w:rsidRPr="002865F2">
              <w:t>Paliperidone, I.M. injection (modified release) 25 mg (as palmitate) in pre-filled syringe</w:t>
            </w:r>
          </w:p>
        </w:tc>
        <w:tc>
          <w:tcPr>
            <w:tcW w:w="3773" w:type="dxa"/>
            <w:tcBorders>
              <w:top w:val="nil"/>
              <w:left w:val="nil"/>
              <w:bottom w:val="single" w:sz="4" w:space="0" w:color="auto"/>
              <w:right w:val="single" w:sz="4" w:space="0" w:color="auto"/>
            </w:tcBorders>
            <w:shd w:val="clear" w:color="auto" w:fill="auto"/>
            <w:hideMark/>
          </w:tcPr>
          <w:p w14:paraId="3D4F9B98" w14:textId="77777777" w:rsidR="002865F2" w:rsidRPr="002865F2" w:rsidRDefault="002865F2" w:rsidP="00541B09">
            <w:pPr>
              <w:pStyle w:val="Tablewriting"/>
            </w:pPr>
            <w:r w:rsidRPr="002865F2">
              <w:t>Invega Sustenna (JANSSEN-CILAG PTY LTD)</w:t>
            </w:r>
          </w:p>
        </w:tc>
      </w:tr>
      <w:tr w:rsidR="002865F2" w:rsidRPr="002865F2" w14:paraId="5D4B0349"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F323CFB" w14:textId="77777777" w:rsidR="002865F2" w:rsidRPr="002865F2" w:rsidRDefault="002865F2" w:rsidP="00541B09">
            <w:pPr>
              <w:pStyle w:val="Tablewriting"/>
            </w:pPr>
            <w:r w:rsidRPr="002865F2">
              <w:t>05102M</w:t>
            </w:r>
          </w:p>
        </w:tc>
        <w:tc>
          <w:tcPr>
            <w:tcW w:w="1182" w:type="dxa"/>
            <w:tcBorders>
              <w:top w:val="nil"/>
              <w:left w:val="nil"/>
              <w:bottom w:val="single" w:sz="4" w:space="0" w:color="auto"/>
              <w:right w:val="single" w:sz="4" w:space="0" w:color="auto"/>
            </w:tcBorders>
            <w:shd w:val="clear" w:color="auto" w:fill="auto"/>
            <w:hideMark/>
          </w:tcPr>
          <w:p w14:paraId="555A5827"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05F4AA63"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16393FC1"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2D4F93E6"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0E9AEA7" w14:textId="77777777" w:rsidR="002865F2" w:rsidRPr="002865F2" w:rsidRDefault="002865F2" w:rsidP="00541B09">
            <w:pPr>
              <w:pStyle w:val="Tablewriting"/>
            </w:pPr>
            <w:r w:rsidRPr="002865F2">
              <w:t>$284.80</w:t>
            </w:r>
          </w:p>
        </w:tc>
        <w:tc>
          <w:tcPr>
            <w:tcW w:w="3903" w:type="dxa"/>
            <w:tcBorders>
              <w:top w:val="nil"/>
              <w:left w:val="nil"/>
              <w:bottom w:val="single" w:sz="4" w:space="0" w:color="auto"/>
              <w:right w:val="single" w:sz="4" w:space="0" w:color="auto"/>
            </w:tcBorders>
            <w:shd w:val="clear" w:color="auto" w:fill="auto"/>
            <w:hideMark/>
          </w:tcPr>
          <w:p w14:paraId="7FDE1D2C" w14:textId="77777777" w:rsidR="002865F2" w:rsidRPr="002865F2" w:rsidRDefault="002865F2" w:rsidP="00541B09">
            <w:pPr>
              <w:pStyle w:val="Tablewriting"/>
            </w:pPr>
            <w:r w:rsidRPr="002865F2">
              <w:t>Paliperidone, I.M. injection (modified release) 50 mg (as palmitate) in pre-filled syringe</w:t>
            </w:r>
          </w:p>
        </w:tc>
        <w:tc>
          <w:tcPr>
            <w:tcW w:w="3773" w:type="dxa"/>
            <w:tcBorders>
              <w:top w:val="nil"/>
              <w:left w:val="nil"/>
              <w:bottom w:val="single" w:sz="4" w:space="0" w:color="auto"/>
              <w:right w:val="single" w:sz="4" w:space="0" w:color="auto"/>
            </w:tcBorders>
            <w:shd w:val="clear" w:color="auto" w:fill="auto"/>
            <w:hideMark/>
          </w:tcPr>
          <w:p w14:paraId="07121F64" w14:textId="77777777" w:rsidR="002865F2" w:rsidRPr="002865F2" w:rsidRDefault="002865F2" w:rsidP="00541B09">
            <w:pPr>
              <w:pStyle w:val="Tablewriting"/>
            </w:pPr>
            <w:r w:rsidRPr="002865F2">
              <w:t>Invega Sustenna (JANSSEN-CILAG PTY LTD)</w:t>
            </w:r>
          </w:p>
        </w:tc>
      </w:tr>
      <w:tr w:rsidR="002865F2" w:rsidRPr="002865F2" w14:paraId="741EEBD9"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1C9FE0F" w14:textId="77777777" w:rsidR="002865F2" w:rsidRPr="002865F2" w:rsidRDefault="002865F2" w:rsidP="00541B09">
            <w:pPr>
              <w:pStyle w:val="Tablewriting"/>
            </w:pPr>
            <w:r w:rsidRPr="002865F2">
              <w:t>05103N</w:t>
            </w:r>
          </w:p>
        </w:tc>
        <w:tc>
          <w:tcPr>
            <w:tcW w:w="1182" w:type="dxa"/>
            <w:tcBorders>
              <w:top w:val="nil"/>
              <w:left w:val="nil"/>
              <w:bottom w:val="single" w:sz="4" w:space="0" w:color="auto"/>
              <w:right w:val="single" w:sz="4" w:space="0" w:color="auto"/>
            </w:tcBorders>
            <w:shd w:val="clear" w:color="auto" w:fill="auto"/>
            <w:hideMark/>
          </w:tcPr>
          <w:p w14:paraId="5D24468F" w14:textId="77777777" w:rsidR="002865F2" w:rsidRPr="002865F2" w:rsidRDefault="002865F2" w:rsidP="00541B09">
            <w:pPr>
              <w:pStyle w:val="Tablewriting"/>
            </w:pPr>
            <w:r w:rsidRPr="002865F2">
              <w:t>01Dec2011</w:t>
            </w:r>
          </w:p>
        </w:tc>
        <w:tc>
          <w:tcPr>
            <w:tcW w:w="600" w:type="dxa"/>
            <w:tcBorders>
              <w:top w:val="nil"/>
              <w:left w:val="nil"/>
              <w:bottom w:val="single" w:sz="4" w:space="0" w:color="auto"/>
              <w:right w:val="single" w:sz="4" w:space="0" w:color="auto"/>
            </w:tcBorders>
            <w:shd w:val="clear" w:color="auto" w:fill="auto"/>
            <w:hideMark/>
          </w:tcPr>
          <w:p w14:paraId="53B3D63B"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352E800F"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53F3852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0474058" w14:textId="77777777" w:rsidR="002865F2" w:rsidRPr="002865F2" w:rsidRDefault="002865F2" w:rsidP="00541B09">
            <w:pPr>
              <w:pStyle w:val="Tablewriting"/>
            </w:pPr>
            <w:r w:rsidRPr="002865F2">
              <w:t>$363.48</w:t>
            </w:r>
          </w:p>
        </w:tc>
        <w:tc>
          <w:tcPr>
            <w:tcW w:w="3903" w:type="dxa"/>
            <w:tcBorders>
              <w:top w:val="nil"/>
              <w:left w:val="nil"/>
              <w:bottom w:val="single" w:sz="4" w:space="0" w:color="auto"/>
              <w:right w:val="single" w:sz="4" w:space="0" w:color="auto"/>
            </w:tcBorders>
            <w:shd w:val="clear" w:color="auto" w:fill="auto"/>
            <w:hideMark/>
          </w:tcPr>
          <w:p w14:paraId="087C4564" w14:textId="77777777" w:rsidR="002865F2" w:rsidRPr="002865F2" w:rsidRDefault="002865F2" w:rsidP="00541B09">
            <w:pPr>
              <w:pStyle w:val="Tablewriting"/>
            </w:pPr>
            <w:r w:rsidRPr="002865F2">
              <w:t>Paliperidone, I.M. injection (modified release) 75 mg (as palmitate) in pre-filled syringe</w:t>
            </w:r>
          </w:p>
        </w:tc>
        <w:tc>
          <w:tcPr>
            <w:tcW w:w="3773" w:type="dxa"/>
            <w:tcBorders>
              <w:top w:val="nil"/>
              <w:left w:val="nil"/>
              <w:bottom w:val="single" w:sz="4" w:space="0" w:color="auto"/>
              <w:right w:val="single" w:sz="4" w:space="0" w:color="auto"/>
            </w:tcBorders>
            <w:shd w:val="clear" w:color="auto" w:fill="auto"/>
            <w:hideMark/>
          </w:tcPr>
          <w:p w14:paraId="227EC381" w14:textId="77777777" w:rsidR="002865F2" w:rsidRPr="002865F2" w:rsidRDefault="002865F2" w:rsidP="00541B09">
            <w:pPr>
              <w:pStyle w:val="Tablewriting"/>
            </w:pPr>
            <w:r w:rsidRPr="002865F2">
              <w:t>Invega Sustenna (JANSSEN-CILAG PTY LTD)</w:t>
            </w:r>
          </w:p>
        </w:tc>
      </w:tr>
      <w:tr w:rsidR="002865F2" w:rsidRPr="002865F2" w14:paraId="5E3C1A7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14AE8AE" w14:textId="77777777" w:rsidR="002865F2" w:rsidRPr="002865F2" w:rsidRDefault="002865F2" w:rsidP="00541B09">
            <w:pPr>
              <w:pStyle w:val="Tablewriting"/>
            </w:pPr>
            <w:r w:rsidRPr="002865F2">
              <w:t>09194X</w:t>
            </w:r>
          </w:p>
        </w:tc>
        <w:tc>
          <w:tcPr>
            <w:tcW w:w="1182" w:type="dxa"/>
            <w:tcBorders>
              <w:top w:val="nil"/>
              <w:left w:val="nil"/>
              <w:bottom w:val="single" w:sz="4" w:space="0" w:color="auto"/>
              <w:right w:val="single" w:sz="4" w:space="0" w:color="auto"/>
            </w:tcBorders>
            <w:shd w:val="clear" w:color="auto" w:fill="auto"/>
            <w:hideMark/>
          </w:tcPr>
          <w:p w14:paraId="11CD3700" w14:textId="77777777" w:rsidR="002865F2" w:rsidRPr="002865F2" w:rsidRDefault="002865F2" w:rsidP="00541B09">
            <w:pPr>
              <w:pStyle w:val="Tablewriting"/>
            </w:pPr>
            <w:r w:rsidRPr="002865F2">
              <w:t>01Oct2008</w:t>
            </w:r>
          </w:p>
        </w:tc>
        <w:tc>
          <w:tcPr>
            <w:tcW w:w="600" w:type="dxa"/>
            <w:tcBorders>
              <w:top w:val="nil"/>
              <w:left w:val="nil"/>
              <w:bottom w:val="single" w:sz="4" w:space="0" w:color="auto"/>
              <w:right w:val="single" w:sz="4" w:space="0" w:color="auto"/>
            </w:tcBorders>
            <w:shd w:val="clear" w:color="auto" w:fill="auto"/>
            <w:hideMark/>
          </w:tcPr>
          <w:p w14:paraId="08C3C209"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8F78E3D"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C18922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5AAB8E8" w14:textId="77777777" w:rsidR="002865F2" w:rsidRPr="002865F2" w:rsidRDefault="002865F2" w:rsidP="00541B09">
            <w:pPr>
              <w:pStyle w:val="Tablewriting"/>
            </w:pPr>
            <w:r w:rsidRPr="002865F2">
              <w:t>$248.48</w:t>
            </w:r>
          </w:p>
        </w:tc>
        <w:tc>
          <w:tcPr>
            <w:tcW w:w="3903" w:type="dxa"/>
            <w:tcBorders>
              <w:top w:val="nil"/>
              <w:left w:val="nil"/>
              <w:bottom w:val="single" w:sz="4" w:space="0" w:color="auto"/>
              <w:right w:val="single" w:sz="4" w:space="0" w:color="auto"/>
            </w:tcBorders>
            <w:shd w:val="clear" w:color="auto" w:fill="auto"/>
            <w:hideMark/>
          </w:tcPr>
          <w:p w14:paraId="4184699C" w14:textId="77777777" w:rsidR="002865F2" w:rsidRPr="002865F2" w:rsidRDefault="002865F2" w:rsidP="00541B09">
            <w:pPr>
              <w:pStyle w:val="Tablewriting"/>
            </w:pPr>
            <w:r w:rsidRPr="002865F2">
              <w:t>Paliperidone, Tablet 12 mg (prolonged release)</w:t>
            </w:r>
          </w:p>
        </w:tc>
        <w:tc>
          <w:tcPr>
            <w:tcW w:w="3773" w:type="dxa"/>
            <w:tcBorders>
              <w:top w:val="nil"/>
              <w:left w:val="nil"/>
              <w:bottom w:val="single" w:sz="4" w:space="0" w:color="auto"/>
              <w:right w:val="single" w:sz="4" w:space="0" w:color="auto"/>
            </w:tcBorders>
            <w:shd w:val="clear" w:color="auto" w:fill="auto"/>
            <w:hideMark/>
          </w:tcPr>
          <w:p w14:paraId="0FD44A89" w14:textId="77777777" w:rsidR="002865F2" w:rsidRPr="002865F2" w:rsidRDefault="002865F2" w:rsidP="00541B09">
            <w:pPr>
              <w:pStyle w:val="Tablewriting"/>
            </w:pPr>
            <w:r w:rsidRPr="002865F2">
              <w:t>Invega (JANSSEN-CILAG PTY LTD)</w:t>
            </w:r>
          </w:p>
        </w:tc>
      </w:tr>
      <w:tr w:rsidR="002865F2" w:rsidRPr="002865F2" w14:paraId="6F52C71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2D07058" w14:textId="77777777" w:rsidR="002865F2" w:rsidRPr="002865F2" w:rsidRDefault="002865F2" w:rsidP="00541B09">
            <w:pPr>
              <w:pStyle w:val="Tablewriting"/>
            </w:pPr>
            <w:r w:rsidRPr="002865F2">
              <w:t>09140C</w:t>
            </w:r>
          </w:p>
        </w:tc>
        <w:tc>
          <w:tcPr>
            <w:tcW w:w="1182" w:type="dxa"/>
            <w:tcBorders>
              <w:top w:val="nil"/>
              <w:left w:val="nil"/>
              <w:bottom w:val="single" w:sz="4" w:space="0" w:color="auto"/>
              <w:right w:val="single" w:sz="4" w:space="0" w:color="auto"/>
            </w:tcBorders>
            <w:shd w:val="clear" w:color="auto" w:fill="auto"/>
            <w:hideMark/>
          </w:tcPr>
          <w:p w14:paraId="5172B862" w14:textId="77777777" w:rsidR="002865F2" w:rsidRPr="002865F2" w:rsidRDefault="002865F2" w:rsidP="00541B09">
            <w:pPr>
              <w:pStyle w:val="Tablewriting"/>
            </w:pPr>
            <w:r w:rsidRPr="002865F2">
              <w:t>01Apr2008</w:t>
            </w:r>
          </w:p>
        </w:tc>
        <w:tc>
          <w:tcPr>
            <w:tcW w:w="600" w:type="dxa"/>
            <w:tcBorders>
              <w:top w:val="nil"/>
              <w:left w:val="nil"/>
              <w:bottom w:val="single" w:sz="4" w:space="0" w:color="auto"/>
              <w:right w:val="single" w:sz="4" w:space="0" w:color="auto"/>
            </w:tcBorders>
            <w:shd w:val="clear" w:color="auto" w:fill="auto"/>
            <w:hideMark/>
          </w:tcPr>
          <w:p w14:paraId="39186E54"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794D677A"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987A0C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3304DC2" w14:textId="77777777" w:rsidR="002865F2" w:rsidRPr="002865F2" w:rsidRDefault="002865F2" w:rsidP="00541B09">
            <w:pPr>
              <w:pStyle w:val="Tablewriting"/>
            </w:pPr>
            <w:r w:rsidRPr="002865F2">
              <w:t>$161.07</w:t>
            </w:r>
          </w:p>
        </w:tc>
        <w:tc>
          <w:tcPr>
            <w:tcW w:w="3903" w:type="dxa"/>
            <w:tcBorders>
              <w:top w:val="nil"/>
              <w:left w:val="nil"/>
              <w:bottom w:val="single" w:sz="4" w:space="0" w:color="auto"/>
              <w:right w:val="single" w:sz="4" w:space="0" w:color="auto"/>
            </w:tcBorders>
            <w:shd w:val="clear" w:color="auto" w:fill="auto"/>
            <w:hideMark/>
          </w:tcPr>
          <w:p w14:paraId="7F23E649" w14:textId="77777777" w:rsidR="002865F2" w:rsidRPr="002865F2" w:rsidRDefault="002865F2" w:rsidP="00541B09">
            <w:pPr>
              <w:pStyle w:val="Tablewriting"/>
            </w:pPr>
            <w:r w:rsidRPr="002865F2">
              <w:t>Paliperidone, Tablet 3 mg (prolonged release)</w:t>
            </w:r>
          </w:p>
        </w:tc>
        <w:tc>
          <w:tcPr>
            <w:tcW w:w="3773" w:type="dxa"/>
            <w:tcBorders>
              <w:top w:val="nil"/>
              <w:left w:val="nil"/>
              <w:bottom w:val="single" w:sz="4" w:space="0" w:color="auto"/>
              <w:right w:val="single" w:sz="4" w:space="0" w:color="auto"/>
            </w:tcBorders>
            <w:shd w:val="clear" w:color="auto" w:fill="auto"/>
            <w:hideMark/>
          </w:tcPr>
          <w:p w14:paraId="1F46846B" w14:textId="77777777" w:rsidR="002865F2" w:rsidRPr="002865F2" w:rsidRDefault="002865F2" w:rsidP="00541B09">
            <w:pPr>
              <w:pStyle w:val="Tablewriting"/>
            </w:pPr>
            <w:r w:rsidRPr="002865F2">
              <w:t>Invega (JANSSEN-CILAG PTY LTD)</w:t>
            </w:r>
          </w:p>
        </w:tc>
      </w:tr>
      <w:tr w:rsidR="002865F2" w:rsidRPr="002865F2" w14:paraId="5EC918A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5ADF0B0" w14:textId="77777777" w:rsidR="002865F2" w:rsidRPr="002865F2" w:rsidRDefault="002865F2" w:rsidP="00541B09">
            <w:pPr>
              <w:pStyle w:val="Tablewriting"/>
            </w:pPr>
            <w:r w:rsidRPr="002865F2">
              <w:t>09141D</w:t>
            </w:r>
          </w:p>
        </w:tc>
        <w:tc>
          <w:tcPr>
            <w:tcW w:w="1182" w:type="dxa"/>
            <w:tcBorders>
              <w:top w:val="nil"/>
              <w:left w:val="nil"/>
              <w:bottom w:val="single" w:sz="4" w:space="0" w:color="auto"/>
              <w:right w:val="single" w:sz="4" w:space="0" w:color="auto"/>
            </w:tcBorders>
            <w:shd w:val="clear" w:color="auto" w:fill="auto"/>
            <w:hideMark/>
          </w:tcPr>
          <w:p w14:paraId="0CF77685" w14:textId="77777777" w:rsidR="002865F2" w:rsidRPr="002865F2" w:rsidRDefault="002865F2" w:rsidP="00541B09">
            <w:pPr>
              <w:pStyle w:val="Tablewriting"/>
            </w:pPr>
            <w:r w:rsidRPr="002865F2">
              <w:t>01Apr2008</w:t>
            </w:r>
          </w:p>
        </w:tc>
        <w:tc>
          <w:tcPr>
            <w:tcW w:w="600" w:type="dxa"/>
            <w:tcBorders>
              <w:top w:val="nil"/>
              <w:left w:val="nil"/>
              <w:bottom w:val="single" w:sz="4" w:space="0" w:color="auto"/>
              <w:right w:val="single" w:sz="4" w:space="0" w:color="auto"/>
            </w:tcBorders>
            <w:shd w:val="clear" w:color="auto" w:fill="auto"/>
            <w:hideMark/>
          </w:tcPr>
          <w:p w14:paraId="0C8A72FC"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3669D689"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155806F6"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D0FBFE4" w14:textId="77777777" w:rsidR="002865F2" w:rsidRPr="002865F2" w:rsidRDefault="002865F2" w:rsidP="00541B09">
            <w:pPr>
              <w:pStyle w:val="Tablewriting"/>
            </w:pPr>
            <w:r w:rsidRPr="002865F2">
              <w:t>$138.10</w:t>
            </w:r>
          </w:p>
        </w:tc>
        <w:tc>
          <w:tcPr>
            <w:tcW w:w="3903" w:type="dxa"/>
            <w:tcBorders>
              <w:top w:val="nil"/>
              <w:left w:val="nil"/>
              <w:bottom w:val="single" w:sz="4" w:space="0" w:color="auto"/>
              <w:right w:val="single" w:sz="4" w:space="0" w:color="auto"/>
            </w:tcBorders>
            <w:shd w:val="clear" w:color="auto" w:fill="auto"/>
            <w:hideMark/>
          </w:tcPr>
          <w:p w14:paraId="10417455" w14:textId="77777777" w:rsidR="002865F2" w:rsidRPr="002865F2" w:rsidRDefault="002865F2" w:rsidP="00541B09">
            <w:pPr>
              <w:pStyle w:val="Tablewriting"/>
            </w:pPr>
            <w:r w:rsidRPr="002865F2">
              <w:t>Paliperidone, Tablet 6 mg (prolonged release)</w:t>
            </w:r>
          </w:p>
        </w:tc>
        <w:tc>
          <w:tcPr>
            <w:tcW w:w="3773" w:type="dxa"/>
            <w:tcBorders>
              <w:top w:val="nil"/>
              <w:left w:val="nil"/>
              <w:bottom w:val="single" w:sz="4" w:space="0" w:color="auto"/>
              <w:right w:val="single" w:sz="4" w:space="0" w:color="auto"/>
            </w:tcBorders>
            <w:shd w:val="clear" w:color="auto" w:fill="auto"/>
            <w:hideMark/>
          </w:tcPr>
          <w:p w14:paraId="3A18A6F0" w14:textId="77777777" w:rsidR="002865F2" w:rsidRPr="002865F2" w:rsidRDefault="002865F2" w:rsidP="00541B09">
            <w:pPr>
              <w:pStyle w:val="Tablewriting"/>
            </w:pPr>
            <w:r w:rsidRPr="002865F2">
              <w:t>Invega (JANSSEN-CILAG PTY LTD)</w:t>
            </w:r>
          </w:p>
        </w:tc>
      </w:tr>
      <w:tr w:rsidR="002865F2" w:rsidRPr="002865F2" w14:paraId="2250BEB0"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3C3CC35" w14:textId="77777777" w:rsidR="002865F2" w:rsidRPr="002865F2" w:rsidRDefault="002865F2" w:rsidP="00541B09">
            <w:pPr>
              <w:pStyle w:val="Tablewriting"/>
            </w:pPr>
            <w:r w:rsidRPr="002865F2">
              <w:lastRenderedPageBreak/>
              <w:t>09142E</w:t>
            </w:r>
          </w:p>
        </w:tc>
        <w:tc>
          <w:tcPr>
            <w:tcW w:w="1182" w:type="dxa"/>
            <w:tcBorders>
              <w:top w:val="nil"/>
              <w:left w:val="nil"/>
              <w:bottom w:val="single" w:sz="4" w:space="0" w:color="auto"/>
              <w:right w:val="single" w:sz="4" w:space="0" w:color="auto"/>
            </w:tcBorders>
            <w:shd w:val="clear" w:color="auto" w:fill="auto"/>
            <w:hideMark/>
          </w:tcPr>
          <w:p w14:paraId="697DEBA9" w14:textId="77777777" w:rsidR="002865F2" w:rsidRPr="002865F2" w:rsidRDefault="002865F2" w:rsidP="00541B09">
            <w:pPr>
              <w:pStyle w:val="Tablewriting"/>
            </w:pPr>
            <w:r w:rsidRPr="002865F2">
              <w:t>01Apr2008</w:t>
            </w:r>
          </w:p>
        </w:tc>
        <w:tc>
          <w:tcPr>
            <w:tcW w:w="600" w:type="dxa"/>
            <w:tcBorders>
              <w:top w:val="nil"/>
              <w:left w:val="nil"/>
              <w:bottom w:val="single" w:sz="4" w:space="0" w:color="auto"/>
              <w:right w:val="single" w:sz="4" w:space="0" w:color="auto"/>
            </w:tcBorders>
            <w:shd w:val="clear" w:color="auto" w:fill="auto"/>
            <w:hideMark/>
          </w:tcPr>
          <w:p w14:paraId="1EC6AD81"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6FAF20C" w14:textId="77777777" w:rsidR="002865F2" w:rsidRPr="002865F2" w:rsidRDefault="002865F2" w:rsidP="00541B09">
            <w:pPr>
              <w:pStyle w:val="Tablewriting"/>
            </w:pPr>
            <w:r w:rsidRPr="002865F2">
              <w:t>28</w:t>
            </w:r>
          </w:p>
        </w:tc>
        <w:tc>
          <w:tcPr>
            <w:tcW w:w="1126" w:type="dxa"/>
            <w:tcBorders>
              <w:top w:val="nil"/>
              <w:left w:val="nil"/>
              <w:bottom w:val="single" w:sz="4" w:space="0" w:color="auto"/>
              <w:right w:val="single" w:sz="4" w:space="0" w:color="auto"/>
            </w:tcBorders>
            <w:shd w:val="clear" w:color="auto" w:fill="auto"/>
            <w:hideMark/>
          </w:tcPr>
          <w:p w14:paraId="24249B7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B6BF2CD" w14:textId="77777777" w:rsidR="002865F2" w:rsidRPr="002865F2" w:rsidRDefault="002865F2" w:rsidP="00541B09">
            <w:pPr>
              <w:pStyle w:val="Tablewriting"/>
            </w:pPr>
            <w:r w:rsidRPr="002865F2">
              <w:t>$212.77</w:t>
            </w:r>
          </w:p>
        </w:tc>
        <w:tc>
          <w:tcPr>
            <w:tcW w:w="3903" w:type="dxa"/>
            <w:tcBorders>
              <w:top w:val="nil"/>
              <w:left w:val="nil"/>
              <w:bottom w:val="single" w:sz="4" w:space="0" w:color="auto"/>
              <w:right w:val="single" w:sz="4" w:space="0" w:color="auto"/>
            </w:tcBorders>
            <w:shd w:val="clear" w:color="auto" w:fill="auto"/>
            <w:hideMark/>
          </w:tcPr>
          <w:p w14:paraId="674E7784" w14:textId="77777777" w:rsidR="002865F2" w:rsidRPr="002865F2" w:rsidRDefault="002865F2" w:rsidP="00541B09">
            <w:pPr>
              <w:pStyle w:val="Tablewriting"/>
            </w:pPr>
            <w:r w:rsidRPr="002865F2">
              <w:t>Paliperidone, Tablet 9 mg (prolonged release)</w:t>
            </w:r>
          </w:p>
        </w:tc>
        <w:tc>
          <w:tcPr>
            <w:tcW w:w="3773" w:type="dxa"/>
            <w:tcBorders>
              <w:top w:val="nil"/>
              <w:left w:val="nil"/>
              <w:bottom w:val="single" w:sz="4" w:space="0" w:color="auto"/>
              <w:right w:val="single" w:sz="4" w:space="0" w:color="auto"/>
            </w:tcBorders>
            <w:shd w:val="clear" w:color="auto" w:fill="auto"/>
            <w:hideMark/>
          </w:tcPr>
          <w:p w14:paraId="484BE303" w14:textId="77777777" w:rsidR="002865F2" w:rsidRPr="002865F2" w:rsidRDefault="002865F2" w:rsidP="00541B09">
            <w:pPr>
              <w:pStyle w:val="Tablewriting"/>
            </w:pPr>
            <w:r w:rsidRPr="002865F2">
              <w:t>Invega (JANSSEN-CILAG PTY LTD)</w:t>
            </w:r>
          </w:p>
        </w:tc>
      </w:tr>
      <w:tr w:rsidR="002865F2" w:rsidRPr="002865F2" w14:paraId="7183669B"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EB01C30" w14:textId="77777777" w:rsidR="002865F2" w:rsidRPr="002865F2" w:rsidRDefault="002865F2" w:rsidP="00541B09">
            <w:pPr>
              <w:pStyle w:val="Tablewriting"/>
            </w:pPr>
            <w:r w:rsidRPr="002865F2">
              <w:t>03053Q</w:t>
            </w:r>
          </w:p>
        </w:tc>
        <w:tc>
          <w:tcPr>
            <w:tcW w:w="1182" w:type="dxa"/>
            <w:tcBorders>
              <w:top w:val="nil"/>
              <w:left w:val="nil"/>
              <w:bottom w:val="single" w:sz="4" w:space="0" w:color="auto"/>
              <w:right w:val="single" w:sz="4" w:space="0" w:color="auto"/>
            </w:tcBorders>
            <w:shd w:val="clear" w:color="auto" w:fill="auto"/>
            <w:hideMark/>
          </w:tcPr>
          <w:p w14:paraId="15362466" w14:textId="77777777" w:rsidR="002865F2" w:rsidRPr="002865F2" w:rsidRDefault="002865F2" w:rsidP="00541B09">
            <w:pPr>
              <w:pStyle w:val="Tablewriting"/>
            </w:pPr>
            <w:r w:rsidRPr="002865F2">
              <w:t>01Aug1971</w:t>
            </w:r>
          </w:p>
        </w:tc>
        <w:tc>
          <w:tcPr>
            <w:tcW w:w="600" w:type="dxa"/>
            <w:tcBorders>
              <w:top w:val="nil"/>
              <w:left w:val="nil"/>
              <w:bottom w:val="single" w:sz="4" w:space="0" w:color="auto"/>
              <w:right w:val="single" w:sz="4" w:space="0" w:color="auto"/>
            </w:tcBorders>
            <w:shd w:val="clear" w:color="auto" w:fill="auto"/>
            <w:hideMark/>
          </w:tcPr>
          <w:p w14:paraId="591F110E"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7DE222D"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3FD1D4E4"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FE0FFAC" w14:textId="77777777" w:rsidR="002865F2" w:rsidRPr="002865F2" w:rsidRDefault="002865F2" w:rsidP="00541B09">
            <w:pPr>
              <w:pStyle w:val="Tablewriting"/>
            </w:pPr>
            <w:r w:rsidRPr="002865F2">
              <w:t>$12.21</w:t>
            </w:r>
          </w:p>
        </w:tc>
        <w:tc>
          <w:tcPr>
            <w:tcW w:w="3903" w:type="dxa"/>
            <w:tcBorders>
              <w:top w:val="nil"/>
              <w:left w:val="nil"/>
              <w:bottom w:val="single" w:sz="4" w:space="0" w:color="auto"/>
              <w:right w:val="single" w:sz="4" w:space="0" w:color="auto"/>
            </w:tcBorders>
            <w:shd w:val="clear" w:color="auto" w:fill="auto"/>
            <w:hideMark/>
          </w:tcPr>
          <w:p w14:paraId="25BD6950" w14:textId="77777777" w:rsidR="002865F2" w:rsidRPr="002865F2" w:rsidRDefault="002865F2" w:rsidP="00541B09">
            <w:pPr>
              <w:pStyle w:val="Tablewriting"/>
            </w:pPr>
            <w:r w:rsidRPr="002865F2">
              <w:t>Pericyazine, Tablet 10 mg</w:t>
            </w:r>
          </w:p>
        </w:tc>
        <w:tc>
          <w:tcPr>
            <w:tcW w:w="3773" w:type="dxa"/>
            <w:tcBorders>
              <w:top w:val="nil"/>
              <w:left w:val="nil"/>
              <w:bottom w:val="single" w:sz="4" w:space="0" w:color="auto"/>
              <w:right w:val="single" w:sz="4" w:space="0" w:color="auto"/>
            </w:tcBorders>
            <w:shd w:val="clear" w:color="auto" w:fill="auto"/>
            <w:hideMark/>
          </w:tcPr>
          <w:p w14:paraId="6E7DF741" w14:textId="36546900" w:rsidR="002865F2" w:rsidRPr="002865F2" w:rsidRDefault="002865F2" w:rsidP="00541B09">
            <w:pPr>
              <w:pStyle w:val="Tablewriting"/>
            </w:pPr>
            <w:r w:rsidRPr="002865F2">
              <w:t>Neulactil (</w:t>
            </w:r>
            <w:r w:rsidR="00A52436">
              <w:t>SA</w:t>
            </w:r>
            <w:r w:rsidR="00A52436" w:rsidRPr="002865F2">
              <w:t>NOFI-AVENTIS AUSTRALIA PTY LTD</w:t>
            </w:r>
            <w:r w:rsidRPr="002865F2">
              <w:t>)</w:t>
            </w:r>
          </w:p>
        </w:tc>
      </w:tr>
      <w:tr w:rsidR="002865F2" w:rsidRPr="002865F2" w14:paraId="22B2481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9043B06" w14:textId="77777777" w:rsidR="002865F2" w:rsidRPr="002865F2" w:rsidRDefault="002865F2" w:rsidP="00541B09">
            <w:pPr>
              <w:pStyle w:val="Tablewriting"/>
            </w:pPr>
            <w:r w:rsidRPr="002865F2">
              <w:t>03052P</w:t>
            </w:r>
          </w:p>
        </w:tc>
        <w:tc>
          <w:tcPr>
            <w:tcW w:w="1182" w:type="dxa"/>
            <w:tcBorders>
              <w:top w:val="nil"/>
              <w:left w:val="nil"/>
              <w:bottom w:val="single" w:sz="4" w:space="0" w:color="auto"/>
              <w:right w:val="single" w:sz="4" w:space="0" w:color="auto"/>
            </w:tcBorders>
            <w:shd w:val="clear" w:color="auto" w:fill="auto"/>
            <w:hideMark/>
          </w:tcPr>
          <w:p w14:paraId="1259329E" w14:textId="77777777" w:rsidR="002865F2" w:rsidRPr="002865F2" w:rsidRDefault="002865F2" w:rsidP="00541B09">
            <w:pPr>
              <w:pStyle w:val="Tablewriting"/>
            </w:pPr>
            <w:r w:rsidRPr="002865F2">
              <w:t>01Aug1971</w:t>
            </w:r>
          </w:p>
        </w:tc>
        <w:tc>
          <w:tcPr>
            <w:tcW w:w="600" w:type="dxa"/>
            <w:tcBorders>
              <w:top w:val="nil"/>
              <w:left w:val="nil"/>
              <w:bottom w:val="single" w:sz="4" w:space="0" w:color="auto"/>
              <w:right w:val="single" w:sz="4" w:space="0" w:color="auto"/>
            </w:tcBorders>
            <w:shd w:val="clear" w:color="auto" w:fill="auto"/>
            <w:hideMark/>
          </w:tcPr>
          <w:p w14:paraId="02F79E49"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7080038C"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7A15186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6572D6C" w14:textId="77777777" w:rsidR="002865F2" w:rsidRPr="002865F2" w:rsidRDefault="002865F2" w:rsidP="00541B09">
            <w:pPr>
              <w:pStyle w:val="Tablewriting"/>
            </w:pPr>
            <w:r w:rsidRPr="002865F2">
              <w:t>$8.03</w:t>
            </w:r>
          </w:p>
        </w:tc>
        <w:tc>
          <w:tcPr>
            <w:tcW w:w="3903" w:type="dxa"/>
            <w:tcBorders>
              <w:top w:val="nil"/>
              <w:left w:val="nil"/>
              <w:bottom w:val="single" w:sz="4" w:space="0" w:color="auto"/>
              <w:right w:val="single" w:sz="4" w:space="0" w:color="auto"/>
            </w:tcBorders>
            <w:shd w:val="clear" w:color="auto" w:fill="auto"/>
            <w:hideMark/>
          </w:tcPr>
          <w:p w14:paraId="29764CA5" w14:textId="77777777" w:rsidR="002865F2" w:rsidRPr="002865F2" w:rsidRDefault="002865F2" w:rsidP="00541B09">
            <w:pPr>
              <w:pStyle w:val="Tablewriting"/>
            </w:pPr>
            <w:r w:rsidRPr="002865F2">
              <w:t>Pericyazine, Tablet 2.5 mg</w:t>
            </w:r>
          </w:p>
        </w:tc>
        <w:tc>
          <w:tcPr>
            <w:tcW w:w="3773" w:type="dxa"/>
            <w:tcBorders>
              <w:top w:val="nil"/>
              <w:left w:val="nil"/>
              <w:bottom w:val="single" w:sz="4" w:space="0" w:color="auto"/>
              <w:right w:val="single" w:sz="4" w:space="0" w:color="auto"/>
            </w:tcBorders>
            <w:shd w:val="clear" w:color="auto" w:fill="auto"/>
            <w:hideMark/>
          </w:tcPr>
          <w:p w14:paraId="3A672990" w14:textId="25414DA7" w:rsidR="002865F2" w:rsidRPr="002865F2" w:rsidRDefault="002865F2" w:rsidP="00541B09">
            <w:pPr>
              <w:pStyle w:val="Tablewriting"/>
            </w:pPr>
            <w:r w:rsidRPr="002865F2">
              <w:t>Neulactil (</w:t>
            </w:r>
            <w:r w:rsidR="00A52436">
              <w:t>SA</w:t>
            </w:r>
            <w:r w:rsidR="00A52436" w:rsidRPr="002865F2">
              <w:t>NOFI-AVENTIS AUSTRALIA PTY LTD</w:t>
            </w:r>
            <w:r w:rsidRPr="002865F2">
              <w:t>)</w:t>
            </w:r>
          </w:p>
        </w:tc>
      </w:tr>
      <w:tr w:rsidR="002865F2" w:rsidRPr="002865F2" w14:paraId="1526BA6F"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4C26FBB0" w14:textId="77777777" w:rsidR="002865F2" w:rsidRPr="002865F2" w:rsidRDefault="002865F2" w:rsidP="00541B09">
            <w:pPr>
              <w:pStyle w:val="Tablewriting"/>
            </w:pPr>
            <w:r w:rsidRPr="002865F2">
              <w:t>05458G</w:t>
            </w:r>
          </w:p>
        </w:tc>
        <w:tc>
          <w:tcPr>
            <w:tcW w:w="1182" w:type="dxa"/>
            <w:tcBorders>
              <w:top w:val="nil"/>
              <w:left w:val="nil"/>
              <w:bottom w:val="single" w:sz="4" w:space="0" w:color="auto"/>
              <w:right w:val="single" w:sz="4" w:space="0" w:color="auto"/>
            </w:tcBorders>
            <w:shd w:val="clear" w:color="auto" w:fill="auto"/>
            <w:hideMark/>
          </w:tcPr>
          <w:p w14:paraId="0E927B96" w14:textId="77777777" w:rsidR="002865F2" w:rsidRPr="002865F2" w:rsidRDefault="002865F2" w:rsidP="00541B09">
            <w:pPr>
              <w:pStyle w:val="Tablewriting"/>
            </w:pPr>
            <w:r w:rsidRPr="002865F2">
              <w:t>01Jan2011</w:t>
            </w:r>
          </w:p>
        </w:tc>
        <w:tc>
          <w:tcPr>
            <w:tcW w:w="600" w:type="dxa"/>
            <w:tcBorders>
              <w:top w:val="nil"/>
              <w:left w:val="nil"/>
              <w:bottom w:val="single" w:sz="4" w:space="0" w:color="auto"/>
              <w:right w:val="single" w:sz="4" w:space="0" w:color="auto"/>
            </w:tcBorders>
            <w:shd w:val="clear" w:color="auto" w:fill="auto"/>
            <w:hideMark/>
          </w:tcPr>
          <w:p w14:paraId="249BEB82"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0CA68EAE"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6CBC626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21713C9" w14:textId="77777777" w:rsidR="002865F2" w:rsidRPr="002865F2" w:rsidRDefault="002865F2" w:rsidP="00541B09">
            <w:pPr>
              <w:pStyle w:val="Tablewriting"/>
            </w:pPr>
            <w:r w:rsidRPr="002865F2">
              <w:t>$47.89</w:t>
            </w:r>
          </w:p>
        </w:tc>
        <w:tc>
          <w:tcPr>
            <w:tcW w:w="3903" w:type="dxa"/>
            <w:tcBorders>
              <w:top w:val="nil"/>
              <w:left w:val="nil"/>
              <w:bottom w:val="single" w:sz="4" w:space="0" w:color="auto"/>
              <w:right w:val="single" w:sz="4" w:space="0" w:color="auto"/>
            </w:tcBorders>
            <w:shd w:val="clear" w:color="auto" w:fill="auto"/>
            <w:hideMark/>
          </w:tcPr>
          <w:p w14:paraId="1A5EB2C1" w14:textId="798B158E" w:rsidR="002865F2" w:rsidRPr="002865F2" w:rsidRDefault="002865F2" w:rsidP="00541B09">
            <w:pPr>
              <w:pStyle w:val="Tablewriting"/>
            </w:pPr>
            <w:r w:rsidRPr="002865F2">
              <w:t>Quetiapine, Tablet (modified release) 150</w:t>
            </w:r>
            <w:r w:rsidR="00541B09">
              <w:t> </w:t>
            </w:r>
            <w:r w:rsidRPr="002865F2">
              <w:t>mg (as fumarate)</w:t>
            </w:r>
          </w:p>
        </w:tc>
        <w:tc>
          <w:tcPr>
            <w:tcW w:w="3773" w:type="dxa"/>
            <w:tcBorders>
              <w:top w:val="nil"/>
              <w:left w:val="nil"/>
              <w:bottom w:val="single" w:sz="4" w:space="0" w:color="auto"/>
              <w:right w:val="single" w:sz="4" w:space="0" w:color="auto"/>
            </w:tcBorders>
            <w:shd w:val="clear" w:color="auto" w:fill="auto"/>
            <w:hideMark/>
          </w:tcPr>
          <w:p w14:paraId="3DFC5A73" w14:textId="77777777" w:rsidR="002865F2" w:rsidRPr="002865F2" w:rsidRDefault="002865F2" w:rsidP="00541B09">
            <w:pPr>
              <w:pStyle w:val="Tablewriting"/>
            </w:pPr>
            <w:r w:rsidRPr="002865F2">
              <w:t>Seroquel XR (ASTRAZENECA PTY LTD)</w:t>
            </w:r>
          </w:p>
        </w:tc>
      </w:tr>
      <w:tr w:rsidR="002865F2" w:rsidRPr="002865F2" w14:paraId="4807730B"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9CAE0D6" w14:textId="77777777" w:rsidR="002865F2" w:rsidRPr="002865F2" w:rsidRDefault="002865F2" w:rsidP="00541B09">
            <w:pPr>
              <w:pStyle w:val="Tablewriting"/>
            </w:pPr>
            <w:r w:rsidRPr="002865F2">
              <w:t>09203J</w:t>
            </w:r>
          </w:p>
        </w:tc>
        <w:tc>
          <w:tcPr>
            <w:tcW w:w="1182" w:type="dxa"/>
            <w:tcBorders>
              <w:top w:val="nil"/>
              <w:left w:val="nil"/>
              <w:bottom w:val="single" w:sz="4" w:space="0" w:color="auto"/>
              <w:right w:val="single" w:sz="4" w:space="0" w:color="auto"/>
            </w:tcBorders>
            <w:shd w:val="clear" w:color="auto" w:fill="auto"/>
            <w:hideMark/>
          </w:tcPr>
          <w:p w14:paraId="4720212C" w14:textId="77777777" w:rsidR="002865F2" w:rsidRPr="002865F2" w:rsidRDefault="002865F2" w:rsidP="00541B09">
            <w:pPr>
              <w:pStyle w:val="Tablewriting"/>
            </w:pPr>
            <w:r w:rsidRPr="002865F2">
              <w:t>01Nov2008</w:t>
            </w:r>
          </w:p>
        </w:tc>
        <w:tc>
          <w:tcPr>
            <w:tcW w:w="600" w:type="dxa"/>
            <w:tcBorders>
              <w:top w:val="nil"/>
              <w:left w:val="nil"/>
              <w:bottom w:val="single" w:sz="4" w:space="0" w:color="auto"/>
              <w:right w:val="single" w:sz="4" w:space="0" w:color="auto"/>
            </w:tcBorders>
            <w:shd w:val="clear" w:color="auto" w:fill="auto"/>
            <w:hideMark/>
          </w:tcPr>
          <w:p w14:paraId="36A56E00"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0379C7C0"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71F0CAB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D9ECB7E" w14:textId="77777777" w:rsidR="002865F2" w:rsidRPr="002865F2" w:rsidRDefault="002865F2" w:rsidP="00541B09">
            <w:pPr>
              <w:pStyle w:val="Tablewriting"/>
            </w:pPr>
            <w:r w:rsidRPr="002865F2">
              <w:t>$187.70</w:t>
            </w:r>
          </w:p>
        </w:tc>
        <w:tc>
          <w:tcPr>
            <w:tcW w:w="3903" w:type="dxa"/>
            <w:tcBorders>
              <w:top w:val="nil"/>
              <w:left w:val="nil"/>
              <w:bottom w:val="single" w:sz="4" w:space="0" w:color="auto"/>
              <w:right w:val="single" w:sz="4" w:space="0" w:color="auto"/>
            </w:tcBorders>
            <w:shd w:val="clear" w:color="auto" w:fill="auto"/>
            <w:hideMark/>
          </w:tcPr>
          <w:p w14:paraId="0FF16CFB" w14:textId="67C6E1D1" w:rsidR="002865F2" w:rsidRPr="002865F2" w:rsidRDefault="002865F2" w:rsidP="00541B09">
            <w:pPr>
              <w:pStyle w:val="Tablewriting"/>
            </w:pPr>
            <w:r w:rsidRPr="002865F2">
              <w:t>Quetiapine, Tablet (modified release) 200</w:t>
            </w:r>
            <w:r w:rsidR="00541B09">
              <w:t> </w:t>
            </w:r>
            <w:r w:rsidRPr="002865F2">
              <w:t>mg (as fumarate)</w:t>
            </w:r>
          </w:p>
        </w:tc>
        <w:tc>
          <w:tcPr>
            <w:tcW w:w="3773" w:type="dxa"/>
            <w:tcBorders>
              <w:top w:val="nil"/>
              <w:left w:val="nil"/>
              <w:bottom w:val="single" w:sz="4" w:space="0" w:color="auto"/>
              <w:right w:val="single" w:sz="4" w:space="0" w:color="auto"/>
            </w:tcBorders>
            <w:shd w:val="clear" w:color="auto" w:fill="auto"/>
            <w:hideMark/>
          </w:tcPr>
          <w:p w14:paraId="3BEE823F" w14:textId="77777777" w:rsidR="002865F2" w:rsidRPr="002865F2" w:rsidRDefault="002865F2" w:rsidP="00541B09">
            <w:pPr>
              <w:pStyle w:val="Tablewriting"/>
            </w:pPr>
            <w:r w:rsidRPr="002865F2">
              <w:t>Seroquel XR (ASTRAZENECA PTY LTD)</w:t>
            </w:r>
          </w:p>
        </w:tc>
      </w:tr>
      <w:tr w:rsidR="002865F2" w:rsidRPr="002865F2" w14:paraId="6B76134C"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0D543C3" w14:textId="77777777" w:rsidR="002865F2" w:rsidRPr="002865F2" w:rsidRDefault="002865F2" w:rsidP="00541B09">
            <w:pPr>
              <w:pStyle w:val="Tablewriting"/>
            </w:pPr>
            <w:r w:rsidRPr="002865F2">
              <w:t>09204K</w:t>
            </w:r>
          </w:p>
        </w:tc>
        <w:tc>
          <w:tcPr>
            <w:tcW w:w="1182" w:type="dxa"/>
            <w:tcBorders>
              <w:top w:val="nil"/>
              <w:left w:val="nil"/>
              <w:bottom w:val="single" w:sz="4" w:space="0" w:color="auto"/>
              <w:right w:val="single" w:sz="4" w:space="0" w:color="auto"/>
            </w:tcBorders>
            <w:shd w:val="clear" w:color="auto" w:fill="auto"/>
            <w:hideMark/>
          </w:tcPr>
          <w:p w14:paraId="709576B7" w14:textId="77777777" w:rsidR="002865F2" w:rsidRPr="002865F2" w:rsidRDefault="002865F2" w:rsidP="00541B09">
            <w:pPr>
              <w:pStyle w:val="Tablewriting"/>
            </w:pPr>
            <w:r w:rsidRPr="002865F2">
              <w:t>01Nov2008</w:t>
            </w:r>
          </w:p>
        </w:tc>
        <w:tc>
          <w:tcPr>
            <w:tcW w:w="600" w:type="dxa"/>
            <w:tcBorders>
              <w:top w:val="nil"/>
              <w:left w:val="nil"/>
              <w:bottom w:val="single" w:sz="4" w:space="0" w:color="auto"/>
              <w:right w:val="single" w:sz="4" w:space="0" w:color="auto"/>
            </w:tcBorders>
            <w:shd w:val="clear" w:color="auto" w:fill="auto"/>
            <w:hideMark/>
          </w:tcPr>
          <w:p w14:paraId="30F83362"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3CD7F578"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43F0BF48"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5E6F9F6" w14:textId="77777777" w:rsidR="002865F2" w:rsidRPr="002865F2" w:rsidRDefault="002865F2" w:rsidP="00541B09">
            <w:pPr>
              <w:pStyle w:val="Tablewriting"/>
            </w:pPr>
            <w:r w:rsidRPr="002865F2">
              <w:t>$266.23</w:t>
            </w:r>
          </w:p>
        </w:tc>
        <w:tc>
          <w:tcPr>
            <w:tcW w:w="3903" w:type="dxa"/>
            <w:tcBorders>
              <w:top w:val="nil"/>
              <w:left w:val="nil"/>
              <w:bottom w:val="single" w:sz="4" w:space="0" w:color="auto"/>
              <w:right w:val="single" w:sz="4" w:space="0" w:color="auto"/>
            </w:tcBorders>
            <w:shd w:val="clear" w:color="auto" w:fill="auto"/>
            <w:hideMark/>
          </w:tcPr>
          <w:p w14:paraId="09100CD1" w14:textId="53D20B15" w:rsidR="002865F2" w:rsidRPr="002865F2" w:rsidRDefault="002865F2" w:rsidP="00541B09">
            <w:pPr>
              <w:pStyle w:val="Tablewriting"/>
            </w:pPr>
            <w:r w:rsidRPr="002865F2">
              <w:t>Quetiapine, Tablet (modified release) 300</w:t>
            </w:r>
            <w:r w:rsidR="00541B09">
              <w:t> </w:t>
            </w:r>
            <w:r w:rsidRPr="002865F2">
              <w:t>mg (as fumarate)</w:t>
            </w:r>
          </w:p>
        </w:tc>
        <w:tc>
          <w:tcPr>
            <w:tcW w:w="3773" w:type="dxa"/>
            <w:tcBorders>
              <w:top w:val="nil"/>
              <w:left w:val="nil"/>
              <w:bottom w:val="single" w:sz="4" w:space="0" w:color="auto"/>
              <w:right w:val="single" w:sz="4" w:space="0" w:color="auto"/>
            </w:tcBorders>
            <w:shd w:val="clear" w:color="auto" w:fill="auto"/>
            <w:hideMark/>
          </w:tcPr>
          <w:p w14:paraId="47C8551D" w14:textId="77777777" w:rsidR="002865F2" w:rsidRPr="002865F2" w:rsidRDefault="002865F2" w:rsidP="00541B09">
            <w:pPr>
              <w:pStyle w:val="Tablewriting"/>
            </w:pPr>
            <w:r w:rsidRPr="002865F2">
              <w:t>Seroquel XR (ASTRAZENECA PTY LTD)</w:t>
            </w:r>
          </w:p>
        </w:tc>
      </w:tr>
      <w:tr w:rsidR="002865F2" w:rsidRPr="002865F2" w14:paraId="269AAB0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BCF3BAD" w14:textId="77777777" w:rsidR="002865F2" w:rsidRPr="002865F2" w:rsidRDefault="002865F2" w:rsidP="00541B09">
            <w:pPr>
              <w:pStyle w:val="Tablewriting"/>
            </w:pPr>
            <w:r w:rsidRPr="002865F2">
              <w:t>09205L</w:t>
            </w:r>
          </w:p>
        </w:tc>
        <w:tc>
          <w:tcPr>
            <w:tcW w:w="1182" w:type="dxa"/>
            <w:tcBorders>
              <w:top w:val="nil"/>
              <w:left w:val="nil"/>
              <w:bottom w:val="single" w:sz="4" w:space="0" w:color="auto"/>
              <w:right w:val="single" w:sz="4" w:space="0" w:color="auto"/>
            </w:tcBorders>
            <w:shd w:val="clear" w:color="auto" w:fill="auto"/>
            <w:hideMark/>
          </w:tcPr>
          <w:p w14:paraId="4831396F" w14:textId="77777777" w:rsidR="002865F2" w:rsidRPr="002865F2" w:rsidRDefault="002865F2" w:rsidP="00541B09">
            <w:pPr>
              <w:pStyle w:val="Tablewriting"/>
            </w:pPr>
            <w:r w:rsidRPr="002865F2">
              <w:t>01Nov2008</w:t>
            </w:r>
          </w:p>
        </w:tc>
        <w:tc>
          <w:tcPr>
            <w:tcW w:w="600" w:type="dxa"/>
            <w:tcBorders>
              <w:top w:val="nil"/>
              <w:left w:val="nil"/>
              <w:bottom w:val="single" w:sz="4" w:space="0" w:color="auto"/>
              <w:right w:val="single" w:sz="4" w:space="0" w:color="auto"/>
            </w:tcBorders>
            <w:shd w:val="clear" w:color="auto" w:fill="auto"/>
            <w:hideMark/>
          </w:tcPr>
          <w:p w14:paraId="23752C25"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612B5298"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560C722D"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68503D6" w14:textId="77777777" w:rsidR="002865F2" w:rsidRPr="002865F2" w:rsidRDefault="002865F2" w:rsidP="00541B09">
            <w:pPr>
              <w:pStyle w:val="Tablewriting"/>
            </w:pPr>
            <w:r w:rsidRPr="002865F2">
              <w:t>$112.53</w:t>
            </w:r>
          </w:p>
        </w:tc>
        <w:tc>
          <w:tcPr>
            <w:tcW w:w="3903" w:type="dxa"/>
            <w:tcBorders>
              <w:top w:val="nil"/>
              <w:left w:val="nil"/>
              <w:bottom w:val="single" w:sz="4" w:space="0" w:color="auto"/>
              <w:right w:val="single" w:sz="4" w:space="0" w:color="auto"/>
            </w:tcBorders>
            <w:shd w:val="clear" w:color="auto" w:fill="auto"/>
            <w:hideMark/>
          </w:tcPr>
          <w:p w14:paraId="27F0FA44" w14:textId="3BFFFDA5" w:rsidR="002865F2" w:rsidRPr="002865F2" w:rsidRDefault="002865F2" w:rsidP="00541B09">
            <w:pPr>
              <w:pStyle w:val="Tablewriting"/>
            </w:pPr>
            <w:r w:rsidRPr="002865F2">
              <w:t>Quetiapine, Tablet (modified release) 400</w:t>
            </w:r>
            <w:r w:rsidR="00541B09">
              <w:t> </w:t>
            </w:r>
            <w:r w:rsidRPr="002865F2">
              <w:t>mg (as fumarate)</w:t>
            </w:r>
          </w:p>
        </w:tc>
        <w:tc>
          <w:tcPr>
            <w:tcW w:w="3773" w:type="dxa"/>
            <w:tcBorders>
              <w:top w:val="nil"/>
              <w:left w:val="nil"/>
              <w:bottom w:val="single" w:sz="4" w:space="0" w:color="auto"/>
              <w:right w:val="single" w:sz="4" w:space="0" w:color="auto"/>
            </w:tcBorders>
            <w:shd w:val="clear" w:color="auto" w:fill="auto"/>
            <w:hideMark/>
          </w:tcPr>
          <w:p w14:paraId="62BDCE27" w14:textId="77777777" w:rsidR="002865F2" w:rsidRPr="002865F2" w:rsidRDefault="002865F2" w:rsidP="00541B09">
            <w:pPr>
              <w:pStyle w:val="Tablewriting"/>
            </w:pPr>
            <w:r w:rsidRPr="002865F2">
              <w:t>Seroquel XR (ASTRAZENECA PTY LTD)</w:t>
            </w:r>
          </w:p>
        </w:tc>
      </w:tr>
      <w:tr w:rsidR="002865F2" w:rsidRPr="002865F2" w14:paraId="7DDFEFA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69EEA02" w14:textId="77777777" w:rsidR="002865F2" w:rsidRPr="002865F2" w:rsidRDefault="002865F2" w:rsidP="00541B09">
            <w:pPr>
              <w:pStyle w:val="Tablewriting"/>
            </w:pPr>
            <w:r w:rsidRPr="002865F2">
              <w:t>09202H</w:t>
            </w:r>
          </w:p>
        </w:tc>
        <w:tc>
          <w:tcPr>
            <w:tcW w:w="1182" w:type="dxa"/>
            <w:tcBorders>
              <w:top w:val="nil"/>
              <w:left w:val="nil"/>
              <w:bottom w:val="single" w:sz="4" w:space="0" w:color="auto"/>
              <w:right w:val="single" w:sz="4" w:space="0" w:color="auto"/>
            </w:tcBorders>
            <w:shd w:val="clear" w:color="auto" w:fill="auto"/>
            <w:hideMark/>
          </w:tcPr>
          <w:p w14:paraId="6983FB62" w14:textId="77777777" w:rsidR="002865F2" w:rsidRPr="002865F2" w:rsidRDefault="002865F2" w:rsidP="00541B09">
            <w:pPr>
              <w:pStyle w:val="Tablewriting"/>
            </w:pPr>
            <w:r w:rsidRPr="002865F2">
              <w:t>01Nov2008</w:t>
            </w:r>
          </w:p>
        </w:tc>
        <w:tc>
          <w:tcPr>
            <w:tcW w:w="600" w:type="dxa"/>
            <w:tcBorders>
              <w:top w:val="nil"/>
              <w:left w:val="nil"/>
              <w:bottom w:val="single" w:sz="4" w:space="0" w:color="auto"/>
              <w:right w:val="single" w:sz="4" w:space="0" w:color="auto"/>
            </w:tcBorders>
            <w:shd w:val="clear" w:color="auto" w:fill="auto"/>
            <w:hideMark/>
          </w:tcPr>
          <w:p w14:paraId="074FC256"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19DF07A7"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1C35642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7507892" w14:textId="77777777" w:rsidR="002865F2" w:rsidRPr="002865F2" w:rsidRDefault="002865F2" w:rsidP="00541B09">
            <w:pPr>
              <w:pStyle w:val="Tablewriting"/>
            </w:pPr>
            <w:r w:rsidRPr="002865F2">
              <w:t>$44.62</w:t>
            </w:r>
          </w:p>
        </w:tc>
        <w:tc>
          <w:tcPr>
            <w:tcW w:w="3903" w:type="dxa"/>
            <w:tcBorders>
              <w:top w:val="nil"/>
              <w:left w:val="nil"/>
              <w:bottom w:val="single" w:sz="4" w:space="0" w:color="auto"/>
              <w:right w:val="single" w:sz="4" w:space="0" w:color="auto"/>
            </w:tcBorders>
            <w:shd w:val="clear" w:color="auto" w:fill="auto"/>
            <w:hideMark/>
          </w:tcPr>
          <w:p w14:paraId="752E66A8" w14:textId="66B274B0" w:rsidR="002865F2" w:rsidRPr="002865F2" w:rsidRDefault="002865F2" w:rsidP="00541B09">
            <w:pPr>
              <w:pStyle w:val="Tablewriting"/>
            </w:pPr>
            <w:r w:rsidRPr="002865F2">
              <w:t>Quetiapine, Tablet (modified release) 50</w:t>
            </w:r>
            <w:r w:rsidR="00541B09">
              <w:t> </w:t>
            </w:r>
            <w:r w:rsidRPr="002865F2">
              <w:t>mg (as fumarate)</w:t>
            </w:r>
          </w:p>
        </w:tc>
        <w:tc>
          <w:tcPr>
            <w:tcW w:w="3773" w:type="dxa"/>
            <w:tcBorders>
              <w:top w:val="nil"/>
              <w:left w:val="nil"/>
              <w:bottom w:val="single" w:sz="4" w:space="0" w:color="auto"/>
              <w:right w:val="single" w:sz="4" w:space="0" w:color="auto"/>
            </w:tcBorders>
            <w:shd w:val="clear" w:color="auto" w:fill="auto"/>
            <w:hideMark/>
          </w:tcPr>
          <w:p w14:paraId="10253145" w14:textId="77777777" w:rsidR="002865F2" w:rsidRPr="002865F2" w:rsidRDefault="002865F2" w:rsidP="00541B09">
            <w:pPr>
              <w:pStyle w:val="Tablewriting"/>
            </w:pPr>
            <w:r w:rsidRPr="002865F2">
              <w:t>Seroquel XR (ASTRAZENECA PTY LTD)</w:t>
            </w:r>
          </w:p>
        </w:tc>
      </w:tr>
      <w:tr w:rsidR="002865F2" w:rsidRPr="002865F2" w14:paraId="0BB6240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2FA5787" w14:textId="77777777" w:rsidR="002865F2" w:rsidRPr="002865F2" w:rsidRDefault="002865F2" w:rsidP="00541B09">
            <w:pPr>
              <w:pStyle w:val="Tablewriting"/>
            </w:pPr>
            <w:r w:rsidRPr="002865F2">
              <w:t>08457D</w:t>
            </w:r>
          </w:p>
        </w:tc>
        <w:tc>
          <w:tcPr>
            <w:tcW w:w="1182" w:type="dxa"/>
            <w:tcBorders>
              <w:top w:val="nil"/>
              <w:left w:val="nil"/>
              <w:bottom w:val="single" w:sz="4" w:space="0" w:color="auto"/>
              <w:right w:val="single" w:sz="4" w:space="0" w:color="auto"/>
            </w:tcBorders>
            <w:shd w:val="clear" w:color="auto" w:fill="auto"/>
            <w:hideMark/>
          </w:tcPr>
          <w:p w14:paraId="28FC98CE" w14:textId="77777777" w:rsidR="002865F2" w:rsidRPr="002865F2" w:rsidRDefault="002865F2" w:rsidP="00541B09">
            <w:pPr>
              <w:pStyle w:val="Tablewriting"/>
            </w:pPr>
            <w:r w:rsidRPr="002865F2">
              <w:t>01Nov2000</w:t>
            </w:r>
          </w:p>
        </w:tc>
        <w:tc>
          <w:tcPr>
            <w:tcW w:w="600" w:type="dxa"/>
            <w:tcBorders>
              <w:top w:val="nil"/>
              <w:left w:val="nil"/>
              <w:bottom w:val="single" w:sz="4" w:space="0" w:color="auto"/>
              <w:right w:val="single" w:sz="4" w:space="0" w:color="auto"/>
            </w:tcBorders>
            <w:shd w:val="clear" w:color="auto" w:fill="auto"/>
            <w:hideMark/>
          </w:tcPr>
          <w:p w14:paraId="7D7EEA9A" w14:textId="77777777" w:rsidR="002865F2" w:rsidRPr="002865F2" w:rsidRDefault="002865F2" w:rsidP="00541B09">
            <w:pPr>
              <w:pStyle w:val="Tablewriting"/>
            </w:pPr>
            <w:r w:rsidRPr="002865F2">
              <w:t>90</w:t>
            </w:r>
          </w:p>
        </w:tc>
        <w:tc>
          <w:tcPr>
            <w:tcW w:w="1068" w:type="dxa"/>
            <w:tcBorders>
              <w:top w:val="nil"/>
              <w:left w:val="nil"/>
              <w:bottom w:val="single" w:sz="4" w:space="0" w:color="auto"/>
              <w:right w:val="single" w:sz="4" w:space="0" w:color="auto"/>
            </w:tcBorders>
            <w:shd w:val="clear" w:color="auto" w:fill="auto"/>
            <w:hideMark/>
          </w:tcPr>
          <w:p w14:paraId="08FB1900" w14:textId="77777777" w:rsidR="002865F2" w:rsidRPr="002865F2" w:rsidRDefault="002865F2" w:rsidP="00541B09">
            <w:pPr>
              <w:pStyle w:val="Tablewriting"/>
            </w:pPr>
            <w:r w:rsidRPr="002865F2">
              <w:t>90</w:t>
            </w:r>
          </w:p>
        </w:tc>
        <w:tc>
          <w:tcPr>
            <w:tcW w:w="1126" w:type="dxa"/>
            <w:tcBorders>
              <w:top w:val="nil"/>
              <w:left w:val="nil"/>
              <w:bottom w:val="single" w:sz="4" w:space="0" w:color="auto"/>
              <w:right w:val="single" w:sz="4" w:space="0" w:color="auto"/>
            </w:tcBorders>
            <w:shd w:val="clear" w:color="auto" w:fill="auto"/>
            <w:hideMark/>
          </w:tcPr>
          <w:p w14:paraId="23FABCA4"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523966C" w14:textId="77777777" w:rsidR="002865F2" w:rsidRPr="002865F2" w:rsidRDefault="002865F2" w:rsidP="00541B09">
            <w:pPr>
              <w:pStyle w:val="Tablewriting"/>
            </w:pPr>
            <w:r w:rsidRPr="002865F2">
              <w:t>$86.91</w:t>
            </w:r>
          </w:p>
        </w:tc>
        <w:tc>
          <w:tcPr>
            <w:tcW w:w="3903" w:type="dxa"/>
            <w:tcBorders>
              <w:top w:val="nil"/>
              <w:left w:val="nil"/>
              <w:bottom w:val="single" w:sz="4" w:space="0" w:color="auto"/>
              <w:right w:val="single" w:sz="4" w:space="0" w:color="auto"/>
            </w:tcBorders>
            <w:shd w:val="clear" w:color="auto" w:fill="auto"/>
            <w:hideMark/>
          </w:tcPr>
          <w:p w14:paraId="214EABF1" w14:textId="77777777" w:rsidR="002865F2" w:rsidRPr="002865F2" w:rsidRDefault="002865F2" w:rsidP="00541B09">
            <w:pPr>
              <w:pStyle w:val="Tablewriting"/>
            </w:pPr>
            <w:r w:rsidRPr="002865F2">
              <w:t>Quetiapine, Tablet 100 mg (as fumarate)</w:t>
            </w:r>
          </w:p>
        </w:tc>
        <w:tc>
          <w:tcPr>
            <w:tcW w:w="3773" w:type="dxa"/>
            <w:tcBorders>
              <w:top w:val="nil"/>
              <w:left w:val="nil"/>
              <w:bottom w:val="single" w:sz="4" w:space="0" w:color="auto"/>
              <w:right w:val="single" w:sz="4" w:space="0" w:color="auto"/>
            </w:tcBorders>
            <w:shd w:val="clear" w:color="auto" w:fill="auto"/>
            <w:hideMark/>
          </w:tcPr>
          <w:p w14:paraId="6226F5F2" w14:textId="77777777" w:rsidR="002865F2" w:rsidRPr="002865F2" w:rsidRDefault="002865F2" w:rsidP="00541B09">
            <w:pPr>
              <w:pStyle w:val="Tablewriting"/>
            </w:pPr>
            <w:r w:rsidRPr="002865F2">
              <w:t>Sequase (PHARMACEUTICAL MANUFACTURING COMPANY PTY LIMITED)</w:t>
            </w:r>
          </w:p>
        </w:tc>
      </w:tr>
      <w:tr w:rsidR="002865F2" w:rsidRPr="002865F2" w14:paraId="3272DA32"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58FDABB" w14:textId="77777777" w:rsidR="002865F2" w:rsidRPr="002865F2" w:rsidRDefault="002865F2" w:rsidP="00541B09">
            <w:pPr>
              <w:pStyle w:val="Tablewriting"/>
            </w:pPr>
            <w:r w:rsidRPr="002865F2">
              <w:t>08458E</w:t>
            </w:r>
          </w:p>
        </w:tc>
        <w:tc>
          <w:tcPr>
            <w:tcW w:w="1182" w:type="dxa"/>
            <w:tcBorders>
              <w:top w:val="nil"/>
              <w:left w:val="nil"/>
              <w:bottom w:val="single" w:sz="4" w:space="0" w:color="auto"/>
              <w:right w:val="single" w:sz="4" w:space="0" w:color="auto"/>
            </w:tcBorders>
            <w:shd w:val="clear" w:color="auto" w:fill="auto"/>
            <w:hideMark/>
          </w:tcPr>
          <w:p w14:paraId="5AC723C1" w14:textId="77777777" w:rsidR="002865F2" w:rsidRPr="002865F2" w:rsidRDefault="002865F2" w:rsidP="00541B09">
            <w:pPr>
              <w:pStyle w:val="Tablewriting"/>
            </w:pPr>
            <w:r w:rsidRPr="002865F2">
              <w:t>01Nov2000</w:t>
            </w:r>
          </w:p>
        </w:tc>
        <w:tc>
          <w:tcPr>
            <w:tcW w:w="600" w:type="dxa"/>
            <w:tcBorders>
              <w:top w:val="nil"/>
              <w:left w:val="nil"/>
              <w:bottom w:val="single" w:sz="4" w:space="0" w:color="auto"/>
              <w:right w:val="single" w:sz="4" w:space="0" w:color="auto"/>
            </w:tcBorders>
            <w:shd w:val="clear" w:color="auto" w:fill="auto"/>
            <w:hideMark/>
          </w:tcPr>
          <w:p w14:paraId="24B38B91"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16FDF519"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27B0752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78A63E8" w14:textId="77777777" w:rsidR="002865F2" w:rsidRPr="002865F2" w:rsidRDefault="002865F2" w:rsidP="00541B09">
            <w:pPr>
              <w:pStyle w:val="Tablewriting"/>
            </w:pPr>
            <w:r w:rsidRPr="002865F2">
              <w:t>$116.03</w:t>
            </w:r>
          </w:p>
        </w:tc>
        <w:tc>
          <w:tcPr>
            <w:tcW w:w="3903" w:type="dxa"/>
            <w:tcBorders>
              <w:top w:val="nil"/>
              <w:left w:val="nil"/>
              <w:bottom w:val="single" w:sz="4" w:space="0" w:color="auto"/>
              <w:right w:val="single" w:sz="4" w:space="0" w:color="auto"/>
            </w:tcBorders>
            <w:shd w:val="clear" w:color="auto" w:fill="auto"/>
            <w:hideMark/>
          </w:tcPr>
          <w:p w14:paraId="53278ADB" w14:textId="77777777" w:rsidR="002865F2" w:rsidRPr="002865F2" w:rsidRDefault="002865F2" w:rsidP="00541B09">
            <w:pPr>
              <w:pStyle w:val="Tablewriting"/>
            </w:pPr>
            <w:r w:rsidRPr="002865F2">
              <w:t>Quetiapine, Tablet 200 mg (as fumarate)</w:t>
            </w:r>
          </w:p>
        </w:tc>
        <w:tc>
          <w:tcPr>
            <w:tcW w:w="3773" w:type="dxa"/>
            <w:tcBorders>
              <w:top w:val="nil"/>
              <w:left w:val="nil"/>
              <w:bottom w:val="single" w:sz="4" w:space="0" w:color="auto"/>
              <w:right w:val="single" w:sz="4" w:space="0" w:color="auto"/>
            </w:tcBorders>
            <w:shd w:val="clear" w:color="auto" w:fill="auto"/>
            <w:hideMark/>
          </w:tcPr>
          <w:p w14:paraId="2F06C9A7" w14:textId="77777777" w:rsidR="002865F2" w:rsidRPr="002865F2" w:rsidRDefault="002865F2" w:rsidP="00541B09">
            <w:pPr>
              <w:pStyle w:val="Tablewriting"/>
            </w:pPr>
            <w:r w:rsidRPr="002865F2">
              <w:t>Sequase (PHARMACEUTICAL MANUFACTURING COMPANY PTY LIMITED)</w:t>
            </w:r>
          </w:p>
        </w:tc>
      </w:tr>
      <w:tr w:rsidR="002865F2" w:rsidRPr="002865F2" w14:paraId="1A543C4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7B29716C" w14:textId="77777777" w:rsidR="002865F2" w:rsidRPr="002865F2" w:rsidRDefault="002865F2" w:rsidP="00541B09">
            <w:pPr>
              <w:pStyle w:val="Tablewriting"/>
            </w:pPr>
            <w:r w:rsidRPr="002865F2">
              <w:t>08456C</w:t>
            </w:r>
          </w:p>
        </w:tc>
        <w:tc>
          <w:tcPr>
            <w:tcW w:w="1182" w:type="dxa"/>
            <w:tcBorders>
              <w:top w:val="nil"/>
              <w:left w:val="nil"/>
              <w:bottom w:val="single" w:sz="4" w:space="0" w:color="auto"/>
              <w:right w:val="single" w:sz="4" w:space="0" w:color="auto"/>
            </w:tcBorders>
            <w:shd w:val="clear" w:color="auto" w:fill="auto"/>
            <w:hideMark/>
          </w:tcPr>
          <w:p w14:paraId="7FF14473" w14:textId="77777777" w:rsidR="002865F2" w:rsidRPr="002865F2" w:rsidRDefault="002865F2" w:rsidP="00541B09">
            <w:pPr>
              <w:pStyle w:val="Tablewriting"/>
            </w:pPr>
            <w:r w:rsidRPr="002865F2">
              <w:t>01Nov2000</w:t>
            </w:r>
          </w:p>
        </w:tc>
        <w:tc>
          <w:tcPr>
            <w:tcW w:w="600" w:type="dxa"/>
            <w:tcBorders>
              <w:top w:val="nil"/>
              <w:left w:val="nil"/>
              <w:bottom w:val="single" w:sz="4" w:space="0" w:color="auto"/>
              <w:right w:val="single" w:sz="4" w:space="0" w:color="auto"/>
            </w:tcBorders>
            <w:shd w:val="clear" w:color="auto" w:fill="auto"/>
            <w:hideMark/>
          </w:tcPr>
          <w:p w14:paraId="65DBF885"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42D9F330"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E534F5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D182483" w14:textId="77777777" w:rsidR="002865F2" w:rsidRPr="002865F2" w:rsidRDefault="002865F2" w:rsidP="00541B09">
            <w:pPr>
              <w:pStyle w:val="Tablewriting"/>
            </w:pPr>
            <w:r w:rsidRPr="002865F2">
              <w:t>$46.82</w:t>
            </w:r>
          </w:p>
        </w:tc>
        <w:tc>
          <w:tcPr>
            <w:tcW w:w="3903" w:type="dxa"/>
            <w:tcBorders>
              <w:top w:val="nil"/>
              <w:left w:val="nil"/>
              <w:bottom w:val="single" w:sz="4" w:space="0" w:color="auto"/>
              <w:right w:val="single" w:sz="4" w:space="0" w:color="auto"/>
            </w:tcBorders>
            <w:shd w:val="clear" w:color="auto" w:fill="auto"/>
            <w:hideMark/>
          </w:tcPr>
          <w:p w14:paraId="423D6FE2" w14:textId="77777777" w:rsidR="002865F2" w:rsidRPr="002865F2" w:rsidRDefault="002865F2" w:rsidP="00541B09">
            <w:pPr>
              <w:pStyle w:val="Tablewriting"/>
            </w:pPr>
            <w:r w:rsidRPr="002865F2">
              <w:t>Quetiapine, Tablet 25 mg (as fumarate)</w:t>
            </w:r>
          </w:p>
        </w:tc>
        <w:tc>
          <w:tcPr>
            <w:tcW w:w="3773" w:type="dxa"/>
            <w:tcBorders>
              <w:top w:val="nil"/>
              <w:left w:val="nil"/>
              <w:bottom w:val="single" w:sz="4" w:space="0" w:color="auto"/>
              <w:right w:val="single" w:sz="4" w:space="0" w:color="auto"/>
            </w:tcBorders>
            <w:shd w:val="clear" w:color="auto" w:fill="auto"/>
            <w:hideMark/>
          </w:tcPr>
          <w:p w14:paraId="49FA1714" w14:textId="77777777" w:rsidR="002865F2" w:rsidRPr="002865F2" w:rsidRDefault="002865F2" w:rsidP="00541B09">
            <w:pPr>
              <w:pStyle w:val="Tablewriting"/>
            </w:pPr>
            <w:r w:rsidRPr="002865F2">
              <w:t>Sequase (PHARMACEUTICAL MANUFACTURING COMPANY PTY LIMITED)</w:t>
            </w:r>
          </w:p>
        </w:tc>
      </w:tr>
      <w:tr w:rsidR="002865F2" w:rsidRPr="002865F2" w14:paraId="24772DE2"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C991363" w14:textId="77777777" w:rsidR="002865F2" w:rsidRPr="002865F2" w:rsidRDefault="002865F2" w:rsidP="00541B09">
            <w:pPr>
              <w:pStyle w:val="Tablewriting"/>
            </w:pPr>
            <w:r w:rsidRPr="002865F2">
              <w:t>08580N</w:t>
            </w:r>
          </w:p>
        </w:tc>
        <w:tc>
          <w:tcPr>
            <w:tcW w:w="1182" w:type="dxa"/>
            <w:tcBorders>
              <w:top w:val="nil"/>
              <w:left w:val="nil"/>
              <w:bottom w:val="single" w:sz="4" w:space="0" w:color="auto"/>
              <w:right w:val="single" w:sz="4" w:space="0" w:color="auto"/>
            </w:tcBorders>
            <w:shd w:val="clear" w:color="auto" w:fill="auto"/>
            <w:hideMark/>
          </w:tcPr>
          <w:p w14:paraId="07897B29" w14:textId="77777777" w:rsidR="002865F2" w:rsidRPr="002865F2" w:rsidRDefault="002865F2" w:rsidP="00541B09">
            <w:pPr>
              <w:pStyle w:val="Tablewriting"/>
            </w:pPr>
            <w:r w:rsidRPr="002865F2">
              <w:t>01May2002</w:t>
            </w:r>
          </w:p>
        </w:tc>
        <w:tc>
          <w:tcPr>
            <w:tcW w:w="600" w:type="dxa"/>
            <w:tcBorders>
              <w:top w:val="nil"/>
              <w:left w:val="nil"/>
              <w:bottom w:val="single" w:sz="4" w:space="0" w:color="auto"/>
              <w:right w:val="single" w:sz="4" w:space="0" w:color="auto"/>
            </w:tcBorders>
            <w:shd w:val="clear" w:color="auto" w:fill="auto"/>
            <w:hideMark/>
          </w:tcPr>
          <w:p w14:paraId="40467E3B"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6B6568F6"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2C7882C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63EDFCC" w14:textId="77777777" w:rsidR="002865F2" w:rsidRPr="002865F2" w:rsidRDefault="002865F2" w:rsidP="00541B09">
            <w:pPr>
              <w:pStyle w:val="Tablewriting"/>
            </w:pPr>
            <w:r w:rsidRPr="002865F2">
              <w:t>$167.14</w:t>
            </w:r>
          </w:p>
        </w:tc>
        <w:tc>
          <w:tcPr>
            <w:tcW w:w="3903" w:type="dxa"/>
            <w:tcBorders>
              <w:top w:val="nil"/>
              <w:left w:val="nil"/>
              <w:bottom w:val="single" w:sz="4" w:space="0" w:color="auto"/>
              <w:right w:val="single" w:sz="4" w:space="0" w:color="auto"/>
            </w:tcBorders>
            <w:shd w:val="clear" w:color="auto" w:fill="auto"/>
            <w:hideMark/>
          </w:tcPr>
          <w:p w14:paraId="551C491C" w14:textId="77777777" w:rsidR="002865F2" w:rsidRPr="002865F2" w:rsidRDefault="002865F2" w:rsidP="00541B09">
            <w:pPr>
              <w:pStyle w:val="Tablewriting"/>
            </w:pPr>
            <w:r w:rsidRPr="002865F2">
              <w:t>Quetiapine, Tablet 300 mg (as fumarate)</w:t>
            </w:r>
          </w:p>
        </w:tc>
        <w:tc>
          <w:tcPr>
            <w:tcW w:w="3773" w:type="dxa"/>
            <w:tcBorders>
              <w:top w:val="nil"/>
              <w:left w:val="nil"/>
              <w:bottom w:val="single" w:sz="4" w:space="0" w:color="auto"/>
              <w:right w:val="single" w:sz="4" w:space="0" w:color="auto"/>
            </w:tcBorders>
            <w:shd w:val="clear" w:color="auto" w:fill="auto"/>
            <w:hideMark/>
          </w:tcPr>
          <w:p w14:paraId="392D9342" w14:textId="77777777" w:rsidR="002865F2" w:rsidRPr="002865F2" w:rsidRDefault="002865F2" w:rsidP="00541B09">
            <w:pPr>
              <w:pStyle w:val="Tablewriting"/>
            </w:pPr>
            <w:r w:rsidRPr="002865F2">
              <w:t>Sequase (PHARMACEUTICAL MANUFACTURING COMPANY PTY LIMITED)</w:t>
            </w:r>
          </w:p>
        </w:tc>
      </w:tr>
      <w:tr w:rsidR="002865F2" w:rsidRPr="002865F2" w14:paraId="67C60C40"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B2807F4" w14:textId="77777777" w:rsidR="002865F2" w:rsidRPr="002865F2" w:rsidRDefault="002865F2" w:rsidP="00541B09">
            <w:pPr>
              <w:pStyle w:val="Tablewriting"/>
            </w:pPr>
            <w:r w:rsidRPr="002865F2">
              <w:t>08780D</w:t>
            </w:r>
          </w:p>
        </w:tc>
        <w:tc>
          <w:tcPr>
            <w:tcW w:w="1182" w:type="dxa"/>
            <w:tcBorders>
              <w:top w:val="nil"/>
              <w:left w:val="nil"/>
              <w:bottom w:val="single" w:sz="4" w:space="0" w:color="auto"/>
              <w:right w:val="single" w:sz="4" w:space="0" w:color="auto"/>
            </w:tcBorders>
            <w:shd w:val="clear" w:color="auto" w:fill="auto"/>
            <w:hideMark/>
          </w:tcPr>
          <w:p w14:paraId="19C5CEBF" w14:textId="77777777" w:rsidR="002865F2" w:rsidRPr="002865F2" w:rsidRDefault="002865F2" w:rsidP="00541B09">
            <w:pPr>
              <w:pStyle w:val="Tablewriting"/>
            </w:pPr>
            <w:r w:rsidRPr="002865F2">
              <w:t>01Feb2005</w:t>
            </w:r>
          </w:p>
        </w:tc>
        <w:tc>
          <w:tcPr>
            <w:tcW w:w="600" w:type="dxa"/>
            <w:tcBorders>
              <w:top w:val="nil"/>
              <w:left w:val="nil"/>
              <w:bottom w:val="single" w:sz="4" w:space="0" w:color="auto"/>
              <w:right w:val="single" w:sz="4" w:space="0" w:color="auto"/>
            </w:tcBorders>
            <w:shd w:val="clear" w:color="auto" w:fill="auto"/>
            <w:hideMark/>
          </w:tcPr>
          <w:p w14:paraId="54992437"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120F3FFA"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6E16262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2C34358" w14:textId="77777777" w:rsidR="002865F2" w:rsidRPr="002865F2" w:rsidRDefault="002865F2" w:rsidP="00541B09">
            <w:pPr>
              <w:pStyle w:val="Tablewriting"/>
            </w:pPr>
            <w:r w:rsidRPr="002865F2">
              <w:t>$303.68</w:t>
            </w:r>
          </w:p>
        </w:tc>
        <w:tc>
          <w:tcPr>
            <w:tcW w:w="3903" w:type="dxa"/>
            <w:tcBorders>
              <w:top w:val="nil"/>
              <w:left w:val="nil"/>
              <w:bottom w:val="single" w:sz="4" w:space="0" w:color="auto"/>
              <w:right w:val="single" w:sz="4" w:space="0" w:color="auto"/>
            </w:tcBorders>
            <w:shd w:val="clear" w:color="auto" w:fill="auto"/>
            <w:hideMark/>
          </w:tcPr>
          <w:p w14:paraId="77FB6D3E" w14:textId="77777777" w:rsidR="002865F2" w:rsidRPr="002865F2" w:rsidRDefault="002865F2" w:rsidP="00541B09">
            <w:pPr>
              <w:pStyle w:val="Tablewriting"/>
            </w:pPr>
            <w:r w:rsidRPr="002865F2">
              <w:t xml:space="preserve">Risperidone, I.M. injection (modified release), set containing 1 vial powder for injection 25 mg and 1 pre-filled syringe </w:t>
            </w:r>
            <w:r w:rsidRPr="002865F2">
              <w:lastRenderedPageBreak/>
              <w:t>diluent 2 mL</w:t>
            </w:r>
          </w:p>
        </w:tc>
        <w:tc>
          <w:tcPr>
            <w:tcW w:w="3773" w:type="dxa"/>
            <w:tcBorders>
              <w:top w:val="nil"/>
              <w:left w:val="nil"/>
              <w:bottom w:val="single" w:sz="4" w:space="0" w:color="auto"/>
              <w:right w:val="single" w:sz="4" w:space="0" w:color="auto"/>
            </w:tcBorders>
            <w:shd w:val="clear" w:color="auto" w:fill="auto"/>
            <w:hideMark/>
          </w:tcPr>
          <w:p w14:paraId="039AE168" w14:textId="77777777" w:rsidR="002865F2" w:rsidRPr="002865F2" w:rsidRDefault="002865F2" w:rsidP="00541B09">
            <w:pPr>
              <w:pStyle w:val="Tablewriting"/>
            </w:pPr>
            <w:r w:rsidRPr="002865F2">
              <w:lastRenderedPageBreak/>
              <w:t>Risperdal Consta (JANSSEN-CILAG PTY LTD)</w:t>
            </w:r>
          </w:p>
        </w:tc>
      </w:tr>
      <w:tr w:rsidR="002865F2" w:rsidRPr="002865F2" w14:paraId="38D2F9D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33D0D94E" w14:textId="77777777" w:rsidR="002865F2" w:rsidRPr="002865F2" w:rsidRDefault="002865F2" w:rsidP="00541B09">
            <w:pPr>
              <w:pStyle w:val="Tablewriting"/>
            </w:pPr>
            <w:r w:rsidRPr="002865F2">
              <w:lastRenderedPageBreak/>
              <w:t>08781E</w:t>
            </w:r>
          </w:p>
        </w:tc>
        <w:tc>
          <w:tcPr>
            <w:tcW w:w="1182" w:type="dxa"/>
            <w:tcBorders>
              <w:top w:val="nil"/>
              <w:left w:val="nil"/>
              <w:bottom w:val="single" w:sz="4" w:space="0" w:color="auto"/>
              <w:right w:val="single" w:sz="4" w:space="0" w:color="auto"/>
            </w:tcBorders>
            <w:shd w:val="clear" w:color="auto" w:fill="auto"/>
            <w:hideMark/>
          </w:tcPr>
          <w:p w14:paraId="6E2D47F2" w14:textId="77777777" w:rsidR="002865F2" w:rsidRPr="002865F2" w:rsidRDefault="002865F2" w:rsidP="00541B09">
            <w:pPr>
              <w:pStyle w:val="Tablewriting"/>
            </w:pPr>
            <w:r w:rsidRPr="002865F2">
              <w:t>01Feb2005</w:t>
            </w:r>
          </w:p>
        </w:tc>
        <w:tc>
          <w:tcPr>
            <w:tcW w:w="600" w:type="dxa"/>
            <w:tcBorders>
              <w:top w:val="nil"/>
              <w:left w:val="nil"/>
              <w:bottom w:val="single" w:sz="4" w:space="0" w:color="auto"/>
              <w:right w:val="single" w:sz="4" w:space="0" w:color="auto"/>
            </w:tcBorders>
            <w:shd w:val="clear" w:color="auto" w:fill="auto"/>
            <w:hideMark/>
          </w:tcPr>
          <w:p w14:paraId="5A2DFB1C"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3107461A"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7F19209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205510D" w14:textId="77777777" w:rsidR="002865F2" w:rsidRPr="002865F2" w:rsidRDefault="002865F2" w:rsidP="00541B09">
            <w:pPr>
              <w:pStyle w:val="Tablewriting"/>
            </w:pPr>
            <w:r w:rsidRPr="002865F2">
              <w:t>$387.70</w:t>
            </w:r>
          </w:p>
        </w:tc>
        <w:tc>
          <w:tcPr>
            <w:tcW w:w="3903" w:type="dxa"/>
            <w:tcBorders>
              <w:top w:val="nil"/>
              <w:left w:val="nil"/>
              <w:bottom w:val="single" w:sz="4" w:space="0" w:color="auto"/>
              <w:right w:val="single" w:sz="4" w:space="0" w:color="auto"/>
            </w:tcBorders>
            <w:shd w:val="clear" w:color="auto" w:fill="auto"/>
            <w:hideMark/>
          </w:tcPr>
          <w:p w14:paraId="210318BF" w14:textId="77777777" w:rsidR="002865F2" w:rsidRPr="002865F2" w:rsidRDefault="002865F2" w:rsidP="00541B09">
            <w:pPr>
              <w:pStyle w:val="Tablewriting"/>
            </w:pPr>
            <w:r w:rsidRPr="002865F2">
              <w:t>Risperidone, I.M. injection (modified release), set containing 1 vial powder for injection 37.5 mg and 1 pre-filled syringe diluent 2 mL</w:t>
            </w:r>
          </w:p>
        </w:tc>
        <w:tc>
          <w:tcPr>
            <w:tcW w:w="3773" w:type="dxa"/>
            <w:tcBorders>
              <w:top w:val="nil"/>
              <w:left w:val="nil"/>
              <w:bottom w:val="single" w:sz="4" w:space="0" w:color="auto"/>
              <w:right w:val="single" w:sz="4" w:space="0" w:color="auto"/>
            </w:tcBorders>
            <w:shd w:val="clear" w:color="auto" w:fill="auto"/>
            <w:hideMark/>
          </w:tcPr>
          <w:p w14:paraId="0ED913A2" w14:textId="77777777" w:rsidR="002865F2" w:rsidRPr="002865F2" w:rsidRDefault="002865F2" w:rsidP="00541B09">
            <w:pPr>
              <w:pStyle w:val="Tablewriting"/>
            </w:pPr>
            <w:r w:rsidRPr="002865F2">
              <w:t>Risperdal Consta (JANSSEN-CILAG PTY LTD)</w:t>
            </w:r>
          </w:p>
        </w:tc>
      </w:tr>
      <w:tr w:rsidR="002865F2" w:rsidRPr="002865F2" w14:paraId="523E6A26"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0C71AE7" w14:textId="77777777" w:rsidR="002865F2" w:rsidRPr="002865F2" w:rsidRDefault="002865F2" w:rsidP="00541B09">
            <w:pPr>
              <w:pStyle w:val="Tablewriting"/>
            </w:pPr>
            <w:r w:rsidRPr="002865F2">
              <w:t>08782F</w:t>
            </w:r>
          </w:p>
        </w:tc>
        <w:tc>
          <w:tcPr>
            <w:tcW w:w="1182" w:type="dxa"/>
            <w:tcBorders>
              <w:top w:val="nil"/>
              <w:left w:val="nil"/>
              <w:bottom w:val="single" w:sz="4" w:space="0" w:color="auto"/>
              <w:right w:val="single" w:sz="4" w:space="0" w:color="auto"/>
            </w:tcBorders>
            <w:shd w:val="clear" w:color="auto" w:fill="auto"/>
            <w:hideMark/>
          </w:tcPr>
          <w:p w14:paraId="415FBE13" w14:textId="77777777" w:rsidR="002865F2" w:rsidRPr="002865F2" w:rsidRDefault="002865F2" w:rsidP="00541B09">
            <w:pPr>
              <w:pStyle w:val="Tablewriting"/>
            </w:pPr>
            <w:r w:rsidRPr="002865F2">
              <w:t>01Feb2005</w:t>
            </w:r>
          </w:p>
        </w:tc>
        <w:tc>
          <w:tcPr>
            <w:tcW w:w="600" w:type="dxa"/>
            <w:tcBorders>
              <w:top w:val="nil"/>
              <w:left w:val="nil"/>
              <w:bottom w:val="single" w:sz="4" w:space="0" w:color="auto"/>
              <w:right w:val="single" w:sz="4" w:space="0" w:color="auto"/>
            </w:tcBorders>
            <w:shd w:val="clear" w:color="auto" w:fill="auto"/>
            <w:hideMark/>
          </w:tcPr>
          <w:p w14:paraId="110BB48C"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091A29F1"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4BC7B62D"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7A4BBF5" w14:textId="77777777" w:rsidR="002865F2" w:rsidRPr="002865F2" w:rsidRDefault="002865F2" w:rsidP="00541B09">
            <w:pPr>
              <w:pStyle w:val="Tablewriting"/>
            </w:pPr>
            <w:r w:rsidRPr="002865F2">
              <w:t>$499.76</w:t>
            </w:r>
          </w:p>
        </w:tc>
        <w:tc>
          <w:tcPr>
            <w:tcW w:w="3903" w:type="dxa"/>
            <w:tcBorders>
              <w:top w:val="nil"/>
              <w:left w:val="nil"/>
              <w:bottom w:val="single" w:sz="4" w:space="0" w:color="auto"/>
              <w:right w:val="single" w:sz="4" w:space="0" w:color="auto"/>
            </w:tcBorders>
            <w:shd w:val="clear" w:color="auto" w:fill="auto"/>
            <w:hideMark/>
          </w:tcPr>
          <w:p w14:paraId="15CB7727" w14:textId="77777777" w:rsidR="002865F2" w:rsidRPr="002865F2" w:rsidRDefault="002865F2" w:rsidP="00541B09">
            <w:pPr>
              <w:pStyle w:val="Tablewriting"/>
            </w:pPr>
            <w:r w:rsidRPr="002865F2">
              <w:t>Risperidone, I.M. injection (modified release), set containing 1 vial powder for injection 50 mg and 1 pre-filled syringe diluent 2 mL</w:t>
            </w:r>
          </w:p>
        </w:tc>
        <w:tc>
          <w:tcPr>
            <w:tcW w:w="3773" w:type="dxa"/>
            <w:tcBorders>
              <w:top w:val="nil"/>
              <w:left w:val="nil"/>
              <w:bottom w:val="single" w:sz="4" w:space="0" w:color="auto"/>
              <w:right w:val="single" w:sz="4" w:space="0" w:color="auto"/>
            </w:tcBorders>
            <w:shd w:val="clear" w:color="auto" w:fill="auto"/>
            <w:hideMark/>
          </w:tcPr>
          <w:p w14:paraId="39A6E225" w14:textId="77777777" w:rsidR="002865F2" w:rsidRPr="002865F2" w:rsidRDefault="002865F2" w:rsidP="00541B09">
            <w:pPr>
              <w:pStyle w:val="Tablewriting"/>
            </w:pPr>
            <w:r w:rsidRPr="002865F2">
              <w:t>Risperdal Consta (JANSSEN-CILAG PTY LTD)</w:t>
            </w:r>
          </w:p>
        </w:tc>
      </w:tr>
      <w:tr w:rsidR="002865F2" w:rsidRPr="002865F2" w14:paraId="6ECED42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F7B234C" w14:textId="77777777" w:rsidR="002865F2" w:rsidRPr="002865F2" w:rsidRDefault="002865F2" w:rsidP="00541B09">
            <w:pPr>
              <w:pStyle w:val="Tablewriting"/>
            </w:pPr>
            <w:r w:rsidRPr="002865F2">
              <w:t>08100H</w:t>
            </w:r>
          </w:p>
        </w:tc>
        <w:tc>
          <w:tcPr>
            <w:tcW w:w="1182" w:type="dxa"/>
            <w:tcBorders>
              <w:top w:val="nil"/>
              <w:left w:val="nil"/>
              <w:bottom w:val="single" w:sz="4" w:space="0" w:color="auto"/>
              <w:right w:val="single" w:sz="4" w:space="0" w:color="auto"/>
            </w:tcBorders>
            <w:shd w:val="clear" w:color="auto" w:fill="auto"/>
            <w:hideMark/>
          </w:tcPr>
          <w:p w14:paraId="7205FF3C" w14:textId="77777777" w:rsidR="002865F2" w:rsidRPr="002865F2" w:rsidRDefault="002865F2" w:rsidP="00541B09">
            <w:pPr>
              <w:pStyle w:val="Tablewriting"/>
            </w:pPr>
            <w:r w:rsidRPr="002865F2">
              <w:t>01Nov1996</w:t>
            </w:r>
          </w:p>
        </w:tc>
        <w:tc>
          <w:tcPr>
            <w:tcW w:w="600" w:type="dxa"/>
            <w:tcBorders>
              <w:top w:val="nil"/>
              <w:left w:val="nil"/>
              <w:bottom w:val="single" w:sz="4" w:space="0" w:color="auto"/>
              <w:right w:val="single" w:sz="4" w:space="0" w:color="auto"/>
            </w:tcBorders>
            <w:shd w:val="clear" w:color="auto" w:fill="auto"/>
            <w:hideMark/>
          </w:tcPr>
          <w:p w14:paraId="6B1D9ED3"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6A62F26C"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70FAF71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6E72A97" w14:textId="77777777" w:rsidR="002865F2" w:rsidRPr="002865F2" w:rsidRDefault="002865F2" w:rsidP="00541B09">
            <w:pPr>
              <w:pStyle w:val="Tablewriting"/>
            </w:pPr>
            <w:r w:rsidRPr="002865F2">
              <w:t>$119.82</w:t>
            </w:r>
          </w:p>
        </w:tc>
        <w:tc>
          <w:tcPr>
            <w:tcW w:w="3903" w:type="dxa"/>
            <w:tcBorders>
              <w:top w:val="nil"/>
              <w:left w:val="nil"/>
              <w:bottom w:val="single" w:sz="4" w:space="0" w:color="auto"/>
              <w:right w:val="single" w:sz="4" w:space="0" w:color="auto"/>
            </w:tcBorders>
            <w:shd w:val="clear" w:color="auto" w:fill="auto"/>
            <w:hideMark/>
          </w:tcPr>
          <w:p w14:paraId="4D59C3E3" w14:textId="77777777" w:rsidR="002865F2" w:rsidRPr="002865F2" w:rsidRDefault="002865F2" w:rsidP="00541B09">
            <w:pPr>
              <w:pStyle w:val="Tablewriting"/>
            </w:pPr>
            <w:r w:rsidRPr="002865F2">
              <w:t>Risperidone, Oral solution 1 mg per mL, 100 mL</w:t>
            </w:r>
          </w:p>
        </w:tc>
        <w:tc>
          <w:tcPr>
            <w:tcW w:w="3773" w:type="dxa"/>
            <w:tcBorders>
              <w:top w:val="nil"/>
              <w:left w:val="nil"/>
              <w:bottom w:val="single" w:sz="4" w:space="0" w:color="auto"/>
              <w:right w:val="single" w:sz="4" w:space="0" w:color="auto"/>
            </w:tcBorders>
            <w:shd w:val="clear" w:color="auto" w:fill="auto"/>
            <w:hideMark/>
          </w:tcPr>
          <w:p w14:paraId="07BCBDED" w14:textId="77777777" w:rsidR="002865F2" w:rsidRPr="002865F2" w:rsidRDefault="002865F2" w:rsidP="00541B09">
            <w:pPr>
              <w:pStyle w:val="Tablewriting"/>
            </w:pPr>
            <w:r w:rsidRPr="002865F2">
              <w:t>Risperdal (JANSSEN-CILAG PTY LTD)</w:t>
            </w:r>
          </w:p>
        </w:tc>
      </w:tr>
      <w:tr w:rsidR="002865F2" w:rsidRPr="002865F2" w14:paraId="342484E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FAD0E8C" w14:textId="77777777" w:rsidR="002865F2" w:rsidRPr="002865F2" w:rsidRDefault="002865F2" w:rsidP="00541B09">
            <w:pPr>
              <w:pStyle w:val="Tablewriting"/>
            </w:pPr>
            <w:r w:rsidRPr="002865F2">
              <w:t>09293D</w:t>
            </w:r>
          </w:p>
        </w:tc>
        <w:tc>
          <w:tcPr>
            <w:tcW w:w="1182" w:type="dxa"/>
            <w:tcBorders>
              <w:top w:val="nil"/>
              <w:left w:val="nil"/>
              <w:bottom w:val="single" w:sz="4" w:space="0" w:color="auto"/>
              <w:right w:val="single" w:sz="4" w:space="0" w:color="auto"/>
            </w:tcBorders>
            <w:shd w:val="clear" w:color="auto" w:fill="auto"/>
            <w:hideMark/>
          </w:tcPr>
          <w:p w14:paraId="7D13BD70" w14:textId="77777777" w:rsidR="002865F2" w:rsidRPr="002865F2" w:rsidRDefault="002865F2" w:rsidP="00541B09">
            <w:pPr>
              <w:pStyle w:val="Tablewriting"/>
            </w:pPr>
            <w:r w:rsidRPr="002865F2">
              <w:t>01Dec2008</w:t>
            </w:r>
          </w:p>
        </w:tc>
        <w:tc>
          <w:tcPr>
            <w:tcW w:w="600" w:type="dxa"/>
            <w:tcBorders>
              <w:top w:val="nil"/>
              <w:left w:val="nil"/>
              <w:bottom w:val="single" w:sz="4" w:space="0" w:color="auto"/>
              <w:right w:val="single" w:sz="4" w:space="0" w:color="auto"/>
            </w:tcBorders>
            <w:shd w:val="clear" w:color="auto" w:fill="auto"/>
            <w:hideMark/>
          </w:tcPr>
          <w:p w14:paraId="795774CF"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2B292475"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64686EB3"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156BACD6" w14:textId="77777777" w:rsidR="002865F2" w:rsidRPr="002865F2" w:rsidRDefault="002865F2" w:rsidP="00541B09">
            <w:pPr>
              <w:pStyle w:val="Tablewriting"/>
            </w:pPr>
            <w:r w:rsidRPr="002865F2">
              <w:t>$111.88</w:t>
            </w:r>
          </w:p>
        </w:tc>
        <w:tc>
          <w:tcPr>
            <w:tcW w:w="3903" w:type="dxa"/>
            <w:tcBorders>
              <w:top w:val="nil"/>
              <w:left w:val="nil"/>
              <w:bottom w:val="single" w:sz="4" w:space="0" w:color="auto"/>
              <w:right w:val="single" w:sz="4" w:space="0" w:color="auto"/>
            </w:tcBorders>
            <w:shd w:val="clear" w:color="auto" w:fill="auto"/>
            <w:hideMark/>
          </w:tcPr>
          <w:p w14:paraId="5ED23F1E" w14:textId="77777777" w:rsidR="002865F2" w:rsidRPr="002865F2" w:rsidRDefault="002865F2" w:rsidP="00541B09">
            <w:pPr>
              <w:pStyle w:val="Tablewriting"/>
            </w:pPr>
            <w:r w:rsidRPr="002865F2">
              <w:t>Risperidone, Oral solution 1 mg per mL, 100 mL</w:t>
            </w:r>
          </w:p>
        </w:tc>
        <w:tc>
          <w:tcPr>
            <w:tcW w:w="3773" w:type="dxa"/>
            <w:tcBorders>
              <w:top w:val="nil"/>
              <w:left w:val="nil"/>
              <w:bottom w:val="single" w:sz="4" w:space="0" w:color="auto"/>
              <w:right w:val="single" w:sz="4" w:space="0" w:color="auto"/>
            </w:tcBorders>
            <w:shd w:val="clear" w:color="auto" w:fill="auto"/>
            <w:hideMark/>
          </w:tcPr>
          <w:p w14:paraId="42CC56A3" w14:textId="77777777" w:rsidR="002865F2" w:rsidRPr="002865F2" w:rsidRDefault="002865F2" w:rsidP="00541B09">
            <w:pPr>
              <w:pStyle w:val="Tablewriting"/>
            </w:pPr>
            <w:r w:rsidRPr="002865F2">
              <w:t>Risperdal (JANSSEN-CILAG PTY LTD)</w:t>
            </w:r>
          </w:p>
        </w:tc>
      </w:tr>
      <w:tr w:rsidR="002865F2" w:rsidRPr="002865F2" w14:paraId="6ED1069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80B7C03" w14:textId="77777777" w:rsidR="002865F2" w:rsidRPr="002865F2" w:rsidRDefault="002865F2" w:rsidP="00541B09">
            <w:pPr>
              <w:pStyle w:val="Tablewriting"/>
            </w:pPr>
            <w:r w:rsidRPr="002865F2">
              <w:t>08791Q</w:t>
            </w:r>
          </w:p>
        </w:tc>
        <w:tc>
          <w:tcPr>
            <w:tcW w:w="1182" w:type="dxa"/>
            <w:tcBorders>
              <w:top w:val="nil"/>
              <w:left w:val="nil"/>
              <w:bottom w:val="single" w:sz="4" w:space="0" w:color="auto"/>
              <w:right w:val="single" w:sz="4" w:space="0" w:color="auto"/>
            </w:tcBorders>
            <w:shd w:val="clear" w:color="auto" w:fill="auto"/>
            <w:hideMark/>
          </w:tcPr>
          <w:p w14:paraId="6BA18715"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2EC8248B"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F2EC256"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4FE22EEA"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332EA066" w14:textId="77777777" w:rsidR="002865F2" w:rsidRPr="002865F2" w:rsidRDefault="002865F2" w:rsidP="00541B09">
            <w:pPr>
              <w:pStyle w:val="Tablewriting"/>
            </w:pPr>
            <w:r w:rsidRPr="002865F2">
              <w:t>$39.29</w:t>
            </w:r>
          </w:p>
        </w:tc>
        <w:tc>
          <w:tcPr>
            <w:tcW w:w="3903" w:type="dxa"/>
            <w:tcBorders>
              <w:top w:val="nil"/>
              <w:left w:val="nil"/>
              <w:bottom w:val="single" w:sz="4" w:space="0" w:color="auto"/>
              <w:right w:val="single" w:sz="4" w:space="0" w:color="auto"/>
            </w:tcBorders>
            <w:shd w:val="clear" w:color="auto" w:fill="auto"/>
            <w:hideMark/>
          </w:tcPr>
          <w:p w14:paraId="1ECC3748" w14:textId="6733644B" w:rsidR="002865F2" w:rsidRPr="002865F2" w:rsidRDefault="002865F2" w:rsidP="00541B09">
            <w:pPr>
              <w:pStyle w:val="Tablewriting"/>
            </w:pPr>
            <w:r w:rsidRPr="002865F2">
              <w:t>Risperidone, Oral solution 1 mg per mL, 30</w:t>
            </w:r>
            <w:r w:rsidR="00541B09">
              <w:t> </w:t>
            </w:r>
            <w:r w:rsidRPr="002865F2">
              <w:t>mL</w:t>
            </w:r>
          </w:p>
        </w:tc>
        <w:tc>
          <w:tcPr>
            <w:tcW w:w="3773" w:type="dxa"/>
            <w:tcBorders>
              <w:top w:val="nil"/>
              <w:left w:val="nil"/>
              <w:bottom w:val="single" w:sz="4" w:space="0" w:color="auto"/>
              <w:right w:val="single" w:sz="4" w:space="0" w:color="auto"/>
            </w:tcBorders>
            <w:shd w:val="clear" w:color="auto" w:fill="auto"/>
            <w:hideMark/>
          </w:tcPr>
          <w:p w14:paraId="1B7190E9" w14:textId="77777777" w:rsidR="002865F2" w:rsidRPr="002865F2" w:rsidRDefault="002865F2" w:rsidP="00541B09">
            <w:pPr>
              <w:pStyle w:val="Tablewriting"/>
            </w:pPr>
            <w:r w:rsidRPr="002865F2">
              <w:t>Risperdal (JANSSEN-CILAG PTY LTD)</w:t>
            </w:r>
          </w:p>
        </w:tc>
      </w:tr>
      <w:tr w:rsidR="002865F2" w:rsidRPr="002865F2" w14:paraId="29EBDE32"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63F7E2A4" w14:textId="77777777" w:rsidR="002865F2" w:rsidRPr="002865F2" w:rsidRDefault="002865F2" w:rsidP="00541B09">
            <w:pPr>
              <w:pStyle w:val="Tablewriting"/>
            </w:pPr>
            <w:r w:rsidRPr="002865F2">
              <w:t>04587K</w:t>
            </w:r>
          </w:p>
        </w:tc>
        <w:tc>
          <w:tcPr>
            <w:tcW w:w="1182" w:type="dxa"/>
            <w:tcBorders>
              <w:top w:val="nil"/>
              <w:left w:val="nil"/>
              <w:bottom w:val="single" w:sz="4" w:space="0" w:color="auto"/>
              <w:right w:val="single" w:sz="4" w:space="0" w:color="auto"/>
            </w:tcBorders>
            <w:shd w:val="clear" w:color="auto" w:fill="auto"/>
            <w:hideMark/>
          </w:tcPr>
          <w:p w14:paraId="37BEA889" w14:textId="77777777" w:rsidR="002865F2" w:rsidRPr="002865F2" w:rsidRDefault="002865F2" w:rsidP="00541B09">
            <w:pPr>
              <w:pStyle w:val="Tablewriting"/>
            </w:pPr>
            <w:r w:rsidRPr="002865F2">
              <w:t>01Feb2004</w:t>
            </w:r>
          </w:p>
        </w:tc>
        <w:tc>
          <w:tcPr>
            <w:tcW w:w="600" w:type="dxa"/>
            <w:tcBorders>
              <w:top w:val="nil"/>
              <w:left w:val="nil"/>
              <w:bottom w:val="single" w:sz="4" w:space="0" w:color="auto"/>
              <w:right w:val="single" w:sz="4" w:space="0" w:color="auto"/>
            </w:tcBorders>
            <w:shd w:val="clear" w:color="auto" w:fill="auto"/>
            <w:hideMark/>
          </w:tcPr>
          <w:p w14:paraId="28546C62"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9CEB28F"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19A4F251"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7F0C326" w14:textId="77777777" w:rsidR="002865F2" w:rsidRPr="002865F2" w:rsidRDefault="002865F2" w:rsidP="00541B09">
            <w:pPr>
              <w:pStyle w:val="Tablewriting"/>
            </w:pPr>
            <w:r w:rsidRPr="002865F2">
              <w:t>$329.32</w:t>
            </w:r>
          </w:p>
        </w:tc>
        <w:tc>
          <w:tcPr>
            <w:tcW w:w="3903" w:type="dxa"/>
            <w:tcBorders>
              <w:top w:val="nil"/>
              <w:left w:val="nil"/>
              <w:bottom w:val="single" w:sz="4" w:space="0" w:color="auto"/>
              <w:right w:val="single" w:sz="4" w:space="0" w:color="auto"/>
            </w:tcBorders>
            <w:shd w:val="clear" w:color="auto" w:fill="auto"/>
            <w:hideMark/>
          </w:tcPr>
          <w:p w14:paraId="0978BB57" w14:textId="399B81B7" w:rsidR="002865F2" w:rsidRDefault="002865F2" w:rsidP="00541B09">
            <w:pPr>
              <w:pStyle w:val="Tablewriting"/>
            </w:pPr>
            <w:r w:rsidRPr="002865F2">
              <w:t>Risperidone, Powder for I.M. injection 25</w:t>
            </w:r>
            <w:r w:rsidR="00541B09">
              <w:t> </w:t>
            </w:r>
            <w:r w:rsidRPr="002865F2">
              <w:t>mg (modified release) with 2 mL diluent in pre-filled syringe</w:t>
            </w:r>
          </w:p>
          <w:p w14:paraId="1A7B6BB6" w14:textId="48FE4236" w:rsidR="00541B09" w:rsidRPr="002865F2" w:rsidRDefault="00541B09" w:rsidP="00541B09">
            <w:pPr>
              <w:pStyle w:val="Tablewriting"/>
            </w:pPr>
          </w:p>
        </w:tc>
        <w:tc>
          <w:tcPr>
            <w:tcW w:w="3773" w:type="dxa"/>
            <w:tcBorders>
              <w:top w:val="nil"/>
              <w:left w:val="nil"/>
              <w:bottom w:val="single" w:sz="4" w:space="0" w:color="auto"/>
              <w:right w:val="single" w:sz="4" w:space="0" w:color="auto"/>
            </w:tcBorders>
            <w:shd w:val="clear" w:color="auto" w:fill="auto"/>
            <w:hideMark/>
          </w:tcPr>
          <w:p w14:paraId="0BDFF5F8" w14:textId="77777777" w:rsidR="002865F2" w:rsidRPr="002865F2" w:rsidRDefault="002865F2" w:rsidP="00541B09">
            <w:pPr>
              <w:pStyle w:val="Tablewriting"/>
            </w:pPr>
            <w:r w:rsidRPr="002865F2">
              <w:t>Risperdal Consta (JANSSEN-CILAG PTY LTD)</w:t>
            </w:r>
          </w:p>
        </w:tc>
      </w:tr>
      <w:tr w:rsidR="002865F2" w:rsidRPr="002865F2" w14:paraId="7EEE937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8B7F95B" w14:textId="77777777" w:rsidR="002865F2" w:rsidRPr="002865F2" w:rsidRDefault="002865F2" w:rsidP="00541B09">
            <w:pPr>
              <w:pStyle w:val="Tablewriting"/>
            </w:pPr>
            <w:r w:rsidRPr="002865F2">
              <w:t>04588L</w:t>
            </w:r>
          </w:p>
        </w:tc>
        <w:tc>
          <w:tcPr>
            <w:tcW w:w="1182" w:type="dxa"/>
            <w:tcBorders>
              <w:top w:val="nil"/>
              <w:left w:val="nil"/>
              <w:bottom w:val="single" w:sz="4" w:space="0" w:color="auto"/>
              <w:right w:val="single" w:sz="4" w:space="0" w:color="auto"/>
            </w:tcBorders>
            <w:shd w:val="clear" w:color="auto" w:fill="auto"/>
            <w:hideMark/>
          </w:tcPr>
          <w:p w14:paraId="24E6060E" w14:textId="77777777" w:rsidR="002865F2" w:rsidRPr="002865F2" w:rsidRDefault="002865F2" w:rsidP="00541B09">
            <w:pPr>
              <w:pStyle w:val="Tablewriting"/>
            </w:pPr>
            <w:r w:rsidRPr="002865F2">
              <w:t>01Feb2004</w:t>
            </w:r>
          </w:p>
        </w:tc>
        <w:tc>
          <w:tcPr>
            <w:tcW w:w="600" w:type="dxa"/>
            <w:tcBorders>
              <w:top w:val="nil"/>
              <w:left w:val="nil"/>
              <w:bottom w:val="single" w:sz="4" w:space="0" w:color="auto"/>
              <w:right w:val="single" w:sz="4" w:space="0" w:color="auto"/>
            </w:tcBorders>
            <w:shd w:val="clear" w:color="auto" w:fill="auto"/>
            <w:hideMark/>
          </w:tcPr>
          <w:p w14:paraId="27831371"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6A8D8D0C"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5368EBA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B24A3BA" w14:textId="77777777" w:rsidR="002865F2" w:rsidRPr="002865F2" w:rsidRDefault="002865F2" w:rsidP="00541B09">
            <w:pPr>
              <w:pStyle w:val="Tablewriting"/>
            </w:pPr>
            <w:r w:rsidRPr="002865F2">
              <w:t>$692.94</w:t>
            </w:r>
          </w:p>
        </w:tc>
        <w:tc>
          <w:tcPr>
            <w:tcW w:w="3903" w:type="dxa"/>
            <w:tcBorders>
              <w:top w:val="nil"/>
              <w:left w:val="nil"/>
              <w:bottom w:val="single" w:sz="4" w:space="0" w:color="auto"/>
              <w:right w:val="single" w:sz="4" w:space="0" w:color="auto"/>
            </w:tcBorders>
            <w:shd w:val="clear" w:color="auto" w:fill="auto"/>
            <w:hideMark/>
          </w:tcPr>
          <w:p w14:paraId="47AA1CC4" w14:textId="1DCC159C" w:rsidR="002865F2" w:rsidRPr="002865F2" w:rsidRDefault="002865F2" w:rsidP="00541B09">
            <w:pPr>
              <w:pStyle w:val="Tablewriting"/>
            </w:pPr>
            <w:r w:rsidRPr="002865F2">
              <w:t>Risperidone, Powder for I.M. injection 37.5</w:t>
            </w:r>
            <w:r w:rsidR="00541B09">
              <w:t> </w:t>
            </w:r>
            <w:r w:rsidRPr="002865F2">
              <w:t>mg with 2 mL diluent in pre-filled syringe</w:t>
            </w:r>
          </w:p>
        </w:tc>
        <w:tc>
          <w:tcPr>
            <w:tcW w:w="3773" w:type="dxa"/>
            <w:tcBorders>
              <w:top w:val="nil"/>
              <w:left w:val="nil"/>
              <w:bottom w:val="single" w:sz="4" w:space="0" w:color="auto"/>
              <w:right w:val="single" w:sz="4" w:space="0" w:color="auto"/>
            </w:tcBorders>
            <w:shd w:val="clear" w:color="auto" w:fill="auto"/>
            <w:hideMark/>
          </w:tcPr>
          <w:p w14:paraId="641E7154" w14:textId="77777777" w:rsidR="002865F2" w:rsidRPr="002865F2" w:rsidRDefault="002865F2" w:rsidP="00541B09">
            <w:pPr>
              <w:pStyle w:val="Tablewriting"/>
            </w:pPr>
            <w:r w:rsidRPr="002865F2">
              <w:t>Risperdal Consta (JANSSEN-CILAG PTY LTD)</w:t>
            </w:r>
          </w:p>
        </w:tc>
      </w:tr>
      <w:tr w:rsidR="002865F2" w:rsidRPr="002865F2" w14:paraId="0A80DF48"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219BD795" w14:textId="77777777" w:rsidR="002865F2" w:rsidRPr="002865F2" w:rsidRDefault="002865F2" w:rsidP="00541B09">
            <w:pPr>
              <w:pStyle w:val="Tablewriting"/>
            </w:pPr>
            <w:r w:rsidRPr="002865F2">
              <w:t>04589M</w:t>
            </w:r>
          </w:p>
        </w:tc>
        <w:tc>
          <w:tcPr>
            <w:tcW w:w="1182" w:type="dxa"/>
            <w:tcBorders>
              <w:top w:val="nil"/>
              <w:left w:val="nil"/>
              <w:bottom w:val="single" w:sz="4" w:space="0" w:color="auto"/>
              <w:right w:val="single" w:sz="4" w:space="0" w:color="auto"/>
            </w:tcBorders>
            <w:shd w:val="clear" w:color="auto" w:fill="auto"/>
            <w:hideMark/>
          </w:tcPr>
          <w:p w14:paraId="72AA2E24" w14:textId="77777777" w:rsidR="002865F2" w:rsidRPr="002865F2" w:rsidRDefault="002865F2" w:rsidP="00541B09">
            <w:pPr>
              <w:pStyle w:val="Tablewriting"/>
            </w:pPr>
            <w:r w:rsidRPr="002865F2">
              <w:t>01Feb2004</w:t>
            </w:r>
          </w:p>
        </w:tc>
        <w:tc>
          <w:tcPr>
            <w:tcW w:w="600" w:type="dxa"/>
            <w:tcBorders>
              <w:top w:val="nil"/>
              <w:left w:val="nil"/>
              <w:bottom w:val="single" w:sz="4" w:space="0" w:color="auto"/>
              <w:right w:val="single" w:sz="4" w:space="0" w:color="auto"/>
            </w:tcBorders>
            <w:shd w:val="clear" w:color="auto" w:fill="auto"/>
            <w:hideMark/>
          </w:tcPr>
          <w:p w14:paraId="05B91211"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27F6DABD" w14:textId="77777777" w:rsidR="002865F2" w:rsidRPr="002865F2" w:rsidRDefault="002865F2" w:rsidP="00541B09">
            <w:pPr>
              <w:pStyle w:val="Tablewriting"/>
            </w:pPr>
            <w:r w:rsidRPr="002865F2">
              <w:t>2</w:t>
            </w:r>
          </w:p>
        </w:tc>
        <w:tc>
          <w:tcPr>
            <w:tcW w:w="1126" w:type="dxa"/>
            <w:tcBorders>
              <w:top w:val="nil"/>
              <w:left w:val="nil"/>
              <w:bottom w:val="single" w:sz="4" w:space="0" w:color="auto"/>
              <w:right w:val="single" w:sz="4" w:space="0" w:color="auto"/>
            </w:tcBorders>
            <w:shd w:val="clear" w:color="auto" w:fill="auto"/>
            <w:hideMark/>
          </w:tcPr>
          <w:p w14:paraId="44323FDB"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6C87B11" w14:textId="77777777" w:rsidR="002865F2" w:rsidRPr="002865F2" w:rsidRDefault="002865F2" w:rsidP="00541B09">
            <w:pPr>
              <w:pStyle w:val="Tablewriting"/>
            </w:pPr>
            <w:r w:rsidRPr="002865F2">
              <w:t>$514.50</w:t>
            </w:r>
          </w:p>
        </w:tc>
        <w:tc>
          <w:tcPr>
            <w:tcW w:w="3903" w:type="dxa"/>
            <w:tcBorders>
              <w:top w:val="nil"/>
              <w:left w:val="nil"/>
              <w:bottom w:val="single" w:sz="4" w:space="0" w:color="auto"/>
              <w:right w:val="single" w:sz="4" w:space="0" w:color="auto"/>
            </w:tcBorders>
            <w:shd w:val="clear" w:color="auto" w:fill="auto"/>
            <w:hideMark/>
          </w:tcPr>
          <w:p w14:paraId="64261217" w14:textId="77777777" w:rsidR="002865F2" w:rsidRPr="002865F2" w:rsidRDefault="002865F2" w:rsidP="00541B09">
            <w:pPr>
              <w:pStyle w:val="Tablewriting"/>
            </w:pPr>
            <w:r w:rsidRPr="002865F2">
              <w:t>Risperidone, Powder for I.M. injection 50 mg (modified release) with 2 mL diluent in pre-filled syringe</w:t>
            </w:r>
          </w:p>
        </w:tc>
        <w:tc>
          <w:tcPr>
            <w:tcW w:w="3773" w:type="dxa"/>
            <w:tcBorders>
              <w:top w:val="nil"/>
              <w:left w:val="nil"/>
              <w:bottom w:val="single" w:sz="4" w:space="0" w:color="auto"/>
              <w:right w:val="single" w:sz="4" w:space="0" w:color="auto"/>
            </w:tcBorders>
            <w:shd w:val="clear" w:color="auto" w:fill="auto"/>
            <w:hideMark/>
          </w:tcPr>
          <w:p w14:paraId="2390F12C" w14:textId="77777777" w:rsidR="002865F2" w:rsidRPr="002865F2" w:rsidRDefault="002865F2" w:rsidP="00541B09">
            <w:pPr>
              <w:pStyle w:val="Tablewriting"/>
            </w:pPr>
            <w:r w:rsidRPr="002865F2">
              <w:t>Risperdal Consta (JANSSEN-CILAG PTY LTD)</w:t>
            </w:r>
          </w:p>
        </w:tc>
      </w:tr>
      <w:tr w:rsidR="002865F2" w:rsidRPr="002865F2" w14:paraId="7A41C58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D028CC6" w14:textId="77777777" w:rsidR="002865F2" w:rsidRPr="002865F2" w:rsidRDefault="002865F2" w:rsidP="00541B09">
            <w:pPr>
              <w:pStyle w:val="Tablewriting"/>
            </w:pPr>
            <w:r w:rsidRPr="002865F2">
              <w:t>01842Y</w:t>
            </w:r>
          </w:p>
        </w:tc>
        <w:tc>
          <w:tcPr>
            <w:tcW w:w="1182" w:type="dxa"/>
            <w:tcBorders>
              <w:top w:val="nil"/>
              <w:left w:val="nil"/>
              <w:bottom w:val="single" w:sz="4" w:space="0" w:color="auto"/>
              <w:right w:val="single" w:sz="4" w:space="0" w:color="auto"/>
            </w:tcBorders>
            <w:shd w:val="clear" w:color="auto" w:fill="auto"/>
            <w:hideMark/>
          </w:tcPr>
          <w:p w14:paraId="35DF4393" w14:textId="77777777" w:rsidR="002865F2" w:rsidRPr="002865F2" w:rsidRDefault="002865F2" w:rsidP="00541B09">
            <w:pPr>
              <w:pStyle w:val="Tablewriting"/>
            </w:pPr>
            <w:r w:rsidRPr="002865F2">
              <w:t>01Aug2012</w:t>
            </w:r>
          </w:p>
        </w:tc>
        <w:tc>
          <w:tcPr>
            <w:tcW w:w="600" w:type="dxa"/>
            <w:tcBorders>
              <w:top w:val="nil"/>
              <w:left w:val="nil"/>
              <w:bottom w:val="single" w:sz="4" w:space="0" w:color="auto"/>
              <w:right w:val="single" w:sz="4" w:space="0" w:color="auto"/>
            </w:tcBorders>
            <w:shd w:val="clear" w:color="auto" w:fill="auto"/>
            <w:hideMark/>
          </w:tcPr>
          <w:p w14:paraId="5130285B" w14:textId="77777777" w:rsidR="002865F2" w:rsidRPr="002865F2" w:rsidRDefault="002865F2" w:rsidP="00541B09">
            <w:pPr>
              <w:pStyle w:val="Tablewriting"/>
            </w:pPr>
            <w:r w:rsidRPr="002865F2">
              <w:t>20</w:t>
            </w:r>
          </w:p>
        </w:tc>
        <w:tc>
          <w:tcPr>
            <w:tcW w:w="1068" w:type="dxa"/>
            <w:tcBorders>
              <w:top w:val="nil"/>
              <w:left w:val="nil"/>
              <w:bottom w:val="single" w:sz="4" w:space="0" w:color="auto"/>
              <w:right w:val="single" w:sz="4" w:space="0" w:color="auto"/>
            </w:tcBorders>
            <w:shd w:val="clear" w:color="auto" w:fill="auto"/>
            <w:hideMark/>
          </w:tcPr>
          <w:p w14:paraId="3F890F9D"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0828CABD"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1FF659D4" w14:textId="77777777" w:rsidR="002865F2" w:rsidRPr="002865F2" w:rsidRDefault="002865F2" w:rsidP="00541B09">
            <w:pPr>
              <w:pStyle w:val="Tablewriting"/>
            </w:pPr>
            <w:r w:rsidRPr="002865F2">
              <w:t>$15.48</w:t>
            </w:r>
          </w:p>
        </w:tc>
        <w:tc>
          <w:tcPr>
            <w:tcW w:w="3903" w:type="dxa"/>
            <w:tcBorders>
              <w:top w:val="nil"/>
              <w:left w:val="nil"/>
              <w:bottom w:val="single" w:sz="4" w:space="0" w:color="auto"/>
              <w:right w:val="single" w:sz="4" w:space="0" w:color="auto"/>
            </w:tcBorders>
            <w:shd w:val="clear" w:color="auto" w:fill="auto"/>
            <w:hideMark/>
          </w:tcPr>
          <w:p w14:paraId="48E0D116" w14:textId="77777777" w:rsidR="002865F2" w:rsidRPr="002865F2" w:rsidRDefault="002865F2" w:rsidP="00541B09">
            <w:pPr>
              <w:pStyle w:val="Tablewriting"/>
            </w:pPr>
            <w:r w:rsidRPr="002865F2">
              <w:t>Risperidone, Tablet 0.5 mg</w:t>
            </w:r>
          </w:p>
        </w:tc>
        <w:tc>
          <w:tcPr>
            <w:tcW w:w="3773" w:type="dxa"/>
            <w:tcBorders>
              <w:top w:val="nil"/>
              <w:left w:val="nil"/>
              <w:bottom w:val="single" w:sz="4" w:space="0" w:color="auto"/>
              <w:right w:val="single" w:sz="4" w:space="0" w:color="auto"/>
            </w:tcBorders>
            <w:shd w:val="clear" w:color="auto" w:fill="auto"/>
            <w:hideMark/>
          </w:tcPr>
          <w:p w14:paraId="73C2263C" w14:textId="77777777" w:rsidR="002865F2" w:rsidRPr="002865F2" w:rsidRDefault="002865F2" w:rsidP="00541B09">
            <w:pPr>
              <w:pStyle w:val="Tablewriting"/>
            </w:pPr>
            <w:r w:rsidRPr="002865F2">
              <w:t>APO-Risperidone (APOTEX PTY LTD)</w:t>
            </w:r>
          </w:p>
        </w:tc>
      </w:tr>
      <w:tr w:rsidR="002865F2" w:rsidRPr="002865F2" w14:paraId="0CF4D284"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844B8DE" w14:textId="77777777" w:rsidR="002865F2" w:rsidRPr="002865F2" w:rsidRDefault="002865F2" w:rsidP="00541B09">
            <w:pPr>
              <w:pStyle w:val="Tablewriting"/>
            </w:pPr>
            <w:r w:rsidRPr="002865F2">
              <w:t>01846E</w:t>
            </w:r>
          </w:p>
        </w:tc>
        <w:tc>
          <w:tcPr>
            <w:tcW w:w="1182" w:type="dxa"/>
            <w:tcBorders>
              <w:top w:val="nil"/>
              <w:left w:val="nil"/>
              <w:bottom w:val="single" w:sz="4" w:space="0" w:color="auto"/>
              <w:right w:val="single" w:sz="4" w:space="0" w:color="auto"/>
            </w:tcBorders>
            <w:shd w:val="clear" w:color="auto" w:fill="auto"/>
            <w:hideMark/>
          </w:tcPr>
          <w:p w14:paraId="0F75063A" w14:textId="77777777" w:rsidR="002865F2" w:rsidRPr="002865F2" w:rsidRDefault="002865F2" w:rsidP="00541B09">
            <w:pPr>
              <w:pStyle w:val="Tablewriting"/>
            </w:pPr>
            <w:r w:rsidRPr="002865F2">
              <w:t>01Aug2012</w:t>
            </w:r>
          </w:p>
        </w:tc>
        <w:tc>
          <w:tcPr>
            <w:tcW w:w="600" w:type="dxa"/>
            <w:tcBorders>
              <w:top w:val="nil"/>
              <w:left w:val="nil"/>
              <w:bottom w:val="single" w:sz="4" w:space="0" w:color="auto"/>
              <w:right w:val="single" w:sz="4" w:space="0" w:color="auto"/>
            </w:tcBorders>
            <w:shd w:val="clear" w:color="auto" w:fill="auto"/>
            <w:hideMark/>
          </w:tcPr>
          <w:p w14:paraId="177C8FED" w14:textId="77777777" w:rsidR="002865F2" w:rsidRPr="002865F2" w:rsidRDefault="002865F2" w:rsidP="00541B09">
            <w:pPr>
              <w:pStyle w:val="Tablewriting"/>
            </w:pPr>
            <w:r w:rsidRPr="002865F2">
              <w:t>20</w:t>
            </w:r>
          </w:p>
        </w:tc>
        <w:tc>
          <w:tcPr>
            <w:tcW w:w="1068" w:type="dxa"/>
            <w:tcBorders>
              <w:top w:val="nil"/>
              <w:left w:val="nil"/>
              <w:bottom w:val="single" w:sz="4" w:space="0" w:color="auto"/>
              <w:right w:val="single" w:sz="4" w:space="0" w:color="auto"/>
            </w:tcBorders>
            <w:shd w:val="clear" w:color="auto" w:fill="auto"/>
            <w:hideMark/>
          </w:tcPr>
          <w:p w14:paraId="20AA3B0F"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DA87E9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40E813E" w14:textId="77777777" w:rsidR="002865F2" w:rsidRPr="002865F2" w:rsidRDefault="002865F2" w:rsidP="00541B09">
            <w:pPr>
              <w:pStyle w:val="Tablewriting"/>
            </w:pPr>
            <w:r w:rsidRPr="002865F2">
              <w:t>$26.71</w:t>
            </w:r>
          </w:p>
        </w:tc>
        <w:tc>
          <w:tcPr>
            <w:tcW w:w="3903" w:type="dxa"/>
            <w:tcBorders>
              <w:top w:val="nil"/>
              <w:left w:val="nil"/>
              <w:bottom w:val="single" w:sz="4" w:space="0" w:color="auto"/>
              <w:right w:val="single" w:sz="4" w:space="0" w:color="auto"/>
            </w:tcBorders>
            <w:shd w:val="clear" w:color="auto" w:fill="auto"/>
            <w:hideMark/>
          </w:tcPr>
          <w:p w14:paraId="3B80D515" w14:textId="77777777" w:rsidR="002865F2" w:rsidRPr="002865F2" w:rsidRDefault="002865F2" w:rsidP="00541B09">
            <w:pPr>
              <w:pStyle w:val="Tablewriting"/>
            </w:pPr>
            <w:r w:rsidRPr="002865F2">
              <w:t>Risperidone, Tablet 0.5 mg</w:t>
            </w:r>
          </w:p>
        </w:tc>
        <w:tc>
          <w:tcPr>
            <w:tcW w:w="3773" w:type="dxa"/>
            <w:tcBorders>
              <w:top w:val="nil"/>
              <w:left w:val="nil"/>
              <w:bottom w:val="single" w:sz="4" w:space="0" w:color="auto"/>
              <w:right w:val="single" w:sz="4" w:space="0" w:color="auto"/>
            </w:tcBorders>
            <w:shd w:val="clear" w:color="auto" w:fill="auto"/>
            <w:hideMark/>
          </w:tcPr>
          <w:p w14:paraId="587B4AE3" w14:textId="77777777" w:rsidR="002865F2" w:rsidRPr="002865F2" w:rsidRDefault="002865F2" w:rsidP="00541B09">
            <w:pPr>
              <w:pStyle w:val="Tablewriting"/>
            </w:pPr>
            <w:r w:rsidRPr="002865F2">
              <w:t>APO-Risperidone (APOTEX PTY LTD)</w:t>
            </w:r>
          </w:p>
        </w:tc>
      </w:tr>
      <w:tr w:rsidR="002865F2" w:rsidRPr="002865F2" w14:paraId="3C97F27D"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73CC295" w14:textId="77777777" w:rsidR="002865F2" w:rsidRPr="002865F2" w:rsidRDefault="002865F2" w:rsidP="00541B09">
            <w:pPr>
              <w:pStyle w:val="Tablewriting"/>
            </w:pPr>
            <w:r w:rsidRPr="002865F2">
              <w:lastRenderedPageBreak/>
              <w:t>08787L</w:t>
            </w:r>
          </w:p>
        </w:tc>
        <w:tc>
          <w:tcPr>
            <w:tcW w:w="1182" w:type="dxa"/>
            <w:tcBorders>
              <w:top w:val="nil"/>
              <w:left w:val="nil"/>
              <w:bottom w:val="single" w:sz="4" w:space="0" w:color="auto"/>
              <w:right w:val="single" w:sz="4" w:space="0" w:color="auto"/>
            </w:tcBorders>
            <w:shd w:val="clear" w:color="auto" w:fill="auto"/>
            <w:hideMark/>
          </w:tcPr>
          <w:p w14:paraId="6101A38C"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16EC0E66"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78F11F0A"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5540C77B"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31319579" w14:textId="77777777" w:rsidR="002865F2" w:rsidRPr="002865F2" w:rsidRDefault="002865F2" w:rsidP="00541B09">
            <w:pPr>
              <w:pStyle w:val="Tablewriting"/>
            </w:pPr>
            <w:r w:rsidRPr="002865F2">
              <w:t>$26.69</w:t>
            </w:r>
          </w:p>
        </w:tc>
        <w:tc>
          <w:tcPr>
            <w:tcW w:w="3903" w:type="dxa"/>
            <w:tcBorders>
              <w:top w:val="nil"/>
              <w:left w:val="nil"/>
              <w:bottom w:val="single" w:sz="4" w:space="0" w:color="auto"/>
              <w:right w:val="single" w:sz="4" w:space="0" w:color="auto"/>
            </w:tcBorders>
            <w:shd w:val="clear" w:color="auto" w:fill="auto"/>
            <w:hideMark/>
          </w:tcPr>
          <w:p w14:paraId="564009FD" w14:textId="77777777" w:rsidR="002865F2" w:rsidRPr="002865F2" w:rsidRDefault="002865F2" w:rsidP="00541B09">
            <w:pPr>
              <w:pStyle w:val="Tablewriting"/>
            </w:pPr>
            <w:r w:rsidRPr="002865F2">
              <w:t>Risperidone, Tablet 0.5 mg</w:t>
            </w:r>
          </w:p>
        </w:tc>
        <w:tc>
          <w:tcPr>
            <w:tcW w:w="3773" w:type="dxa"/>
            <w:tcBorders>
              <w:top w:val="nil"/>
              <w:left w:val="nil"/>
              <w:bottom w:val="single" w:sz="4" w:space="0" w:color="auto"/>
              <w:right w:val="single" w:sz="4" w:space="0" w:color="auto"/>
            </w:tcBorders>
            <w:shd w:val="clear" w:color="auto" w:fill="auto"/>
            <w:hideMark/>
          </w:tcPr>
          <w:p w14:paraId="71CC103D" w14:textId="77777777" w:rsidR="002865F2" w:rsidRPr="002865F2" w:rsidRDefault="002865F2" w:rsidP="00541B09">
            <w:pPr>
              <w:pStyle w:val="Tablewriting"/>
            </w:pPr>
            <w:r w:rsidRPr="002865F2">
              <w:t>Risperidone GH (GENERIC HEALTH PTY LTD)</w:t>
            </w:r>
          </w:p>
        </w:tc>
      </w:tr>
      <w:tr w:rsidR="002865F2" w:rsidRPr="002865F2" w14:paraId="4016292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C3E88B1" w14:textId="77777777" w:rsidR="002865F2" w:rsidRPr="002865F2" w:rsidRDefault="002865F2" w:rsidP="00541B09">
            <w:pPr>
              <w:pStyle w:val="Tablewriting"/>
            </w:pPr>
            <w:r w:rsidRPr="002865F2">
              <w:t>08869T</w:t>
            </w:r>
          </w:p>
        </w:tc>
        <w:tc>
          <w:tcPr>
            <w:tcW w:w="1182" w:type="dxa"/>
            <w:tcBorders>
              <w:top w:val="nil"/>
              <w:left w:val="nil"/>
              <w:bottom w:val="single" w:sz="4" w:space="0" w:color="auto"/>
              <w:right w:val="single" w:sz="4" w:space="0" w:color="auto"/>
            </w:tcBorders>
            <w:shd w:val="clear" w:color="auto" w:fill="auto"/>
            <w:hideMark/>
          </w:tcPr>
          <w:p w14:paraId="760EBBA0" w14:textId="77777777" w:rsidR="002865F2" w:rsidRPr="002865F2" w:rsidRDefault="002865F2" w:rsidP="00541B09">
            <w:pPr>
              <w:pStyle w:val="Tablewriting"/>
            </w:pPr>
            <w:r w:rsidRPr="002865F2">
              <w:t>01Dec2005</w:t>
            </w:r>
          </w:p>
        </w:tc>
        <w:tc>
          <w:tcPr>
            <w:tcW w:w="600" w:type="dxa"/>
            <w:tcBorders>
              <w:top w:val="nil"/>
              <w:left w:val="nil"/>
              <w:bottom w:val="single" w:sz="4" w:space="0" w:color="auto"/>
              <w:right w:val="single" w:sz="4" w:space="0" w:color="auto"/>
            </w:tcBorders>
            <w:shd w:val="clear" w:color="auto" w:fill="auto"/>
            <w:hideMark/>
          </w:tcPr>
          <w:p w14:paraId="2E40D459"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081F317A"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2FB9D25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6C61B5C" w14:textId="77777777" w:rsidR="002865F2" w:rsidRPr="002865F2" w:rsidRDefault="002865F2" w:rsidP="00541B09">
            <w:pPr>
              <w:pStyle w:val="Tablewriting"/>
            </w:pPr>
            <w:r w:rsidRPr="002865F2">
              <w:t>$13.63</w:t>
            </w:r>
          </w:p>
        </w:tc>
        <w:tc>
          <w:tcPr>
            <w:tcW w:w="3903" w:type="dxa"/>
            <w:tcBorders>
              <w:top w:val="nil"/>
              <w:left w:val="nil"/>
              <w:bottom w:val="single" w:sz="4" w:space="0" w:color="auto"/>
              <w:right w:val="single" w:sz="4" w:space="0" w:color="auto"/>
            </w:tcBorders>
            <w:shd w:val="clear" w:color="auto" w:fill="auto"/>
            <w:hideMark/>
          </w:tcPr>
          <w:p w14:paraId="79145928" w14:textId="77777777" w:rsidR="002865F2" w:rsidRPr="002865F2" w:rsidRDefault="002865F2" w:rsidP="00541B09">
            <w:pPr>
              <w:pStyle w:val="Tablewriting"/>
            </w:pPr>
            <w:r w:rsidRPr="002865F2">
              <w:t>Risperidone, Tablet 0.5 mg</w:t>
            </w:r>
          </w:p>
        </w:tc>
        <w:tc>
          <w:tcPr>
            <w:tcW w:w="3773" w:type="dxa"/>
            <w:tcBorders>
              <w:top w:val="nil"/>
              <w:left w:val="nil"/>
              <w:bottom w:val="single" w:sz="4" w:space="0" w:color="auto"/>
              <w:right w:val="single" w:sz="4" w:space="0" w:color="auto"/>
            </w:tcBorders>
            <w:shd w:val="clear" w:color="auto" w:fill="auto"/>
            <w:hideMark/>
          </w:tcPr>
          <w:p w14:paraId="1CAD5157" w14:textId="77777777" w:rsidR="002865F2" w:rsidRPr="002865F2" w:rsidRDefault="002865F2" w:rsidP="00541B09">
            <w:pPr>
              <w:pStyle w:val="Tablewriting"/>
            </w:pPr>
            <w:r w:rsidRPr="002865F2">
              <w:t>Risperidone GH (GENERIC HEALTH PTY LTD)</w:t>
            </w:r>
          </w:p>
        </w:tc>
      </w:tr>
      <w:tr w:rsidR="002865F2" w:rsidRPr="002865F2" w14:paraId="095A12E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D36BADB" w14:textId="77777777" w:rsidR="002865F2" w:rsidRPr="002865F2" w:rsidRDefault="002865F2" w:rsidP="00541B09">
            <w:pPr>
              <w:pStyle w:val="Tablewriting"/>
            </w:pPr>
            <w:r w:rsidRPr="002865F2">
              <w:t>08788M</w:t>
            </w:r>
          </w:p>
        </w:tc>
        <w:tc>
          <w:tcPr>
            <w:tcW w:w="1182" w:type="dxa"/>
            <w:tcBorders>
              <w:top w:val="nil"/>
              <w:left w:val="nil"/>
              <w:bottom w:val="single" w:sz="4" w:space="0" w:color="auto"/>
              <w:right w:val="single" w:sz="4" w:space="0" w:color="auto"/>
            </w:tcBorders>
            <w:shd w:val="clear" w:color="auto" w:fill="auto"/>
            <w:hideMark/>
          </w:tcPr>
          <w:p w14:paraId="27AB21AD"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6B37B393"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2F1046A"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034333A6"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44211250" w14:textId="77777777" w:rsidR="002865F2" w:rsidRPr="002865F2" w:rsidRDefault="002865F2" w:rsidP="00541B09">
            <w:pPr>
              <w:pStyle w:val="Tablewriting"/>
            </w:pPr>
            <w:r w:rsidRPr="002865F2">
              <w:t>$36.25</w:t>
            </w:r>
          </w:p>
        </w:tc>
        <w:tc>
          <w:tcPr>
            <w:tcW w:w="3903" w:type="dxa"/>
            <w:tcBorders>
              <w:top w:val="nil"/>
              <w:left w:val="nil"/>
              <w:bottom w:val="single" w:sz="4" w:space="0" w:color="auto"/>
              <w:right w:val="single" w:sz="4" w:space="0" w:color="auto"/>
            </w:tcBorders>
            <w:shd w:val="clear" w:color="auto" w:fill="auto"/>
            <w:hideMark/>
          </w:tcPr>
          <w:p w14:paraId="43C86AF2" w14:textId="77777777" w:rsidR="002865F2" w:rsidRPr="002865F2" w:rsidRDefault="002865F2" w:rsidP="00541B09">
            <w:pPr>
              <w:pStyle w:val="Tablewriting"/>
            </w:pPr>
            <w:r w:rsidRPr="002865F2">
              <w:t>Risperidone, Tablet 0.5 mg (orally disintegrating)</w:t>
            </w:r>
          </w:p>
        </w:tc>
        <w:tc>
          <w:tcPr>
            <w:tcW w:w="3773" w:type="dxa"/>
            <w:tcBorders>
              <w:top w:val="nil"/>
              <w:left w:val="nil"/>
              <w:bottom w:val="single" w:sz="4" w:space="0" w:color="auto"/>
              <w:right w:val="single" w:sz="4" w:space="0" w:color="auto"/>
            </w:tcBorders>
            <w:shd w:val="clear" w:color="auto" w:fill="auto"/>
            <w:hideMark/>
          </w:tcPr>
          <w:p w14:paraId="7ABB9543" w14:textId="77777777" w:rsidR="002865F2" w:rsidRPr="002865F2" w:rsidRDefault="002865F2" w:rsidP="00541B09">
            <w:pPr>
              <w:pStyle w:val="Tablewriting"/>
            </w:pPr>
            <w:r w:rsidRPr="002865F2">
              <w:t>Risperdal Quicklet (JANSSEN-CILAG PTY LTD)</w:t>
            </w:r>
          </w:p>
        </w:tc>
      </w:tr>
      <w:tr w:rsidR="002865F2" w:rsidRPr="002865F2" w14:paraId="2DBF5724"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F938FB7" w14:textId="77777777" w:rsidR="002865F2" w:rsidRPr="002865F2" w:rsidRDefault="002865F2" w:rsidP="00541B09">
            <w:pPr>
              <w:pStyle w:val="Tablewriting"/>
            </w:pPr>
            <w:r w:rsidRPr="002865F2">
              <w:t>08870W</w:t>
            </w:r>
          </w:p>
        </w:tc>
        <w:tc>
          <w:tcPr>
            <w:tcW w:w="1182" w:type="dxa"/>
            <w:tcBorders>
              <w:top w:val="nil"/>
              <w:left w:val="nil"/>
              <w:bottom w:val="single" w:sz="4" w:space="0" w:color="auto"/>
              <w:right w:val="single" w:sz="4" w:space="0" w:color="auto"/>
            </w:tcBorders>
            <w:shd w:val="clear" w:color="auto" w:fill="auto"/>
            <w:hideMark/>
          </w:tcPr>
          <w:p w14:paraId="3AFD45FC" w14:textId="77777777" w:rsidR="002865F2" w:rsidRPr="002865F2" w:rsidRDefault="002865F2" w:rsidP="00541B09">
            <w:pPr>
              <w:pStyle w:val="Tablewriting"/>
            </w:pPr>
            <w:r w:rsidRPr="002865F2">
              <w:t>01Dec2005</w:t>
            </w:r>
          </w:p>
        </w:tc>
        <w:tc>
          <w:tcPr>
            <w:tcW w:w="600" w:type="dxa"/>
            <w:tcBorders>
              <w:top w:val="nil"/>
              <w:left w:val="nil"/>
              <w:bottom w:val="single" w:sz="4" w:space="0" w:color="auto"/>
              <w:right w:val="single" w:sz="4" w:space="0" w:color="auto"/>
            </w:tcBorders>
            <w:shd w:val="clear" w:color="auto" w:fill="auto"/>
            <w:hideMark/>
          </w:tcPr>
          <w:p w14:paraId="21729A9B"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4A1FFC7"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15DE5C79"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E8E4602" w14:textId="77777777" w:rsidR="002865F2" w:rsidRPr="002865F2" w:rsidRDefault="002865F2" w:rsidP="00541B09">
            <w:pPr>
              <w:pStyle w:val="Tablewriting"/>
            </w:pPr>
            <w:r w:rsidRPr="002865F2">
              <w:t>$36.42</w:t>
            </w:r>
          </w:p>
        </w:tc>
        <w:tc>
          <w:tcPr>
            <w:tcW w:w="3903" w:type="dxa"/>
            <w:tcBorders>
              <w:top w:val="nil"/>
              <w:left w:val="nil"/>
              <w:bottom w:val="single" w:sz="4" w:space="0" w:color="auto"/>
              <w:right w:val="single" w:sz="4" w:space="0" w:color="auto"/>
            </w:tcBorders>
            <w:shd w:val="clear" w:color="auto" w:fill="auto"/>
            <w:hideMark/>
          </w:tcPr>
          <w:p w14:paraId="0320691C" w14:textId="77777777" w:rsidR="002865F2" w:rsidRPr="002865F2" w:rsidRDefault="002865F2" w:rsidP="00541B09">
            <w:pPr>
              <w:pStyle w:val="Tablewriting"/>
            </w:pPr>
            <w:r w:rsidRPr="002865F2">
              <w:t>Risperidone, Tablet 0.5 mg (orally disintegrating)</w:t>
            </w:r>
          </w:p>
        </w:tc>
        <w:tc>
          <w:tcPr>
            <w:tcW w:w="3773" w:type="dxa"/>
            <w:tcBorders>
              <w:top w:val="nil"/>
              <w:left w:val="nil"/>
              <w:bottom w:val="single" w:sz="4" w:space="0" w:color="auto"/>
              <w:right w:val="single" w:sz="4" w:space="0" w:color="auto"/>
            </w:tcBorders>
            <w:shd w:val="clear" w:color="auto" w:fill="auto"/>
            <w:hideMark/>
          </w:tcPr>
          <w:p w14:paraId="0D6D1B5C" w14:textId="77777777" w:rsidR="002865F2" w:rsidRPr="002865F2" w:rsidRDefault="002865F2" w:rsidP="00541B09">
            <w:pPr>
              <w:pStyle w:val="Tablewriting"/>
            </w:pPr>
            <w:r w:rsidRPr="002865F2">
              <w:t>Risperdal Quicklet (JANSSEN-CILAG PTY LTD)</w:t>
            </w:r>
          </w:p>
        </w:tc>
      </w:tr>
      <w:tr w:rsidR="002865F2" w:rsidRPr="002865F2" w14:paraId="392A573A"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07ECBD5" w14:textId="77777777" w:rsidR="002865F2" w:rsidRPr="002865F2" w:rsidRDefault="002865F2" w:rsidP="00541B09">
            <w:pPr>
              <w:pStyle w:val="Tablewriting"/>
            </w:pPr>
            <w:r w:rsidRPr="002865F2">
              <w:t>03169T</w:t>
            </w:r>
          </w:p>
        </w:tc>
        <w:tc>
          <w:tcPr>
            <w:tcW w:w="1182" w:type="dxa"/>
            <w:tcBorders>
              <w:top w:val="nil"/>
              <w:left w:val="nil"/>
              <w:bottom w:val="single" w:sz="4" w:space="0" w:color="auto"/>
              <w:right w:val="single" w:sz="4" w:space="0" w:color="auto"/>
            </w:tcBorders>
            <w:shd w:val="clear" w:color="auto" w:fill="auto"/>
            <w:hideMark/>
          </w:tcPr>
          <w:p w14:paraId="3B5E765B" w14:textId="77777777" w:rsidR="002865F2" w:rsidRPr="002865F2" w:rsidRDefault="002865F2" w:rsidP="00541B09">
            <w:pPr>
              <w:pStyle w:val="Tablewriting"/>
            </w:pPr>
            <w:r w:rsidRPr="002865F2">
              <w:t>01Feb1995</w:t>
            </w:r>
          </w:p>
        </w:tc>
        <w:tc>
          <w:tcPr>
            <w:tcW w:w="600" w:type="dxa"/>
            <w:tcBorders>
              <w:top w:val="nil"/>
              <w:left w:val="nil"/>
              <w:bottom w:val="single" w:sz="4" w:space="0" w:color="auto"/>
              <w:right w:val="single" w:sz="4" w:space="0" w:color="auto"/>
            </w:tcBorders>
            <w:shd w:val="clear" w:color="auto" w:fill="auto"/>
            <w:hideMark/>
          </w:tcPr>
          <w:p w14:paraId="31EF61F1"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478D2F12"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0E539B2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8752527" w14:textId="77777777" w:rsidR="002865F2" w:rsidRPr="002865F2" w:rsidRDefault="002865F2" w:rsidP="00541B09">
            <w:pPr>
              <w:pStyle w:val="Tablewriting"/>
            </w:pPr>
            <w:r w:rsidRPr="002865F2">
              <w:t>$20.18</w:t>
            </w:r>
          </w:p>
        </w:tc>
        <w:tc>
          <w:tcPr>
            <w:tcW w:w="3903" w:type="dxa"/>
            <w:tcBorders>
              <w:top w:val="nil"/>
              <w:left w:val="nil"/>
              <w:bottom w:val="single" w:sz="4" w:space="0" w:color="auto"/>
              <w:right w:val="single" w:sz="4" w:space="0" w:color="auto"/>
            </w:tcBorders>
            <w:shd w:val="clear" w:color="auto" w:fill="auto"/>
            <w:hideMark/>
          </w:tcPr>
          <w:p w14:paraId="011F2329" w14:textId="77777777" w:rsidR="002865F2" w:rsidRPr="002865F2" w:rsidRDefault="002865F2" w:rsidP="00541B09">
            <w:pPr>
              <w:pStyle w:val="Tablewriting"/>
            </w:pPr>
            <w:r w:rsidRPr="002865F2">
              <w:t>Risperidone, Tablet 1 mg</w:t>
            </w:r>
          </w:p>
        </w:tc>
        <w:tc>
          <w:tcPr>
            <w:tcW w:w="3773" w:type="dxa"/>
            <w:tcBorders>
              <w:top w:val="nil"/>
              <w:left w:val="nil"/>
              <w:bottom w:val="single" w:sz="4" w:space="0" w:color="auto"/>
              <w:right w:val="single" w:sz="4" w:space="0" w:color="auto"/>
            </w:tcBorders>
            <w:shd w:val="clear" w:color="auto" w:fill="auto"/>
            <w:hideMark/>
          </w:tcPr>
          <w:p w14:paraId="22949524" w14:textId="77777777" w:rsidR="002865F2" w:rsidRPr="002865F2" w:rsidRDefault="002865F2" w:rsidP="00541B09">
            <w:pPr>
              <w:pStyle w:val="Tablewriting"/>
            </w:pPr>
            <w:r w:rsidRPr="002865F2">
              <w:t>Risperidone generichealth (GENERIC HEALTH PTY LTD)</w:t>
            </w:r>
          </w:p>
        </w:tc>
      </w:tr>
      <w:tr w:rsidR="002865F2" w:rsidRPr="002865F2" w14:paraId="64BEABB3"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861268C" w14:textId="77777777" w:rsidR="002865F2" w:rsidRPr="002865F2" w:rsidRDefault="002865F2" w:rsidP="00541B09">
            <w:pPr>
              <w:pStyle w:val="Tablewriting"/>
            </w:pPr>
            <w:r w:rsidRPr="002865F2">
              <w:t>08789N</w:t>
            </w:r>
          </w:p>
        </w:tc>
        <w:tc>
          <w:tcPr>
            <w:tcW w:w="1182" w:type="dxa"/>
            <w:tcBorders>
              <w:top w:val="nil"/>
              <w:left w:val="nil"/>
              <w:bottom w:val="single" w:sz="4" w:space="0" w:color="auto"/>
              <w:right w:val="single" w:sz="4" w:space="0" w:color="auto"/>
            </w:tcBorders>
            <w:shd w:val="clear" w:color="auto" w:fill="auto"/>
            <w:hideMark/>
          </w:tcPr>
          <w:p w14:paraId="32109C41"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424749D2"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43E7DFD2"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1824FA9"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6F36CE19" w14:textId="77777777" w:rsidR="002865F2" w:rsidRPr="002865F2" w:rsidRDefault="002865F2" w:rsidP="00541B09">
            <w:pPr>
              <w:pStyle w:val="Tablewriting"/>
            </w:pPr>
            <w:r w:rsidRPr="002865F2">
              <w:t>$51.89</w:t>
            </w:r>
          </w:p>
        </w:tc>
        <w:tc>
          <w:tcPr>
            <w:tcW w:w="3903" w:type="dxa"/>
            <w:tcBorders>
              <w:top w:val="nil"/>
              <w:left w:val="nil"/>
              <w:bottom w:val="single" w:sz="4" w:space="0" w:color="auto"/>
              <w:right w:val="single" w:sz="4" w:space="0" w:color="auto"/>
            </w:tcBorders>
            <w:shd w:val="clear" w:color="auto" w:fill="auto"/>
            <w:hideMark/>
          </w:tcPr>
          <w:p w14:paraId="248D8EC4" w14:textId="77777777" w:rsidR="002865F2" w:rsidRPr="002865F2" w:rsidRDefault="002865F2" w:rsidP="00541B09">
            <w:pPr>
              <w:pStyle w:val="Tablewriting"/>
            </w:pPr>
            <w:r w:rsidRPr="002865F2">
              <w:t>Risperidone, Tablet 1 mg</w:t>
            </w:r>
          </w:p>
        </w:tc>
        <w:tc>
          <w:tcPr>
            <w:tcW w:w="3773" w:type="dxa"/>
            <w:tcBorders>
              <w:top w:val="nil"/>
              <w:left w:val="nil"/>
              <w:bottom w:val="single" w:sz="4" w:space="0" w:color="auto"/>
              <w:right w:val="single" w:sz="4" w:space="0" w:color="auto"/>
            </w:tcBorders>
            <w:shd w:val="clear" w:color="auto" w:fill="auto"/>
            <w:hideMark/>
          </w:tcPr>
          <w:p w14:paraId="65AACE71" w14:textId="77777777" w:rsidR="002865F2" w:rsidRPr="002865F2" w:rsidRDefault="002865F2" w:rsidP="00541B09">
            <w:pPr>
              <w:pStyle w:val="Tablewriting"/>
            </w:pPr>
            <w:r w:rsidRPr="002865F2">
              <w:t>Risperidone generichealth (GENERIC HEALTH PTY LTD)</w:t>
            </w:r>
          </w:p>
        </w:tc>
      </w:tr>
      <w:tr w:rsidR="002865F2" w:rsidRPr="002865F2" w14:paraId="16C91BA7"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1CDEC64" w14:textId="77777777" w:rsidR="002865F2" w:rsidRPr="002865F2" w:rsidRDefault="002865F2" w:rsidP="00541B09">
            <w:pPr>
              <w:pStyle w:val="Tablewriting"/>
            </w:pPr>
            <w:r w:rsidRPr="002865F2">
              <w:t>08790P</w:t>
            </w:r>
          </w:p>
        </w:tc>
        <w:tc>
          <w:tcPr>
            <w:tcW w:w="1182" w:type="dxa"/>
            <w:tcBorders>
              <w:top w:val="nil"/>
              <w:left w:val="nil"/>
              <w:bottom w:val="single" w:sz="4" w:space="0" w:color="auto"/>
              <w:right w:val="single" w:sz="4" w:space="0" w:color="auto"/>
            </w:tcBorders>
            <w:shd w:val="clear" w:color="auto" w:fill="auto"/>
            <w:hideMark/>
          </w:tcPr>
          <w:p w14:paraId="53F25D31"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13EE08BB"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2DD1B5F1"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613DA761"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154B235C" w14:textId="77777777" w:rsidR="002865F2" w:rsidRPr="002865F2" w:rsidRDefault="002865F2" w:rsidP="00541B09">
            <w:pPr>
              <w:pStyle w:val="Tablewriting"/>
            </w:pPr>
            <w:r w:rsidRPr="002865F2">
              <w:t>$59.78</w:t>
            </w:r>
          </w:p>
        </w:tc>
        <w:tc>
          <w:tcPr>
            <w:tcW w:w="3903" w:type="dxa"/>
            <w:tcBorders>
              <w:top w:val="nil"/>
              <w:left w:val="nil"/>
              <w:bottom w:val="single" w:sz="4" w:space="0" w:color="auto"/>
              <w:right w:val="single" w:sz="4" w:space="0" w:color="auto"/>
            </w:tcBorders>
            <w:shd w:val="clear" w:color="auto" w:fill="auto"/>
            <w:hideMark/>
          </w:tcPr>
          <w:p w14:paraId="7E984235" w14:textId="77777777" w:rsidR="002865F2" w:rsidRPr="002865F2" w:rsidRDefault="002865F2" w:rsidP="00541B09">
            <w:pPr>
              <w:pStyle w:val="Tablewriting"/>
            </w:pPr>
            <w:r w:rsidRPr="002865F2">
              <w:t>Risperidone, Tablet 1 mg (orally disintegrating)</w:t>
            </w:r>
          </w:p>
        </w:tc>
        <w:tc>
          <w:tcPr>
            <w:tcW w:w="3773" w:type="dxa"/>
            <w:tcBorders>
              <w:top w:val="nil"/>
              <w:left w:val="nil"/>
              <w:bottom w:val="single" w:sz="4" w:space="0" w:color="auto"/>
              <w:right w:val="single" w:sz="4" w:space="0" w:color="auto"/>
            </w:tcBorders>
            <w:shd w:val="clear" w:color="auto" w:fill="auto"/>
            <w:hideMark/>
          </w:tcPr>
          <w:p w14:paraId="3230D787" w14:textId="77777777" w:rsidR="002865F2" w:rsidRPr="002865F2" w:rsidRDefault="002865F2" w:rsidP="00541B09">
            <w:pPr>
              <w:pStyle w:val="Tablewriting"/>
            </w:pPr>
            <w:r w:rsidRPr="002865F2">
              <w:t>Risperdal Quicklet (JANSSEN-CILAG PTY LTD)</w:t>
            </w:r>
          </w:p>
        </w:tc>
      </w:tr>
      <w:tr w:rsidR="002865F2" w:rsidRPr="002865F2" w14:paraId="3B2D3DAB"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C36A5B1" w14:textId="77777777" w:rsidR="002865F2" w:rsidRPr="002865F2" w:rsidRDefault="002865F2" w:rsidP="00541B09">
            <w:pPr>
              <w:pStyle w:val="Tablewriting"/>
            </w:pPr>
            <w:r w:rsidRPr="002865F2">
              <w:t>08792R</w:t>
            </w:r>
          </w:p>
        </w:tc>
        <w:tc>
          <w:tcPr>
            <w:tcW w:w="1182" w:type="dxa"/>
            <w:tcBorders>
              <w:top w:val="nil"/>
              <w:left w:val="nil"/>
              <w:bottom w:val="single" w:sz="4" w:space="0" w:color="auto"/>
              <w:right w:val="single" w:sz="4" w:space="0" w:color="auto"/>
            </w:tcBorders>
            <w:shd w:val="clear" w:color="auto" w:fill="auto"/>
            <w:hideMark/>
          </w:tcPr>
          <w:p w14:paraId="177F50D8"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0A4D2445"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C752E94"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4688B07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4E7AB9E" w14:textId="77777777" w:rsidR="002865F2" w:rsidRPr="002865F2" w:rsidRDefault="002865F2" w:rsidP="00541B09">
            <w:pPr>
              <w:pStyle w:val="Tablewriting"/>
            </w:pPr>
            <w:r w:rsidRPr="002865F2">
              <w:t>$50.30</w:t>
            </w:r>
          </w:p>
        </w:tc>
        <w:tc>
          <w:tcPr>
            <w:tcW w:w="3903" w:type="dxa"/>
            <w:tcBorders>
              <w:top w:val="nil"/>
              <w:left w:val="nil"/>
              <w:bottom w:val="single" w:sz="4" w:space="0" w:color="auto"/>
              <w:right w:val="single" w:sz="4" w:space="0" w:color="auto"/>
            </w:tcBorders>
            <w:shd w:val="clear" w:color="auto" w:fill="auto"/>
            <w:hideMark/>
          </w:tcPr>
          <w:p w14:paraId="46AF77B5" w14:textId="77777777" w:rsidR="002865F2" w:rsidRPr="002865F2" w:rsidRDefault="002865F2" w:rsidP="00541B09">
            <w:pPr>
              <w:pStyle w:val="Tablewriting"/>
            </w:pPr>
            <w:r w:rsidRPr="002865F2">
              <w:t>Risperidone, Tablet 1 mg (orally disintegrating)</w:t>
            </w:r>
          </w:p>
        </w:tc>
        <w:tc>
          <w:tcPr>
            <w:tcW w:w="3773" w:type="dxa"/>
            <w:tcBorders>
              <w:top w:val="nil"/>
              <w:left w:val="nil"/>
              <w:bottom w:val="single" w:sz="4" w:space="0" w:color="auto"/>
              <w:right w:val="single" w:sz="4" w:space="0" w:color="auto"/>
            </w:tcBorders>
            <w:shd w:val="clear" w:color="auto" w:fill="auto"/>
            <w:hideMark/>
          </w:tcPr>
          <w:p w14:paraId="54903424" w14:textId="77777777" w:rsidR="002865F2" w:rsidRPr="002865F2" w:rsidRDefault="002865F2" w:rsidP="00541B09">
            <w:pPr>
              <w:pStyle w:val="Tablewriting"/>
            </w:pPr>
            <w:r w:rsidRPr="002865F2">
              <w:t>Risperdal Quicklet (JANSSEN-CILAG PTY LTD)</w:t>
            </w:r>
          </w:p>
        </w:tc>
      </w:tr>
      <w:tr w:rsidR="002865F2" w:rsidRPr="002865F2" w14:paraId="64C10F24"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1A394DF" w14:textId="77777777" w:rsidR="002865F2" w:rsidRPr="002865F2" w:rsidRDefault="002865F2" w:rsidP="00541B09">
            <w:pPr>
              <w:pStyle w:val="Tablewriting"/>
            </w:pPr>
            <w:r w:rsidRPr="002865F2">
              <w:t>03170W</w:t>
            </w:r>
          </w:p>
        </w:tc>
        <w:tc>
          <w:tcPr>
            <w:tcW w:w="1182" w:type="dxa"/>
            <w:tcBorders>
              <w:top w:val="nil"/>
              <w:left w:val="nil"/>
              <w:bottom w:val="single" w:sz="4" w:space="0" w:color="auto"/>
              <w:right w:val="single" w:sz="4" w:space="0" w:color="auto"/>
            </w:tcBorders>
            <w:shd w:val="clear" w:color="auto" w:fill="auto"/>
            <w:hideMark/>
          </w:tcPr>
          <w:p w14:paraId="0B93215B" w14:textId="77777777" w:rsidR="002865F2" w:rsidRPr="002865F2" w:rsidRDefault="002865F2" w:rsidP="00541B09">
            <w:pPr>
              <w:pStyle w:val="Tablewriting"/>
            </w:pPr>
            <w:r w:rsidRPr="002865F2">
              <w:t>01Feb1995</w:t>
            </w:r>
          </w:p>
        </w:tc>
        <w:tc>
          <w:tcPr>
            <w:tcW w:w="600" w:type="dxa"/>
            <w:tcBorders>
              <w:top w:val="nil"/>
              <w:left w:val="nil"/>
              <w:bottom w:val="single" w:sz="4" w:space="0" w:color="auto"/>
              <w:right w:val="single" w:sz="4" w:space="0" w:color="auto"/>
            </w:tcBorders>
            <w:shd w:val="clear" w:color="auto" w:fill="auto"/>
            <w:hideMark/>
          </w:tcPr>
          <w:p w14:paraId="26735A94"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3266B449"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291F2A2A"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BA15856" w14:textId="77777777" w:rsidR="002865F2" w:rsidRPr="002865F2" w:rsidRDefault="002865F2" w:rsidP="00541B09">
            <w:pPr>
              <w:pStyle w:val="Tablewriting"/>
            </w:pPr>
            <w:r w:rsidRPr="002865F2">
              <w:t>$32.75</w:t>
            </w:r>
          </w:p>
        </w:tc>
        <w:tc>
          <w:tcPr>
            <w:tcW w:w="3903" w:type="dxa"/>
            <w:tcBorders>
              <w:top w:val="nil"/>
              <w:left w:val="nil"/>
              <w:bottom w:val="single" w:sz="4" w:space="0" w:color="auto"/>
              <w:right w:val="single" w:sz="4" w:space="0" w:color="auto"/>
            </w:tcBorders>
            <w:shd w:val="clear" w:color="auto" w:fill="auto"/>
            <w:hideMark/>
          </w:tcPr>
          <w:p w14:paraId="67C6B53B" w14:textId="77777777" w:rsidR="002865F2" w:rsidRPr="002865F2" w:rsidRDefault="002865F2" w:rsidP="00541B09">
            <w:pPr>
              <w:pStyle w:val="Tablewriting"/>
            </w:pPr>
            <w:r w:rsidRPr="002865F2">
              <w:t>Risperidone, Tablet 2 mg</w:t>
            </w:r>
          </w:p>
        </w:tc>
        <w:tc>
          <w:tcPr>
            <w:tcW w:w="3773" w:type="dxa"/>
            <w:tcBorders>
              <w:top w:val="nil"/>
              <w:left w:val="nil"/>
              <w:bottom w:val="single" w:sz="4" w:space="0" w:color="auto"/>
              <w:right w:val="single" w:sz="4" w:space="0" w:color="auto"/>
            </w:tcBorders>
            <w:shd w:val="clear" w:color="auto" w:fill="auto"/>
            <w:hideMark/>
          </w:tcPr>
          <w:p w14:paraId="4D23780B" w14:textId="77777777" w:rsidR="002865F2" w:rsidRPr="002865F2" w:rsidRDefault="002865F2" w:rsidP="00541B09">
            <w:pPr>
              <w:pStyle w:val="Tablewriting"/>
            </w:pPr>
            <w:r w:rsidRPr="002865F2">
              <w:t>Risperidone generichealth (GENERIC HEALTH PTY LTD)</w:t>
            </w:r>
          </w:p>
        </w:tc>
      </w:tr>
      <w:tr w:rsidR="002865F2" w:rsidRPr="002865F2" w14:paraId="53A7610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D6ECD6A" w14:textId="77777777" w:rsidR="002865F2" w:rsidRPr="002865F2" w:rsidRDefault="002865F2" w:rsidP="00541B09">
            <w:pPr>
              <w:pStyle w:val="Tablewriting"/>
            </w:pPr>
            <w:r w:rsidRPr="002865F2">
              <w:t>09079W</w:t>
            </w:r>
          </w:p>
        </w:tc>
        <w:tc>
          <w:tcPr>
            <w:tcW w:w="1182" w:type="dxa"/>
            <w:tcBorders>
              <w:top w:val="nil"/>
              <w:left w:val="nil"/>
              <w:bottom w:val="single" w:sz="4" w:space="0" w:color="auto"/>
              <w:right w:val="single" w:sz="4" w:space="0" w:color="auto"/>
            </w:tcBorders>
            <w:shd w:val="clear" w:color="auto" w:fill="auto"/>
            <w:hideMark/>
          </w:tcPr>
          <w:p w14:paraId="7ECB4694"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575F8B42"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076E479C"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2CBDDCFA"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0AD32A3B" w14:textId="77777777" w:rsidR="002865F2" w:rsidRPr="002865F2" w:rsidRDefault="002865F2" w:rsidP="00541B09">
            <w:pPr>
              <w:pStyle w:val="Tablewriting"/>
            </w:pPr>
            <w:r w:rsidRPr="002865F2">
              <w:t>$91.57</w:t>
            </w:r>
          </w:p>
        </w:tc>
        <w:tc>
          <w:tcPr>
            <w:tcW w:w="3903" w:type="dxa"/>
            <w:tcBorders>
              <w:top w:val="nil"/>
              <w:left w:val="nil"/>
              <w:bottom w:val="single" w:sz="4" w:space="0" w:color="auto"/>
              <w:right w:val="single" w:sz="4" w:space="0" w:color="auto"/>
            </w:tcBorders>
            <w:shd w:val="clear" w:color="auto" w:fill="auto"/>
            <w:hideMark/>
          </w:tcPr>
          <w:p w14:paraId="6207D0E1" w14:textId="77777777" w:rsidR="002865F2" w:rsidRPr="002865F2" w:rsidRDefault="002865F2" w:rsidP="00541B09">
            <w:pPr>
              <w:pStyle w:val="Tablewriting"/>
            </w:pPr>
            <w:r w:rsidRPr="002865F2">
              <w:t>Risperidone, Tablet 2 mg</w:t>
            </w:r>
          </w:p>
        </w:tc>
        <w:tc>
          <w:tcPr>
            <w:tcW w:w="3773" w:type="dxa"/>
            <w:tcBorders>
              <w:top w:val="nil"/>
              <w:left w:val="nil"/>
              <w:bottom w:val="single" w:sz="4" w:space="0" w:color="auto"/>
              <w:right w:val="single" w:sz="4" w:space="0" w:color="auto"/>
            </w:tcBorders>
            <w:shd w:val="clear" w:color="auto" w:fill="auto"/>
            <w:hideMark/>
          </w:tcPr>
          <w:p w14:paraId="60E53176" w14:textId="77777777" w:rsidR="002865F2" w:rsidRPr="002865F2" w:rsidRDefault="002865F2" w:rsidP="00541B09">
            <w:pPr>
              <w:pStyle w:val="Tablewriting"/>
            </w:pPr>
            <w:r w:rsidRPr="002865F2">
              <w:t>Risperidone generichealth (GENERIC HEALTH PTY LTD)</w:t>
            </w:r>
          </w:p>
        </w:tc>
      </w:tr>
      <w:tr w:rsidR="002865F2" w:rsidRPr="002865F2" w14:paraId="4BE341D7"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741DEE5" w14:textId="77777777" w:rsidR="002865F2" w:rsidRPr="002865F2" w:rsidRDefault="002865F2" w:rsidP="00541B09">
            <w:pPr>
              <w:pStyle w:val="Tablewriting"/>
            </w:pPr>
            <w:r w:rsidRPr="002865F2">
              <w:t>08794W</w:t>
            </w:r>
          </w:p>
        </w:tc>
        <w:tc>
          <w:tcPr>
            <w:tcW w:w="1182" w:type="dxa"/>
            <w:tcBorders>
              <w:top w:val="nil"/>
              <w:left w:val="nil"/>
              <w:bottom w:val="single" w:sz="4" w:space="0" w:color="auto"/>
              <w:right w:val="single" w:sz="4" w:space="0" w:color="auto"/>
            </w:tcBorders>
            <w:shd w:val="clear" w:color="auto" w:fill="auto"/>
            <w:hideMark/>
          </w:tcPr>
          <w:p w14:paraId="1510EE7B" w14:textId="77777777" w:rsidR="002865F2" w:rsidRPr="002865F2" w:rsidRDefault="002865F2" w:rsidP="00541B09">
            <w:pPr>
              <w:pStyle w:val="Tablewriting"/>
            </w:pPr>
            <w:r w:rsidRPr="002865F2">
              <w:t>01Apr2005</w:t>
            </w:r>
          </w:p>
        </w:tc>
        <w:tc>
          <w:tcPr>
            <w:tcW w:w="600" w:type="dxa"/>
            <w:tcBorders>
              <w:top w:val="nil"/>
              <w:left w:val="nil"/>
              <w:bottom w:val="single" w:sz="4" w:space="0" w:color="auto"/>
              <w:right w:val="single" w:sz="4" w:space="0" w:color="auto"/>
            </w:tcBorders>
            <w:shd w:val="clear" w:color="auto" w:fill="auto"/>
            <w:hideMark/>
          </w:tcPr>
          <w:p w14:paraId="45999EC1"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316C2330"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1C8EB072"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913CE3F" w14:textId="77777777" w:rsidR="002865F2" w:rsidRPr="002865F2" w:rsidRDefault="002865F2" w:rsidP="00541B09">
            <w:pPr>
              <w:pStyle w:val="Tablewriting"/>
            </w:pPr>
            <w:r w:rsidRPr="002865F2">
              <w:t>$115.78</w:t>
            </w:r>
          </w:p>
        </w:tc>
        <w:tc>
          <w:tcPr>
            <w:tcW w:w="3903" w:type="dxa"/>
            <w:tcBorders>
              <w:top w:val="nil"/>
              <w:left w:val="nil"/>
              <w:bottom w:val="single" w:sz="4" w:space="0" w:color="auto"/>
              <w:right w:val="single" w:sz="4" w:space="0" w:color="auto"/>
            </w:tcBorders>
            <w:shd w:val="clear" w:color="auto" w:fill="auto"/>
            <w:hideMark/>
          </w:tcPr>
          <w:p w14:paraId="77DC0FA4" w14:textId="77777777" w:rsidR="002865F2" w:rsidRPr="002865F2" w:rsidRDefault="002865F2" w:rsidP="00541B09">
            <w:pPr>
              <w:pStyle w:val="Tablewriting"/>
            </w:pPr>
            <w:r w:rsidRPr="002865F2">
              <w:t>Risperidone, Tablet 2 mg (orally disintegrating)</w:t>
            </w:r>
          </w:p>
        </w:tc>
        <w:tc>
          <w:tcPr>
            <w:tcW w:w="3773" w:type="dxa"/>
            <w:tcBorders>
              <w:top w:val="nil"/>
              <w:left w:val="nil"/>
              <w:bottom w:val="single" w:sz="4" w:space="0" w:color="auto"/>
              <w:right w:val="single" w:sz="4" w:space="0" w:color="auto"/>
            </w:tcBorders>
            <w:shd w:val="clear" w:color="auto" w:fill="auto"/>
            <w:hideMark/>
          </w:tcPr>
          <w:p w14:paraId="5050EEBA" w14:textId="77777777" w:rsidR="002865F2" w:rsidRPr="002865F2" w:rsidRDefault="002865F2" w:rsidP="00541B09">
            <w:pPr>
              <w:pStyle w:val="Tablewriting"/>
            </w:pPr>
            <w:r w:rsidRPr="002865F2">
              <w:t>Risperdal Quicklet (JANSSEN-CILAG PTY LTD)</w:t>
            </w:r>
          </w:p>
        </w:tc>
      </w:tr>
      <w:tr w:rsidR="002865F2" w:rsidRPr="002865F2" w14:paraId="154D274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861C100" w14:textId="77777777" w:rsidR="002865F2" w:rsidRPr="002865F2" w:rsidRDefault="002865F2" w:rsidP="00541B09">
            <w:pPr>
              <w:pStyle w:val="Tablewriting"/>
            </w:pPr>
            <w:r w:rsidRPr="002865F2">
              <w:t>09080X</w:t>
            </w:r>
          </w:p>
        </w:tc>
        <w:tc>
          <w:tcPr>
            <w:tcW w:w="1182" w:type="dxa"/>
            <w:tcBorders>
              <w:top w:val="nil"/>
              <w:left w:val="nil"/>
              <w:bottom w:val="single" w:sz="4" w:space="0" w:color="auto"/>
              <w:right w:val="single" w:sz="4" w:space="0" w:color="auto"/>
            </w:tcBorders>
            <w:shd w:val="clear" w:color="auto" w:fill="auto"/>
            <w:hideMark/>
          </w:tcPr>
          <w:p w14:paraId="09360C6C"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79874287"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55103731"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6A224045" w14:textId="77777777" w:rsidR="002865F2" w:rsidRPr="002865F2" w:rsidRDefault="002865F2" w:rsidP="00541B09">
            <w:pPr>
              <w:pStyle w:val="Tablewriting"/>
            </w:pPr>
            <w:r w:rsidRPr="002865F2">
              <w:t>2</w:t>
            </w:r>
          </w:p>
        </w:tc>
        <w:tc>
          <w:tcPr>
            <w:tcW w:w="875" w:type="dxa"/>
            <w:tcBorders>
              <w:top w:val="nil"/>
              <w:left w:val="nil"/>
              <w:bottom w:val="single" w:sz="4" w:space="0" w:color="auto"/>
              <w:right w:val="single" w:sz="4" w:space="0" w:color="auto"/>
            </w:tcBorders>
            <w:shd w:val="clear" w:color="auto" w:fill="auto"/>
            <w:hideMark/>
          </w:tcPr>
          <w:p w14:paraId="3F087F5E" w14:textId="77777777" w:rsidR="002865F2" w:rsidRPr="002865F2" w:rsidRDefault="002865F2" w:rsidP="00541B09">
            <w:pPr>
              <w:pStyle w:val="Tablewriting"/>
            </w:pPr>
            <w:r w:rsidRPr="002865F2">
              <w:t>$46.25</w:t>
            </w:r>
          </w:p>
        </w:tc>
        <w:tc>
          <w:tcPr>
            <w:tcW w:w="3903" w:type="dxa"/>
            <w:tcBorders>
              <w:top w:val="nil"/>
              <w:left w:val="nil"/>
              <w:bottom w:val="single" w:sz="4" w:space="0" w:color="auto"/>
              <w:right w:val="single" w:sz="4" w:space="0" w:color="auto"/>
            </w:tcBorders>
            <w:shd w:val="clear" w:color="auto" w:fill="auto"/>
            <w:hideMark/>
          </w:tcPr>
          <w:p w14:paraId="440B0CFE" w14:textId="77777777" w:rsidR="002865F2" w:rsidRPr="002865F2" w:rsidRDefault="002865F2" w:rsidP="00541B09">
            <w:pPr>
              <w:pStyle w:val="Tablewriting"/>
            </w:pPr>
            <w:r w:rsidRPr="002865F2">
              <w:t>Risperidone, Tablet 2 mg (orally disintegrating)</w:t>
            </w:r>
          </w:p>
        </w:tc>
        <w:tc>
          <w:tcPr>
            <w:tcW w:w="3773" w:type="dxa"/>
            <w:tcBorders>
              <w:top w:val="nil"/>
              <w:left w:val="nil"/>
              <w:bottom w:val="single" w:sz="4" w:space="0" w:color="auto"/>
              <w:right w:val="single" w:sz="4" w:space="0" w:color="auto"/>
            </w:tcBorders>
            <w:shd w:val="clear" w:color="auto" w:fill="auto"/>
            <w:hideMark/>
          </w:tcPr>
          <w:p w14:paraId="76FE4FED" w14:textId="77777777" w:rsidR="002865F2" w:rsidRPr="002865F2" w:rsidRDefault="002865F2" w:rsidP="00541B09">
            <w:pPr>
              <w:pStyle w:val="Tablewriting"/>
            </w:pPr>
            <w:r w:rsidRPr="002865F2">
              <w:t>Risperdal Quicklet (JANSSEN-CILAG PTY LTD)</w:t>
            </w:r>
          </w:p>
        </w:tc>
      </w:tr>
      <w:tr w:rsidR="002865F2" w:rsidRPr="002865F2" w14:paraId="0B59E53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BE83265" w14:textId="77777777" w:rsidR="002865F2" w:rsidRPr="002865F2" w:rsidRDefault="002865F2" w:rsidP="00541B09">
            <w:pPr>
              <w:pStyle w:val="Tablewriting"/>
            </w:pPr>
            <w:r w:rsidRPr="002865F2">
              <w:t>03171X</w:t>
            </w:r>
          </w:p>
        </w:tc>
        <w:tc>
          <w:tcPr>
            <w:tcW w:w="1182" w:type="dxa"/>
            <w:tcBorders>
              <w:top w:val="nil"/>
              <w:left w:val="nil"/>
              <w:bottom w:val="single" w:sz="4" w:space="0" w:color="auto"/>
              <w:right w:val="single" w:sz="4" w:space="0" w:color="auto"/>
            </w:tcBorders>
            <w:shd w:val="clear" w:color="auto" w:fill="auto"/>
            <w:hideMark/>
          </w:tcPr>
          <w:p w14:paraId="25E22C9A" w14:textId="77777777" w:rsidR="002865F2" w:rsidRPr="002865F2" w:rsidRDefault="002865F2" w:rsidP="00541B09">
            <w:pPr>
              <w:pStyle w:val="Tablewriting"/>
            </w:pPr>
            <w:r w:rsidRPr="002865F2">
              <w:t>01Feb1995</w:t>
            </w:r>
          </w:p>
        </w:tc>
        <w:tc>
          <w:tcPr>
            <w:tcW w:w="600" w:type="dxa"/>
            <w:tcBorders>
              <w:top w:val="nil"/>
              <w:left w:val="nil"/>
              <w:bottom w:val="single" w:sz="4" w:space="0" w:color="auto"/>
              <w:right w:val="single" w:sz="4" w:space="0" w:color="auto"/>
            </w:tcBorders>
            <w:shd w:val="clear" w:color="auto" w:fill="auto"/>
            <w:hideMark/>
          </w:tcPr>
          <w:p w14:paraId="70D5D69A"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5696B6CC"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6EEF9CA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95AA09D" w14:textId="77777777" w:rsidR="002865F2" w:rsidRPr="002865F2" w:rsidRDefault="002865F2" w:rsidP="00541B09">
            <w:pPr>
              <w:pStyle w:val="Tablewriting"/>
            </w:pPr>
            <w:r w:rsidRPr="002865F2">
              <w:t>$137.84</w:t>
            </w:r>
          </w:p>
        </w:tc>
        <w:tc>
          <w:tcPr>
            <w:tcW w:w="3903" w:type="dxa"/>
            <w:tcBorders>
              <w:top w:val="nil"/>
              <w:left w:val="nil"/>
              <w:bottom w:val="single" w:sz="4" w:space="0" w:color="auto"/>
              <w:right w:val="single" w:sz="4" w:space="0" w:color="auto"/>
            </w:tcBorders>
            <w:shd w:val="clear" w:color="auto" w:fill="auto"/>
            <w:hideMark/>
          </w:tcPr>
          <w:p w14:paraId="24D0AC56" w14:textId="77777777" w:rsidR="002865F2" w:rsidRPr="002865F2" w:rsidRDefault="002865F2" w:rsidP="00541B09">
            <w:pPr>
              <w:pStyle w:val="Tablewriting"/>
            </w:pPr>
            <w:r w:rsidRPr="002865F2">
              <w:t>Risperidone, Tablet 3 mg</w:t>
            </w:r>
          </w:p>
        </w:tc>
        <w:tc>
          <w:tcPr>
            <w:tcW w:w="3773" w:type="dxa"/>
            <w:tcBorders>
              <w:top w:val="nil"/>
              <w:left w:val="nil"/>
              <w:bottom w:val="single" w:sz="4" w:space="0" w:color="auto"/>
              <w:right w:val="single" w:sz="4" w:space="0" w:color="auto"/>
            </w:tcBorders>
            <w:shd w:val="clear" w:color="auto" w:fill="auto"/>
            <w:hideMark/>
          </w:tcPr>
          <w:p w14:paraId="7470181C" w14:textId="77777777" w:rsidR="002865F2" w:rsidRPr="002865F2" w:rsidRDefault="002865F2" w:rsidP="00541B09">
            <w:pPr>
              <w:pStyle w:val="Tablewriting"/>
            </w:pPr>
            <w:r w:rsidRPr="002865F2">
              <w:t>Risperidone generichealth (GENERIC HEALTH PTY LTD)</w:t>
            </w:r>
          </w:p>
        </w:tc>
      </w:tr>
      <w:tr w:rsidR="002865F2" w:rsidRPr="002865F2" w14:paraId="2C13889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2BADF79" w14:textId="77777777" w:rsidR="002865F2" w:rsidRPr="002865F2" w:rsidRDefault="002865F2" w:rsidP="00541B09">
            <w:pPr>
              <w:pStyle w:val="Tablewriting"/>
            </w:pPr>
            <w:r w:rsidRPr="002865F2">
              <w:t>09075P</w:t>
            </w:r>
          </w:p>
        </w:tc>
        <w:tc>
          <w:tcPr>
            <w:tcW w:w="1182" w:type="dxa"/>
            <w:tcBorders>
              <w:top w:val="nil"/>
              <w:left w:val="nil"/>
              <w:bottom w:val="single" w:sz="4" w:space="0" w:color="auto"/>
              <w:right w:val="single" w:sz="4" w:space="0" w:color="auto"/>
            </w:tcBorders>
            <w:shd w:val="clear" w:color="auto" w:fill="auto"/>
            <w:hideMark/>
          </w:tcPr>
          <w:p w14:paraId="261BE7CC" w14:textId="77777777" w:rsidR="002865F2" w:rsidRPr="002865F2" w:rsidRDefault="002865F2" w:rsidP="00541B09">
            <w:pPr>
              <w:pStyle w:val="Tablewriting"/>
            </w:pPr>
            <w:r w:rsidRPr="002865F2">
              <w:t>01Mar2007</w:t>
            </w:r>
          </w:p>
        </w:tc>
        <w:tc>
          <w:tcPr>
            <w:tcW w:w="600" w:type="dxa"/>
            <w:tcBorders>
              <w:top w:val="nil"/>
              <w:left w:val="nil"/>
              <w:bottom w:val="single" w:sz="4" w:space="0" w:color="auto"/>
              <w:right w:val="single" w:sz="4" w:space="0" w:color="auto"/>
            </w:tcBorders>
            <w:shd w:val="clear" w:color="auto" w:fill="auto"/>
            <w:hideMark/>
          </w:tcPr>
          <w:p w14:paraId="1798317D"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44AF3A9D"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11686757"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D5120F6" w14:textId="77777777" w:rsidR="002865F2" w:rsidRPr="002865F2" w:rsidRDefault="002865F2" w:rsidP="00541B09">
            <w:pPr>
              <w:pStyle w:val="Tablewriting"/>
            </w:pPr>
            <w:r w:rsidRPr="002865F2">
              <w:t>$162.54</w:t>
            </w:r>
          </w:p>
        </w:tc>
        <w:tc>
          <w:tcPr>
            <w:tcW w:w="3903" w:type="dxa"/>
            <w:tcBorders>
              <w:top w:val="nil"/>
              <w:left w:val="nil"/>
              <w:bottom w:val="single" w:sz="4" w:space="0" w:color="auto"/>
              <w:right w:val="single" w:sz="4" w:space="0" w:color="auto"/>
            </w:tcBorders>
            <w:shd w:val="clear" w:color="auto" w:fill="auto"/>
            <w:hideMark/>
          </w:tcPr>
          <w:p w14:paraId="5C6A6B96" w14:textId="77777777" w:rsidR="002865F2" w:rsidRPr="002865F2" w:rsidRDefault="002865F2" w:rsidP="00541B09">
            <w:pPr>
              <w:pStyle w:val="Tablewriting"/>
            </w:pPr>
            <w:r w:rsidRPr="002865F2">
              <w:t>Risperidone, Tablet 3 mg (orally disintegrating)</w:t>
            </w:r>
          </w:p>
        </w:tc>
        <w:tc>
          <w:tcPr>
            <w:tcW w:w="3773" w:type="dxa"/>
            <w:tcBorders>
              <w:top w:val="nil"/>
              <w:left w:val="nil"/>
              <w:bottom w:val="single" w:sz="4" w:space="0" w:color="auto"/>
              <w:right w:val="single" w:sz="4" w:space="0" w:color="auto"/>
            </w:tcBorders>
            <w:shd w:val="clear" w:color="auto" w:fill="auto"/>
            <w:hideMark/>
          </w:tcPr>
          <w:p w14:paraId="79AE3AD2" w14:textId="77777777" w:rsidR="002865F2" w:rsidRPr="002865F2" w:rsidRDefault="002865F2" w:rsidP="00541B09">
            <w:pPr>
              <w:pStyle w:val="Tablewriting"/>
            </w:pPr>
            <w:r w:rsidRPr="002865F2">
              <w:t>Risperdal Quicklet (JANSSEN-CILAG PTY LTD)</w:t>
            </w:r>
          </w:p>
        </w:tc>
      </w:tr>
      <w:tr w:rsidR="002865F2" w:rsidRPr="002865F2" w14:paraId="2D56CC51"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046CF8AF" w14:textId="77777777" w:rsidR="002865F2" w:rsidRPr="002865F2" w:rsidRDefault="002865F2" w:rsidP="00541B09">
            <w:pPr>
              <w:pStyle w:val="Tablewriting"/>
            </w:pPr>
            <w:r w:rsidRPr="002865F2">
              <w:lastRenderedPageBreak/>
              <w:t>03172Y</w:t>
            </w:r>
          </w:p>
        </w:tc>
        <w:tc>
          <w:tcPr>
            <w:tcW w:w="1182" w:type="dxa"/>
            <w:tcBorders>
              <w:top w:val="nil"/>
              <w:left w:val="nil"/>
              <w:bottom w:val="single" w:sz="4" w:space="0" w:color="auto"/>
              <w:right w:val="single" w:sz="4" w:space="0" w:color="auto"/>
            </w:tcBorders>
            <w:shd w:val="clear" w:color="auto" w:fill="auto"/>
            <w:hideMark/>
          </w:tcPr>
          <w:p w14:paraId="638CF889" w14:textId="77777777" w:rsidR="002865F2" w:rsidRPr="002865F2" w:rsidRDefault="002865F2" w:rsidP="00541B09">
            <w:pPr>
              <w:pStyle w:val="Tablewriting"/>
            </w:pPr>
            <w:r w:rsidRPr="002865F2">
              <w:t>01Feb1995</w:t>
            </w:r>
          </w:p>
        </w:tc>
        <w:tc>
          <w:tcPr>
            <w:tcW w:w="600" w:type="dxa"/>
            <w:tcBorders>
              <w:top w:val="nil"/>
              <w:left w:val="nil"/>
              <w:bottom w:val="single" w:sz="4" w:space="0" w:color="auto"/>
              <w:right w:val="single" w:sz="4" w:space="0" w:color="auto"/>
            </w:tcBorders>
            <w:shd w:val="clear" w:color="auto" w:fill="auto"/>
            <w:hideMark/>
          </w:tcPr>
          <w:p w14:paraId="32278AFE"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320C0957"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12CF2AF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0B12AB1" w14:textId="77777777" w:rsidR="002865F2" w:rsidRPr="002865F2" w:rsidRDefault="002865F2" w:rsidP="00541B09">
            <w:pPr>
              <w:pStyle w:val="Tablewriting"/>
            </w:pPr>
            <w:r w:rsidRPr="002865F2">
              <w:t>$183.79</w:t>
            </w:r>
          </w:p>
        </w:tc>
        <w:tc>
          <w:tcPr>
            <w:tcW w:w="3903" w:type="dxa"/>
            <w:tcBorders>
              <w:top w:val="nil"/>
              <w:left w:val="nil"/>
              <w:bottom w:val="single" w:sz="4" w:space="0" w:color="auto"/>
              <w:right w:val="single" w:sz="4" w:space="0" w:color="auto"/>
            </w:tcBorders>
            <w:shd w:val="clear" w:color="auto" w:fill="auto"/>
            <w:hideMark/>
          </w:tcPr>
          <w:p w14:paraId="17BF88AB" w14:textId="77777777" w:rsidR="002865F2" w:rsidRPr="002865F2" w:rsidRDefault="002865F2" w:rsidP="00541B09">
            <w:pPr>
              <w:pStyle w:val="Tablewriting"/>
            </w:pPr>
            <w:r w:rsidRPr="002865F2">
              <w:t>Risperidone, Tablet 4 mg</w:t>
            </w:r>
          </w:p>
        </w:tc>
        <w:tc>
          <w:tcPr>
            <w:tcW w:w="3773" w:type="dxa"/>
            <w:tcBorders>
              <w:top w:val="nil"/>
              <w:left w:val="nil"/>
              <w:bottom w:val="single" w:sz="4" w:space="0" w:color="auto"/>
              <w:right w:val="single" w:sz="4" w:space="0" w:color="auto"/>
            </w:tcBorders>
            <w:shd w:val="clear" w:color="auto" w:fill="auto"/>
            <w:hideMark/>
          </w:tcPr>
          <w:p w14:paraId="29EABCB9" w14:textId="77777777" w:rsidR="002865F2" w:rsidRPr="002865F2" w:rsidRDefault="002865F2" w:rsidP="00541B09">
            <w:pPr>
              <w:pStyle w:val="Tablewriting"/>
            </w:pPr>
            <w:r w:rsidRPr="002865F2">
              <w:t>Risperidone generichealth (GENERIC HEALTH PTY LTD)</w:t>
            </w:r>
          </w:p>
        </w:tc>
      </w:tr>
      <w:tr w:rsidR="002865F2" w:rsidRPr="002865F2" w14:paraId="6A5DE72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75E9015C" w14:textId="77777777" w:rsidR="002865F2" w:rsidRPr="002865F2" w:rsidRDefault="002865F2" w:rsidP="00541B09">
            <w:pPr>
              <w:pStyle w:val="Tablewriting"/>
            </w:pPr>
            <w:r w:rsidRPr="002865F2">
              <w:t>09076Q</w:t>
            </w:r>
          </w:p>
        </w:tc>
        <w:tc>
          <w:tcPr>
            <w:tcW w:w="1182" w:type="dxa"/>
            <w:tcBorders>
              <w:top w:val="nil"/>
              <w:left w:val="nil"/>
              <w:bottom w:val="single" w:sz="4" w:space="0" w:color="auto"/>
              <w:right w:val="single" w:sz="4" w:space="0" w:color="auto"/>
            </w:tcBorders>
            <w:shd w:val="clear" w:color="auto" w:fill="auto"/>
            <w:hideMark/>
          </w:tcPr>
          <w:p w14:paraId="06E620A2" w14:textId="77777777" w:rsidR="002865F2" w:rsidRPr="002865F2" w:rsidRDefault="002865F2" w:rsidP="00541B09">
            <w:pPr>
              <w:pStyle w:val="Tablewriting"/>
            </w:pPr>
            <w:r w:rsidRPr="002865F2">
              <w:t>01Mar2007</w:t>
            </w:r>
          </w:p>
        </w:tc>
        <w:tc>
          <w:tcPr>
            <w:tcW w:w="600" w:type="dxa"/>
            <w:tcBorders>
              <w:top w:val="nil"/>
              <w:left w:val="nil"/>
              <w:bottom w:val="single" w:sz="4" w:space="0" w:color="auto"/>
              <w:right w:val="single" w:sz="4" w:space="0" w:color="auto"/>
            </w:tcBorders>
            <w:shd w:val="clear" w:color="auto" w:fill="auto"/>
            <w:hideMark/>
          </w:tcPr>
          <w:p w14:paraId="457EA438" w14:textId="77777777" w:rsidR="002865F2" w:rsidRPr="002865F2" w:rsidRDefault="002865F2" w:rsidP="00541B09">
            <w:pPr>
              <w:pStyle w:val="Tablewriting"/>
            </w:pPr>
            <w:r w:rsidRPr="002865F2">
              <w:t>28</w:t>
            </w:r>
          </w:p>
        </w:tc>
        <w:tc>
          <w:tcPr>
            <w:tcW w:w="1068" w:type="dxa"/>
            <w:tcBorders>
              <w:top w:val="nil"/>
              <w:left w:val="nil"/>
              <w:bottom w:val="single" w:sz="4" w:space="0" w:color="auto"/>
              <w:right w:val="single" w:sz="4" w:space="0" w:color="auto"/>
            </w:tcBorders>
            <w:shd w:val="clear" w:color="auto" w:fill="auto"/>
            <w:hideMark/>
          </w:tcPr>
          <w:p w14:paraId="266EC91E" w14:textId="77777777" w:rsidR="002865F2" w:rsidRPr="002865F2" w:rsidRDefault="002865F2" w:rsidP="00541B09">
            <w:pPr>
              <w:pStyle w:val="Tablewriting"/>
            </w:pPr>
            <w:r w:rsidRPr="002865F2">
              <w:t>56</w:t>
            </w:r>
          </w:p>
        </w:tc>
        <w:tc>
          <w:tcPr>
            <w:tcW w:w="1126" w:type="dxa"/>
            <w:tcBorders>
              <w:top w:val="nil"/>
              <w:left w:val="nil"/>
              <w:bottom w:val="single" w:sz="4" w:space="0" w:color="auto"/>
              <w:right w:val="single" w:sz="4" w:space="0" w:color="auto"/>
            </w:tcBorders>
            <w:shd w:val="clear" w:color="auto" w:fill="auto"/>
            <w:hideMark/>
          </w:tcPr>
          <w:p w14:paraId="03265666"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70CD3A01" w14:textId="77777777" w:rsidR="002865F2" w:rsidRPr="002865F2" w:rsidRDefault="002865F2" w:rsidP="00541B09">
            <w:pPr>
              <w:pStyle w:val="Tablewriting"/>
            </w:pPr>
            <w:r w:rsidRPr="002865F2">
              <w:t>$83.24</w:t>
            </w:r>
          </w:p>
        </w:tc>
        <w:tc>
          <w:tcPr>
            <w:tcW w:w="3903" w:type="dxa"/>
            <w:tcBorders>
              <w:top w:val="nil"/>
              <w:left w:val="nil"/>
              <w:bottom w:val="single" w:sz="4" w:space="0" w:color="auto"/>
              <w:right w:val="single" w:sz="4" w:space="0" w:color="auto"/>
            </w:tcBorders>
            <w:shd w:val="clear" w:color="auto" w:fill="auto"/>
            <w:hideMark/>
          </w:tcPr>
          <w:p w14:paraId="0C3725FD" w14:textId="77777777" w:rsidR="002865F2" w:rsidRPr="002865F2" w:rsidRDefault="002865F2" w:rsidP="00541B09">
            <w:pPr>
              <w:pStyle w:val="Tablewriting"/>
            </w:pPr>
            <w:r w:rsidRPr="002865F2">
              <w:t>Risperidone, Tablet 4 mg (orally disintegrating)</w:t>
            </w:r>
          </w:p>
        </w:tc>
        <w:tc>
          <w:tcPr>
            <w:tcW w:w="3773" w:type="dxa"/>
            <w:tcBorders>
              <w:top w:val="nil"/>
              <w:left w:val="nil"/>
              <w:bottom w:val="single" w:sz="4" w:space="0" w:color="auto"/>
              <w:right w:val="single" w:sz="4" w:space="0" w:color="auto"/>
            </w:tcBorders>
            <w:shd w:val="clear" w:color="auto" w:fill="auto"/>
            <w:hideMark/>
          </w:tcPr>
          <w:p w14:paraId="3AB91B6D" w14:textId="77777777" w:rsidR="002865F2" w:rsidRPr="002865F2" w:rsidRDefault="002865F2" w:rsidP="00541B09">
            <w:pPr>
              <w:pStyle w:val="Tablewriting"/>
            </w:pPr>
            <w:r w:rsidRPr="002865F2">
              <w:t>Risperdal Quicklet (JANSSEN-CILAG PTY LTD)</w:t>
            </w:r>
          </w:p>
        </w:tc>
      </w:tr>
      <w:tr w:rsidR="002865F2" w:rsidRPr="002865F2" w14:paraId="5DBB281C"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8D3D5DD" w14:textId="77777777" w:rsidR="002865F2" w:rsidRPr="002865F2" w:rsidRDefault="002865F2" w:rsidP="00541B09">
            <w:pPr>
              <w:pStyle w:val="Tablewriting"/>
            </w:pPr>
            <w:r w:rsidRPr="002865F2">
              <w:t>02402K</w:t>
            </w:r>
          </w:p>
        </w:tc>
        <w:tc>
          <w:tcPr>
            <w:tcW w:w="1182" w:type="dxa"/>
            <w:tcBorders>
              <w:top w:val="nil"/>
              <w:left w:val="nil"/>
              <w:bottom w:val="single" w:sz="4" w:space="0" w:color="auto"/>
              <w:right w:val="single" w:sz="4" w:space="0" w:color="auto"/>
            </w:tcBorders>
            <w:shd w:val="clear" w:color="auto" w:fill="auto"/>
            <w:hideMark/>
          </w:tcPr>
          <w:p w14:paraId="31C05FDE" w14:textId="77777777" w:rsidR="002865F2" w:rsidRPr="002865F2" w:rsidRDefault="002865F2" w:rsidP="00541B09">
            <w:pPr>
              <w:pStyle w:val="Tablewriting"/>
            </w:pPr>
            <w:r w:rsidRPr="002865F2">
              <w:t>01Nov1964</w:t>
            </w:r>
          </w:p>
        </w:tc>
        <w:tc>
          <w:tcPr>
            <w:tcW w:w="600" w:type="dxa"/>
            <w:tcBorders>
              <w:top w:val="nil"/>
              <w:left w:val="nil"/>
              <w:bottom w:val="single" w:sz="4" w:space="0" w:color="auto"/>
              <w:right w:val="single" w:sz="4" w:space="0" w:color="auto"/>
            </w:tcBorders>
            <w:shd w:val="clear" w:color="auto" w:fill="auto"/>
            <w:hideMark/>
          </w:tcPr>
          <w:p w14:paraId="3C2AA6A8"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B486128"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32C42B7A"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AC4A909" w14:textId="77777777" w:rsidR="002865F2" w:rsidRPr="002865F2" w:rsidRDefault="002865F2" w:rsidP="00541B09">
            <w:pPr>
              <w:pStyle w:val="Tablewriting"/>
            </w:pPr>
            <w:r w:rsidRPr="002865F2">
              <w:t>$10.84</w:t>
            </w:r>
          </w:p>
        </w:tc>
        <w:tc>
          <w:tcPr>
            <w:tcW w:w="3903" w:type="dxa"/>
            <w:tcBorders>
              <w:top w:val="nil"/>
              <w:left w:val="nil"/>
              <w:bottom w:val="single" w:sz="4" w:space="0" w:color="auto"/>
              <w:right w:val="single" w:sz="4" w:space="0" w:color="auto"/>
            </w:tcBorders>
            <w:shd w:val="clear" w:color="auto" w:fill="auto"/>
            <w:hideMark/>
          </w:tcPr>
          <w:p w14:paraId="55957D35" w14:textId="77777777" w:rsidR="002865F2" w:rsidRPr="002865F2" w:rsidRDefault="002865F2" w:rsidP="00541B09">
            <w:pPr>
              <w:pStyle w:val="Tablewriting"/>
            </w:pPr>
            <w:r w:rsidRPr="002865F2">
              <w:t>Thioridazine, Oral solution 30 mg per mL, 30 mL</w:t>
            </w:r>
          </w:p>
        </w:tc>
        <w:tc>
          <w:tcPr>
            <w:tcW w:w="3773" w:type="dxa"/>
            <w:tcBorders>
              <w:top w:val="nil"/>
              <w:left w:val="nil"/>
              <w:bottom w:val="single" w:sz="4" w:space="0" w:color="auto"/>
              <w:right w:val="single" w:sz="4" w:space="0" w:color="auto"/>
            </w:tcBorders>
            <w:shd w:val="clear" w:color="auto" w:fill="auto"/>
            <w:hideMark/>
          </w:tcPr>
          <w:p w14:paraId="62F14A45" w14:textId="77777777" w:rsidR="002865F2" w:rsidRPr="002865F2" w:rsidRDefault="002865F2" w:rsidP="00541B09">
            <w:pPr>
              <w:pStyle w:val="Tablewriting"/>
            </w:pPr>
            <w:r w:rsidRPr="002865F2">
              <w:t>Melleril (SANDOZ PTY LTD)</w:t>
            </w:r>
          </w:p>
        </w:tc>
      </w:tr>
      <w:tr w:rsidR="002865F2" w:rsidRPr="002865F2" w14:paraId="4FA35A7F"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6FFE9B5A" w14:textId="77777777" w:rsidR="002865F2" w:rsidRPr="002865F2" w:rsidRDefault="002865F2" w:rsidP="00541B09">
            <w:pPr>
              <w:pStyle w:val="Tablewriting"/>
            </w:pPr>
            <w:r w:rsidRPr="002865F2">
              <w:t>08095C</w:t>
            </w:r>
          </w:p>
        </w:tc>
        <w:tc>
          <w:tcPr>
            <w:tcW w:w="1182" w:type="dxa"/>
            <w:tcBorders>
              <w:top w:val="nil"/>
              <w:left w:val="nil"/>
              <w:bottom w:val="single" w:sz="4" w:space="0" w:color="auto"/>
              <w:right w:val="single" w:sz="4" w:space="0" w:color="auto"/>
            </w:tcBorders>
            <w:shd w:val="clear" w:color="auto" w:fill="auto"/>
            <w:hideMark/>
          </w:tcPr>
          <w:p w14:paraId="159ABC17" w14:textId="77777777" w:rsidR="002865F2" w:rsidRPr="002865F2" w:rsidRDefault="002865F2" w:rsidP="00541B09">
            <w:pPr>
              <w:pStyle w:val="Tablewriting"/>
            </w:pPr>
            <w:r w:rsidRPr="002865F2">
              <w:t>01Nov1996</w:t>
            </w:r>
          </w:p>
        </w:tc>
        <w:tc>
          <w:tcPr>
            <w:tcW w:w="600" w:type="dxa"/>
            <w:tcBorders>
              <w:top w:val="nil"/>
              <w:left w:val="nil"/>
              <w:bottom w:val="single" w:sz="4" w:space="0" w:color="auto"/>
              <w:right w:val="single" w:sz="4" w:space="0" w:color="auto"/>
            </w:tcBorders>
            <w:shd w:val="clear" w:color="auto" w:fill="auto"/>
            <w:hideMark/>
          </w:tcPr>
          <w:p w14:paraId="6C2E8383"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F782B87"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502ACC4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14ECCC9E" w14:textId="77777777" w:rsidR="002865F2" w:rsidRPr="002865F2" w:rsidRDefault="002865F2" w:rsidP="00541B09">
            <w:pPr>
              <w:pStyle w:val="Tablewriting"/>
            </w:pPr>
            <w:r w:rsidRPr="002865F2">
              <w:t>$11.63</w:t>
            </w:r>
          </w:p>
        </w:tc>
        <w:tc>
          <w:tcPr>
            <w:tcW w:w="3903" w:type="dxa"/>
            <w:tcBorders>
              <w:top w:val="nil"/>
              <w:left w:val="nil"/>
              <w:bottom w:val="single" w:sz="4" w:space="0" w:color="auto"/>
              <w:right w:val="single" w:sz="4" w:space="0" w:color="auto"/>
            </w:tcBorders>
            <w:shd w:val="clear" w:color="auto" w:fill="auto"/>
            <w:hideMark/>
          </w:tcPr>
          <w:p w14:paraId="5B727BAD" w14:textId="7FCAA718" w:rsidR="002865F2" w:rsidRPr="002865F2" w:rsidRDefault="002865F2" w:rsidP="00541B09">
            <w:pPr>
              <w:pStyle w:val="Tablewriting"/>
            </w:pPr>
            <w:r w:rsidRPr="002865F2">
              <w:t>Thioridazine, Oral suspension 10</w:t>
            </w:r>
            <w:r w:rsidR="001D6547">
              <w:t> </w:t>
            </w:r>
            <w:r w:rsidRPr="002865F2">
              <w:t>mg</w:t>
            </w:r>
            <w:r w:rsidR="001D6547">
              <w:t> </w:t>
            </w:r>
            <w:r w:rsidRPr="002865F2">
              <w:t>per</w:t>
            </w:r>
            <w:r w:rsidR="001D6547">
              <w:t> </w:t>
            </w:r>
            <w:r w:rsidRPr="002865F2">
              <w:t>mL, 100 mL</w:t>
            </w:r>
          </w:p>
        </w:tc>
        <w:tc>
          <w:tcPr>
            <w:tcW w:w="3773" w:type="dxa"/>
            <w:tcBorders>
              <w:top w:val="nil"/>
              <w:left w:val="nil"/>
              <w:bottom w:val="single" w:sz="4" w:space="0" w:color="auto"/>
              <w:right w:val="single" w:sz="4" w:space="0" w:color="auto"/>
            </w:tcBorders>
            <w:shd w:val="clear" w:color="auto" w:fill="auto"/>
            <w:hideMark/>
          </w:tcPr>
          <w:p w14:paraId="51FF711E" w14:textId="77777777" w:rsidR="002865F2" w:rsidRPr="002865F2" w:rsidRDefault="002865F2" w:rsidP="00541B09">
            <w:pPr>
              <w:pStyle w:val="Tablewriting"/>
            </w:pPr>
            <w:r w:rsidRPr="002865F2">
              <w:t>Melleril Suspension 1% (SANDOZ PTY LTD)</w:t>
            </w:r>
          </w:p>
        </w:tc>
      </w:tr>
      <w:tr w:rsidR="002865F2" w:rsidRPr="002865F2" w14:paraId="54646AB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8D3A8BB" w14:textId="77777777" w:rsidR="002865F2" w:rsidRPr="002865F2" w:rsidRDefault="002865F2" w:rsidP="00541B09">
            <w:pPr>
              <w:pStyle w:val="Tablewriting"/>
            </w:pPr>
            <w:r w:rsidRPr="002865F2">
              <w:t>08096D</w:t>
            </w:r>
          </w:p>
        </w:tc>
        <w:tc>
          <w:tcPr>
            <w:tcW w:w="1182" w:type="dxa"/>
            <w:tcBorders>
              <w:top w:val="nil"/>
              <w:left w:val="nil"/>
              <w:bottom w:val="single" w:sz="4" w:space="0" w:color="auto"/>
              <w:right w:val="single" w:sz="4" w:space="0" w:color="auto"/>
            </w:tcBorders>
            <w:shd w:val="clear" w:color="auto" w:fill="auto"/>
            <w:hideMark/>
          </w:tcPr>
          <w:p w14:paraId="7AFCEBAA" w14:textId="77777777" w:rsidR="002865F2" w:rsidRPr="002865F2" w:rsidRDefault="002865F2" w:rsidP="00541B09">
            <w:pPr>
              <w:pStyle w:val="Tablewriting"/>
            </w:pPr>
            <w:r w:rsidRPr="002865F2">
              <w:t>01Nov1996</w:t>
            </w:r>
          </w:p>
        </w:tc>
        <w:tc>
          <w:tcPr>
            <w:tcW w:w="600" w:type="dxa"/>
            <w:tcBorders>
              <w:top w:val="nil"/>
              <w:left w:val="nil"/>
              <w:bottom w:val="single" w:sz="4" w:space="0" w:color="auto"/>
              <w:right w:val="single" w:sz="4" w:space="0" w:color="auto"/>
            </w:tcBorders>
            <w:shd w:val="clear" w:color="auto" w:fill="auto"/>
            <w:hideMark/>
          </w:tcPr>
          <w:p w14:paraId="53E9E1E0" w14:textId="77777777" w:rsidR="002865F2" w:rsidRPr="002865F2" w:rsidRDefault="002865F2" w:rsidP="00541B09">
            <w:pPr>
              <w:pStyle w:val="Tablewriting"/>
            </w:pPr>
            <w:r w:rsidRPr="002865F2">
              <w:t>1</w:t>
            </w:r>
          </w:p>
        </w:tc>
        <w:tc>
          <w:tcPr>
            <w:tcW w:w="1068" w:type="dxa"/>
            <w:tcBorders>
              <w:top w:val="nil"/>
              <w:left w:val="nil"/>
              <w:bottom w:val="single" w:sz="4" w:space="0" w:color="auto"/>
              <w:right w:val="single" w:sz="4" w:space="0" w:color="auto"/>
            </w:tcBorders>
            <w:shd w:val="clear" w:color="auto" w:fill="auto"/>
            <w:hideMark/>
          </w:tcPr>
          <w:p w14:paraId="4E8B37A6" w14:textId="77777777" w:rsidR="002865F2" w:rsidRPr="002865F2" w:rsidRDefault="002865F2" w:rsidP="00541B09">
            <w:pPr>
              <w:pStyle w:val="Tablewriting"/>
            </w:pPr>
            <w:r w:rsidRPr="002865F2">
              <w:t>1</w:t>
            </w:r>
          </w:p>
        </w:tc>
        <w:tc>
          <w:tcPr>
            <w:tcW w:w="1126" w:type="dxa"/>
            <w:tcBorders>
              <w:top w:val="nil"/>
              <w:left w:val="nil"/>
              <w:bottom w:val="single" w:sz="4" w:space="0" w:color="auto"/>
              <w:right w:val="single" w:sz="4" w:space="0" w:color="auto"/>
            </w:tcBorders>
            <w:shd w:val="clear" w:color="auto" w:fill="auto"/>
            <w:hideMark/>
          </w:tcPr>
          <w:p w14:paraId="4DE2BD03"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0E79F08A" w14:textId="77777777" w:rsidR="002865F2" w:rsidRPr="002865F2" w:rsidRDefault="002865F2" w:rsidP="00541B09">
            <w:pPr>
              <w:pStyle w:val="Tablewriting"/>
            </w:pPr>
            <w:r w:rsidRPr="002865F2">
              <w:t>$26.89</w:t>
            </w:r>
          </w:p>
        </w:tc>
        <w:tc>
          <w:tcPr>
            <w:tcW w:w="3903" w:type="dxa"/>
            <w:tcBorders>
              <w:top w:val="nil"/>
              <w:left w:val="nil"/>
              <w:bottom w:val="single" w:sz="4" w:space="0" w:color="auto"/>
              <w:right w:val="single" w:sz="4" w:space="0" w:color="auto"/>
            </w:tcBorders>
            <w:shd w:val="clear" w:color="auto" w:fill="auto"/>
            <w:hideMark/>
          </w:tcPr>
          <w:p w14:paraId="770D8671" w14:textId="2739BEFD" w:rsidR="002865F2" w:rsidRPr="002865F2" w:rsidRDefault="002865F2" w:rsidP="00541B09">
            <w:pPr>
              <w:pStyle w:val="Tablewriting"/>
            </w:pPr>
            <w:r w:rsidRPr="002865F2">
              <w:t>Thioridazine, Oral suspension 10</w:t>
            </w:r>
            <w:r w:rsidR="001D6547">
              <w:t> </w:t>
            </w:r>
            <w:r w:rsidRPr="002865F2">
              <w:t>mg</w:t>
            </w:r>
            <w:r w:rsidR="001D6547">
              <w:t> </w:t>
            </w:r>
            <w:r w:rsidRPr="002865F2">
              <w:t>per</w:t>
            </w:r>
            <w:r w:rsidR="001D6547">
              <w:t> </w:t>
            </w:r>
            <w:r w:rsidRPr="002865F2">
              <w:t>mL, 500 mL</w:t>
            </w:r>
          </w:p>
        </w:tc>
        <w:tc>
          <w:tcPr>
            <w:tcW w:w="3773" w:type="dxa"/>
            <w:tcBorders>
              <w:top w:val="nil"/>
              <w:left w:val="nil"/>
              <w:bottom w:val="single" w:sz="4" w:space="0" w:color="auto"/>
              <w:right w:val="single" w:sz="4" w:space="0" w:color="auto"/>
            </w:tcBorders>
            <w:shd w:val="clear" w:color="auto" w:fill="auto"/>
            <w:hideMark/>
          </w:tcPr>
          <w:p w14:paraId="5CEB929D" w14:textId="77777777" w:rsidR="002865F2" w:rsidRPr="002865F2" w:rsidRDefault="002865F2" w:rsidP="00541B09">
            <w:pPr>
              <w:pStyle w:val="Tablewriting"/>
            </w:pPr>
            <w:r w:rsidRPr="002865F2">
              <w:t>Melleril Suspension 1% (SANDOZ PTY LTD)</w:t>
            </w:r>
          </w:p>
        </w:tc>
      </w:tr>
      <w:tr w:rsidR="002865F2" w:rsidRPr="002865F2" w14:paraId="6124C27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B5F254F" w14:textId="77777777" w:rsidR="002865F2" w:rsidRPr="002865F2" w:rsidRDefault="002865F2" w:rsidP="00541B09">
            <w:pPr>
              <w:pStyle w:val="Tablewriting"/>
            </w:pPr>
            <w:r w:rsidRPr="002865F2">
              <w:t>02163W</w:t>
            </w:r>
          </w:p>
        </w:tc>
        <w:tc>
          <w:tcPr>
            <w:tcW w:w="1182" w:type="dxa"/>
            <w:tcBorders>
              <w:top w:val="nil"/>
              <w:left w:val="nil"/>
              <w:bottom w:val="single" w:sz="4" w:space="0" w:color="auto"/>
              <w:right w:val="single" w:sz="4" w:space="0" w:color="auto"/>
            </w:tcBorders>
            <w:shd w:val="clear" w:color="auto" w:fill="auto"/>
            <w:hideMark/>
          </w:tcPr>
          <w:p w14:paraId="7C2702F7" w14:textId="77777777" w:rsidR="002865F2" w:rsidRPr="002865F2" w:rsidRDefault="002865F2"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7FA9B191"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C0E00D6"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3042E0A5"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10B0D7AF" w14:textId="77777777" w:rsidR="002865F2" w:rsidRPr="002865F2" w:rsidRDefault="002865F2" w:rsidP="00541B09">
            <w:pPr>
              <w:pStyle w:val="Tablewriting"/>
            </w:pPr>
            <w:r w:rsidRPr="002865F2">
              <w:t>$6.81</w:t>
            </w:r>
          </w:p>
        </w:tc>
        <w:tc>
          <w:tcPr>
            <w:tcW w:w="3903" w:type="dxa"/>
            <w:tcBorders>
              <w:top w:val="nil"/>
              <w:left w:val="nil"/>
              <w:bottom w:val="single" w:sz="4" w:space="0" w:color="auto"/>
              <w:right w:val="single" w:sz="4" w:space="0" w:color="auto"/>
            </w:tcBorders>
            <w:shd w:val="clear" w:color="auto" w:fill="auto"/>
            <w:hideMark/>
          </w:tcPr>
          <w:p w14:paraId="6B4F21D3" w14:textId="77777777" w:rsidR="002865F2" w:rsidRPr="002865F2" w:rsidRDefault="002865F2" w:rsidP="00541B09">
            <w:pPr>
              <w:pStyle w:val="Tablewriting"/>
            </w:pPr>
            <w:r w:rsidRPr="002865F2">
              <w:t>Thioridazine, Tablet 10 mg</w:t>
            </w:r>
          </w:p>
        </w:tc>
        <w:tc>
          <w:tcPr>
            <w:tcW w:w="3773" w:type="dxa"/>
            <w:tcBorders>
              <w:top w:val="nil"/>
              <w:left w:val="nil"/>
              <w:bottom w:val="single" w:sz="4" w:space="0" w:color="auto"/>
              <w:right w:val="single" w:sz="4" w:space="0" w:color="auto"/>
            </w:tcBorders>
            <w:shd w:val="clear" w:color="auto" w:fill="auto"/>
            <w:hideMark/>
          </w:tcPr>
          <w:p w14:paraId="55D17FE8" w14:textId="77777777" w:rsidR="002865F2" w:rsidRPr="002865F2" w:rsidRDefault="002865F2" w:rsidP="00541B09">
            <w:pPr>
              <w:pStyle w:val="Tablewriting"/>
            </w:pPr>
            <w:r w:rsidRPr="002865F2">
              <w:t>Melleril (SANDOZ PTY LTD)</w:t>
            </w:r>
          </w:p>
        </w:tc>
      </w:tr>
      <w:tr w:rsidR="002865F2" w:rsidRPr="002865F2" w14:paraId="7FC46971"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5A45519B" w14:textId="77777777" w:rsidR="002865F2" w:rsidRPr="002865F2" w:rsidRDefault="002865F2" w:rsidP="00541B09">
            <w:pPr>
              <w:pStyle w:val="Tablewriting"/>
            </w:pPr>
            <w:r w:rsidRPr="002865F2">
              <w:t>02165Y</w:t>
            </w:r>
          </w:p>
        </w:tc>
        <w:tc>
          <w:tcPr>
            <w:tcW w:w="1182" w:type="dxa"/>
            <w:tcBorders>
              <w:top w:val="nil"/>
              <w:left w:val="nil"/>
              <w:bottom w:val="single" w:sz="4" w:space="0" w:color="auto"/>
              <w:right w:val="single" w:sz="4" w:space="0" w:color="auto"/>
            </w:tcBorders>
            <w:shd w:val="clear" w:color="auto" w:fill="auto"/>
            <w:hideMark/>
          </w:tcPr>
          <w:p w14:paraId="3058833F" w14:textId="77777777" w:rsidR="002865F2" w:rsidRPr="002865F2" w:rsidRDefault="002865F2"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4EAFDCDB"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4BB896A6"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03783706"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35E3970E" w14:textId="77777777" w:rsidR="002865F2" w:rsidRPr="002865F2" w:rsidRDefault="002865F2" w:rsidP="00541B09">
            <w:pPr>
              <w:pStyle w:val="Tablewriting"/>
            </w:pPr>
            <w:r w:rsidRPr="002865F2">
              <w:t>$12.37</w:t>
            </w:r>
          </w:p>
        </w:tc>
        <w:tc>
          <w:tcPr>
            <w:tcW w:w="3903" w:type="dxa"/>
            <w:tcBorders>
              <w:top w:val="nil"/>
              <w:left w:val="nil"/>
              <w:bottom w:val="single" w:sz="4" w:space="0" w:color="auto"/>
              <w:right w:val="single" w:sz="4" w:space="0" w:color="auto"/>
            </w:tcBorders>
            <w:shd w:val="clear" w:color="auto" w:fill="auto"/>
            <w:hideMark/>
          </w:tcPr>
          <w:p w14:paraId="7726BE90" w14:textId="77777777" w:rsidR="002865F2" w:rsidRPr="002865F2" w:rsidRDefault="002865F2" w:rsidP="00541B09">
            <w:pPr>
              <w:pStyle w:val="Tablewriting"/>
            </w:pPr>
            <w:r w:rsidRPr="002865F2">
              <w:t>Thioridazine, Tablet 100 mg</w:t>
            </w:r>
          </w:p>
        </w:tc>
        <w:tc>
          <w:tcPr>
            <w:tcW w:w="3773" w:type="dxa"/>
            <w:tcBorders>
              <w:top w:val="nil"/>
              <w:left w:val="nil"/>
              <w:bottom w:val="single" w:sz="4" w:space="0" w:color="auto"/>
              <w:right w:val="single" w:sz="4" w:space="0" w:color="auto"/>
            </w:tcBorders>
            <w:shd w:val="clear" w:color="auto" w:fill="auto"/>
            <w:hideMark/>
          </w:tcPr>
          <w:p w14:paraId="24698949" w14:textId="77777777" w:rsidR="002865F2" w:rsidRPr="002865F2" w:rsidRDefault="002865F2" w:rsidP="00541B09">
            <w:pPr>
              <w:pStyle w:val="Tablewriting"/>
            </w:pPr>
            <w:r w:rsidRPr="002865F2">
              <w:t>Melleril (SANDOZ PTY LTD)</w:t>
            </w:r>
          </w:p>
        </w:tc>
      </w:tr>
      <w:tr w:rsidR="002865F2" w:rsidRPr="002865F2" w14:paraId="0FB8CC0B"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D0E0F89" w14:textId="77777777" w:rsidR="002865F2" w:rsidRPr="002865F2" w:rsidRDefault="002865F2" w:rsidP="00541B09">
            <w:pPr>
              <w:pStyle w:val="Tablewriting"/>
            </w:pPr>
            <w:r w:rsidRPr="002865F2">
              <w:t>02359E</w:t>
            </w:r>
          </w:p>
        </w:tc>
        <w:tc>
          <w:tcPr>
            <w:tcW w:w="1182" w:type="dxa"/>
            <w:tcBorders>
              <w:top w:val="nil"/>
              <w:left w:val="nil"/>
              <w:bottom w:val="single" w:sz="4" w:space="0" w:color="auto"/>
              <w:right w:val="single" w:sz="4" w:space="0" w:color="auto"/>
            </w:tcBorders>
            <w:shd w:val="clear" w:color="auto" w:fill="auto"/>
            <w:hideMark/>
          </w:tcPr>
          <w:p w14:paraId="0F76BB70" w14:textId="77777777" w:rsidR="002865F2" w:rsidRPr="002865F2" w:rsidRDefault="002865F2" w:rsidP="00541B09">
            <w:pPr>
              <w:pStyle w:val="Tablewriting"/>
            </w:pPr>
            <w:r w:rsidRPr="002865F2">
              <w:t>01Aug1964</w:t>
            </w:r>
          </w:p>
        </w:tc>
        <w:tc>
          <w:tcPr>
            <w:tcW w:w="600" w:type="dxa"/>
            <w:tcBorders>
              <w:top w:val="nil"/>
              <w:left w:val="nil"/>
              <w:bottom w:val="single" w:sz="4" w:space="0" w:color="auto"/>
              <w:right w:val="single" w:sz="4" w:space="0" w:color="auto"/>
            </w:tcBorders>
            <w:shd w:val="clear" w:color="auto" w:fill="auto"/>
            <w:hideMark/>
          </w:tcPr>
          <w:p w14:paraId="590161CC"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511AC19"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3203FE85"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5E47FA13" w14:textId="77777777" w:rsidR="002865F2" w:rsidRPr="002865F2" w:rsidRDefault="002865F2" w:rsidP="00541B09">
            <w:pPr>
              <w:pStyle w:val="Tablewriting"/>
            </w:pPr>
            <w:r w:rsidRPr="002865F2">
              <w:t>$8.19</w:t>
            </w:r>
          </w:p>
        </w:tc>
        <w:tc>
          <w:tcPr>
            <w:tcW w:w="3903" w:type="dxa"/>
            <w:tcBorders>
              <w:top w:val="nil"/>
              <w:left w:val="nil"/>
              <w:bottom w:val="single" w:sz="4" w:space="0" w:color="auto"/>
              <w:right w:val="single" w:sz="4" w:space="0" w:color="auto"/>
            </w:tcBorders>
            <w:shd w:val="clear" w:color="auto" w:fill="auto"/>
            <w:hideMark/>
          </w:tcPr>
          <w:p w14:paraId="2F600331" w14:textId="77777777" w:rsidR="002865F2" w:rsidRDefault="002865F2" w:rsidP="00541B09">
            <w:pPr>
              <w:pStyle w:val="Tablewriting"/>
            </w:pPr>
            <w:r w:rsidRPr="002865F2">
              <w:t>Thioridazine, Tablet 25 mg</w:t>
            </w:r>
          </w:p>
          <w:p w14:paraId="0A5188DE" w14:textId="77777777" w:rsidR="001D6547" w:rsidRPr="002865F2" w:rsidRDefault="001D6547" w:rsidP="00541B09">
            <w:pPr>
              <w:pStyle w:val="Tablewriting"/>
            </w:pPr>
          </w:p>
        </w:tc>
        <w:tc>
          <w:tcPr>
            <w:tcW w:w="3773" w:type="dxa"/>
            <w:tcBorders>
              <w:top w:val="nil"/>
              <w:left w:val="nil"/>
              <w:bottom w:val="single" w:sz="4" w:space="0" w:color="auto"/>
              <w:right w:val="single" w:sz="4" w:space="0" w:color="auto"/>
            </w:tcBorders>
            <w:shd w:val="clear" w:color="auto" w:fill="auto"/>
            <w:hideMark/>
          </w:tcPr>
          <w:p w14:paraId="74FC5794" w14:textId="77777777" w:rsidR="002865F2" w:rsidRPr="002865F2" w:rsidRDefault="002865F2" w:rsidP="00541B09">
            <w:pPr>
              <w:pStyle w:val="Tablewriting"/>
            </w:pPr>
            <w:r w:rsidRPr="002865F2">
              <w:t>Melleril (SANDOZ PTY LTD)</w:t>
            </w:r>
          </w:p>
        </w:tc>
      </w:tr>
      <w:tr w:rsidR="002865F2" w:rsidRPr="002865F2" w14:paraId="6587754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3F787E77" w14:textId="77777777" w:rsidR="002865F2" w:rsidRPr="002865F2" w:rsidRDefault="002865F2" w:rsidP="00541B09">
            <w:pPr>
              <w:pStyle w:val="Tablewriting"/>
            </w:pPr>
            <w:r w:rsidRPr="002865F2">
              <w:t>02164X</w:t>
            </w:r>
          </w:p>
        </w:tc>
        <w:tc>
          <w:tcPr>
            <w:tcW w:w="1182" w:type="dxa"/>
            <w:tcBorders>
              <w:top w:val="nil"/>
              <w:left w:val="nil"/>
              <w:bottom w:val="single" w:sz="4" w:space="0" w:color="auto"/>
              <w:right w:val="single" w:sz="4" w:space="0" w:color="auto"/>
            </w:tcBorders>
            <w:shd w:val="clear" w:color="auto" w:fill="auto"/>
            <w:hideMark/>
          </w:tcPr>
          <w:p w14:paraId="0C98651D" w14:textId="77777777" w:rsidR="002865F2" w:rsidRPr="002865F2" w:rsidRDefault="002865F2"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4D6BC0C2"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39CEA74C"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47F4D9C3" w14:textId="77777777" w:rsidR="002865F2" w:rsidRPr="002865F2" w:rsidRDefault="002865F2" w:rsidP="00541B09">
            <w:pPr>
              <w:pStyle w:val="Tablewriting"/>
            </w:pPr>
            <w:r w:rsidRPr="002865F2">
              <w:t>1</w:t>
            </w:r>
          </w:p>
        </w:tc>
        <w:tc>
          <w:tcPr>
            <w:tcW w:w="875" w:type="dxa"/>
            <w:tcBorders>
              <w:top w:val="nil"/>
              <w:left w:val="nil"/>
              <w:bottom w:val="single" w:sz="4" w:space="0" w:color="auto"/>
              <w:right w:val="single" w:sz="4" w:space="0" w:color="auto"/>
            </w:tcBorders>
            <w:shd w:val="clear" w:color="auto" w:fill="auto"/>
            <w:hideMark/>
          </w:tcPr>
          <w:p w14:paraId="1752EECD" w14:textId="77777777" w:rsidR="002865F2" w:rsidRPr="002865F2" w:rsidRDefault="002865F2" w:rsidP="00541B09">
            <w:pPr>
              <w:pStyle w:val="Tablewriting"/>
            </w:pPr>
            <w:r w:rsidRPr="002865F2">
              <w:t>$8.56</w:t>
            </w:r>
          </w:p>
        </w:tc>
        <w:tc>
          <w:tcPr>
            <w:tcW w:w="3903" w:type="dxa"/>
            <w:tcBorders>
              <w:top w:val="nil"/>
              <w:left w:val="nil"/>
              <w:bottom w:val="single" w:sz="4" w:space="0" w:color="auto"/>
              <w:right w:val="single" w:sz="4" w:space="0" w:color="auto"/>
            </w:tcBorders>
            <w:shd w:val="clear" w:color="auto" w:fill="auto"/>
            <w:hideMark/>
          </w:tcPr>
          <w:p w14:paraId="3AB791C5" w14:textId="77777777" w:rsidR="002865F2" w:rsidRDefault="002865F2" w:rsidP="00541B09">
            <w:pPr>
              <w:pStyle w:val="Tablewriting"/>
            </w:pPr>
            <w:r w:rsidRPr="002865F2">
              <w:t>Thioridazine, Tablet 50 mg</w:t>
            </w:r>
          </w:p>
          <w:p w14:paraId="639FE398" w14:textId="77777777" w:rsidR="001D6547" w:rsidRPr="002865F2" w:rsidRDefault="001D6547" w:rsidP="00541B09">
            <w:pPr>
              <w:pStyle w:val="Tablewriting"/>
            </w:pPr>
          </w:p>
        </w:tc>
        <w:tc>
          <w:tcPr>
            <w:tcW w:w="3773" w:type="dxa"/>
            <w:tcBorders>
              <w:top w:val="nil"/>
              <w:left w:val="nil"/>
              <w:bottom w:val="single" w:sz="4" w:space="0" w:color="auto"/>
              <w:right w:val="single" w:sz="4" w:space="0" w:color="auto"/>
            </w:tcBorders>
            <w:shd w:val="clear" w:color="auto" w:fill="auto"/>
            <w:hideMark/>
          </w:tcPr>
          <w:p w14:paraId="07EB361C" w14:textId="77777777" w:rsidR="002865F2" w:rsidRPr="002865F2" w:rsidRDefault="002865F2" w:rsidP="00541B09">
            <w:pPr>
              <w:pStyle w:val="Tablewriting"/>
            </w:pPr>
            <w:r w:rsidRPr="002865F2">
              <w:t>Melleril (SANDOZ PTY LTD)</w:t>
            </w:r>
          </w:p>
        </w:tc>
      </w:tr>
      <w:tr w:rsidR="002865F2" w:rsidRPr="002865F2" w14:paraId="25D8C07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8AA61CF" w14:textId="77777777" w:rsidR="002865F2" w:rsidRPr="002865F2" w:rsidRDefault="002865F2" w:rsidP="00541B09">
            <w:pPr>
              <w:pStyle w:val="Tablewriting"/>
            </w:pPr>
            <w:r w:rsidRPr="002865F2">
              <w:t>02835F</w:t>
            </w:r>
          </w:p>
        </w:tc>
        <w:tc>
          <w:tcPr>
            <w:tcW w:w="1182" w:type="dxa"/>
            <w:tcBorders>
              <w:top w:val="nil"/>
              <w:left w:val="nil"/>
              <w:bottom w:val="single" w:sz="4" w:space="0" w:color="auto"/>
              <w:right w:val="single" w:sz="4" w:space="0" w:color="auto"/>
            </w:tcBorders>
            <w:shd w:val="clear" w:color="auto" w:fill="auto"/>
            <w:hideMark/>
          </w:tcPr>
          <w:p w14:paraId="5B770D33" w14:textId="77777777" w:rsidR="002865F2" w:rsidRPr="002865F2" w:rsidRDefault="002865F2" w:rsidP="00541B09">
            <w:pPr>
              <w:pStyle w:val="Tablewriting"/>
            </w:pPr>
            <w:r w:rsidRPr="002865F2">
              <w:t>01Apr1969</w:t>
            </w:r>
          </w:p>
        </w:tc>
        <w:tc>
          <w:tcPr>
            <w:tcW w:w="600" w:type="dxa"/>
            <w:tcBorders>
              <w:top w:val="nil"/>
              <w:left w:val="nil"/>
              <w:bottom w:val="single" w:sz="4" w:space="0" w:color="auto"/>
              <w:right w:val="single" w:sz="4" w:space="0" w:color="auto"/>
            </w:tcBorders>
            <w:shd w:val="clear" w:color="auto" w:fill="auto"/>
            <w:hideMark/>
          </w:tcPr>
          <w:p w14:paraId="014256EA" w14:textId="77777777" w:rsidR="002865F2" w:rsidRPr="002865F2" w:rsidRDefault="002865F2" w:rsidP="00541B09">
            <w:pPr>
              <w:pStyle w:val="Tablewriting"/>
            </w:pPr>
            <w:r w:rsidRPr="002865F2">
              <w:t>10</w:t>
            </w:r>
          </w:p>
        </w:tc>
        <w:tc>
          <w:tcPr>
            <w:tcW w:w="1068" w:type="dxa"/>
            <w:tcBorders>
              <w:top w:val="nil"/>
              <w:left w:val="nil"/>
              <w:bottom w:val="single" w:sz="4" w:space="0" w:color="auto"/>
              <w:right w:val="single" w:sz="4" w:space="0" w:color="auto"/>
            </w:tcBorders>
            <w:shd w:val="clear" w:color="auto" w:fill="auto"/>
            <w:hideMark/>
          </w:tcPr>
          <w:p w14:paraId="690D0C5F" w14:textId="77777777" w:rsidR="002865F2" w:rsidRPr="002865F2" w:rsidRDefault="002865F2" w:rsidP="00541B09">
            <w:pPr>
              <w:pStyle w:val="Tablewriting"/>
            </w:pPr>
            <w:r w:rsidRPr="002865F2">
              <w:t>10</w:t>
            </w:r>
          </w:p>
        </w:tc>
        <w:tc>
          <w:tcPr>
            <w:tcW w:w="1126" w:type="dxa"/>
            <w:tcBorders>
              <w:top w:val="nil"/>
              <w:left w:val="nil"/>
              <w:bottom w:val="single" w:sz="4" w:space="0" w:color="auto"/>
              <w:right w:val="single" w:sz="4" w:space="0" w:color="auto"/>
            </w:tcBorders>
            <w:shd w:val="clear" w:color="auto" w:fill="auto"/>
            <w:hideMark/>
          </w:tcPr>
          <w:p w14:paraId="34A08FA6"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0EB3B145" w14:textId="77777777" w:rsidR="002865F2" w:rsidRPr="002865F2" w:rsidRDefault="002865F2" w:rsidP="00541B09">
            <w:pPr>
              <w:pStyle w:val="Tablewriting"/>
            </w:pPr>
            <w:r w:rsidRPr="002865F2">
              <w:t>$10.03</w:t>
            </w:r>
          </w:p>
        </w:tc>
        <w:tc>
          <w:tcPr>
            <w:tcW w:w="3903" w:type="dxa"/>
            <w:tcBorders>
              <w:top w:val="nil"/>
              <w:left w:val="nil"/>
              <w:bottom w:val="single" w:sz="4" w:space="0" w:color="auto"/>
              <w:right w:val="single" w:sz="4" w:space="0" w:color="auto"/>
            </w:tcBorders>
            <w:shd w:val="clear" w:color="auto" w:fill="auto"/>
            <w:hideMark/>
          </w:tcPr>
          <w:p w14:paraId="1EA44F01" w14:textId="77777777" w:rsidR="002865F2" w:rsidRPr="002865F2" w:rsidRDefault="002865F2" w:rsidP="00541B09">
            <w:pPr>
              <w:pStyle w:val="Tablewriting"/>
            </w:pPr>
            <w:r w:rsidRPr="002865F2">
              <w:t>Trifluoperazine hydrochloride, Injection equivalent to 1 mg trifluoperazine in 1 mL ampoule</w:t>
            </w:r>
          </w:p>
        </w:tc>
        <w:tc>
          <w:tcPr>
            <w:tcW w:w="3773" w:type="dxa"/>
            <w:tcBorders>
              <w:top w:val="nil"/>
              <w:left w:val="nil"/>
              <w:bottom w:val="single" w:sz="4" w:space="0" w:color="auto"/>
              <w:right w:val="single" w:sz="4" w:space="0" w:color="auto"/>
            </w:tcBorders>
            <w:shd w:val="clear" w:color="auto" w:fill="auto"/>
            <w:hideMark/>
          </w:tcPr>
          <w:p w14:paraId="20778FEA" w14:textId="6B771788" w:rsidR="00B43710" w:rsidRPr="002865F2" w:rsidRDefault="002865F2" w:rsidP="00541B09">
            <w:pPr>
              <w:pStyle w:val="Tablewriting"/>
            </w:pPr>
            <w:r w:rsidRPr="002865F2">
              <w:t>Stelazine (</w:t>
            </w:r>
            <w:r w:rsidR="00B43710">
              <w:t>AMDIPHARM MERCURY(AUSTRALIA)PTY LIMITED</w:t>
            </w:r>
            <w:r w:rsidRPr="002865F2">
              <w:t>)</w:t>
            </w:r>
          </w:p>
        </w:tc>
      </w:tr>
      <w:tr w:rsidR="002865F2" w:rsidRPr="002865F2" w14:paraId="46DE3CA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075CD234" w14:textId="77777777" w:rsidR="002865F2" w:rsidRPr="002865F2" w:rsidRDefault="002865F2" w:rsidP="00541B09">
            <w:pPr>
              <w:pStyle w:val="Tablewriting"/>
            </w:pPr>
            <w:r w:rsidRPr="002865F2">
              <w:t>02185B</w:t>
            </w:r>
          </w:p>
        </w:tc>
        <w:tc>
          <w:tcPr>
            <w:tcW w:w="1182" w:type="dxa"/>
            <w:tcBorders>
              <w:top w:val="nil"/>
              <w:left w:val="nil"/>
              <w:bottom w:val="single" w:sz="4" w:space="0" w:color="auto"/>
              <w:right w:val="single" w:sz="4" w:space="0" w:color="auto"/>
            </w:tcBorders>
            <w:shd w:val="clear" w:color="auto" w:fill="auto"/>
            <w:hideMark/>
          </w:tcPr>
          <w:p w14:paraId="0EF8CC1E" w14:textId="77777777" w:rsidR="002865F2" w:rsidRPr="002865F2" w:rsidRDefault="002865F2"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79BB495A"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20F9F337"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2FF43FA7"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83AA5C3" w14:textId="77777777" w:rsidR="002865F2" w:rsidRPr="002865F2" w:rsidRDefault="002865F2" w:rsidP="00541B09">
            <w:pPr>
              <w:pStyle w:val="Tablewriting"/>
            </w:pPr>
            <w:r w:rsidRPr="002865F2">
              <w:t>$8.41</w:t>
            </w:r>
          </w:p>
        </w:tc>
        <w:tc>
          <w:tcPr>
            <w:tcW w:w="3903" w:type="dxa"/>
            <w:tcBorders>
              <w:top w:val="nil"/>
              <w:left w:val="nil"/>
              <w:bottom w:val="single" w:sz="4" w:space="0" w:color="auto"/>
              <w:right w:val="single" w:sz="4" w:space="0" w:color="auto"/>
            </w:tcBorders>
            <w:shd w:val="clear" w:color="auto" w:fill="auto"/>
            <w:hideMark/>
          </w:tcPr>
          <w:p w14:paraId="0CF5F73F" w14:textId="77777777" w:rsidR="002865F2" w:rsidRPr="002865F2" w:rsidRDefault="002865F2" w:rsidP="00541B09">
            <w:pPr>
              <w:pStyle w:val="Tablewriting"/>
            </w:pPr>
            <w:r w:rsidRPr="002865F2">
              <w:t>Trifluoperazine hydrochloride, Tablet equivalent to 1 mg trifluoperazine</w:t>
            </w:r>
          </w:p>
        </w:tc>
        <w:tc>
          <w:tcPr>
            <w:tcW w:w="3773" w:type="dxa"/>
            <w:tcBorders>
              <w:top w:val="nil"/>
              <w:left w:val="nil"/>
              <w:bottom w:val="single" w:sz="4" w:space="0" w:color="auto"/>
              <w:right w:val="single" w:sz="4" w:space="0" w:color="auto"/>
            </w:tcBorders>
            <w:shd w:val="clear" w:color="auto" w:fill="auto"/>
            <w:hideMark/>
          </w:tcPr>
          <w:p w14:paraId="531AD15A" w14:textId="6C7B59DE" w:rsidR="002865F2" w:rsidRPr="002865F2" w:rsidRDefault="002865F2" w:rsidP="00541B09">
            <w:pPr>
              <w:pStyle w:val="Tablewriting"/>
            </w:pPr>
            <w:r w:rsidRPr="002865F2">
              <w:t>Stelazine (</w:t>
            </w:r>
            <w:r w:rsidR="00B43710">
              <w:t>AMDIPHARM MERCURY(AUSTRALIA)PTY LIMITED</w:t>
            </w:r>
          </w:p>
        </w:tc>
      </w:tr>
      <w:tr w:rsidR="002865F2" w:rsidRPr="002865F2" w14:paraId="6284E24A"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56C93C57" w14:textId="77777777" w:rsidR="002865F2" w:rsidRPr="002865F2" w:rsidRDefault="002865F2" w:rsidP="00541B09">
            <w:pPr>
              <w:pStyle w:val="Tablewriting"/>
            </w:pPr>
            <w:r w:rsidRPr="002865F2">
              <w:t>02386N</w:t>
            </w:r>
          </w:p>
        </w:tc>
        <w:tc>
          <w:tcPr>
            <w:tcW w:w="1182" w:type="dxa"/>
            <w:tcBorders>
              <w:top w:val="nil"/>
              <w:left w:val="nil"/>
              <w:bottom w:val="single" w:sz="4" w:space="0" w:color="auto"/>
              <w:right w:val="single" w:sz="4" w:space="0" w:color="auto"/>
            </w:tcBorders>
            <w:shd w:val="clear" w:color="auto" w:fill="auto"/>
            <w:hideMark/>
          </w:tcPr>
          <w:p w14:paraId="011CAA81" w14:textId="77777777" w:rsidR="002865F2" w:rsidRPr="002865F2" w:rsidRDefault="002865F2" w:rsidP="00541B09">
            <w:pPr>
              <w:pStyle w:val="Tablewriting"/>
            </w:pPr>
            <w:r w:rsidRPr="002865F2">
              <w:t>01Sep1964</w:t>
            </w:r>
          </w:p>
        </w:tc>
        <w:tc>
          <w:tcPr>
            <w:tcW w:w="600" w:type="dxa"/>
            <w:tcBorders>
              <w:top w:val="nil"/>
              <w:left w:val="nil"/>
              <w:bottom w:val="single" w:sz="4" w:space="0" w:color="auto"/>
              <w:right w:val="single" w:sz="4" w:space="0" w:color="auto"/>
            </w:tcBorders>
            <w:shd w:val="clear" w:color="auto" w:fill="auto"/>
            <w:hideMark/>
          </w:tcPr>
          <w:p w14:paraId="43C5C29F"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14C82A9A"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5E1716E8"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36D6AEA1" w14:textId="77777777" w:rsidR="002865F2" w:rsidRPr="002865F2" w:rsidRDefault="002865F2" w:rsidP="00541B09">
            <w:pPr>
              <w:pStyle w:val="Tablewriting"/>
            </w:pPr>
            <w:r w:rsidRPr="002865F2">
              <w:t>$23.48</w:t>
            </w:r>
          </w:p>
        </w:tc>
        <w:tc>
          <w:tcPr>
            <w:tcW w:w="3903" w:type="dxa"/>
            <w:tcBorders>
              <w:top w:val="nil"/>
              <w:left w:val="nil"/>
              <w:bottom w:val="single" w:sz="4" w:space="0" w:color="auto"/>
              <w:right w:val="single" w:sz="4" w:space="0" w:color="auto"/>
            </w:tcBorders>
            <w:shd w:val="clear" w:color="auto" w:fill="auto"/>
            <w:hideMark/>
          </w:tcPr>
          <w:p w14:paraId="64F622FD" w14:textId="77777777" w:rsidR="002865F2" w:rsidRPr="002865F2" w:rsidRDefault="002865F2" w:rsidP="00541B09">
            <w:pPr>
              <w:pStyle w:val="Tablewriting"/>
            </w:pPr>
            <w:r w:rsidRPr="002865F2">
              <w:t>Trifluoperazine, Tablet 2 mg (as hydrochloride)</w:t>
            </w:r>
          </w:p>
        </w:tc>
        <w:tc>
          <w:tcPr>
            <w:tcW w:w="3773" w:type="dxa"/>
            <w:tcBorders>
              <w:top w:val="nil"/>
              <w:left w:val="nil"/>
              <w:bottom w:val="single" w:sz="4" w:space="0" w:color="auto"/>
              <w:right w:val="single" w:sz="4" w:space="0" w:color="auto"/>
            </w:tcBorders>
            <w:shd w:val="clear" w:color="auto" w:fill="auto"/>
            <w:hideMark/>
          </w:tcPr>
          <w:p w14:paraId="51A92F35" w14:textId="7E03CD8B" w:rsidR="002865F2" w:rsidRPr="002865F2" w:rsidRDefault="002865F2" w:rsidP="00541B09">
            <w:pPr>
              <w:pStyle w:val="Tablewriting"/>
            </w:pPr>
            <w:r w:rsidRPr="002865F2">
              <w:t>Stelazine (</w:t>
            </w:r>
            <w:r w:rsidR="00B43710">
              <w:t>AMDIPHARM MERCURY(AUSTRALIA)PTY LIMITED</w:t>
            </w:r>
          </w:p>
        </w:tc>
      </w:tr>
      <w:tr w:rsidR="002865F2" w:rsidRPr="002865F2" w14:paraId="009A9864"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1EEA0927" w14:textId="77777777" w:rsidR="002865F2" w:rsidRPr="002865F2" w:rsidRDefault="002865F2" w:rsidP="00541B09">
            <w:pPr>
              <w:pStyle w:val="Tablewriting"/>
            </w:pPr>
            <w:r w:rsidRPr="002865F2">
              <w:t>02186C</w:t>
            </w:r>
          </w:p>
        </w:tc>
        <w:tc>
          <w:tcPr>
            <w:tcW w:w="1182" w:type="dxa"/>
            <w:tcBorders>
              <w:top w:val="nil"/>
              <w:left w:val="nil"/>
              <w:bottom w:val="single" w:sz="4" w:space="0" w:color="auto"/>
              <w:right w:val="single" w:sz="4" w:space="0" w:color="auto"/>
            </w:tcBorders>
            <w:shd w:val="clear" w:color="auto" w:fill="auto"/>
            <w:hideMark/>
          </w:tcPr>
          <w:p w14:paraId="136DCF99" w14:textId="77777777" w:rsidR="002865F2" w:rsidRPr="002865F2" w:rsidRDefault="002865F2" w:rsidP="00541B09">
            <w:pPr>
              <w:pStyle w:val="Tablewriting"/>
            </w:pPr>
            <w:r w:rsidRPr="002865F2">
              <w:t>01May1964</w:t>
            </w:r>
          </w:p>
        </w:tc>
        <w:tc>
          <w:tcPr>
            <w:tcW w:w="600" w:type="dxa"/>
            <w:tcBorders>
              <w:top w:val="nil"/>
              <w:left w:val="nil"/>
              <w:bottom w:val="single" w:sz="4" w:space="0" w:color="auto"/>
              <w:right w:val="single" w:sz="4" w:space="0" w:color="auto"/>
            </w:tcBorders>
            <w:shd w:val="clear" w:color="auto" w:fill="auto"/>
            <w:hideMark/>
          </w:tcPr>
          <w:p w14:paraId="76C1DD6C" w14:textId="77777777" w:rsidR="002865F2" w:rsidRPr="002865F2" w:rsidRDefault="002865F2" w:rsidP="00541B09">
            <w:pPr>
              <w:pStyle w:val="Tablewriting"/>
            </w:pPr>
            <w:r w:rsidRPr="002865F2">
              <w:t>100</w:t>
            </w:r>
          </w:p>
        </w:tc>
        <w:tc>
          <w:tcPr>
            <w:tcW w:w="1068" w:type="dxa"/>
            <w:tcBorders>
              <w:top w:val="nil"/>
              <w:left w:val="nil"/>
              <w:bottom w:val="single" w:sz="4" w:space="0" w:color="auto"/>
              <w:right w:val="single" w:sz="4" w:space="0" w:color="auto"/>
            </w:tcBorders>
            <w:shd w:val="clear" w:color="auto" w:fill="auto"/>
            <w:hideMark/>
          </w:tcPr>
          <w:p w14:paraId="065864F6" w14:textId="77777777" w:rsidR="002865F2" w:rsidRPr="002865F2" w:rsidRDefault="002865F2" w:rsidP="00541B09">
            <w:pPr>
              <w:pStyle w:val="Tablewriting"/>
            </w:pPr>
            <w:r w:rsidRPr="002865F2">
              <w:t>100</w:t>
            </w:r>
          </w:p>
        </w:tc>
        <w:tc>
          <w:tcPr>
            <w:tcW w:w="1126" w:type="dxa"/>
            <w:tcBorders>
              <w:top w:val="nil"/>
              <w:left w:val="nil"/>
              <w:bottom w:val="single" w:sz="4" w:space="0" w:color="auto"/>
              <w:right w:val="single" w:sz="4" w:space="0" w:color="auto"/>
            </w:tcBorders>
            <w:shd w:val="clear" w:color="auto" w:fill="auto"/>
            <w:hideMark/>
          </w:tcPr>
          <w:p w14:paraId="0825D410"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2E45211C" w14:textId="77777777" w:rsidR="002865F2" w:rsidRPr="002865F2" w:rsidRDefault="002865F2" w:rsidP="00541B09">
            <w:pPr>
              <w:pStyle w:val="Tablewriting"/>
            </w:pPr>
            <w:r w:rsidRPr="002865F2">
              <w:t>$13.96</w:t>
            </w:r>
          </w:p>
        </w:tc>
        <w:tc>
          <w:tcPr>
            <w:tcW w:w="3903" w:type="dxa"/>
            <w:tcBorders>
              <w:top w:val="nil"/>
              <w:left w:val="nil"/>
              <w:bottom w:val="single" w:sz="4" w:space="0" w:color="auto"/>
              <w:right w:val="single" w:sz="4" w:space="0" w:color="auto"/>
            </w:tcBorders>
            <w:shd w:val="clear" w:color="auto" w:fill="auto"/>
            <w:hideMark/>
          </w:tcPr>
          <w:p w14:paraId="2D140AF6" w14:textId="77777777" w:rsidR="002865F2" w:rsidRPr="002865F2" w:rsidRDefault="002865F2" w:rsidP="00541B09">
            <w:pPr>
              <w:pStyle w:val="Tablewriting"/>
            </w:pPr>
            <w:r w:rsidRPr="002865F2">
              <w:t>Trifluoperazine, Tablet 5 mg (as hydrochloride)</w:t>
            </w:r>
          </w:p>
        </w:tc>
        <w:tc>
          <w:tcPr>
            <w:tcW w:w="3773" w:type="dxa"/>
            <w:tcBorders>
              <w:top w:val="nil"/>
              <w:left w:val="nil"/>
              <w:bottom w:val="single" w:sz="4" w:space="0" w:color="auto"/>
              <w:right w:val="single" w:sz="4" w:space="0" w:color="auto"/>
            </w:tcBorders>
            <w:shd w:val="clear" w:color="auto" w:fill="auto"/>
            <w:hideMark/>
          </w:tcPr>
          <w:p w14:paraId="74F54665" w14:textId="4D448A7F" w:rsidR="002865F2" w:rsidRPr="002865F2" w:rsidRDefault="002865F2" w:rsidP="00541B09">
            <w:pPr>
              <w:pStyle w:val="Tablewriting"/>
            </w:pPr>
            <w:r w:rsidRPr="002865F2">
              <w:t>Stelazine (</w:t>
            </w:r>
            <w:r w:rsidR="00B43710">
              <w:t>AMDIPHARM MERCURY(AUSTRALIA)PTY LIMITED</w:t>
            </w:r>
          </w:p>
        </w:tc>
      </w:tr>
      <w:tr w:rsidR="002865F2" w:rsidRPr="002865F2" w14:paraId="55C2D109"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5D4E601" w14:textId="77777777" w:rsidR="002865F2" w:rsidRPr="002865F2" w:rsidRDefault="002865F2" w:rsidP="00541B09">
            <w:pPr>
              <w:pStyle w:val="Tablewriting"/>
            </w:pPr>
            <w:r w:rsidRPr="002865F2">
              <w:t>09070J</w:t>
            </w:r>
          </w:p>
        </w:tc>
        <w:tc>
          <w:tcPr>
            <w:tcW w:w="1182" w:type="dxa"/>
            <w:tcBorders>
              <w:top w:val="nil"/>
              <w:left w:val="nil"/>
              <w:bottom w:val="single" w:sz="4" w:space="0" w:color="auto"/>
              <w:right w:val="single" w:sz="4" w:space="0" w:color="auto"/>
            </w:tcBorders>
            <w:shd w:val="clear" w:color="auto" w:fill="auto"/>
            <w:hideMark/>
          </w:tcPr>
          <w:p w14:paraId="13889E9E"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7B39C1B3"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71C8F9F8"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462A885E"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68BE5FED" w14:textId="77777777" w:rsidR="002865F2" w:rsidRPr="002865F2" w:rsidRDefault="002865F2" w:rsidP="00541B09">
            <w:pPr>
              <w:pStyle w:val="Tablewriting"/>
            </w:pPr>
            <w:r w:rsidRPr="002865F2">
              <w:t>$77.49</w:t>
            </w:r>
          </w:p>
        </w:tc>
        <w:tc>
          <w:tcPr>
            <w:tcW w:w="3903" w:type="dxa"/>
            <w:tcBorders>
              <w:top w:val="nil"/>
              <w:left w:val="nil"/>
              <w:bottom w:val="single" w:sz="4" w:space="0" w:color="auto"/>
              <w:right w:val="single" w:sz="4" w:space="0" w:color="auto"/>
            </w:tcBorders>
            <w:shd w:val="clear" w:color="auto" w:fill="auto"/>
            <w:hideMark/>
          </w:tcPr>
          <w:p w14:paraId="6A7308DF" w14:textId="77777777" w:rsidR="002865F2" w:rsidRPr="002865F2" w:rsidRDefault="002865F2" w:rsidP="00541B09">
            <w:pPr>
              <w:pStyle w:val="Tablewriting"/>
            </w:pPr>
            <w:r w:rsidRPr="002865F2">
              <w:t xml:space="preserve">Ziprasidone, Capsule 20 mg (as </w:t>
            </w:r>
            <w:r w:rsidRPr="002865F2">
              <w:lastRenderedPageBreak/>
              <w:t>hydrochloride)</w:t>
            </w:r>
          </w:p>
        </w:tc>
        <w:tc>
          <w:tcPr>
            <w:tcW w:w="3773" w:type="dxa"/>
            <w:tcBorders>
              <w:top w:val="nil"/>
              <w:left w:val="nil"/>
              <w:bottom w:val="single" w:sz="4" w:space="0" w:color="auto"/>
              <w:right w:val="single" w:sz="4" w:space="0" w:color="auto"/>
            </w:tcBorders>
            <w:shd w:val="clear" w:color="auto" w:fill="auto"/>
            <w:hideMark/>
          </w:tcPr>
          <w:p w14:paraId="5A2843ED" w14:textId="77777777" w:rsidR="002865F2" w:rsidRPr="002865F2" w:rsidRDefault="002865F2" w:rsidP="00541B09">
            <w:pPr>
              <w:pStyle w:val="Tablewriting"/>
            </w:pPr>
            <w:r w:rsidRPr="002865F2">
              <w:lastRenderedPageBreak/>
              <w:t>APO-Ziprasidone (APOTEX PTY LTD)</w:t>
            </w:r>
          </w:p>
        </w:tc>
      </w:tr>
      <w:tr w:rsidR="002865F2" w:rsidRPr="002865F2" w14:paraId="1AE7B425"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2DDA1C5D" w14:textId="77777777" w:rsidR="002865F2" w:rsidRPr="002865F2" w:rsidRDefault="002865F2" w:rsidP="00541B09">
            <w:pPr>
              <w:pStyle w:val="Tablewriting"/>
            </w:pPr>
            <w:r w:rsidRPr="002865F2">
              <w:lastRenderedPageBreak/>
              <w:t>09071K</w:t>
            </w:r>
          </w:p>
        </w:tc>
        <w:tc>
          <w:tcPr>
            <w:tcW w:w="1182" w:type="dxa"/>
            <w:tcBorders>
              <w:top w:val="nil"/>
              <w:left w:val="nil"/>
              <w:bottom w:val="single" w:sz="4" w:space="0" w:color="auto"/>
              <w:right w:val="single" w:sz="4" w:space="0" w:color="auto"/>
            </w:tcBorders>
            <w:shd w:val="clear" w:color="auto" w:fill="auto"/>
            <w:hideMark/>
          </w:tcPr>
          <w:p w14:paraId="237EEA50"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56EFC053"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46B21202"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869B91C"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AEF2D9B" w14:textId="77777777" w:rsidR="002865F2" w:rsidRPr="002865F2" w:rsidRDefault="002865F2" w:rsidP="00541B09">
            <w:pPr>
              <w:pStyle w:val="Tablewriting"/>
            </w:pPr>
            <w:r w:rsidRPr="002865F2">
              <w:t>$118.54</w:t>
            </w:r>
          </w:p>
        </w:tc>
        <w:tc>
          <w:tcPr>
            <w:tcW w:w="3903" w:type="dxa"/>
            <w:tcBorders>
              <w:top w:val="nil"/>
              <w:left w:val="nil"/>
              <w:bottom w:val="single" w:sz="4" w:space="0" w:color="auto"/>
              <w:right w:val="single" w:sz="4" w:space="0" w:color="auto"/>
            </w:tcBorders>
            <w:shd w:val="clear" w:color="auto" w:fill="auto"/>
            <w:hideMark/>
          </w:tcPr>
          <w:p w14:paraId="54B56342" w14:textId="77777777" w:rsidR="002865F2" w:rsidRPr="002865F2" w:rsidRDefault="002865F2" w:rsidP="00541B09">
            <w:pPr>
              <w:pStyle w:val="Tablewriting"/>
            </w:pPr>
            <w:r w:rsidRPr="002865F2">
              <w:t>Ziprasidone, Capsule 40 mg (as hydrochloride)</w:t>
            </w:r>
          </w:p>
        </w:tc>
        <w:tc>
          <w:tcPr>
            <w:tcW w:w="3773" w:type="dxa"/>
            <w:tcBorders>
              <w:top w:val="nil"/>
              <w:left w:val="nil"/>
              <w:bottom w:val="single" w:sz="4" w:space="0" w:color="auto"/>
              <w:right w:val="single" w:sz="4" w:space="0" w:color="auto"/>
            </w:tcBorders>
            <w:shd w:val="clear" w:color="auto" w:fill="auto"/>
            <w:hideMark/>
          </w:tcPr>
          <w:p w14:paraId="4DADAD8C" w14:textId="77777777" w:rsidR="002865F2" w:rsidRPr="002865F2" w:rsidRDefault="002865F2" w:rsidP="00541B09">
            <w:pPr>
              <w:pStyle w:val="Tablewriting"/>
            </w:pPr>
            <w:r w:rsidRPr="002865F2">
              <w:t>APO-Ziprasidone (APOTEX PTY LTD)</w:t>
            </w:r>
          </w:p>
        </w:tc>
      </w:tr>
      <w:tr w:rsidR="002865F2" w:rsidRPr="002865F2" w14:paraId="04281DF8"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45F6B294" w14:textId="77777777" w:rsidR="002865F2" w:rsidRPr="002865F2" w:rsidRDefault="002865F2" w:rsidP="00541B09">
            <w:pPr>
              <w:pStyle w:val="Tablewriting"/>
            </w:pPr>
            <w:r w:rsidRPr="002865F2">
              <w:t>09072L</w:t>
            </w:r>
          </w:p>
        </w:tc>
        <w:tc>
          <w:tcPr>
            <w:tcW w:w="1182" w:type="dxa"/>
            <w:tcBorders>
              <w:top w:val="nil"/>
              <w:left w:val="nil"/>
              <w:bottom w:val="single" w:sz="4" w:space="0" w:color="auto"/>
              <w:right w:val="single" w:sz="4" w:space="0" w:color="auto"/>
            </w:tcBorders>
            <w:shd w:val="clear" w:color="auto" w:fill="auto"/>
            <w:hideMark/>
          </w:tcPr>
          <w:p w14:paraId="242DA804"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0693698A"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60447C91"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3E6BB1AC"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448BFC02" w14:textId="77777777" w:rsidR="002865F2" w:rsidRPr="002865F2" w:rsidRDefault="002865F2" w:rsidP="00541B09">
            <w:pPr>
              <w:pStyle w:val="Tablewriting"/>
            </w:pPr>
            <w:r w:rsidRPr="002865F2">
              <w:t>$217.17</w:t>
            </w:r>
          </w:p>
        </w:tc>
        <w:tc>
          <w:tcPr>
            <w:tcW w:w="3903" w:type="dxa"/>
            <w:tcBorders>
              <w:top w:val="nil"/>
              <w:left w:val="nil"/>
              <w:bottom w:val="single" w:sz="4" w:space="0" w:color="auto"/>
              <w:right w:val="single" w:sz="4" w:space="0" w:color="auto"/>
            </w:tcBorders>
            <w:shd w:val="clear" w:color="auto" w:fill="auto"/>
            <w:hideMark/>
          </w:tcPr>
          <w:p w14:paraId="494FC17A" w14:textId="77777777" w:rsidR="002865F2" w:rsidRPr="002865F2" w:rsidRDefault="002865F2" w:rsidP="00541B09">
            <w:pPr>
              <w:pStyle w:val="Tablewriting"/>
            </w:pPr>
            <w:r w:rsidRPr="002865F2">
              <w:t>Ziprasidone, Capsule 60 mg (as hydrochloride)</w:t>
            </w:r>
          </w:p>
        </w:tc>
        <w:tc>
          <w:tcPr>
            <w:tcW w:w="3773" w:type="dxa"/>
            <w:tcBorders>
              <w:top w:val="nil"/>
              <w:left w:val="nil"/>
              <w:bottom w:val="single" w:sz="4" w:space="0" w:color="auto"/>
              <w:right w:val="single" w:sz="4" w:space="0" w:color="auto"/>
            </w:tcBorders>
            <w:shd w:val="clear" w:color="auto" w:fill="auto"/>
            <w:hideMark/>
          </w:tcPr>
          <w:p w14:paraId="13BE3C9D" w14:textId="77777777" w:rsidR="002865F2" w:rsidRPr="002865F2" w:rsidRDefault="002865F2" w:rsidP="00541B09">
            <w:pPr>
              <w:pStyle w:val="Tablewriting"/>
            </w:pPr>
            <w:r w:rsidRPr="002865F2">
              <w:t>APO-Ziprasidone (APOTEX PTY LTD)</w:t>
            </w:r>
          </w:p>
        </w:tc>
      </w:tr>
      <w:tr w:rsidR="002865F2" w:rsidRPr="002865F2" w14:paraId="26254B72" w14:textId="77777777" w:rsidTr="00541B09">
        <w:trPr>
          <w:trHeight w:val="300"/>
        </w:trPr>
        <w:tc>
          <w:tcPr>
            <w:tcW w:w="955" w:type="dxa"/>
            <w:tcBorders>
              <w:top w:val="nil"/>
              <w:left w:val="single" w:sz="4" w:space="0" w:color="auto"/>
              <w:bottom w:val="single" w:sz="4" w:space="0" w:color="auto"/>
              <w:right w:val="single" w:sz="4" w:space="0" w:color="auto"/>
            </w:tcBorders>
            <w:shd w:val="clear" w:color="auto" w:fill="auto"/>
            <w:hideMark/>
          </w:tcPr>
          <w:p w14:paraId="121258C9" w14:textId="77777777" w:rsidR="002865F2" w:rsidRPr="002865F2" w:rsidRDefault="002865F2" w:rsidP="00541B09">
            <w:pPr>
              <w:pStyle w:val="Tablewriting"/>
            </w:pPr>
            <w:r w:rsidRPr="002865F2">
              <w:t>09073M</w:t>
            </w:r>
          </w:p>
        </w:tc>
        <w:tc>
          <w:tcPr>
            <w:tcW w:w="1182" w:type="dxa"/>
            <w:tcBorders>
              <w:top w:val="nil"/>
              <w:left w:val="nil"/>
              <w:bottom w:val="single" w:sz="4" w:space="0" w:color="auto"/>
              <w:right w:val="single" w:sz="4" w:space="0" w:color="auto"/>
            </w:tcBorders>
            <w:shd w:val="clear" w:color="auto" w:fill="auto"/>
            <w:hideMark/>
          </w:tcPr>
          <w:p w14:paraId="64E4D881" w14:textId="77777777" w:rsidR="002865F2" w:rsidRPr="002865F2" w:rsidRDefault="002865F2" w:rsidP="00541B09">
            <w:pPr>
              <w:pStyle w:val="Tablewriting"/>
            </w:pPr>
            <w:r w:rsidRPr="002865F2">
              <w:t>01Apr2007</w:t>
            </w:r>
          </w:p>
        </w:tc>
        <w:tc>
          <w:tcPr>
            <w:tcW w:w="600" w:type="dxa"/>
            <w:tcBorders>
              <w:top w:val="nil"/>
              <w:left w:val="nil"/>
              <w:bottom w:val="single" w:sz="4" w:space="0" w:color="auto"/>
              <w:right w:val="single" w:sz="4" w:space="0" w:color="auto"/>
            </w:tcBorders>
            <w:shd w:val="clear" w:color="auto" w:fill="auto"/>
            <w:hideMark/>
          </w:tcPr>
          <w:p w14:paraId="3A52C3A0" w14:textId="77777777" w:rsidR="002865F2" w:rsidRPr="002865F2" w:rsidRDefault="002865F2" w:rsidP="00541B09">
            <w:pPr>
              <w:pStyle w:val="Tablewriting"/>
            </w:pPr>
            <w:r w:rsidRPr="002865F2">
              <w:t>60</w:t>
            </w:r>
          </w:p>
        </w:tc>
        <w:tc>
          <w:tcPr>
            <w:tcW w:w="1068" w:type="dxa"/>
            <w:tcBorders>
              <w:top w:val="nil"/>
              <w:left w:val="nil"/>
              <w:bottom w:val="single" w:sz="4" w:space="0" w:color="auto"/>
              <w:right w:val="single" w:sz="4" w:space="0" w:color="auto"/>
            </w:tcBorders>
            <w:shd w:val="clear" w:color="auto" w:fill="auto"/>
            <w:hideMark/>
          </w:tcPr>
          <w:p w14:paraId="1427A725" w14:textId="77777777" w:rsidR="002865F2" w:rsidRPr="002865F2" w:rsidRDefault="002865F2" w:rsidP="00541B09">
            <w:pPr>
              <w:pStyle w:val="Tablewriting"/>
            </w:pPr>
            <w:r w:rsidRPr="002865F2">
              <w:t>60</w:t>
            </w:r>
          </w:p>
        </w:tc>
        <w:tc>
          <w:tcPr>
            <w:tcW w:w="1126" w:type="dxa"/>
            <w:tcBorders>
              <w:top w:val="nil"/>
              <w:left w:val="nil"/>
              <w:bottom w:val="single" w:sz="4" w:space="0" w:color="auto"/>
              <w:right w:val="single" w:sz="4" w:space="0" w:color="auto"/>
            </w:tcBorders>
            <w:shd w:val="clear" w:color="auto" w:fill="auto"/>
            <w:hideMark/>
          </w:tcPr>
          <w:p w14:paraId="5043FDFF" w14:textId="77777777" w:rsidR="002865F2" w:rsidRPr="002865F2" w:rsidRDefault="002865F2" w:rsidP="00541B09">
            <w:pPr>
              <w:pStyle w:val="Tablewriting"/>
            </w:pPr>
            <w:r w:rsidRPr="002865F2">
              <w:t>5</w:t>
            </w:r>
          </w:p>
        </w:tc>
        <w:tc>
          <w:tcPr>
            <w:tcW w:w="875" w:type="dxa"/>
            <w:tcBorders>
              <w:top w:val="nil"/>
              <w:left w:val="nil"/>
              <w:bottom w:val="single" w:sz="4" w:space="0" w:color="auto"/>
              <w:right w:val="single" w:sz="4" w:space="0" w:color="auto"/>
            </w:tcBorders>
            <w:shd w:val="clear" w:color="auto" w:fill="auto"/>
            <w:hideMark/>
          </w:tcPr>
          <w:p w14:paraId="5B740B62" w14:textId="77777777" w:rsidR="002865F2" w:rsidRPr="002865F2" w:rsidRDefault="002865F2" w:rsidP="00541B09">
            <w:pPr>
              <w:pStyle w:val="Tablewriting"/>
            </w:pPr>
            <w:r w:rsidRPr="002865F2">
              <w:t>$281.68</w:t>
            </w:r>
          </w:p>
        </w:tc>
        <w:tc>
          <w:tcPr>
            <w:tcW w:w="3903" w:type="dxa"/>
            <w:tcBorders>
              <w:top w:val="nil"/>
              <w:left w:val="nil"/>
              <w:bottom w:val="single" w:sz="4" w:space="0" w:color="auto"/>
              <w:right w:val="single" w:sz="4" w:space="0" w:color="auto"/>
            </w:tcBorders>
            <w:shd w:val="clear" w:color="auto" w:fill="auto"/>
            <w:hideMark/>
          </w:tcPr>
          <w:p w14:paraId="0DE59016" w14:textId="77777777" w:rsidR="002865F2" w:rsidRPr="002865F2" w:rsidRDefault="002865F2" w:rsidP="00541B09">
            <w:pPr>
              <w:pStyle w:val="Tablewriting"/>
            </w:pPr>
            <w:r w:rsidRPr="002865F2">
              <w:t>Ziprasidone, Capsule 80 mg (as hydrochloride)</w:t>
            </w:r>
          </w:p>
        </w:tc>
        <w:tc>
          <w:tcPr>
            <w:tcW w:w="3773" w:type="dxa"/>
            <w:tcBorders>
              <w:top w:val="nil"/>
              <w:left w:val="nil"/>
              <w:bottom w:val="single" w:sz="4" w:space="0" w:color="auto"/>
              <w:right w:val="single" w:sz="4" w:space="0" w:color="auto"/>
            </w:tcBorders>
            <w:shd w:val="clear" w:color="auto" w:fill="auto"/>
            <w:hideMark/>
          </w:tcPr>
          <w:p w14:paraId="3AD55B88" w14:textId="77777777" w:rsidR="002865F2" w:rsidRPr="002865F2" w:rsidRDefault="002865F2" w:rsidP="00541B09">
            <w:pPr>
              <w:pStyle w:val="Tablewriting"/>
            </w:pPr>
            <w:r w:rsidRPr="002865F2">
              <w:t>APO-Ziprasidone (APOTEX PTY LTD)</w:t>
            </w:r>
          </w:p>
        </w:tc>
      </w:tr>
      <w:tr w:rsidR="002865F2" w:rsidRPr="002865F2" w14:paraId="03C23F4C" w14:textId="77777777" w:rsidTr="00541B09">
        <w:trPr>
          <w:trHeight w:val="510"/>
        </w:trPr>
        <w:tc>
          <w:tcPr>
            <w:tcW w:w="955" w:type="dxa"/>
            <w:tcBorders>
              <w:top w:val="nil"/>
              <w:left w:val="single" w:sz="4" w:space="0" w:color="auto"/>
              <w:bottom w:val="single" w:sz="4" w:space="0" w:color="auto"/>
              <w:right w:val="single" w:sz="4" w:space="0" w:color="auto"/>
            </w:tcBorders>
            <w:shd w:val="clear" w:color="auto" w:fill="auto"/>
            <w:hideMark/>
          </w:tcPr>
          <w:p w14:paraId="7FCC227C" w14:textId="77777777" w:rsidR="002865F2" w:rsidRPr="002865F2" w:rsidRDefault="002865F2" w:rsidP="00541B09">
            <w:pPr>
              <w:pStyle w:val="Tablewriting"/>
            </w:pPr>
            <w:r w:rsidRPr="002865F2">
              <w:t>08097E</w:t>
            </w:r>
          </w:p>
        </w:tc>
        <w:tc>
          <w:tcPr>
            <w:tcW w:w="1182" w:type="dxa"/>
            <w:tcBorders>
              <w:top w:val="nil"/>
              <w:left w:val="nil"/>
              <w:bottom w:val="single" w:sz="4" w:space="0" w:color="auto"/>
              <w:right w:val="single" w:sz="4" w:space="0" w:color="auto"/>
            </w:tcBorders>
            <w:shd w:val="clear" w:color="auto" w:fill="auto"/>
            <w:hideMark/>
          </w:tcPr>
          <w:p w14:paraId="5553F997" w14:textId="77777777" w:rsidR="002865F2" w:rsidRPr="002865F2" w:rsidRDefault="002865F2" w:rsidP="00541B09">
            <w:pPr>
              <w:pStyle w:val="Tablewriting"/>
            </w:pPr>
            <w:r w:rsidRPr="002865F2">
              <w:t>01Nov1996</w:t>
            </w:r>
          </w:p>
        </w:tc>
        <w:tc>
          <w:tcPr>
            <w:tcW w:w="600" w:type="dxa"/>
            <w:tcBorders>
              <w:top w:val="nil"/>
              <w:left w:val="nil"/>
              <w:bottom w:val="single" w:sz="4" w:space="0" w:color="auto"/>
              <w:right w:val="single" w:sz="4" w:space="0" w:color="auto"/>
            </w:tcBorders>
            <w:shd w:val="clear" w:color="auto" w:fill="auto"/>
            <w:hideMark/>
          </w:tcPr>
          <w:p w14:paraId="119AEA27" w14:textId="77777777" w:rsidR="002865F2" w:rsidRPr="002865F2" w:rsidRDefault="002865F2" w:rsidP="00541B09">
            <w:pPr>
              <w:pStyle w:val="Tablewriting"/>
            </w:pPr>
            <w:r w:rsidRPr="002865F2">
              <w:t>5</w:t>
            </w:r>
          </w:p>
        </w:tc>
        <w:tc>
          <w:tcPr>
            <w:tcW w:w="1068" w:type="dxa"/>
            <w:tcBorders>
              <w:top w:val="nil"/>
              <w:left w:val="nil"/>
              <w:bottom w:val="single" w:sz="4" w:space="0" w:color="auto"/>
              <w:right w:val="single" w:sz="4" w:space="0" w:color="auto"/>
            </w:tcBorders>
            <w:shd w:val="clear" w:color="auto" w:fill="auto"/>
            <w:hideMark/>
          </w:tcPr>
          <w:p w14:paraId="7F159AE7" w14:textId="77777777" w:rsidR="002865F2" w:rsidRPr="002865F2" w:rsidRDefault="002865F2" w:rsidP="00541B09">
            <w:pPr>
              <w:pStyle w:val="Tablewriting"/>
            </w:pPr>
            <w:r w:rsidRPr="002865F2">
              <w:t>5</w:t>
            </w:r>
          </w:p>
        </w:tc>
        <w:tc>
          <w:tcPr>
            <w:tcW w:w="1126" w:type="dxa"/>
            <w:tcBorders>
              <w:top w:val="nil"/>
              <w:left w:val="nil"/>
              <w:bottom w:val="single" w:sz="4" w:space="0" w:color="auto"/>
              <w:right w:val="single" w:sz="4" w:space="0" w:color="auto"/>
            </w:tcBorders>
            <w:shd w:val="clear" w:color="auto" w:fill="auto"/>
            <w:hideMark/>
          </w:tcPr>
          <w:p w14:paraId="7AE48DB8" w14:textId="77777777" w:rsidR="002865F2" w:rsidRPr="002865F2" w:rsidRDefault="002865F2" w:rsidP="00541B09">
            <w:pPr>
              <w:pStyle w:val="Tablewriting"/>
            </w:pPr>
            <w:r w:rsidRPr="002865F2">
              <w:t>0</w:t>
            </w:r>
          </w:p>
        </w:tc>
        <w:tc>
          <w:tcPr>
            <w:tcW w:w="875" w:type="dxa"/>
            <w:tcBorders>
              <w:top w:val="nil"/>
              <w:left w:val="nil"/>
              <w:bottom w:val="single" w:sz="4" w:space="0" w:color="auto"/>
              <w:right w:val="single" w:sz="4" w:space="0" w:color="auto"/>
            </w:tcBorders>
            <w:shd w:val="clear" w:color="auto" w:fill="auto"/>
            <w:hideMark/>
          </w:tcPr>
          <w:p w14:paraId="2D1DCB26" w14:textId="77777777" w:rsidR="002865F2" w:rsidRPr="002865F2" w:rsidRDefault="002865F2" w:rsidP="00541B09">
            <w:pPr>
              <w:pStyle w:val="Tablewriting"/>
            </w:pPr>
            <w:r w:rsidRPr="002865F2">
              <w:t>$23.09</w:t>
            </w:r>
          </w:p>
        </w:tc>
        <w:tc>
          <w:tcPr>
            <w:tcW w:w="3903" w:type="dxa"/>
            <w:tcBorders>
              <w:top w:val="nil"/>
              <w:left w:val="nil"/>
              <w:bottom w:val="single" w:sz="4" w:space="0" w:color="auto"/>
              <w:right w:val="single" w:sz="4" w:space="0" w:color="auto"/>
            </w:tcBorders>
            <w:shd w:val="clear" w:color="auto" w:fill="auto"/>
            <w:hideMark/>
          </w:tcPr>
          <w:p w14:paraId="6B073BA8" w14:textId="77777777" w:rsidR="002865F2" w:rsidRPr="002865F2" w:rsidRDefault="002865F2" w:rsidP="00541B09">
            <w:pPr>
              <w:pStyle w:val="Tablewriting"/>
            </w:pPr>
            <w:r w:rsidRPr="002865F2">
              <w:t>Zuclopenthixol decanoate, Oily I.M. injection 200 mg in 1 mL ampoule</w:t>
            </w:r>
          </w:p>
        </w:tc>
        <w:tc>
          <w:tcPr>
            <w:tcW w:w="3773" w:type="dxa"/>
            <w:tcBorders>
              <w:top w:val="nil"/>
              <w:left w:val="nil"/>
              <w:bottom w:val="single" w:sz="4" w:space="0" w:color="auto"/>
              <w:right w:val="single" w:sz="4" w:space="0" w:color="auto"/>
            </w:tcBorders>
            <w:shd w:val="clear" w:color="auto" w:fill="auto"/>
            <w:hideMark/>
          </w:tcPr>
          <w:p w14:paraId="0F88877B" w14:textId="77777777" w:rsidR="002865F2" w:rsidRPr="002865F2" w:rsidRDefault="002865F2" w:rsidP="00541B09">
            <w:pPr>
              <w:pStyle w:val="Tablewriting"/>
            </w:pPr>
            <w:r w:rsidRPr="002865F2">
              <w:t>Clopixol Depot (LUNDBECK AUSTRALIA PTY LTD)</w:t>
            </w:r>
          </w:p>
        </w:tc>
      </w:tr>
    </w:tbl>
    <w:p w14:paraId="159E9ADB" w14:textId="45788B68" w:rsidR="004619EC" w:rsidRDefault="00292003" w:rsidP="00792948">
      <w:r w:rsidRPr="00A35800">
        <w:t xml:space="preserve">Source: </w:t>
      </w:r>
      <w:r>
        <w:t xml:space="preserve">the </w:t>
      </w:r>
      <w:hyperlink r:id="rId101" w:history="1">
        <w:r w:rsidRPr="001624D7">
          <w:rPr>
            <w:rStyle w:val="Hyperlink"/>
          </w:rPr>
          <w:t>PBS website</w:t>
        </w:r>
      </w:hyperlink>
      <w:r>
        <w:t>.</w:t>
      </w:r>
    </w:p>
    <w:p w14:paraId="24CC71AB" w14:textId="77777777" w:rsidR="00CE19DF" w:rsidRDefault="00CE19DF" w:rsidP="00792948"/>
    <w:p w14:paraId="523174D4" w14:textId="77777777" w:rsidR="00CE19DF" w:rsidRDefault="00CE19DF" w:rsidP="00792948">
      <w:pPr>
        <w:sectPr w:rsidR="00CE19DF" w:rsidSect="00711686">
          <w:pgSz w:w="16838" w:h="11906" w:orient="landscape"/>
          <w:pgMar w:top="1588" w:right="1644" w:bottom="1361" w:left="1644" w:header="709" w:footer="709" w:gutter="0"/>
          <w:cols w:space="708"/>
          <w:docGrid w:linePitch="360"/>
        </w:sectPr>
      </w:pPr>
    </w:p>
    <w:p w14:paraId="584D1286" w14:textId="56D77974" w:rsidR="00235526" w:rsidRDefault="00CE19DF" w:rsidP="00235526">
      <w:pPr>
        <w:rPr>
          <w:b/>
        </w:rPr>
      </w:pPr>
      <w:r>
        <w:rPr>
          <w:b/>
        </w:rPr>
        <w:lastRenderedPageBreak/>
        <w:t>Appendix 4</w:t>
      </w:r>
      <w:r w:rsidR="00235526">
        <w:rPr>
          <w:b/>
        </w:rPr>
        <w:t>: Utilisation of quetiapine 25 mg with an anti-depressant</w:t>
      </w:r>
    </w:p>
    <w:p w14:paraId="2314FD16" w14:textId="7729F3D7" w:rsidR="00235526" w:rsidRDefault="00235526" w:rsidP="00235526">
      <w:pPr>
        <w:spacing w:after="0"/>
      </w:pPr>
      <w:r>
        <w:t>The 2013 DUSC report on the use of antipsychotics in the middle aged</w:t>
      </w:r>
      <w:r w:rsidR="00FF077F">
        <w:t xml:space="preserve"> identified </w:t>
      </w:r>
      <w:r>
        <w:t>off-label use of quetiapine as an adjunctive treatment in depression and to treat the side effects of antidepressants. The extent of this off-label use was examined in patients initiating on either quetiapine 25 mg or an antidepressant between July to December 2014</w:t>
      </w:r>
      <w:r w:rsidR="00D505E0">
        <w:t xml:space="preserve"> (after the restriction change on 1 January 2014)</w:t>
      </w:r>
      <w:r>
        <w:t>. Due to the large number records for the supply of antidepressants, an 18 month look back period was used and a 10% sample was obtained. There were 443 initiators who were supplied both quetiapine and an antidepressant. The supply history for these patients was analysed over 12 months from the date of their initiation.  Potential off-label use of quetiapine 25 mg was identified as:</w:t>
      </w:r>
    </w:p>
    <w:p w14:paraId="773E0649" w14:textId="77777777" w:rsidR="00235526" w:rsidRDefault="00235526" w:rsidP="00235526">
      <w:pPr>
        <w:pStyle w:val="ListParagraph"/>
        <w:numPr>
          <w:ilvl w:val="0"/>
          <w:numId w:val="23"/>
        </w:numPr>
        <w:spacing w:after="0"/>
      </w:pPr>
      <w:r>
        <w:t>Patients receiving the supply of quetiapine 25 mg and an antidepressant on the same day; and</w:t>
      </w:r>
    </w:p>
    <w:p w14:paraId="218421CC" w14:textId="77777777" w:rsidR="00235526" w:rsidRDefault="00235526" w:rsidP="00235526">
      <w:pPr>
        <w:pStyle w:val="ListParagraph"/>
        <w:numPr>
          <w:ilvl w:val="0"/>
          <w:numId w:val="23"/>
        </w:numPr>
        <w:spacing w:after="0"/>
      </w:pPr>
      <w:r>
        <w:t>The supply of quetiapine 25 mg and an antidepressant within 35 days (i.e. the median refill time for patients who received a supply of both agents within 12 months from initiation).</w:t>
      </w:r>
    </w:p>
    <w:p w14:paraId="65114B93" w14:textId="77777777" w:rsidR="00235526" w:rsidRDefault="00235526" w:rsidP="00235526">
      <w:pPr>
        <w:pStyle w:val="ListParagraph"/>
        <w:spacing w:after="0"/>
        <w:ind w:left="360"/>
      </w:pPr>
    </w:p>
    <w:p w14:paraId="638D36A5" w14:textId="7026F684" w:rsidR="00235526" w:rsidRDefault="00235526" w:rsidP="00235526">
      <w:pPr>
        <w:spacing w:after="0"/>
      </w:pPr>
      <w:r>
        <w:t xml:space="preserve">The results are </w:t>
      </w:r>
      <w:r w:rsidR="005A5C3F">
        <w:t>presented in Table A4</w:t>
      </w:r>
      <w:r w:rsidR="00E059F9">
        <w:t>.1</w:t>
      </w:r>
      <w:r>
        <w:t>.</w:t>
      </w:r>
    </w:p>
    <w:p w14:paraId="3B763587" w14:textId="77777777" w:rsidR="00235526" w:rsidRDefault="00235526" w:rsidP="00235526">
      <w:pPr>
        <w:spacing w:after="0"/>
      </w:pPr>
    </w:p>
    <w:p w14:paraId="40F050DD" w14:textId="40303C68" w:rsidR="00235526" w:rsidRDefault="005A5C3F" w:rsidP="00235526">
      <w:pPr>
        <w:rPr>
          <w:b/>
          <w:sz w:val="20"/>
          <w:szCs w:val="20"/>
        </w:rPr>
      </w:pPr>
      <w:r>
        <w:rPr>
          <w:b/>
          <w:sz w:val="20"/>
          <w:szCs w:val="20"/>
        </w:rPr>
        <w:t>Table A4</w:t>
      </w:r>
      <w:r w:rsidR="00E059F9">
        <w:rPr>
          <w:b/>
          <w:sz w:val="20"/>
          <w:szCs w:val="20"/>
        </w:rPr>
        <w:t>.1</w:t>
      </w:r>
      <w:r w:rsidR="00235526" w:rsidRPr="008A6846">
        <w:rPr>
          <w:b/>
          <w:sz w:val="20"/>
          <w:szCs w:val="20"/>
        </w:rPr>
        <w:t>. Use of quetiapine 25 mg with antidepressant therapy</w:t>
      </w:r>
    </w:p>
    <w:p w14:paraId="5E5AF970" w14:textId="77777777" w:rsidR="00235526" w:rsidRDefault="00235526" w:rsidP="00235526">
      <w:pPr>
        <w:spacing w:after="0"/>
      </w:pPr>
    </w:p>
    <w:tbl>
      <w:tblPr>
        <w:tblW w:w="5460" w:type="dxa"/>
        <w:tblInd w:w="93" w:type="dxa"/>
        <w:tblLook w:val="04A0" w:firstRow="1" w:lastRow="0" w:firstColumn="1" w:lastColumn="0" w:noHBand="0" w:noVBand="1"/>
        <w:tblCaption w:val="Table A4.1"/>
        <w:tblDescription w:val="A table presenting the results from a 10% sample of patients initiating on quetiapine 25 mg who were identified as having receiving a potential co-supply of a PBS listed antidepressant drug."/>
      </w:tblPr>
      <w:tblGrid>
        <w:gridCol w:w="4160"/>
        <w:gridCol w:w="1300"/>
      </w:tblGrid>
      <w:tr w:rsidR="00235526" w:rsidRPr="00815B03" w14:paraId="783FFC7B" w14:textId="77777777" w:rsidTr="008F5E7D">
        <w:trPr>
          <w:trHeight w:val="1020"/>
        </w:trPr>
        <w:tc>
          <w:tcPr>
            <w:tcW w:w="4205" w:type="dxa"/>
            <w:tcBorders>
              <w:top w:val="nil"/>
              <w:left w:val="nil"/>
              <w:bottom w:val="nil"/>
              <w:right w:val="nil"/>
            </w:tcBorders>
            <w:shd w:val="clear" w:color="auto" w:fill="auto"/>
            <w:hideMark/>
          </w:tcPr>
          <w:p w14:paraId="63201EA5" w14:textId="77777777" w:rsidR="00235526" w:rsidRPr="00815B03" w:rsidRDefault="00235526" w:rsidP="008F5E7D">
            <w:pPr>
              <w:spacing w:after="0"/>
              <w:rPr>
                <w:rFonts w:ascii="Arial Narrow" w:eastAsia="Times New Roman" w:hAnsi="Arial Narrow" w:cs="Times New Roman"/>
                <w:color w:val="000000"/>
                <w:sz w:val="20"/>
                <w:szCs w:val="20"/>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47B6D" w14:textId="77777777" w:rsidR="00235526" w:rsidRPr="006A00CF" w:rsidRDefault="00235526" w:rsidP="006A00CF">
            <w:pPr>
              <w:pStyle w:val="Tablewriting"/>
              <w:rPr>
                <w:b/>
              </w:rPr>
            </w:pPr>
            <w:r w:rsidRPr="006A00CF">
              <w:rPr>
                <w:b/>
              </w:rPr>
              <w:t>Number of prescriptions in the 10% sample</w:t>
            </w:r>
          </w:p>
        </w:tc>
      </w:tr>
      <w:tr w:rsidR="00235526" w:rsidRPr="00815B03" w14:paraId="561094F7" w14:textId="77777777" w:rsidTr="008F5E7D">
        <w:trPr>
          <w:trHeight w:val="300"/>
        </w:trPr>
        <w:tc>
          <w:tcPr>
            <w:tcW w:w="4205" w:type="dxa"/>
            <w:tcBorders>
              <w:top w:val="single" w:sz="4" w:space="0" w:color="auto"/>
              <w:left w:val="single" w:sz="4" w:space="0" w:color="auto"/>
              <w:bottom w:val="single" w:sz="4" w:space="0" w:color="auto"/>
              <w:right w:val="single" w:sz="4" w:space="0" w:color="auto"/>
            </w:tcBorders>
            <w:shd w:val="clear" w:color="auto" w:fill="auto"/>
            <w:hideMark/>
          </w:tcPr>
          <w:p w14:paraId="49C5EC80" w14:textId="77777777" w:rsidR="00235526" w:rsidRPr="00815B03" w:rsidRDefault="00235526" w:rsidP="006A00CF">
            <w:pPr>
              <w:pStyle w:val="Tablewriting"/>
            </w:pPr>
            <w:r w:rsidRPr="00815B03">
              <w:t>Co-supply of quetiapine 25 mg with an antidepressant</w:t>
            </w:r>
          </w:p>
        </w:tc>
        <w:tc>
          <w:tcPr>
            <w:tcW w:w="1255" w:type="dxa"/>
            <w:tcBorders>
              <w:top w:val="nil"/>
              <w:left w:val="nil"/>
              <w:bottom w:val="single" w:sz="4" w:space="0" w:color="auto"/>
              <w:right w:val="single" w:sz="4" w:space="0" w:color="auto"/>
            </w:tcBorders>
            <w:shd w:val="clear" w:color="auto" w:fill="auto"/>
            <w:hideMark/>
          </w:tcPr>
          <w:p w14:paraId="490EC10B" w14:textId="77777777" w:rsidR="00235526" w:rsidRPr="00815B03" w:rsidRDefault="00235526" w:rsidP="006A00CF">
            <w:pPr>
              <w:pStyle w:val="Tablewriting"/>
            </w:pPr>
            <w:r w:rsidRPr="00815B03">
              <w:t>728</w:t>
            </w:r>
          </w:p>
        </w:tc>
      </w:tr>
      <w:tr w:rsidR="00235526" w:rsidRPr="00815B03" w14:paraId="711C967D" w14:textId="77777777" w:rsidTr="008F5E7D">
        <w:trPr>
          <w:trHeight w:val="300"/>
        </w:trPr>
        <w:tc>
          <w:tcPr>
            <w:tcW w:w="4205" w:type="dxa"/>
            <w:tcBorders>
              <w:top w:val="nil"/>
              <w:left w:val="single" w:sz="4" w:space="0" w:color="auto"/>
              <w:bottom w:val="single" w:sz="4" w:space="0" w:color="auto"/>
              <w:right w:val="single" w:sz="4" w:space="0" w:color="auto"/>
            </w:tcBorders>
            <w:shd w:val="clear" w:color="auto" w:fill="auto"/>
            <w:hideMark/>
          </w:tcPr>
          <w:p w14:paraId="552FBCFE" w14:textId="77777777" w:rsidR="00235526" w:rsidRPr="00815B03" w:rsidRDefault="00235526" w:rsidP="006A00CF">
            <w:pPr>
              <w:pStyle w:val="Tablewriting"/>
            </w:pPr>
            <w:r w:rsidRPr="00815B03">
              <w:t>Same day - Quetiapine and antidepressant</w:t>
            </w:r>
          </w:p>
        </w:tc>
        <w:tc>
          <w:tcPr>
            <w:tcW w:w="1255" w:type="dxa"/>
            <w:tcBorders>
              <w:top w:val="nil"/>
              <w:left w:val="nil"/>
              <w:bottom w:val="single" w:sz="4" w:space="0" w:color="auto"/>
              <w:right w:val="single" w:sz="4" w:space="0" w:color="auto"/>
            </w:tcBorders>
            <w:shd w:val="clear" w:color="auto" w:fill="auto"/>
            <w:hideMark/>
          </w:tcPr>
          <w:p w14:paraId="23724061" w14:textId="77777777" w:rsidR="00235526" w:rsidRPr="00815B03" w:rsidRDefault="00235526" w:rsidP="006A00CF">
            <w:pPr>
              <w:pStyle w:val="Tablewriting"/>
            </w:pPr>
            <w:r w:rsidRPr="00815B03">
              <w:t>308</w:t>
            </w:r>
          </w:p>
        </w:tc>
      </w:tr>
      <w:tr w:rsidR="00235526" w:rsidRPr="00815B03" w14:paraId="1A8B6901" w14:textId="77777777" w:rsidTr="008F5E7D">
        <w:trPr>
          <w:trHeight w:val="300"/>
        </w:trPr>
        <w:tc>
          <w:tcPr>
            <w:tcW w:w="4205" w:type="dxa"/>
            <w:tcBorders>
              <w:top w:val="nil"/>
              <w:left w:val="single" w:sz="4" w:space="0" w:color="auto"/>
              <w:bottom w:val="single" w:sz="4" w:space="0" w:color="auto"/>
              <w:right w:val="single" w:sz="4" w:space="0" w:color="auto"/>
            </w:tcBorders>
            <w:shd w:val="clear" w:color="auto" w:fill="auto"/>
            <w:hideMark/>
          </w:tcPr>
          <w:p w14:paraId="70C61DA9" w14:textId="77777777" w:rsidR="00235526" w:rsidRPr="00815B03" w:rsidRDefault="00235526" w:rsidP="006A00CF">
            <w:pPr>
              <w:pStyle w:val="Tablewriting"/>
            </w:pPr>
            <w:r w:rsidRPr="00815B03">
              <w:t>Total</w:t>
            </w:r>
          </w:p>
        </w:tc>
        <w:tc>
          <w:tcPr>
            <w:tcW w:w="1255" w:type="dxa"/>
            <w:tcBorders>
              <w:top w:val="nil"/>
              <w:left w:val="nil"/>
              <w:bottom w:val="single" w:sz="4" w:space="0" w:color="auto"/>
              <w:right w:val="single" w:sz="4" w:space="0" w:color="auto"/>
            </w:tcBorders>
            <w:shd w:val="clear" w:color="auto" w:fill="auto"/>
            <w:hideMark/>
          </w:tcPr>
          <w:p w14:paraId="7B6CDDF1" w14:textId="77777777" w:rsidR="00235526" w:rsidRPr="00815B03" w:rsidRDefault="00235526" w:rsidP="006A00CF">
            <w:pPr>
              <w:pStyle w:val="Tablewriting"/>
            </w:pPr>
            <w:r>
              <w:t>1036</w:t>
            </w:r>
          </w:p>
        </w:tc>
      </w:tr>
    </w:tbl>
    <w:p w14:paraId="714807FA" w14:textId="77777777" w:rsidR="00235526" w:rsidRPr="006F6B93" w:rsidRDefault="00235526" w:rsidP="00235526">
      <w:pPr>
        <w:spacing w:after="0"/>
      </w:pPr>
    </w:p>
    <w:p w14:paraId="7366FFFF" w14:textId="6D60C434" w:rsidR="00235526" w:rsidRPr="00C27DF3" w:rsidRDefault="00235526" w:rsidP="00235526">
      <w:r>
        <w:t>Compared to the 18,107 patients (based on a full sample) who initiated on quetiapine 25</w:t>
      </w:r>
      <w:r w:rsidR="001D6547">
        <w:t> </w:t>
      </w:r>
      <w:r>
        <w:t>mg between July to December 2014, a relatively large number of patients (n=4,430, scaled to 100% from the 10% sample) were estimated to have used quetiapine 25 mg with an antidepressant to treat an off-label indication.</w:t>
      </w:r>
    </w:p>
    <w:p w14:paraId="32547976" w14:textId="77777777" w:rsidR="00235526" w:rsidRPr="00792948" w:rsidRDefault="00235526" w:rsidP="00792948"/>
    <w:sectPr w:rsidR="00235526" w:rsidRPr="00792948" w:rsidSect="004619E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527FB8" w:rsidRDefault="00527FB8" w:rsidP="00A35800">
      <w:r>
        <w:separator/>
      </w:r>
    </w:p>
  </w:endnote>
  <w:endnote w:type="continuationSeparator" w:id="0">
    <w:p w14:paraId="45A4A8C8" w14:textId="77777777" w:rsidR="00527FB8" w:rsidRDefault="00527FB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527FB8" w:rsidRDefault="00527FB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527FB8" w:rsidRDefault="00527FB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096BE378" w14:textId="4372EA75" w:rsidR="00527FB8" w:rsidRPr="00CB6ABE" w:rsidRDefault="00527FB8" w:rsidP="00151648">
            <w:pPr>
              <w:pStyle w:val="Footer"/>
              <w:jc w:val="center"/>
              <w:rPr>
                <w:i/>
                <w:sz w:val="20"/>
                <w:szCs w:val="20"/>
              </w:rPr>
            </w:pPr>
            <w:r>
              <w:rPr>
                <w:i/>
                <w:sz w:val="20"/>
                <w:szCs w:val="20"/>
              </w:rPr>
              <w:t>Public Release Document, September 2016 DUSC Meeting</w:t>
            </w:r>
          </w:p>
          <w:p w14:paraId="0B0220D4" w14:textId="77777777" w:rsidR="00527FB8" w:rsidRDefault="00527FB8" w:rsidP="0015164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DD59BF">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DD59BF">
              <w:rPr>
                <w:bCs/>
                <w:i/>
                <w:noProof/>
                <w:sz w:val="20"/>
              </w:rPr>
              <w:t>42</w:t>
            </w:r>
            <w:r w:rsidRPr="00DD188C">
              <w:rPr>
                <w:bCs/>
                <w:i/>
                <w:sz w:val="20"/>
              </w:rPr>
              <w:fldChar w:fldCharType="end"/>
            </w:r>
          </w:p>
        </w:sdtContent>
      </w:sdt>
    </w:sdtContent>
  </w:sdt>
  <w:p w14:paraId="10292A9A" w14:textId="5D470A88" w:rsidR="00527FB8" w:rsidRPr="00151648" w:rsidRDefault="00527FB8" w:rsidP="00151648">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527FB8" w:rsidRDefault="00527FB8" w:rsidP="007A5733">
    <w:pPr>
      <w:pStyle w:val="Footer"/>
      <w:jc w:val="center"/>
      <w:rPr>
        <w:rStyle w:val="PageNumber"/>
      </w:rPr>
    </w:pPr>
    <w:r>
      <w:rPr>
        <w:rStyle w:val="PageNumber"/>
      </w:rPr>
      <w:t>Committee-in-Confidence</w:t>
    </w:r>
  </w:p>
  <w:p w14:paraId="3CE6880B" w14:textId="77777777" w:rsidR="00527FB8" w:rsidRDefault="00527FB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527FB8" w:rsidRDefault="00527FB8" w:rsidP="00A35800">
      <w:r>
        <w:separator/>
      </w:r>
    </w:p>
  </w:footnote>
  <w:footnote w:type="continuationSeparator" w:id="0">
    <w:p w14:paraId="7E2CA1E4" w14:textId="77777777" w:rsidR="00527FB8" w:rsidRDefault="00527FB8" w:rsidP="00A35800">
      <w:r>
        <w:continuationSeparator/>
      </w:r>
    </w:p>
  </w:footnote>
  <w:footnote w:id="1">
    <w:p w14:paraId="254AB697" w14:textId="77777777" w:rsidR="00527FB8" w:rsidRPr="008B26AB" w:rsidRDefault="00527FB8" w:rsidP="00C2341B">
      <w:pPr>
        <w:shd w:val="clear" w:color="auto" w:fill="FFFFFF"/>
        <w:spacing w:after="0"/>
        <w:outlineLvl w:val="0"/>
        <w:rPr>
          <w:bCs/>
          <w:color w:val="000000"/>
          <w:kern w:val="36"/>
          <w:sz w:val="20"/>
          <w:szCs w:val="20"/>
        </w:rPr>
      </w:pPr>
      <w:r w:rsidRPr="002803D4">
        <w:rPr>
          <w:rStyle w:val="FootnoteReference"/>
          <w:sz w:val="20"/>
          <w:szCs w:val="20"/>
        </w:rPr>
        <w:footnoteRef/>
      </w:r>
      <w:r w:rsidRPr="002803D4">
        <w:rPr>
          <w:sz w:val="20"/>
          <w:szCs w:val="20"/>
        </w:rPr>
        <w:t xml:space="preserve"> NPS Medicinewise (2014) ‘Low dose quetiapine: Place in therapy?’ Accessed on 11 July 2016 at: </w:t>
      </w:r>
      <w:r w:rsidRPr="002803D4">
        <w:rPr>
          <w:bCs/>
          <w:color w:val="000000"/>
          <w:kern w:val="36"/>
          <w:sz w:val="20"/>
          <w:szCs w:val="20"/>
        </w:rPr>
        <w:t>http://www.nps.org.au/publications/health-professional/health-news-evidence/2014/low-dose-quetiapine</w:t>
      </w:r>
    </w:p>
  </w:footnote>
  <w:footnote w:id="2">
    <w:p w14:paraId="3E4B75DA" w14:textId="77777777" w:rsidR="00527FB8" w:rsidRDefault="00527FB8" w:rsidP="00C2341B">
      <w:pPr>
        <w:pStyle w:val="FootnoteText"/>
      </w:pPr>
      <w:r>
        <w:rPr>
          <w:rStyle w:val="FootnoteReference"/>
        </w:rPr>
        <w:footnoteRef/>
      </w:r>
      <w:r>
        <w:t xml:space="preserve"> DUSC report 2013</w:t>
      </w:r>
    </w:p>
  </w:footnote>
  <w:footnote w:id="3">
    <w:p w14:paraId="4CC25663" w14:textId="14C7A677" w:rsidR="00527FB8" w:rsidRPr="00BC5AE2" w:rsidRDefault="00527FB8" w:rsidP="00CD0DA7">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w:t>
      </w:r>
      <w:r w:rsidR="002179AD">
        <w:rPr>
          <w:sz w:val="20"/>
        </w:rPr>
        <w:t xml:space="preserve">care. Canberra. Available from the </w:t>
      </w:r>
      <w:hyperlink r:id="rId1" w:history="1">
        <w:r w:rsidR="002179AD">
          <w:rPr>
            <w:rStyle w:val="Hyperlink"/>
            <w:sz w:val="20"/>
          </w:rPr>
          <w:t>Medicare Australia website.</w:t>
        </w:r>
      </w:hyperlink>
    </w:p>
  </w:footnote>
  <w:footnote w:id="4">
    <w:p w14:paraId="36A6A097" w14:textId="604FD54E" w:rsidR="00527FB8" w:rsidRDefault="00527FB8" w:rsidP="00DD38F7">
      <w:pPr>
        <w:pStyle w:val="FootnoteText"/>
      </w:pPr>
      <w:r>
        <w:rPr>
          <w:rStyle w:val="FootnoteReference"/>
        </w:rPr>
        <w:footnoteRef/>
      </w:r>
      <w:r w:rsidR="002179AD">
        <w:t xml:space="preserve">Principles on the use of direct age-standardisation in administrative data collections, </w:t>
      </w:r>
      <w:r>
        <w:t>September 2011, AIHW</w:t>
      </w:r>
      <w:r w:rsidR="002179AD">
        <w:t xml:space="preserve">. Available from the </w:t>
      </w:r>
      <w:hyperlink r:id="rId2" w:history="1">
        <w:r w:rsidR="002179AD">
          <w:rPr>
            <w:rStyle w:val="Hyperlink"/>
          </w:rPr>
          <w:t>AIHW website.</w:t>
        </w:r>
      </w:hyperlink>
    </w:p>
  </w:footnote>
  <w:footnote w:id="5">
    <w:p w14:paraId="067AB000" w14:textId="77777777" w:rsidR="00527FB8" w:rsidRDefault="00527FB8" w:rsidP="00C65944">
      <w:pPr>
        <w:pStyle w:val="FootnoteText"/>
      </w:pPr>
      <w:r>
        <w:rPr>
          <w:rStyle w:val="FootnoteReference"/>
        </w:rPr>
        <w:footnoteRef/>
      </w:r>
      <w:r>
        <w:t xml:space="preserve"> </w:t>
      </w:r>
      <w:hyperlink r:id="rId3" w:history="1">
        <w:r w:rsidRPr="005F579F">
          <w:rPr>
            <w:rStyle w:val="Hyperlink"/>
          </w:rPr>
          <w:t>Principles on the use of direct age-standardisation in administrative data collections</w:t>
        </w:r>
      </w:hyperlink>
      <w:r>
        <w:t>, September 2011, AIHW</w:t>
      </w:r>
    </w:p>
  </w:footnote>
  <w:footnote w:id="6">
    <w:p w14:paraId="089BF153" w14:textId="77777777" w:rsidR="00527FB8" w:rsidRDefault="00527FB8" w:rsidP="00C42F96">
      <w:pPr>
        <w:pStyle w:val="FootnoteText"/>
      </w:pPr>
      <w:r>
        <w:rPr>
          <w:rStyle w:val="FootnoteReference"/>
        </w:rPr>
        <w:footnoteRef/>
      </w:r>
      <w:r>
        <w:t xml:space="preserve"> </w:t>
      </w:r>
      <w:hyperlink r:id="rId4" w:history="1">
        <w:r w:rsidRPr="005F579F">
          <w:rPr>
            <w:rStyle w:val="Hyperlink"/>
          </w:rPr>
          <w:t>Principles on the use of direct age-standardisation in administrative data collections</w:t>
        </w:r>
      </w:hyperlink>
      <w:r>
        <w:t>, September 2011, AIHW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BA4"/>
    <w:multiLevelType w:val="hybridMultilevel"/>
    <w:tmpl w:val="0CEAC940"/>
    <w:lvl w:ilvl="0" w:tplc="601EB6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471FB1"/>
    <w:multiLevelType w:val="hybridMultilevel"/>
    <w:tmpl w:val="F0B03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81D205E"/>
    <w:multiLevelType w:val="multilevel"/>
    <w:tmpl w:val="E19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BE01AB"/>
    <w:multiLevelType w:val="multilevel"/>
    <w:tmpl w:val="428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E11DC8"/>
    <w:multiLevelType w:val="hybridMultilevel"/>
    <w:tmpl w:val="4FC47E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CAF7857"/>
    <w:multiLevelType w:val="hybridMultilevel"/>
    <w:tmpl w:val="D4740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FBF7071"/>
    <w:multiLevelType w:val="hybridMultilevel"/>
    <w:tmpl w:val="D6C2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4F683C"/>
    <w:multiLevelType w:val="hybridMultilevel"/>
    <w:tmpl w:val="035A1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9401143"/>
    <w:multiLevelType w:val="hybridMultilevel"/>
    <w:tmpl w:val="D9448D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F625E21"/>
    <w:multiLevelType w:val="multilevel"/>
    <w:tmpl w:val="C97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D71461"/>
    <w:multiLevelType w:val="hybridMultilevel"/>
    <w:tmpl w:val="13C83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3216402"/>
    <w:multiLevelType w:val="hybridMultilevel"/>
    <w:tmpl w:val="D9448D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4DF2EDE"/>
    <w:multiLevelType w:val="hybridMultilevel"/>
    <w:tmpl w:val="74F2C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9BE1699"/>
    <w:multiLevelType w:val="hybridMultilevel"/>
    <w:tmpl w:val="3F587F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E401304"/>
    <w:multiLevelType w:val="hybridMultilevel"/>
    <w:tmpl w:val="714CD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60E2133D"/>
    <w:multiLevelType w:val="hybridMultilevel"/>
    <w:tmpl w:val="D9448D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48B6C8C"/>
    <w:multiLevelType w:val="hybridMultilevel"/>
    <w:tmpl w:val="D9448D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8BC2F0D"/>
    <w:multiLevelType w:val="hybridMultilevel"/>
    <w:tmpl w:val="8D2A30F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A80AF4"/>
    <w:multiLevelType w:val="hybridMultilevel"/>
    <w:tmpl w:val="ABF67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DBC24C3"/>
    <w:multiLevelType w:val="hybridMultilevel"/>
    <w:tmpl w:val="FD5C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2880EB7"/>
    <w:multiLevelType w:val="hybridMultilevel"/>
    <w:tmpl w:val="B3BCA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DA85A9B"/>
    <w:multiLevelType w:val="multilevel"/>
    <w:tmpl w:val="8618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E5410"/>
    <w:multiLevelType w:val="hybridMultilevel"/>
    <w:tmpl w:val="502AB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18"/>
  </w:num>
  <w:num w:numId="3">
    <w:abstractNumId w:val="3"/>
  </w:num>
  <w:num w:numId="4">
    <w:abstractNumId w:val="15"/>
  </w:num>
  <w:num w:numId="5">
    <w:abstractNumId w:val="12"/>
  </w:num>
  <w:num w:numId="6">
    <w:abstractNumId w:val="13"/>
  </w:num>
  <w:num w:numId="7">
    <w:abstractNumId w:val="10"/>
  </w:num>
  <w:num w:numId="8">
    <w:abstractNumId w:val="17"/>
  </w:num>
  <w:num w:numId="9">
    <w:abstractNumId w:val="19"/>
  </w:num>
  <w:num w:numId="10">
    <w:abstractNumId w:val="16"/>
  </w:num>
  <w:num w:numId="11">
    <w:abstractNumId w:val="4"/>
  </w:num>
  <w:num w:numId="12">
    <w:abstractNumId w:val="2"/>
  </w:num>
  <w:num w:numId="13">
    <w:abstractNumId w:val="11"/>
  </w:num>
  <w:num w:numId="14">
    <w:abstractNumId w:val="1"/>
  </w:num>
  <w:num w:numId="15">
    <w:abstractNumId w:val="24"/>
  </w:num>
  <w:num w:numId="16">
    <w:abstractNumId w:val="6"/>
  </w:num>
  <w:num w:numId="17">
    <w:abstractNumId w:val="0"/>
  </w:num>
  <w:num w:numId="18">
    <w:abstractNumId w:val="21"/>
  </w:num>
  <w:num w:numId="19">
    <w:abstractNumId w:val="7"/>
  </w:num>
  <w:num w:numId="20">
    <w:abstractNumId w:val="14"/>
  </w:num>
  <w:num w:numId="21">
    <w:abstractNumId w:val="22"/>
  </w:num>
  <w:num w:numId="22">
    <w:abstractNumId w:val="20"/>
  </w:num>
  <w:num w:numId="23">
    <w:abstractNumId w:val="8"/>
  </w:num>
  <w:num w:numId="24">
    <w:abstractNumId w:val="9"/>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B6F"/>
    <w:rsid w:val="00001C1B"/>
    <w:rsid w:val="00002B88"/>
    <w:rsid w:val="000040A3"/>
    <w:rsid w:val="00004BBA"/>
    <w:rsid w:val="000064FA"/>
    <w:rsid w:val="00007E85"/>
    <w:rsid w:val="000104A1"/>
    <w:rsid w:val="000111B9"/>
    <w:rsid w:val="00011951"/>
    <w:rsid w:val="000127AC"/>
    <w:rsid w:val="00012DBB"/>
    <w:rsid w:val="0001330B"/>
    <w:rsid w:val="00013465"/>
    <w:rsid w:val="00013D25"/>
    <w:rsid w:val="00015B3D"/>
    <w:rsid w:val="00016A45"/>
    <w:rsid w:val="00016B2D"/>
    <w:rsid w:val="00020405"/>
    <w:rsid w:val="000218B4"/>
    <w:rsid w:val="00021EEC"/>
    <w:rsid w:val="000226B3"/>
    <w:rsid w:val="00023388"/>
    <w:rsid w:val="00024549"/>
    <w:rsid w:val="00025739"/>
    <w:rsid w:val="0002682C"/>
    <w:rsid w:val="00027EF0"/>
    <w:rsid w:val="0003085B"/>
    <w:rsid w:val="00031A92"/>
    <w:rsid w:val="0003376C"/>
    <w:rsid w:val="00037246"/>
    <w:rsid w:val="00040A8C"/>
    <w:rsid w:val="00040E51"/>
    <w:rsid w:val="000430DF"/>
    <w:rsid w:val="00044B30"/>
    <w:rsid w:val="00044CA6"/>
    <w:rsid w:val="00046754"/>
    <w:rsid w:val="000477BD"/>
    <w:rsid w:val="0005061F"/>
    <w:rsid w:val="00050B9B"/>
    <w:rsid w:val="000520EA"/>
    <w:rsid w:val="000521F8"/>
    <w:rsid w:val="00052AE3"/>
    <w:rsid w:val="00053CAB"/>
    <w:rsid w:val="000544B6"/>
    <w:rsid w:val="00054E63"/>
    <w:rsid w:val="000557C7"/>
    <w:rsid w:val="000604AF"/>
    <w:rsid w:val="00060F89"/>
    <w:rsid w:val="000620F1"/>
    <w:rsid w:val="00063070"/>
    <w:rsid w:val="00063E7A"/>
    <w:rsid w:val="0006407F"/>
    <w:rsid w:val="0006678C"/>
    <w:rsid w:val="00066B5B"/>
    <w:rsid w:val="00067B1A"/>
    <w:rsid w:val="00071C42"/>
    <w:rsid w:val="00071D0A"/>
    <w:rsid w:val="00072221"/>
    <w:rsid w:val="00072581"/>
    <w:rsid w:val="0007385B"/>
    <w:rsid w:val="00073FB8"/>
    <w:rsid w:val="0007578B"/>
    <w:rsid w:val="0007645D"/>
    <w:rsid w:val="000773AD"/>
    <w:rsid w:val="00080D39"/>
    <w:rsid w:val="00081DFE"/>
    <w:rsid w:val="00082A46"/>
    <w:rsid w:val="000855E6"/>
    <w:rsid w:val="0008673D"/>
    <w:rsid w:val="00086C11"/>
    <w:rsid w:val="00086F3C"/>
    <w:rsid w:val="000870EF"/>
    <w:rsid w:val="00090638"/>
    <w:rsid w:val="00090759"/>
    <w:rsid w:val="00092289"/>
    <w:rsid w:val="000924D3"/>
    <w:rsid w:val="00092FCC"/>
    <w:rsid w:val="00093B6D"/>
    <w:rsid w:val="00094DCF"/>
    <w:rsid w:val="0009540C"/>
    <w:rsid w:val="00095494"/>
    <w:rsid w:val="00095B16"/>
    <w:rsid w:val="00095FB7"/>
    <w:rsid w:val="00096100"/>
    <w:rsid w:val="00096790"/>
    <w:rsid w:val="0009733F"/>
    <w:rsid w:val="00097B93"/>
    <w:rsid w:val="000A02EA"/>
    <w:rsid w:val="000A061E"/>
    <w:rsid w:val="000A1983"/>
    <w:rsid w:val="000A3170"/>
    <w:rsid w:val="000A37BF"/>
    <w:rsid w:val="000A45B3"/>
    <w:rsid w:val="000A6CFD"/>
    <w:rsid w:val="000A7196"/>
    <w:rsid w:val="000A782C"/>
    <w:rsid w:val="000B02C3"/>
    <w:rsid w:val="000B0982"/>
    <w:rsid w:val="000B0C83"/>
    <w:rsid w:val="000B2B30"/>
    <w:rsid w:val="000B3C7D"/>
    <w:rsid w:val="000B789D"/>
    <w:rsid w:val="000B796C"/>
    <w:rsid w:val="000C0AF9"/>
    <w:rsid w:val="000C2AF4"/>
    <w:rsid w:val="000C3164"/>
    <w:rsid w:val="000C3792"/>
    <w:rsid w:val="000C3E76"/>
    <w:rsid w:val="000C44D9"/>
    <w:rsid w:val="000C46BB"/>
    <w:rsid w:val="000C4D9D"/>
    <w:rsid w:val="000C5239"/>
    <w:rsid w:val="000C57CB"/>
    <w:rsid w:val="000C612C"/>
    <w:rsid w:val="000C70B4"/>
    <w:rsid w:val="000C7C4B"/>
    <w:rsid w:val="000C7C8F"/>
    <w:rsid w:val="000C7D8B"/>
    <w:rsid w:val="000D131F"/>
    <w:rsid w:val="000D153A"/>
    <w:rsid w:val="000D38A6"/>
    <w:rsid w:val="000D64E0"/>
    <w:rsid w:val="000E0D3D"/>
    <w:rsid w:val="000E1317"/>
    <w:rsid w:val="000E2383"/>
    <w:rsid w:val="000E2901"/>
    <w:rsid w:val="000E37D6"/>
    <w:rsid w:val="000E4779"/>
    <w:rsid w:val="000E4791"/>
    <w:rsid w:val="000E485D"/>
    <w:rsid w:val="000E4AB7"/>
    <w:rsid w:val="000E5250"/>
    <w:rsid w:val="000E5BF9"/>
    <w:rsid w:val="000E6111"/>
    <w:rsid w:val="000E72C6"/>
    <w:rsid w:val="000F059C"/>
    <w:rsid w:val="000F0BFB"/>
    <w:rsid w:val="000F1034"/>
    <w:rsid w:val="000F12C8"/>
    <w:rsid w:val="000F1893"/>
    <w:rsid w:val="000F1FAF"/>
    <w:rsid w:val="000F2B9F"/>
    <w:rsid w:val="000F2F51"/>
    <w:rsid w:val="000F3A25"/>
    <w:rsid w:val="000F3CB0"/>
    <w:rsid w:val="000F428F"/>
    <w:rsid w:val="000F482C"/>
    <w:rsid w:val="000F5AC8"/>
    <w:rsid w:val="000F7CC7"/>
    <w:rsid w:val="0010014B"/>
    <w:rsid w:val="00100A14"/>
    <w:rsid w:val="001021FD"/>
    <w:rsid w:val="00103AF5"/>
    <w:rsid w:val="00103DB9"/>
    <w:rsid w:val="0010680C"/>
    <w:rsid w:val="00106CB1"/>
    <w:rsid w:val="00107328"/>
    <w:rsid w:val="001121C6"/>
    <w:rsid w:val="0011281F"/>
    <w:rsid w:val="00113B62"/>
    <w:rsid w:val="00113CF8"/>
    <w:rsid w:val="00113D74"/>
    <w:rsid w:val="001145FF"/>
    <w:rsid w:val="00117C5C"/>
    <w:rsid w:val="00117CD7"/>
    <w:rsid w:val="00117DB0"/>
    <w:rsid w:val="00120148"/>
    <w:rsid w:val="00121FE0"/>
    <w:rsid w:val="0012340A"/>
    <w:rsid w:val="0012350D"/>
    <w:rsid w:val="001240BF"/>
    <w:rsid w:val="00124CD0"/>
    <w:rsid w:val="00126D0E"/>
    <w:rsid w:val="00130BE1"/>
    <w:rsid w:val="001310AE"/>
    <w:rsid w:val="0013141E"/>
    <w:rsid w:val="0013172A"/>
    <w:rsid w:val="00131F28"/>
    <w:rsid w:val="00132EC8"/>
    <w:rsid w:val="0013396E"/>
    <w:rsid w:val="00133988"/>
    <w:rsid w:val="00133C3A"/>
    <w:rsid w:val="00133C9E"/>
    <w:rsid w:val="00137256"/>
    <w:rsid w:val="001375BC"/>
    <w:rsid w:val="00140448"/>
    <w:rsid w:val="00140F3C"/>
    <w:rsid w:val="001420B3"/>
    <w:rsid w:val="00144818"/>
    <w:rsid w:val="001460C4"/>
    <w:rsid w:val="00146373"/>
    <w:rsid w:val="00146C56"/>
    <w:rsid w:val="00147ED0"/>
    <w:rsid w:val="00151648"/>
    <w:rsid w:val="001519F2"/>
    <w:rsid w:val="00153382"/>
    <w:rsid w:val="00153648"/>
    <w:rsid w:val="00154251"/>
    <w:rsid w:val="00154578"/>
    <w:rsid w:val="00154D1C"/>
    <w:rsid w:val="00154E8A"/>
    <w:rsid w:val="00155304"/>
    <w:rsid w:val="00156610"/>
    <w:rsid w:val="0015691C"/>
    <w:rsid w:val="00157658"/>
    <w:rsid w:val="00160952"/>
    <w:rsid w:val="001610A5"/>
    <w:rsid w:val="00161E9A"/>
    <w:rsid w:val="00161FCE"/>
    <w:rsid w:val="001621F7"/>
    <w:rsid w:val="001624D7"/>
    <w:rsid w:val="001631F5"/>
    <w:rsid w:val="00164459"/>
    <w:rsid w:val="00164FEC"/>
    <w:rsid w:val="001667B0"/>
    <w:rsid w:val="001679D9"/>
    <w:rsid w:val="00170BF8"/>
    <w:rsid w:val="00170C31"/>
    <w:rsid w:val="0017125D"/>
    <w:rsid w:val="00171E43"/>
    <w:rsid w:val="001749E7"/>
    <w:rsid w:val="00175E99"/>
    <w:rsid w:val="00177B86"/>
    <w:rsid w:val="001800FC"/>
    <w:rsid w:val="00181252"/>
    <w:rsid w:val="00181286"/>
    <w:rsid w:val="001820B4"/>
    <w:rsid w:val="00182585"/>
    <w:rsid w:val="00182595"/>
    <w:rsid w:val="001838BF"/>
    <w:rsid w:val="00184AF8"/>
    <w:rsid w:val="00186737"/>
    <w:rsid w:val="001867BA"/>
    <w:rsid w:val="00186C24"/>
    <w:rsid w:val="0018764D"/>
    <w:rsid w:val="00187D5D"/>
    <w:rsid w:val="00190099"/>
    <w:rsid w:val="00190126"/>
    <w:rsid w:val="0019027F"/>
    <w:rsid w:val="00191182"/>
    <w:rsid w:val="001921A0"/>
    <w:rsid w:val="00193FC1"/>
    <w:rsid w:val="0019401A"/>
    <w:rsid w:val="00195148"/>
    <w:rsid w:val="0019664D"/>
    <w:rsid w:val="001A5A79"/>
    <w:rsid w:val="001A6103"/>
    <w:rsid w:val="001A70BD"/>
    <w:rsid w:val="001A77F9"/>
    <w:rsid w:val="001B23D5"/>
    <w:rsid w:val="001B286D"/>
    <w:rsid w:val="001B30FF"/>
    <w:rsid w:val="001B3C1F"/>
    <w:rsid w:val="001B42C6"/>
    <w:rsid w:val="001B5359"/>
    <w:rsid w:val="001B5D37"/>
    <w:rsid w:val="001B6147"/>
    <w:rsid w:val="001B68CA"/>
    <w:rsid w:val="001B72D1"/>
    <w:rsid w:val="001B7B6C"/>
    <w:rsid w:val="001B7F43"/>
    <w:rsid w:val="001C10AB"/>
    <w:rsid w:val="001C1C16"/>
    <w:rsid w:val="001C2940"/>
    <w:rsid w:val="001C2C73"/>
    <w:rsid w:val="001C326B"/>
    <w:rsid w:val="001C4016"/>
    <w:rsid w:val="001C548D"/>
    <w:rsid w:val="001C5A11"/>
    <w:rsid w:val="001C6A5D"/>
    <w:rsid w:val="001D0533"/>
    <w:rsid w:val="001D05D4"/>
    <w:rsid w:val="001D0A16"/>
    <w:rsid w:val="001D0F77"/>
    <w:rsid w:val="001D133A"/>
    <w:rsid w:val="001D14FC"/>
    <w:rsid w:val="001D17D1"/>
    <w:rsid w:val="001D185B"/>
    <w:rsid w:val="001D195D"/>
    <w:rsid w:val="001D2065"/>
    <w:rsid w:val="001D2179"/>
    <w:rsid w:val="001D23DF"/>
    <w:rsid w:val="001D27F2"/>
    <w:rsid w:val="001D3BFD"/>
    <w:rsid w:val="001D4FD0"/>
    <w:rsid w:val="001D5B6C"/>
    <w:rsid w:val="001D6547"/>
    <w:rsid w:val="001E05E6"/>
    <w:rsid w:val="001E0E90"/>
    <w:rsid w:val="001E31A6"/>
    <w:rsid w:val="001E36AB"/>
    <w:rsid w:val="001E3D78"/>
    <w:rsid w:val="001E42C7"/>
    <w:rsid w:val="001E467D"/>
    <w:rsid w:val="001E4CAB"/>
    <w:rsid w:val="001E588D"/>
    <w:rsid w:val="001E62E2"/>
    <w:rsid w:val="001E725E"/>
    <w:rsid w:val="001E7D8F"/>
    <w:rsid w:val="001F13D8"/>
    <w:rsid w:val="001F2F3E"/>
    <w:rsid w:val="001F4906"/>
    <w:rsid w:val="001F50ED"/>
    <w:rsid w:val="001F5288"/>
    <w:rsid w:val="001F6563"/>
    <w:rsid w:val="001F7063"/>
    <w:rsid w:val="001F71D3"/>
    <w:rsid w:val="001F7982"/>
    <w:rsid w:val="001F7C4A"/>
    <w:rsid w:val="00200B17"/>
    <w:rsid w:val="00201023"/>
    <w:rsid w:val="00201AEC"/>
    <w:rsid w:val="00203626"/>
    <w:rsid w:val="0020578A"/>
    <w:rsid w:val="00205C5E"/>
    <w:rsid w:val="002060E0"/>
    <w:rsid w:val="00206701"/>
    <w:rsid w:val="00207408"/>
    <w:rsid w:val="00207631"/>
    <w:rsid w:val="00207B9D"/>
    <w:rsid w:val="002116C5"/>
    <w:rsid w:val="002116F2"/>
    <w:rsid w:val="002122DB"/>
    <w:rsid w:val="002130FA"/>
    <w:rsid w:val="00214013"/>
    <w:rsid w:val="002161FC"/>
    <w:rsid w:val="002168B9"/>
    <w:rsid w:val="002179AD"/>
    <w:rsid w:val="00220CA0"/>
    <w:rsid w:val="00220FC1"/>
    <w:rsid w:val="00222B09"/>
    <w:rsid w:val="00222E9A"/>
    <w:rsid w:val="00224826"/>
    <w:rsid w:val="002304B2"/>
    <w:rsid w:val="0023089D"/>
    <w:rsid w:val="002308E3"/>
    <w:rsid w:val="002309E1"/>
    <w:rsid w:val="002315E3"/>
    <w:rsid w:val="0023179D"/>
    <w:rsid w:val="00235526"/>
    <w:rsid w:val="002357B6"/>
    <w:rsid w:val="002401E6"/>
    <w:rsid w:val="00240C3F"/>
    <w:rsid w:val="00241094"/>
    <w:rsid w:val="00241664"/>
    <w:rsid w:val="00241D9D"/>
    <w:rsid w:val="002424C0"/>
    <w:rsid w:val="002434E0"/>
    <w:rsid w:val="0024353C"/>
    <w:rsid w:val="00243952"/>
    <w:rsid w:val="00244D9C"/>
    <w:rsid w:val="00244FF2"/>
    <w:rsid w:val="00245C7D"/>
    <w:rsid w:val="002512BC"/>
    <w:rsid w:val="00251FDD"/>
    <w:rsid w:val="00252613"/>
    <w:rsid w:val="0025389D"/>
    <w:rsid w:val="00253B0B"/>
    <w:rsid w:val="00254E02"/>
    <w:rsid w:val="002554EA"/>
    <w:rsid w:val="00255C26"/>
    <w:rsid w:val="00257424"/>
    <w:rsid w:val="00257DFC"/>
    <w:rsid w:val="00260000"/>
    <w:rsid w:val="00260257"/>
    <w:rsid w:val="00260CE4"/>
    <w:rsid w:val="0026123E"/>
    <w:rsid w:val="002617C3"/>
    <w:rsid w:val="00261F1C"/>
    <w:rsid w:val="0026265F"/>
    <w:rsid w:val="00262C65"/>
    <w:rsid w:val="00262C77"/>
    <w:rsid w:val="00262D43"/>
    <w:rsid w:val="00262EA5"/>
    <w:rsid w:val="00262EB7"/>
    <w:rsid w:val="00263735"/>
    <w:rsid w:val="00264036"/>
    <w:rsid w:val="0026482B"/>
    <w:rsid w:val="00265B71"/>
    <w:rsid w:val="00267263"/>
    <w:rsid w:val="002678BD"/>
    <w:rsid w:val="00267902"/>
    <w:rsid w:val="00267CFE"/>
    <w:rsid w:val="00267D8B"/>
    <w:rsid w:val="00267E1C"/>
    <w:rsid w:val="002722CA"/>
    <w:rsid w:val="00276136"/>
    <w:rsid w:val="0027649B"/>
    <w:rsid w:val="0027689E"/>
    <w:rsid w:val="002803D4"/>
    <w:rsid w:val="00280737"/>
    <w:rsid w:val="00281142"/>
    <w:rsid w:val="002815CA"/>
    <w:rsid w:val="002818F8"/>
    <w:rsid w:val="0028216A"/>
    <w:rsid w:val="002827C0"/>
    <w:rsid w:val="002829A4"/>
    <w:rsid w:val="00282BE6"/>
    <w:rsid w:val="00283E20"/>
    <w:rsid w:val="0028595D"/>
    <w:rsid w:val="00285E2D"/>
    <w:rsid w:val="002865F2"/>
    <w:rsid w:val="00286806"/>
    <w:rsid w:val="00286C3A"/>
    <w:rsid w:val="00287B52"/>
    <w:rsid w:val="00287C5A"/>
    <w:rsid w:val="00292003"/>
    <w:rsid w:val="002930F5"/>
    <w:rsid w:val="0029405D"/>
    <w:rsid w:val="00294EBE"/>
    <w:rsid w:val="002966D0"/>
    <w:rsid w:val="00296A39"/>
    <w:rsid w:val="00296F87"/>
    <w:rsid w:val="002A052E"/>
    <w:rsid w:val="002A06B7"/>
    <w:rsid w:val="002A1288"/>
    <w:rsid w:val="002A1C8F"/>
    <w:rsid w:val="002A290D"/>
    <w:rsid w:val="002A4984"/>
    <w:rsid w:val="002A55D2"/>
    <w:rsid w:val="002A5DA4"/>
    <w:rsid w:val="002A64F0"/>
    <w:rsid w:val="002A72E4"/>
    <w:rsid w:val="002A7860"/>
    <w:rsid w:val="002A792B"/>
    <w:rsid w:val="002B077B"/>
    <w:rsid w:val="002B0DB0"/>
    <w:rsid w:val="002B0F4E"/>
    <w:rsid w:val="002B16CC"/>
    <w:rsid w:val="002B1DD0"/>
    <w:rsid w:val="002B1FB1"/>
    <w:rsid w:val="002B22E1"/>
    <w:rsid w:val="002B34C3"/>
    <w:rsid w:val="002B388E"/>
    <w:rsid w:val="002B3B88"/>
    <w:rsid w:val="002B5523"/>
    <w:rsid w:val="002B5857"/>
    <w:rsid w:val="002B5D26"/>
    <w:rsid w:val="002B5F86"/>
    <w:rsid w:val="002B7981"/>
    <w:rsid w:val="002C01B0"/>
    <w:rsid w:val="002C08A1"/>
    <w:rsid w:val="002C0F2E"/>
    <w:rsid w:val="002C10ED"/>
    <w:rsid w:val="002C25CF"/>
    <w:rsid w:val="002C480A"/>
    <w:rsid w:val="002C5A7B"/>
    <w:rsid w:val="002C6579"/>
    <w:rsid w:val="002C6800"/>
    <w:rsid w:val="002C6E0C"/>
    <w:rsid w:val="002C6EAF"/>
    <w:rsid w:val="002D0386"/>
    <w:rsid w:val="002D144A"/>
    <w:rsid w:val="002D182F"/>
    <w:rsid w:val="002D2925"/>
    <w:rsid w:val="002D3C2B"/>
    <w:rsid w:val="002D5389"/>
    <w:rsid w:val="002D57B4"/>
    <w:rsid w:val="002D5BA1"/>
    <w:rsid w:val="002D646E"/>
    <w:rsid w:val="002D6850"/>
    <w:rsid w:val="002D7F95"/>
    <w:rsid w:val="002E1680"/>
    <w:rsid w:val="002E19A3"/>
    <w:rsid w:val="002E212B"/>
    <w:rsid w:val="002E23D0"/>
    <w:rsid w:val="002E2C39"/>
    <w:rsid w:val="002E3337"/>
    <w:rsid w:val="002E3ED0"/>
    <w:rsid w:val="002E48D7"/>
    <w:rsid w:val="002E5B00"/>
    <w:rsid w:val="002E5C2E"/>
    <w:rsid w:val="002E5F46"/>
    <w:rsid w:val="002E6D03"/>
    <w:rsid w:val="002F072D"/>
    <w:rsid w:val="002F3EE7"/>
    <w:rsid w:val="002F49A8"/>
    <w:rsid w:val="002F4FC7"/>
    <w:rsid w:val="002F5932"/>
    <w:rsid w:val="002F5E66"/>
    <w:rsid w:val="002F61CA"/>
    <w:rsid w:val="002F77DA"/>
    <w:rsid w:val="002F78CE"/>
    <w:rsid w:val="0030010D"/>
    <w:rsid w:val="00301A77"/>
    <w:rsid w:val="00302EB3"/>
    <w:rsid w:val="00303030"/>
    <w:rsid w:val="00303FED"/>
    <w:rsid w:val="003051A8"/>
    <w:rsid w:val="003051C9"/>
    <w:rsid w:val="00305C7D"/>
    <w:rsid w:val="00306299"/>
    <w:rsid w:val="0030744F"/>
    <w:rsid w:val="0031010D"/>
    <w:rsid w:val="003112B4"/>
    <w:rsid w:val="00311598"/>
    <w:rsid w:val="003128E7"/>
    <w:rsid w:val="0031317B"/>
    <w:rsid w:val="00313451"/>
    <w:rsid w:val="003134CE"/>
    <w:rsid w:val="00313F01"/>
    <w:rsid w:val="00314B0B"/>
    <w:rsid w:val="00315BE3"/>
    <w:rsid w:val="00316276"/>
    <w:rsid w:val="00320449"/>
    <w:rsid w:val="003211B7"/>
    <w:rsid w:val="00321D44"/>
    <w:rsid w:val="00322B41"/>
    <w:rsid w:val="00322FD4"/>
    <w:rsid w:val="003276F9"/>
    <w:rsid w:val="00327818"/>
    <w:rsid w:val="00327C35"/>
    <w:rsid w:val="00330A02"/>
    <w:rsid w:val="003313AB"/>
    <w:rsid w:val="003316B1"/>
    <w:rsid w:val="00331868"/>
    <w:rsid w:val="0033187F"/>
    <w:rsid w:val="00331D68"/>
    <w:rsid w:val="00331FC8"/>
    <w:rsid w:val="00332912"/>
    <w:rsid w:val="0033504C"/>
    <w:rsid w:val="00336589"/>
    <w:rsid w:val="00336816"/>
    <w:rsid w:val="003370D0"/>
    <w:rsid w:val="00337355"/>
    <w:rsid w:val="003402E4"/>
    <w:rsid w:val="00340F95"/>
    <w:rsid w:val="003418EC"/>
    <w:rsid w:val="00341E28"/>
    <w:rsid w:val="00342140"/>
    <w:rsid w:val="00344088"/>
    <w:rsid w:val="00345320"/>
    <w:rsid w:val="00345643"/>
    <w:rsid w:val="003460E8"/>
    <w:rsid w:val="00346F39"/>
    <w:rsid w:val="003507CC"/>
    <w:rsid w:val="003514FC"/>
    <w:rsid w:val="00352AE7"/>
    <w:rsid w:val="003531ED"/>
    <w:rsid w:val="003544A7"/>
    <w:rsid w:val="00354CAF"/>
    <w:rsid w:val="00356B0C"/>
    <w:rsid w:val="00356C51"/>
    <w:rsid w:val="0035754A"/>
    <w:rsid w:val="003576AC"/>
    <w:rsid w:val="00357914"/>
    <w:rsid w:val="00360AB9"/>
    <w:rsid w:val="00360B9A"/>
    <w:rsid w:val="003613D5"/>
    <w:rsid w:val="00363BD6"/>
    <w:rsid w:val="00363ED2"/>
    <w:rsid w:val="00364375"/>
    <w:rsid w:val="003656E2"/>
    <w:rsid w:val="003666B1"/>
    <w:rsid w:val="00367015"/>
    <w:rsid w:val="0036791F"/>
    <w:rsid w:val="00372B14"/>
    <w:rsid w:val="00372FE7"/>
    <w:rsid w:val="00373C57"/>
    <w:rsid w:val="00373F34"/>
    <w:rsid w:val="00375832"/>
    <w:rsid w:val="003758B7"/>
    <w:rsid w:val="003764AD"/>
    <w:rsid w:val="00377404"/>
    <w:rsid w:val="00377785"/>
    <w:rsid w:val="00380053"/>
    <w:rsid w:val="00380148"/>
    <w:rsid w:val="00380D79"/>
    <w:rsid w:val="00382405"/>
    <w:rsid w:val="00382A6B"/>
    <w:rsid w:val="003835AB"/>
    <w:rsid w:val="00383967"/>
    <w:rsid w:val="003839AB"/>
    <w:rsid w:val="003878AC"/>
    <w:rsid w:val="0039017F"/>
    <w:rsid w:val="00390AA2"/>
    <w:rsid w:val="00390C8E"/>
    <w:rsid w:val="00391593"/>
    <w:rsid w:val="0039171B"/>
    <w:rsid w:val="00391D4D"/>
    <w:rsid w:val="00394AEE"/>
    <w:rsid w:val="00395829"/>
    <w:rsid w:val="00395868"/>
    <w:rsid w:val="00395C46"/>
    <w:rsid w:val="0039619F"/>
    <w:rsid w:val="003975FB"/>
    <w:rsid w:val="003A0B1B"/>
    <w:rsid w:val="003A0FB2"/>
    <w:rsid w:val="003A1787"/>
    <w:rsid w:val="003A1897"/>
    <w:rsid w:val="003A1C38"/>
    <w:rsid w:val="003A271D"/>
    <w:rsid w:val="003A273F"/>
    <w:rsid w:val="003A2EF9"/>
    <w:rsid w:val="003A3CD2"/>
    <w:rsid w:val="003A416F"/>
    <w:rsid w:val="003A4598"/>
    <w:rsid w:val="003A4955"/>
    <w:rsid w:val="003A4B39"/>
    <w:rsid w:val="003A4D1D"/>
    <w:rsid w:val="003A57E5"/>
    <w:rsid w:val="003A5E80"/>
    <w:rsid w:val="003A725D"/>
    <w:rsid w:val="003A7848"/>
    <w:rsid w:val="003A7AC6"/>
    <w:rsid w:val="003B03BD"/>
    <w:rsid w:val="003B0488"/>
    <w:rsid w:val="003B1364"/>
    <w:rsid w:val="003B3264"/>
    <w:rsid w:val="003B3286"/>
    <w:rsid w:val="003B5AC0"/>
    <w:rsid w:val="003B6908"/>
    <w:rsid w:val="003B7EAE"/>
    <w:rsid w:val="003C098F"/>
    <w:rsid w:val="003C0A2D"/>
    <w:rsid w:val="003C0ED7"/>
    <w:rsid w:val="003C1043"/>
    <w:rsid w:val="003C2D98"/>
    <w:rsid w:val="003C3EFE"/>
    <w:rsid w:val="003C45EB"/>
    <w:rsid w:val="003C4FA4"/>
    <w:rsid w:val="003C4FB0"/>
    <w:rsid w:val="003D04A2"/>
    <w:rsid w:val="003D0BA2"/>
    <w:rsid w:val="003D0F4C"/>
    <w:rsid w:val="003D362B"/>
    <w:rsid w:val="003D3A96"/>
    <w:rsid w:val="003D3B9C"/>
    <w:rsid w:val="003D3DF3"/>
    <w:rsid w:val="003D4FD7"/>
    <w:rsid w:val="003D5D4B"/>
    <w:rsid w:val="003D5DF9"/>
    <w:rsid w:val="003D6225"/>
    <w:rsid w:val="003D743E"/>
    <w:rsid w:val="003E068E"/>
    <w:rsid w:val="003E281B"/>
    <w:rsid w:val="003E2820"/>
    <w:rsid w:val="003E33E2"/>
    <w:rsid w:val="003E7A6C"/>
    <w:rsid w:val="003E7E8C"/>
    <w:rsid w:val="003F0839"/>
    <w:rsid w:val="003F0E7B"/>
    <w:rsid w:val="003F1385"/>
    <w:rsid w:val="003F17F0"/>
    <w:rsid w:val="003F40C9"/>
    <w:rsid w:val="003F5F4B"/>
    <w:rsid w:val="003F7C09"/>
    <w:rsid w:val="003F7C50"/>
    <w:rsid w:val="00401B68"/>
    <w:rsid w:val="00401D6E"/>
    <w:rsid w:val="00402555"/>
    <w:rsid w:val="00402EE7"/>
    <w:rsid w:val="004038F9"/>
    <w:rsid w:val="00403A40"/>
    <w:rsid w:val="004047AB"/>
    <w:rsid w:val="00404F03"/>
    <w:rsid w:val="00404F0E"/>
    <w:rsid w:val="00406542"/>
    <w:rsid w:val="00407C8E"/>
    <w:rsid w:val="00407FAC"/>
    <w:rsid w:val="00410128"/>
    <w:rsid w:val="004111FA"/>
    <w:rsid w:val="00412051"/>
    <w:rsid w:val="004124E5"/>
    <w:rsid w:val="00414776"/>
    <w:rsid w:val="0041500C"/>
    <w:rsid w:val="00415131"/>
    <w:rsid w:val="00415492"/>
    <w:rsid w:val="004167CF"/>
    <w:rsid w:val="0041733B"/>
    <w:rsid w:val="004207B7"/>
    <w:rsid w:val="00421C1F"/>
    <w:rsid w:val="0042286E"/>
    <w:rsid w:val="00423623"/>
    <w:rsid w:val="00423B94"/>
    <w:rsid w:val="00423E92"/>
    <w:rsid w:val="00425F81"/>
    <w:rsid w:val="0042695B"/>
    <w:rsid w:val="0042796C"/>
    <w:rsid w:val="00430DDF"/>
    <w:rsid w:val="00432F51"/>
    <w:rsid w:val="0043494A"/>
    <w:rsid w:val="00434C90"/>
    <w:rsid w:val="00436EF8"/>
    <w:rsid w:val="004371DD"/>
    <w:rsid w:val="004373B2"/>
    <w:rsid w:val="00437D43"/>
    <w:rsid w:val="00440290"/>
    <w:rsid w:val="004405DE"/>
    <w:rsid w:val="00440BD2"/>
    <w:rsid w:val="0044175E"/>
    <w:rsid w:val="00441DAE"/>
    <w:rsid w:val="00441DF7"/>
    <w:rsid w:val="00442902"/>
    <w:rsid w:val="00443C6C"/>
    <w:rsid w:val="0044427F"/>
    <w:rsid w:val="00445DF5"/>
    <w:rsid w:val="00446B0F"/>
    <w:rsid w:val="00451FDA"/>
    <w:rsid w:val="00452480"/>
    <w:rsid w:val="00454294"/>
    <w:rsid w:val="004551AD"/>
    <w:rsid w:val="004572EE"/>
    <w:rsid w:val="004574AA"/>
    <w:rsid w:val="00457583"/>
    <w:rsid w:val="0045778E"/>
    <w:rsid w:val="00457C00"/>
    <w:rsid w:val="004608DD"/>
    <w:rsid w:val="00460B70"/>
    <w:rsid w:val="00460CEF"/>
    <w:rsid w:val="004618A6"/>
    <w:rsid w:val="004619EC"/>
    <w:rsid w:val="00461A56"/>
    <w:rsid w:val="00462060"/>
    <w:rsid w:val="00462312"/>
    <w:rsid w:val="004626B9"/>
    <w:rsid w:val="00462FC0"/>
    <w:rsid w:val="00463731"/>
    <w:rsid w:val="0046400A"/>
    <w:rsid w:val="00464029"/>
    <w:rsid w:val="00465B9D"/>
    <w:rsid w:val="00465D07"/>
    <w:rsid w:val="00466355"/>
    <w:rsid w:val="00466FE5"/>
    <w:rsid w:val="00467A8A"/>
    <w:rsid w:val="00467B25"/>
    <w:rsid w:val="00467ED5"/>
    <w:rsid w:val="0047073E"/>
    <w:rsid w:val="00470D0E"/>
    <w:rsid w:val="00472166"/>
    <w:rsid w:val="00472B95"/>
    <w:rsid w:val="00473D8A"/>
    <w:rsid w:val="00474A5A"/>
    <w:rsid w:val="004758E2"/>
    <w:rsid w:val="004759F7"/>
    <w:rsid w:val="004763CE"/>
    <w:rsid w:val="004765BA"/>
    <w:rsid w:val="004767C8"/>
    <w:rsid w:val="004773F2"/>
    <w:rsid w:val="00481108"/>
    <w:rsid w:val="004862BB"/>
    <w:rsid w:val="00486D18"/>
    <w:rsid w:val="00490300"/>
    <w:rsid w:val="0049042B"/>
    <w:rsid w:val="004908FB"/>
    <w:rsid w:val="00490C3C"/>
    <w:rsid w:val="00490D39"/>
    <w:rsid w:val="004933A6"/>
    <w:rsid w:val="00495473"/>
    <w:rsid w:val="00495EDF"/>
    <w:rsid w:val="00496B89"/>
    <w:rsid w:val="00497256"/>
    <w:rsid w:val="00497C34"/>
    <w:rsid w:val="004A0580"/>
    <w:rsid w:val="004A0AE3"/>
    <w:rsid w:val="004A1E56"/>
    <w:rsid w:val="004A39B7"/>
    <w:rsid w:val="004A458E"/>
    <w:rsid w:val="004A5762"/>
    <w:rsid w:val="004A6AF4"/>
    <w:rsid w:val="004A77F3"/>
    <w:rsid w:val="004B027C"/>
    <w:rsid w:val="004B1712"/>
    <w:rsid w:val="004B1957"/>
    <w:rsid w:val="004B2071"/>
    <w:rsid w:val="004B23E7"/>
    <w:rsid w:val="004B280F"/>
    <w:rsid w:val="004B306F"/>
    <w:rsid w:val="004B324A"/>
    <w:rsid w:val="004B37C4"/>
    <w:rsid w:val="004B3FD1"/>
    <w:rsid w:val="004B412A"/>
    <w:rsid w:val="004B4DB7"/>
    <w:rsid w:val="004B71CF"/>
    <w:rsid w:val="004C0A0B"/>
    <w:rsid w:val="004C16EC"/>
    <w:rsid w:val="004C243F"/>
    <w:rsid w:val="004C2B82"/>
    <w:rsid w:val="004C3186"/>
    <w:rsid w:val="004C5042"/>
    <w:rsid w:val="004C6922"/>
    <w:rsid w:val="004C6956"/>
    <w:rsid w:val="004C7435"/>
    <w:rsid w:val="004C77A9"/>
    <w:rsid w:val="004C79F0"/>
    <w:rsid w:val="004D0090"/>
    <w:rsid w:val="004D031F"/>
    <w:rsid w:val="004D10A5"/>
    <w:rsid w:val="004D2655"/>
    <w:rsid w:val="004D76F7"/>
    <w:rsid w:val="004E284E"/>
    <w:rsid w:val="004E36A8"/>
    <w:rsid w:val="004E4320"/>
    <w:rsid w:val="004E4422"/>
    <w:rsid w:val="004E4E52"/>
    <w:rsid w:val="004E603B"/>
    <w:rsid w:val="004E6204"/>
    <w:rsid w:val="004E6692"/>
    <w:rsid w:val="004F0B2F"/>
    <w:rsid w:val="004F0D26"/>
    <w:rsid w:val="004F2372"/>
    <w:rsid w:val="004F5617"/>
    <w:rsid w:val="004F5802"/>
    <w:rsid w:val="004F6625"/>
    <w:rsid w:val="004F68B1"/>
    <w:rsid w:val="004F7D09"/>
    <w:rsid w:val="00501E82"/>
    <w:rsid w:val="00502A83"/>
    <w:rsid w:val="00503697"/>
    <w:rsid w:val="0050383D"/>
    <w:rsid w:val="00503998"/>
    <w:rsid w:val="00504590"/>
    <w:rsid w:val="00504CBF"/>
    <w:rsid w:val="00505A2B"/>
    <w:rsid w:val="0050623B"/>
    <w:rsid w:val="00510FF3"/>
    <w:rsid w:val="005115D2"/>
    <w:rsid w:val="00512F87"/>
    <w:rsid w:val="00514537"/>
    <w:rsid w:val="0051578E"/>
    <w:rsid w:val="00517B76"/>
    <w:rsid w:val="00520263"/>
    <w:rsid w:val="005217C2"/>
    <w:rsid w:val="00522BC0"/>
    <w:rsid w:val="00523181"/>
    <w:rsid w:val="005235AC"/>
    <w:rsid w:val="005236AF"/>
    <w:rsid w:val="00523BF2"/>
    <w:rsid w:val="00524617"/>
    <w:rsid w:val="00524D13"/>
    <w:rsid w:val="00527FB8"/>
    <w:rsid w:val="005339F6"/>
    <w:rsid w:val="00534055"/>
    <w:rsid w:val="005344D1"/>
    <w:rsid w:val="005345A8"/>
    <w:rsid w:val="00534730"/>
    <w:rsid w:val="00534C5B"/>
    <w:rsid w:val="00535AC9"/>
    <w:rsid w:val="0053624C"/>
    <w:rsid w:val="005375F7"/>
    <w:rsid w:val="00537C9A"/>
    <w:rsid w:val="00540FCE"/>
    <w:rsid w:val="00541B09"/>
    <w:rsid w:val="00541C71"/>
    <w:rsid w:val="00543401"/>
    <w:rsid w:val="005442EA"/>
    <w:rsid w:val="00544552"/>
    <w:rsid w:val="00544C09"/>
    <w:rsid w:val="00546915"/>
    <w:rsid w:val="00546D7F"/>
    <w:rsid w:val="00546F6E"/>
    <w:rsid w:val="005472FF"/>
    <w:rsid w:val="005507A4"/>
    <w:rsid w:val="005509FA"/>
    <w:rsid w:val="0055127A"/>
    <w:rsid w:val="00552410"/>
    <w:rsid w:val="005528EF"/>
    <w:rsid w:val="00552C28"/>
    <w:rsid w:val="00552FF6"/>
    <w:rsid w:val="00554218"/>
    <w:rsid w:val="005546C7"/>
    <w:rsid w:val="0055483B"/>
    <w:rsid w:val="005557AC"/>
    <w:rsid w:val="005578EA"/>
    <w:rsid w:val="0056275A"/>
    <w:rsid w:val="00563172"/>
    <w:rsid w:val="00564A54"/>
    <w:rsid w:val="00564A84"/>
    <w:rsid w:val="00566406"/>
    <w:rsid w:val="00570B49"/>
    <w:rsid w:val="00570FF3"/>
    <w:rsid w:val="0057387F"/>
    <w:rsid w:val="00574B75"/>
    <w:rsid w:val="00576063"/>
    <w:rsid w:val="00576B18"/>
    <w:rsid w:val="005774D6"/>
    <w:rsid w:val="00577958"/>
    <w:rsid w:val="00577E48"/>
    <w:rsid w:val="00581905"/>
    <w:rsid w:val="00582D5E"/>
    <w:rsid w:val="00582DD2"/>
    <w:rsid w:val="005831A8"/>
    <w:rsid w:val="0058408D"/>
    <w:rsid w:val="00584644"/>
    <w:rsid w:val="0058515E"/>
    <w:rsid w:val="00585676"/>
    <w:rsid w:val="00587724"/>
    <w:rsid w:val="00590E82"/>
    <w:rsid w:val="0059134B"/>
    <w:rsid w:val="00591512"/>
    <w:rsid w:val="005923F1"/>
    <w:rsid w:val="00596BA1"/>
    <w:rsid w:val="00597962"/>
    <w:rsid w:val="005A0D69"/>
    <w:rsid w:val="005A1B4C"/>
    <w:rsid w:val="005A2474"/>
    <w:rsid w:val="005A25B7"/>
    <w:rsid w:val="005A2D1A"/>
    <w:rsid w:val="005A4A41"/>
    <w:rsid w:val="005A4B93"/>
    <w:rsid w:val="005A4D3B"/>
    <w:rsid w:val="005A5C3F"/>
    <w:rsid w:val="005A65A5"/>
    <w:rsid w:val="005A75F7"/>
    <w:rsid w:val="005B0D63"/>
    <w:rsid w:val="005B11C8"/>
    <w:rsid w:val="005B2D91"/>
    <w:rsid w:val="005B317C"/>
    <w:rsid w:val="005B3B9E"/>
    <w:rsid w:val="005B48B4"/>
    <w:rsid w:val="005B579D"/>
    <w:rsid w:val="005B6F3F"/>
    <w:rsid w:val="005C08C6"/>
    <w:rsid w:val="005C1DF7"/>
    <w:rsid w:val="005C240A"/>
    <w:rsid w:val="005C25B5"/>
    <w:rsid w:val="005C2F49"/>
    <w:rsid w:val="005C353F"/>
    <w:rsid w:val="005C4A78"/>
    <w:rsid w:val="005C6027"/>
    <w:rsid w:val="005C6661"/>
    <w:rsid w:val="005C6E3B"/>
    <w:rsid w:val="005C6EC7"/>
    <w:rsid w:val="005C7463"/>
    <w:rsid w:val="005C74AD"/>
    <w:rsid w:val="005C789B"/>
    <w:rsid w:val="005D05AD"/>
    <w:rsid w:val="005D0A37"/>
    <w:rsid w:val="005D0E88"/>
    <w:rsid w:val="005D2801"/>
    <w:rsid w:val="005D2A6A"/>
    <w:rsid w:val="005D3F69"/>
    <w:rsid w:val="005D474B"/>
    <w:rsid w:val="005D4BB0"/>
    <w:rsid w:val="005D5431"/>
    <w:rsid w:val="005D5C75"/>
    <w:rsid w:val="005D6070"/>
    <w:rsid w:val="005D6C3D"/>
    <w:rsid w:val="005E085C"/>
    <w:rsid w:val="005E12C3"/>
    <w:rsid w:val="005E147D"/>
    <w:rsid w:val="005E155D"/>
    <w:rsid w:val="005E22C2"/>
    <w:rsid w:val="005E36EA"/>
    <w:rsid w:val="005E45EA"/>
    <w:rsid w:val="005E57BB"/>
    <w:rsid w:val="005E6D4E"/>
    <w:rsid w:val="005F0017"/>
    <w:rsid w:val="005F0360"/>
    <w:rsid w:val="005F41A7"/>
    <w:rsid w:val="005F4920"/>
    <w:rsid w:val="005F4F2B"/>
    <w:rsid w:val="005F55DF"/>
    <w:rsid w:val="005F6816"/>
    <w:rsid w:val="005F6CAB"/>
    <w:rsid w:val="005F7522"/>
    <w:rsid w:val="00600899"/>
    <w:rsid w:val="006014F1"/>
    <w:rsid w:val="00604029"/>
    <w:rsid w:val="00604D7E"/>
    <w:rsid w:val="00605638"/>
    <w:rsid w:val="00605FD8"/>
    <w:rsid w:val="00611072"/>
    <w:rsid w:val="0061202A"/>
    <w:rsid w:val="006120CF"/>
    <w:rsid w:val="00612C26"/>
    <w:rsid w:val="0061357B"/>
    <w:rsid w:val="00613E42"/>
    <w:rsid w:val="00614A7D"/>
    <w:rsid w:val="0061507F"/>
    <w:rsid w:val="00617BB5"/>
    <w:rsid w:val="006201F0"/>
    <w:rsid w:val="00621AEF"/>
    <w:rsid w:val="006260B8"/>
    <w:rsid w:val="00631033"/>
    <w:rsid w:val="006321A2"/>
    <w:rsid w:val="00632B51"/>
    <w:rsid w:val="0063365D"/>
    <w:rsid w:val="00633822"/>
    <w:rsid w:val="00635683"/>
    <w:rsid w:val="006358DE"/>
    <w:rsid w:val="0063631C"/>
    <w:rsid w:val="00636791"/>
    <w:rsid w:val="00637010"/>
    <w:rsid w:val="0063757B"/>
    <w:rsid w:val="006376F7"/>
    <w:rsid w:val="006377CE"/>
    <w:rsid w:val="006423B9"/>
    <w:rsid w:val="00643912"/>
    <w:rsid w:val="00643B88"/>
    <w:rsid w:val="00645167"/>
    <w:rsid w:val="006455ED"/>
    <w:rsid w:val="006463D2"/>
    <w:rsid w:val="00646664"/>
    <w:rsid w:val="00650B88"/>
    <w:rsid w:val="00651D35"/>
    <w:rsid w:val="00652363"/>
    <w:rsid w:val="00653295"/>
    <w:rsid w:val="006537D9"/>
    <w:rsid w:val="00657104"/>
    <w:rsid w:val="00657F66"/>
    <w:rsid w:val="0066087B"/>
    <w:rsid w:val="006623BC"/>
    <w:rsid w:val="00662EBB"/>
    <w:rsid w:val="00664A48"/>
    <w:rsid w:val="00665DEF"/>
    <w:rsid w:val="00666D72"/>
    <w:rsid w:val="00672175"/>
    <w:rsid w:val="00673A23"/>
    <w:rsid w:val="00675BB1"/>
    <w:rsid w:val="00676D2F"/>
    <w:rsid w:val="00677487"/>
    <w:rsid w:val="006775F1"/>
    <w:rsid w:val="006778A2"/>
    <w:rsid w:val="006817B9"/>
    <w:rsid w:val="0068188F"/>
    <w:rsid w:val="006818DD"/>
    <w:rsid w:val="0068283F"/>
    <w:rsid w:val="006837A6"/>
    <w:rsid w:val="00683E4B"/>
    <w:rsid w:val="006841ED"/>
    <w:rsid w:val="006856CD"/>
    <w:rsid w:val="00686410"/>
    <w:rsid w:val="00690140"/>
    <w:rsid w:val="0069173F"/>
    <w:rsid w:val="006920BB"/>
    <w:rsid w:val="006929E1"/>
    <w:rsid w:val="00692AA7"/>
    <w:rsid w:val="00693A7C"/>
    <w:rsid w:val="00693D08"/>
    <w:rsid w:val="0069503E"/>
    <w:rsid w:val="0069584D"/>
    <w:rsid w:val="006969BF"/>
    <w:rsid w:val="0069786B"/>
    <w:rsid w:val="00697A5B"/>
    <w:rsid w:val="00697FEC"/>
    <w:rsid w:val="006A00CF"/>
    <w:rsid w:val="006A0871"/>
    <w:rsid w:val="006A175F"/>
    <w:rsid w:val="006A1E6B"/>
    <w:rsid w:val="006A249D"/>
    <w:rsid w:val="006A3E50"/>
    <w:rsid w:val="006A44F5"/>
    <w:rsid w:val="006A4DC7"/>
    <w:rsid w:val="006A6057"/>
    <w:rsid w:val="006B0272"/>
    <w:rsid w:val="006B117F"/>
    <w:rsid w:val="006B3FE0"/>
    <w:rsid w:val="006B4537"/>
    <w:rsid w:val="006B4FDA"/>
    <w:rsid w:val="006B5F85"/>
    <w:rsid w:val="006B6929"/>
    <w:rsid w:val="006B709B"/>
    <w:rsid w:val="006B7689"/>
    <w:rsid w:val="006C0A77"/>
    <w:rsid w:val="006C209A"/>
    <w:rsid w:val="006C4509"/>
    <w:rsid w:val="006C4BEE"/>
    <w:rsid w:val="006C54AF"/>
    <w:rsid w:val="006C728E"/>
    <w:rsid w:val="006C777B"/>
    <w:rsid w:val="006C77C2"/>
    <w:rsid w:val="006D068D"/>
    <w:rsid w:val="006D092E"/>
    <w:rsid w:val="006D314E"/>
    <w:rsid w:val="006D3815"/>
    <w:rsid w:val="006D3A23"/>
    <w:rsid w:val="006D4713"/>
    <w:rsid w:val="006D5AA1"/>
    <w:rsid w:val="006D5E55"/>
    <w:rsid w:val="006D666A"/>
    <w:rsid w:val="006E0181"/>
    <w:rsid w:val="006E0E32"/>
    <w:rsid w:val="006E108F"/>
    <w:rsid w:val="006E2410"/>
    <w:rsid w:val="006E3037"/>
    <w:rsid w:val="006E30A0"/>
    <w:rsid w:val="006E33A6"/>
    <w:rsid w:val="006E371D"/>
    <w:rsid w:val="006E444C"/>
    <w:rsid w:val="006E4C7C"/>
    <w:rsid w:val="006E6850"/>
    <w:rsid w:val="006E6D89"/>
    <w:rsid w:val="006F0673"/>
    <w:rsid w:val="006F179D"/>
    <w:rsid w:val="006F2BD1"/>
    <w:rsid w:val="006F4B4C"/>
    <w:rsid w:val="006F4D60"/>
    <w:rsid w:val="006F51BF"/>
    <w:rsid w:val="006F6B93"/>
    <w:rsid w:val="006F78B5"/>
    <w:rsid w:val="006F7EB0"/>
    <w:rsid w:val="007006C6"/>
    <w:rsid w:val="00700C0E"/>
    <w:rsid w:val="00701479"/>
    <w:rsid w:val="007018C2"/>
    <w:rsid w:val="0070193C"/>
    <w:rsid w:val="00701BA8"/>
    <w:rsid w:val="00702616"/>
    <w:rsid w:val="007027AF"/>
    <w:rsid w:val="00702E90"/>
    <w:rsid w:val="00705DAD"/>
    <w:rsid w:val="00706776"/>
    <w:rsid w:val="00707170"/>
    <w:rsid w:val="00707E4D"/>
    <w:rsid w:val="00710ECD"/>
    <w:rsid w:val="00711686"/>
    <w:rsid w:val="0071183E"/>
    <w:rsid w:val="00712143"/>
    <w:rsid w:val="00712ADC"/>
    <w:rsid w:val="007134F2"/>
    <w:rsid w:val="00713CCD"/>
    <w:rsid w:val="00713F79"/>
    <w:rsid w:val="0071435C"/>
    <w:rsid w:val="00715047"/>
    <w:rsid w:val="0071574F"/>
    <w:rsid w:val="00716F47"/>
    <w:rsid w:val="00716FDC"/>
    <w:rsid w:val="007174BB"/>
    <w:rsid w:val="00717F1B"/>
    <w:rsid w:val="00720070"/>
    <w:rsid w:val="007201D8"/>
    <w:rsid w:val="00722BB4"/>
    <w:rsid w:val="007234A2"/>
    <w:rsid w:val="007235BE"/>
    <w:rsid w:val="007244E5"/>
    <w:rsid w:val="007247B9"/>
    <w:rsid w:val="00725725"/>
    <w:rsid w:val="0072606E"/>
    <w:rsid w:val="00726C79"/>
    <w:rsid w:val="00727D85"/>
    <w:rsid w:val="00730723"/>
    <w:rsid w:val="00731F57"/>
    <w:rsid w:val="007323CD"/>
    <w:rsid w:val="00733B9D"/>
    <w:rsid w:val="007346C7"/>
    <w:rsid w:val="00734C15"/>
    <w:rsid w:val="00736041"/>
    <w:rsid w:val="00736B04"/>
    <w:rsid w:val="007400AE"/>
    <w:rsid w:val="007404EF"/>
    <w:rsid w:val="00740522"/>
    <w:rsid w:val="007408C7"/>
    <w:rsid w:val="00744B50"/>
    <w:rsid w:val="00745047"/>
    <w:rsid w:val="007465DA"/>
    <w:rsid w:val="00746D62"/>
    <w:rsid w:val="00751BD3"/>
    <w:rsid w:val="00751DD9"/>
    <w:rsid w:val="00751FFB"/>
    <w:rsid w:val="007524A3"/>
    <w:rsid w:val="00752C7F"/>
    <w:rsid w:val="00753311"/>
    <w:rsid w:val="007544A3"/>
    <w:rsid w:val="00754CAF"/>
    <w:rsid w:val="00757663"/>
    <w:rsid w:val="00757802"/>
    <w:rsid w:val="007579AF"/>
    <w:rsid w:val="00757E86"/>
    <w:rsid w:val="00761DA0"/>
    <w:rsid w:val="007639E8"/>
    <w:rsid w:val="00763DD1"/>
    <w:rsid w:val="00764E96"/>
    <w:rsid w:val="00765BB6"/>
    <w:rsid w:val="00766326"/>
    <w:rsid w:val="00767467"/>
    <w:rsid w:val="00771339"/>
    <w:rsid w:val="007718B9"/>
    <w:rsid w:val="00773439"/>
    <w:rsid w:val="007745E6"/>
    <w:rsid w:val="00776598"/>
    <w:rsid w:val="00777232"/>
    <w:rsid w:val="00781FEE"/>
    <w:rsid w:val="00782391"/>
    <w:rsid w:val="00782811"/>
    <w:rsid w:val="00790064"/>
    <w:rsid w:val="00790E81"/>
    <w:rsid w:val="00792433"/>
    <w:rsid w:val="00792948"/>
    <w:rsid w:val="00793207"/>
    <w:rsid w:val="00793561"/>
    <w:rsid w:val="00793748"/>
    <w:rsid w:val="00795735"/>
    <w:rsid w:val="00796182"/>
    <w:rsid w:val="007961DC"/>
    <w:rsid w:val="00796E84"/>
    <w:rsid w:val="007A0095"/>
    <w:rsid w:val="007A0CA4"/>
    <w:rsid w:val="007A3ADE"/>
    <w:rsid w:val="007A3D81"/>
    <w:rsid w:val="007A3FD0"/>
    <w:rsid w:val="007A4FC3"/>
    <w:rsid w:val="007A4FDE"/>
    <w:rsid w:val="007A5733"/>
    <w:rsid w:val="007A5769"/>
    <w:rsid w:val="007A5774"/>
    <w:rsid w:val="007A5B8D"/>
    <w:rsid w:val="007A63D7"/>
    <w:rsid w:val="007A6D35"/>
    <w:rsid w:val="007B1680"/>
    <w:rsid w:val="007B256D"/>
    <w:rsid w:val="007B3488"/>
    <w:rsid w:val="007B5856"/>
    <w:rsid w:val="007B62AC"/>
    <w:rsid w:val="007B6F18"/>
    <w:rsid w:val="007B761A"/>
    <w:rsid w:val="007B7E4F"/>
    <w:rsid w:val="007C091E"/>
    <w:rsid w:val="007C2562"/>
    <w:rsid w:val="007C2D8A"/>
    <w:rsid w:val="007C2EA7"/>
    <w:rsid w:val="007C2FF6"/>
    <w:rsid w:val="007C4A16"/>
    <w:rsid w:val="007C6264"/>
    <w:rsid w:val="007D0067"/>
    <w:rsid w:val="007D037D"/>
    <w:rsid w:val="007D03DC"/>
    <w:rsid w:val="007D3F9C"/>
    <w:rsid w:val="007D49E6"/>
    <w:rsid w:val="007D77BF"/>
    <w:rsid w:val="007E052F"/>
    <w:rsid w:val="007E0C7A"/>
    <w:rsid w:val="007E1FDA"/>
    <w:rsid w:val="007E326A"/>
    <w:rsid w:val="007E3A0D"/>
    <w:rsid w:val="007E3D89"/>
    <w:rsid w:val="007E4FB2"/>
    <w:rsid w:val="007E5009"/>
    <w:rsid w:val="007E56E8"/>
    <w:rsid w:val="007E5AA9"/>
    <w:rsid w:val="007E61B4"/>
    <w:rsid w:val="007F0B4D"/>
    <w:rsid w:val="007F26B8"/>
    <w:rsid w:val="007F2772"/>
    <w:rsid w:val="007F30EB"/>
    <w:rsid w:val="007F3268"/>
    <w:rsid w:val="007F41B7"/>
    <w:rsid w:val="007F7645"/>
    <w:rsid w:val="00800BC9"/>
    <w:rsid w:val="00800C32"/>
    <w:rsid w:val="008018EA"/>
    <w:rsid w:val="00801E74"/>
    <w:rsid w:val="00802978"/>
    <w:rsid w:val="008031BB"/>
    <w:rsid w:val="008035C2"/>
    <w:rsid w:val="0080457F"/>
    <w:rsid w:val="00804855"/>
    <w:rsid w:val="0080485E"/>
    <w:rsid w:val="00804AAA"/>
    <w:rsid w:val="00804D2D"/>
    <w:rsid w:val="00805021"/>
    <w:rsid w:val="008067B2"/>
    <w:rsid w:val="00807213"/>
    <w:rsid w:val="00807F0D"/>
    <w:rsid w:val="00811336"/>
    <w:rsid w:val="00811665"/>
    <w:rsid w:val="00812801"/>
    <w:rsid w:val="00812877"/>
    <w:rsid w:val="00812944"/>
    <w:rsid w:val="00813385"/>
    <w:rsid w:val="008133CE"/>
    <w:rsid w:val="00813C45"/>
    <w:rsid w:val="008142B4"/>
    <w:rsid w:val="008149AA"/>
    <w:rsid w:val="00815B03"/>
    <w:rsid w:val="0081639B"/>
    <w:rsid w:val="008170C2"/>
    <w:rsid w:val="008201DF"/>
    <w:rsid w:val="0082172E"/>
    <w:rsid w:val="00821C98"/>
    <w:rsid w:val="008228DB"/>
    <w:rsid w:val="00823E42"/>
    <w:rsid w:val="00823EB0"/>
    <w:rsid w:val="00824AEF"/>
    <w:rsid w:val="008251C7"/>
    <w:rsid w:val="00825859"/>
    <w:rsid w:val="00825EBC"/>
    <w:rsid w:val="00825EF4"/>
    <w:rsid w:val="008279EC"/>
    <w:rsid w:val="00827E57"/>
    <w:rsid w:val="00830C53"/>
    <w:rsid w:val="00832075"/>
    <w:rsid w:val="0083225F"/>
    <w:rsid w:val="00832324"/>
    <w:rsid w:val="00833237"/>
    <w:rsid w:val="00833DD8"/>
    <w:rsid w:val="00835337"/>
    <w:rsid w:val="008363C5"/>
    <w:rsid w:val="00837BBD"/>
    <w:rsid w:val="008405C9"/>
    <w:rsid w:val="00840AB1"/>
    <w:rsid w:val="00840B18"/>
    <w:rsid w:val="00841D2A"/>
    <w:rsid w:val="00842F9B"/>
    <w:rsid w:val="00844D47"/>
    <w:rsid w:val="008453E4"/>
    <w:rsid w:val="00845B8D"/>
    <w:rsid w:val="00846DCD"/>
    <w:rsid w:val="0084741A"/>
    <w:rsid w:val="00847760"/>
    <w:rsid w:val="00850240"/>
    <w:rsid w:val="00850EFC"/>
    <w:rsid w:val="0085142C"/>
    <w:rsid w:val="008517A6"/>
    <w:rsid w:val="00851D85"/>
    <w:rsid w:val="008543DB"/>
    <w:rsid w:val="0085519D"/>
    <w:rsid w:val="008554CE"/>
    <w:rsid w:val="00855F82"/>
    <w:rsid w:val="00860CCB"/>
    <w:rsid w:val="00862D8B"/>
    <w:rsid w:val="0086457D"/>
    <w:rsid w:val="0086730F"/>
    <w:rsid w:val="008674B4"/>
    <w:rsid w:val="00870A6D"/>
    <w:rsid w:val="00872086"/>
    <w:rsid w:val="00872B87"/>
    <w:rsid w:val="0087328A"/>
    <w:rsid w:val="00873D97"/>
    <w:rsid w:val="00873DE4"/>
    <w:rsid w:val="00873F22"/>
    <w:rsid w:val="008740A3"/>
    <w:rsid w:val="008745C1"/>
    <w:rsid w:val="00874EE5"/>
    <w:rsid w:val="00875332"/>
    <w:rsid w:val="00876F0F"/>
    <w:rsid w:val="00880AE9"/>
    <w:rsid w:val="008814EF"/>
    <w:rsid w:val="008832B0"/>
    <w:rsid w:val="00885630"/>
    <w:rsid w:val="0088654D"/>
    <w:rsid w:val="008865E3"/>
    <w:rsid w:val="00886B5D"/>
    <w:rsid w:val="008879B3"/>
    <w:rsid w:val="008904C6"/>
    <w:rsid w:val="00890649"/>
    <w:rsid w:val="0089297B"/>
    <w:rsid w:val="008931F5"/>
    <w:rsid w:val="00893C96"/>
    <w:rsid w:val="0089441D"/>
    <w:rsid w:val="008952DE"/>
    <w:rsid w:val="00895ABC"/>
    <w:rsid w:val="00896E60"/>
    <w:rsid w:val="00897A4E"/>
    <w:rsid w:val="008A0323"/>
    <w:rsid w:val="008A1058"/>
    <w:rsid w:val="008A1577"/>
    <w:rsid w:val="008A1C8C"/>
    <w:rsid w:val="008A28A2"/>
    <w:rsid w:val="008A3BAD"/>
    <w:rsid w:val="008A581B"/>
    <w:rsid w:val="008A6846"/>
    <w:rsid w:val="008A6E63"/>
    <w:rsid w:val="008A78D2"/>
    <w:rsid w:val="008B20BB"/>
    <w:rsid w:val="008B26AB"/>
    <w:rsid w:val="008B26F2"/>
    <w:rsid w:val="008B2E0A"/>
    <w:rsid w:val="008B42BB"/>
    <w:rsid w:val="008B4442"/>
    <w:rsid w:val="008B4B0F"/>
    <w:rsid w:val="008B6A7F"/>
    <w:rsid w:val="008C151A"/>
    <w:rsid w:val="008C156F"/>
    <w:rsid w:val="008C36CA"/>
    <w:rsid w:val="008C3D61"/>
    <w:rsid w:val="008C3E07"/>
    <w:rsid w:val="008C3FC9"/>
    <w:rsid w:val="008C6441"/>
    <w:rsid w:val="008C6613"/>
    <w:rsid w:val="008C66D9"/>
    <w:rsid w:val="008C6CC9"/>
    <w:rsid w:val="008C70A8"/>
    <w:rsid w:val="008C7AE5"/>
    <w:rsid w:val="008C7EB1"/>
    <w:rsid w:val="008D00DC"/>
    <w:rsid w:val="008D072C"/>
    <w:rsid w:val="008D1572"/>
    <w:rsid w:val="008D190F"/>
    <w:rsid w:val="008D232A"/>
    <w:rsid w:val="008D2F8B"/>
    <w:rsid w:val="008D33CC"/>
    <w:rsid w:val="008D4812"/>
    <w:rsid w:val="008D49EE"/>
    <w:rsid w:val="008D4C91"/>
    <w:rsid w:val="008D6D91"/>
    <w:rsid w:val="008D6F34"/>
    <w:rsid w:val="008E2026"/>
    <w:rsid w:val="008E29AD"/>
    <w:rsid w:val="008E2BBD"/>
    <w:rsid w:val="008E330E"/>
    <w:rsid w:val="008E3497"/>
    <w:rsid w:val="008E36FC"/>
    <w:rsid w:val="008E38E8"/>
    <w:rsid w:val="008E3F8C"/>
    <w:rsid w:val="008E5313"/>
    <w:rsid w:val="008E5B30"/>
    <w:rsid w:val="008E5DCF"/>
    <w:rsid w:val="008E6189"/>
    <w:rsid w:val="008E7895"/>
    <w:rsid w:val="008F00B0"/>
    <w:rsid w:val="008F31EE"/>
    <w:rsid w:val="008F3363"/>
    <w:rsid w:val="008F3401"/>
    <w:rsid w:val="008F3F31"/>
    <w:rsid w:val="008F4D08"/>
    <w:rsid w:val="008F5E7D"/>
    <w:rsid w:val="008F5F25"/>
    <w:rsid w:val="00901890"/>
    <w:rsid w:val="009025E7"/>
    <w:rsid w:val="00902604"/>
    <w:rsid w:val="00902FD0"/>
    <w:rsid w:val="00903227"/>
    <w:rsid w:val="00903C73"/>
    <w:rsid w:val="009041CC"/>
    <w:rsid w:val="009042E0"/>
    <w:rsid w:val="00904B17"/>
    <w:rsid w:val="009053D3"/>
    <w:rsid w:val="009063B4"/>
    <w:rsid w:val="0090691F"/>
    <w:rsid w:val="0090761E"/>
    <w:rsid w:val="00911039"/>
    <w:rsid w:val="00913A0C"/>
    <w:rsid w:val="00914580"/>
    <w:rsid w:val="00914CE6"/>
    <w:rsid w:val="00915B5F"/>
    <w:rsid w:val="00916110"/>
    <w:rsid w:val="00916970"/>
    <w:rsid w:val="00916F8E"/>
    <w:rsid w:val="009209CB"/>
    <w:rsid w:val="00921290"/>
    <w:rsid w:val="009224F7"/>
    <w:rsid w:val="00922B77"/>
    <w:rsid w:val="0092375F"/>
    <w:rsid w:val="0092480E"/>
    <w:rsid w:val="00925297"/>
    <w:rsid w:val="009258BF"/>
    <w:rsid w:val="0092599C"/>
    <w:rsid w:val="009275C6"/>
    <w:rsid w:val="00930ADE"/>
    <w:rsid w:val="009310B8"/>
    <w:rsid w:val="0093111F"/>
    <w:rsid w:val="00931997"/>
    <w:rsid w:val="00931B36"/>
    <w:rsid w:val="0093201B"/>
    <w:rsid w:val="00932D2A"/>
    <w:rsid w:val="00934053"/>
    <w:rsid w:val="00935689"/>
    <w:rsid w:val="00940495"/>
    <w:rsid w:val="009405ED"/>
    <w:rsid w:val="009414B6"/>
    <w:rsid w:val="00943E6A"/>
    <w:rsid w:val="00945655"/>
    <w:rsid w:val="00947C72"/>
    <w:rsid w:val="0095102C"/>
    <w:rsid w:val="009510CF"/>
    <w:rsid w:val="00951960"/>
    <w:rsid w:val="0095303B"/>
    <w:rsid w:val="00954215"/>
    <w:rsid w:val="00954650"/>
    <w:rsid w:val="00961ADD"/>
    <w:rsid w:val="00962381"/>
    <w:rsid w:val="00963B2F"/>
    <w:rsid w:val="00964CC0"/>
    <w:rsid w:val="00964E6A"/>
    <w:rsid w:val="009663B6"/>
    <w:rsid w:val="009702D1"/>
    <w:rsid w:val="00970D36"/>
    <w:rsid w:val="00971004"/>
    <w:rsid w:val="0097215E"/>
    <w:rsid w:val="00972407"/>
    <w:rsid w:val="009746F5"/>
    <w:rsid w:val="00974A47"/>
    <w:rsid w:val="00974C12"/>
    <w:rsid w:val="0097553E"/>
    <w:rsid w:val="00976ED8"/>
    <w:rsid w:val="0097718F"/>
    <w:rsid w:val="009774C8"/>
    <w:rsid w:val="0097776B"/>
    <w:rsid w:val="00977FF8"/>
    <w:rsid w:val="0098026D"/>
    <w:rsid w:val="00980286"/>
    <w:rsid w:val="009803C5"/>
    <w:rsid w:val="009806E6"/>
    <w:rsid w:val="00981559"/>
    <w:rsid w:val="00982FBA"/>
    <w:rsid w:val="00983A8C"/>
    <w:rsid w:val="009840E7"/>
    <w:rsid w:val="009848C9"/>
    <w:rsid w:val="009849D7"/>
    <w:rsid w:val="009867CB"/>
    <w:rsid w:val="009869FA"/>
    <w:rsid w:val="009905AA"/>
    <w:rsid w:val="00990735"/>
    <w:rsid w:val="00990DCF"/>
    <w:rsid w:val="00991200"/>
    <w:rsid w:val="0099224B"/>
    <w:rsid w:val="00992776"/>
    <w:rsid w:val="00995D72"/>
    <w:rsid w:val="0099631C"/>
    <w:rsid w:val="00996E6D"/>
    <w:rsid w:val="00997DDE"/>
    <w:rsid w:val="009A0A2F"/>
    <w:rsid w:val="009A1FBC"/>
    <w:rsid w:val="009A320A"/>
    <w:rsid w:val="009A4833"/>
    <w:rsid w:val="009A4CD6"/>
    <w:rsid w:val="009A537C"/>
    <w:rsid w:val="009A61AE"/>
    <w:rsid w:val="009A6C31"/>
    <w:rsid w:val="009A7042"/>
    <w:rsid w:val="009A7181"/>
    <w:rsid w:val="009A755E"/>
    <w:rsid w:val="009B0E79"/>
    <w:rsid w:val="009B0FDA"/>
    <w:rsid w:val="009B13FD"/>
    <w:rsid w:val="009B1705"/>
    <w:rsid w:val="009B1969"/>
    <w:rsid w:val="009B2AB4"/>
    <w:rsid w:val="009B2FF8"/>
    <w:rsid w:val="009B308E"/>
    <w:rsid w:val="009B33B6"/>
    <w:rsid w:val="009B4063"/>
    <w:rsid w:val="009B45CE"/>
    <w:rsid w:val="009B4B8C"/>
    <w:rsid w:val="009B6408"/>
    <w:rsid w:val="009C01C1"/>
    <w:rsid w:val="009C0886"/>
    <w:rsid w:val="009C0B66"/>
    <w:rsid w:val="009C10B7"/>
    <w:rsid w:val="009C1304"/>
    <w:rsid w:val="009C19EE"/>
    <w:rsid w:val="009C28D0"/>
    <w:rsid w:val="009C3015"/>
    <w:rsid w:val="009C35F2"/>
    <w:rsid w:val="009C3A0C"/>
    <w:rsid w:val="009C3BB9"/>
    <w:rsid w:val="009C417E"/>
    <w:rsid w:val="009C44F4"/>
    <w:rsid w:val="009C5102"/>
    <w:rsid w:val="009C7782"/>
    <w:rsid w:val="009C781A"/>
    <w:rsid w:val="009D1887"/>
    <w:rsid w:val="009D1ED5"/>
    <w:rsid w:val="009D2CF2"/>
    <w:rsid w:val="009D31FE"/>
    <w:rsid w:val="009D3540"/>
    <w:rsid w:val="009D35F6"/>
    <w:rsid w:val="009D37AB"/>
    <w:rsid w:val="009D4C13"/>
    <w:rsid w:val="009D4DA2"/>
    <w:rsid w:val="009E04BF"/>
    <w:rsid w:val="009E0EF5"/>
    <w:rsid w:val="009E210D"/>
    <w:rsid w:val="009E21A7"/>
    <w:rsid w:val="009E42CC"/>
    <w:rsid w:val="009E4982"/>
    <w:rsid w:val="009E4DBA"/>
    <w:rsid w:val="009E675A"/>
    <w:rsid w:val="009F1675"/>
    <w:rsid w:val="009F19A3"/>
    <w:rsid w:val="009F22EB"/>
    <w:rsid w:val="009F4049"/>
    <w:rsid w:val="009F50FD"/>
    <w:rsid w:val="009F5638"/>
    <w:rsid w:val="009F6318"/>
    <w:rsid w:val="009F6A4D"/>
    <w:rsid w:val="009F6AC1"/>
    <w:rsid w:val="009F6C54"/>
    <w:rsid w:val="009F7AF8"/>
    <w:rsid w:val="00A00D81"/>
    <w:rsid w:val="00A01438"/>
    <w:rsid w:val="00A024D8"/>
    <w:rsid w:val="00A025AB"/>
    <w:rsid w:val="00A03A66"/>
    <w:rsid w:val="00A03E95"/>
    <w:rsid w:val="00A05055"/>
    <w:rsid w:val="00A05589"/>
    <w:rsid w:val="00A0587B"/>
    <w:rsid w:val="00A05E92"/>
    <w:rsid w:val="00A06C0F"/>
    <w:rsid w:val="00A1039D"/>
    <w:rsid w:val="00A103ED"/>
    <w:rsid w:val="00A104A7"/>
    <w:rsid w:val="00A11251"/>
    <w:rsid w:val="00A115F3"/>
    <w:rsid w:val="00A11811"/>
    <w:rsid w:val="00A12B41"/>
    <w:rsid w:val="00A13C60"/>
    <w:rsid w:val="00A1504C"/>
    <w:rsid w:val="00A157FA"/>
    <w:rsid w:val="00A15DB4"/>
    <w:rsid w:val="00A16ECA"/>
    <w:rsid w:val="00A17A3F"/>
    <w:rsid w:val="00A2155B"/>
    <w:rsid w:val="00A22693"/>
    <w:rsid w:val="00A24BF5"/>
    <w:rsid w:val="00A25598"/>
    <w:rsid w:val="00A2574D"/>
    <w:rsid w:val="00A266B4"/>
    <w:rsid w:val="00A26768"/>
    <w:rsid w:val="00A306E4"/>
    <w:rsid w:val="00A313FE"/>
    <w:rsid w:val="00A31DE3"/>
    <w:rsid w:val="00A31E3E"/>
    <w:rsid w:val="00A321E3"/>
    <w:rsid w:val="00A329F4"/>
    <w:rsid w:val="00A32A44"/>
    <w:rsid w:val="00A341A3"/>
    <w:rsid w:val="00A34590"/>
    <w:rsid w:val="00A354F1"/>
    <w:rsid w:val="00A35800"/>
    <w:rsid w:val="00A35C64"/>
    <w:rsid w:val="00A35E02"/>
    <w:rsid w:val="00A36FA1"/>
    <w:rsid w:val="00A3788C"/>
    <w:rsid w:val="00A41CB2"/>
    <w:rsid w:val="00A4287C"/>
    <w:rsid w:val="00A4301A"/>
    <w:rsid w:val="00A43367"/>
    <w:rsid w:val="00A435CC"/>
    <w:rsid w:val="00A44C05"/>
    <w:rsid w:val="00A45FDB"/>
    <w:rsid w:val="00A460C7"/>
    <w:rsid w:val="00A462C5"/>
    <w:rsid w:val="00A47C40"/>
    <w:rsid w:val="00A50342"/>
    <w:rsid w:val="00A51662"/>
    <w:rsid w:val="00A51F34"/>
    <w:rsid w:val="00A522CB"/>
    <w:rsid w:val="00A52436"/>
    <w:rsid w:val="00A52918"/>
    <w:rsid w:val="00A52BA9"/>
    <w:rsid w:val="00A547B3"/>
    <w:rsid w:val="00A5579C"/>
    <w:rsid w:val="00A55E76"/>
    <w:rsid w:val="00A60C28"/>
    <w:rsid w:val="00A610F7"/>
    <w:rsid w:val="00A614C4"/>
    <w:rsid w:val="00A63AE9"/>
    <w:rsid w:val="00A63DB5"/>
    <w:rsid w:val="00A66367"/>
    <w:rsid w:val="00A671EF"/>
    <w:rsid w:val="00A67B07"/>
    <w:rsid w:val="00A67C80"/>
    <w:rsid w:val="00A701AF"/>
    <w:rsid w:val="00A708E3"/>
    <w:rsid w:val="00A70BBD"/>
    <w:rsid w:val="00A70BC1"/>
    <w:rsid w:val="00A70E82"/>
    <w:rsid w:val="00A7103C"/>
    <w:rsid w:val="00A71D2E"/>
    <w:rsid w:val="00A721C3"/>
    <w:rsid w:val="00A745CB"/>
    <w:rsid w:val="00A74677"/>
    <w:rsid w:val="00A77B5A"/>
    <w:rsid w:val="00A77D07"/>
    <w:rsid w:val="00A81579"/>
    <w:rsid w:val="00A81B1A"/>
    <w:rsid w:val="00A83FA6"/>
    <w:rsid w:val="00A84CAD"/>
    <w:rsid w:val="00A867EC"/>
    <w:rsid w:val="00A87709"/>
    <w:rsid w:val="00A87E00"/>
    <w:rsid w:val="00A903EC"/>
    <w:rsid w:val="00A90E50"/>
    <w:rsid w:val="00A90FB2"/>
    <w:rsid w:val="00A917B8"/>
    <w:rsid w:val="00A927B7"/>
    <w:rsid w:val="00A93AE4"/>
    <w:rsid w:val="00A94662"/>
    <w:rsid w:val="00A9517A"/>
    <w:rsid w:val="00A959AE"/>
    <w:rsid w:val="00A959D8"/>
    <w:rsid w:val="00A95FA5"/>
    <w:rsid w:val="00A96D92"/>
    <w:rsid w:val="00A97B04"/>
    <w:rsid w:val="00AA07F6"/>
    <w:rsid w:val="00AA08FE"/>
    <w:rsid w:val="00AA16C0"/>
    <w:rsid w:val="00AA1839"/>
    <w:rsid w:val="00AA385F"/>
    <w:rsid w:val="00AA43D1"/>
    <w:rsid w:val="00AA49B5"/>
    <w:rsid w:val="00AA6A5E"/>
    <w:rsid w:val="00AB08E8"/>
    <w:rsid w:val="00AB0D66"/>
    <w:rsid w:val="00AB21C9"/>
    <w:rsid w:val="00AB273D"/>
    <w:rsid w:val="00AB2D82"/>
    <w:rsid w:val="00AB3733"/>
    <w:rsid w:val="00AB49FD"/>
    <w:rsid w:val="00AB54F5"/>
    <w:rsid w:val="00AB5DF4"/>
    <w:rsid w:val="00AB61A3"/>
    <w:rsid w:val="00AB6D30"/>
    <w:rsid w:val="00AB6EBE"/>
    <w:rsid w:val="00AB7897"/>
    <w:rsid w:val="00AB7D20"/>
    <w:rsid w:val="00AC0256"/>
    <w:rsid w:val="00AC06A0"/>
    <w:rsid w:val="00AC0A15"/>
    <w:rsid w:val="00AC1678"/>
    <w:rsid w:val="00AC16FD"/>
    <w:rsid w:val="00AC2BC7"/>
    <w:rsid w:val="00AC2E65"/>
    <w:rsid w:val="00AC345D"/>
    <w:rsid w:val="00AC3828"/>
    <w:rsid w:val="00AC5054"/>
    <w:rsid w:val="00AC5AD8"/>
    <w:rsid w:val="00AC6B69"/>
    <w:rsid w:val="00AC6B9A"/>
    <w:rsid w:val="00AC6C9D"/>
    <w:rsid w:val="00AC76F0"/>
    <w:rsid w:val="00AC7A77"/>
    <w:rsid w:val="00AC7C76"/>
    <w:rsid w:val="00AD127D"/>
    <w:rsid w:val="00AD1325"/>
    <w:rsid w:val="00AD1737"/>
    <w:rsid w:val="00AD2B59"/>
    <w:rsid w:val="00AD2ED5"/>
    <w:rsid w:val="00AD4220"/>
    <w:rsid w:val="00AD44E0"/>
    <w:rsid w:val="00AD4DC7"/>
    <w:rsid w:val="00AD5975"/>
    <w:rsid w:val="00AD5FB7"/>
    <w:rsid w:val="00AD7610"/>
    <w:rsid w:val="00AD7FC9"/>
    <w:rsid w:val="00AE0523"/>
    <w:rsid w:val="00AE06FA"/>
    <w:rsid w:val="00AE1D1B"/>
    <w:rsid w:val="00AE23D0"/>
    <w:rsid w:val="00AE4BAC"/>
    <w:rsid w:val="00AE50A4"/>
    <w:rsid w:val="00AE6249"/>
    <w:rsid w:val="00AE7256"/>
    <w:rsid w:val="00AE7C86"/>
    <w:rsid w:val="00AF1202"/>
    <w:rsid w:val="00AF29A8"/>
    <w:rsid w:val="00AF3292"/>
    <w:rsid w:val="00AF5873"/>
    <w:rsid w:val="00AF67B1"/>
    <w:rsid w:val="00AF689A"/>
    <w:rsid w:val="00AF6E18"/>
    <w:rsid w:val="00AF6FA7"/>
    <w:rsid w:val="00B034FC"/>
    <w:rsid w:val="00B03597"/>
    <w:rsid w:val="00B035B3"/>
    <w:rsid w:val="00B046B9"/>
    <w:rsid w:val="00B05310"/>
    <w:rsid w:val="00B05B1E"/>
    <w:rsid w:val="00B05C13"/>
    <w:rsid w:val="00B05FBC"/>
    <w:rsid w:val="00B06F90"/>
    <w:rsid w:val="00B06FDC"/>
    <w:rsid w:val="00B076DB"/>
    <w:rsid w:val="00B10915"/>
    <w:rsid w:val="00B10A0B"/>
    <w:rsid w:val="00B11E0E"/>
    <w:rsid w:val="00B13740"/>
    <w:rsid w:val="00B13F13"/>
    <w:rsid w:val="00B1493E"/>
    <w:rsid w:val="00B16C7B"/>
    <w:rsid w:val="00B175BC"/>
    <w:rsid w:val="00B17D19"/>
    <w:rsid w:val="00B206D4"/>
    <w:rsid w:val="00B21955"/>
    <w:rsid w:val="00B24A00"/>
    <w:rsid w:val="00B252B6"/>
    <w:rsid w:val="00B2560B"/>
    <w:rsid w:val="00B26E38"/>
    <w:rsid w:val="00B26E6D"/>
    <w:rsid w:val="00B27F6F"/>
    <w:rsid w:val="00B30475"/>
    <w:rsid w:val="00B30D85"/>
    <w:rsid w:val="00B31BA2"/>
    <w:rsid w:val="00B3237D"/>
    <w:rsid w:val="00B339E2"/>
    <w:rsid w:val="00B35161"/>
    <w:rsid w:val="00B35492"/>
    <w:rsid w:val="00B35A4A"/>
    <w:rsid w:val="00B35AC8"/>
    <w:rsid w:val="00B35CA6"/>
    <w:rsid w:val="00B35E7C"/>
    <w:rsid w:val="00B35F66"/>
    <w:rsid w:val="00B3601D"/>
    <w:rsid w:val="00B364E2"/>
    <w:rsid w:val="00B400ED"/>
    <w:rsid w:val="00B4067A"/>
    <w:rsid w:val="00B41D5B"/>
    <w:rsid w:val="00B425A5"/>
    <w:rsid w:val="00B43710"/>
    <w:rsid w:val="00B437DD"/>
    <w:rsid w:val="00B43F2E"/>
    <w:rsid w:val="00B4411F"/>
    <w:rsid w:val="00B45258"/>
    <w:rsid w:val="00B455AB"/>
    <w:rsid w:val="00B45DC0"/>
    <w:rsid w:val="00B47629"/>
    <w:rsid w:val="00B476FF"/>
    <w:rsid w:val="00B50CEB"/>
    <w:rsid w:val="00B52130"/>
    <w:rsid w:val="00B52876"/>
    <w:rsid w:val="00B52B79"/>
    <w:rsid w:val="00B5317E"/>
    <w:rsid w:val="00B537DC"/>
    <w:rsid w:val="00B53A48"/>
    <w:rsid w:val="00B53BCE"/>
    <w:rsid w:val="00B54D63"/>
    <w:rsid w:val="00B56962"/>
    <w:rsid w:val="00B56AED"/>
    <w:rsid w:val="00B56AF7"/>
    <w:rsid w:val="00B600DB"/>
    <w:rsid w:val="00B603E8"/>
    <w:rsid w:val="00B608F9"/>
    <w:rsid w:val="00B6094B"/>
    <w:rsid w:val="00B62825"/>
    <w:rsid w:val="00B62969"/>
    <w:rsid w:val="00B62FC7"/>
    <w:rsid w:val="00B632E6"/>
    <w:rsid w:val="00B63FD7"/>
    <w:rsid w:val="00B64CC7"/>
    <w:rsid w:val="00B65127"/>
    <w:rsid w:val="00B660A5"/>
    <w:rsid w:val="00B661B5"/>
    <w:rsid w:val="00B66A27"/>
    <w:rsid w:val="00B66B40"/>
    <w:rsid w:val="00B66F58"/>
    <w:rsid w:val="00B67EDD"/>
    <w:rsid w:val="00B70CE2"/>
    <w:rsid w:val="00B715E1"/>
    <w:rsid w:val="00B71B1C"/>
    <w:rsid w:val="00B73B2B"/>
    <w:rsid w:val="00B7510D"/>
    <w:rsid w:val="00B75259"/>
    <w:rsid w:val="00B779E5"/>
    <w:rsid w:val="00B8004B"/>
    <w:rsid w:val="00B80B02"/>
    <w:rsid w:val="00B816D9"/>
    <w:rsid w:val="00B82730"/>
    <w:rsid w:val="00B8296A"/>
    <w:rsid w:val="00B83BF6"/>
    <w:rsid w:val="00B84568"/>
    <w:rsid w:val="00B8486F"/>
    <w:rsid w:val="00B86672"/>
    <w:rsid w:val="00B869F5"/>
    <w:rsid w:val="00B873DE"/>
    <w:rsid w:val="00B90086"/>
    <w:rsid w:val="00B90512"/>
    <w:rsid w:val="00B90935"/>
    <w:rsid w:val="00B9120F"/>
    <w:rsid w:val="00B91A2C"/>
    <w:rsid w:val="00B9216C"/>
    <w:rsid w:val="00B9224B"/>
    <w:rsid w:val="00B924A4"/>
    <w:rsid w:val="00B94516"/>
    <w:rsid w:val="00B94C29"/>
    <w:rsid w:val="00B95D4F"/>
    <w:rsid w:val="00B96D56"/>
    <w:rsid w:val="00B974AD"/>
    <w:rsid w:val="00BA05AF"/>
    <w:rsid w:val="00BA1AEA"/>
    <w:rsid w:val="00BA3A60"/>
    <w:rsid w:val="00BA4749"/>
    <w:rsid w:val="00BA4DF5"/>
    <w:rsid w:val="00BA50D3"/>
    <w:rsid w:val="00BA6444"/>
    <w:rsid w:val="00BA7AB3"/>
    <w:rsid w:val="00BB0D1A"/>
    <w:rsid w:val="00BB1318"/>
    <w:rsid w:val="00BB1D3B"/>
    <w:rsid w:val="00BB21CF"/>
    <w:rsid w:val="00BB24F9"/>
    <w:rsid w:val="00BB3B93"/>
    <w:rsid w:val="00BB3EE3"/>
    <w:rsid w:val="00BB6683"/>
    <w:rsid w:val="00BB75A4"/>
    <w:rsid w:val="00BB7C24"/>
    <w:rsid w:val="00BC11EB"/>
    <w:rsid w:val="00BC13CF"/>
    <w:rsid w:val="00BC1892"/>
    <w:rsid w:val="00BC2295"/>
    <w:rsid w:val="00BC294E"/>
    <w:rsid w:val="00BC295D"/>
    <w:rsid w:val="00BC35ED"/>
    <w:rsid w:val="00BC36E0"/>
    <w:rsid w:val="00BC3A02"/>
    <w:rsid w:val="00BC419C"/>
    <w:rsid w:val="00BC4F6D"/>
    <w:rsid w:val="00BC581D"/>
    <w:rsid w:val="00BC61B4"/>
    <w:rsid w:val="00BC6738"/>
    <w:rsid w:val="00BC69E8"/>
    <w:rsid w:val="00BC72E4"/>
    <w:rsid w:val="00BC7F30"/>
    <w:rsid w:val="00BD128E"/>
    <w:rsid w:val="00BD3E4A"/>
    <w:rsid w:val="00BD55D1"/>
    <w:rsid w:val="00BD5FC7"/>
    <w:rsid w:val="00BD6A5C"/>
    <w:rsid w:val="00BD7ACE"/>
    <w:rsid w:val="00BD7E3A"/>
    <w:rsid w:val="00BE1384"/>
    <w:rsid w:val="00BE1389"/>
    <w:rsid w:val="00BE1BE6"/>
    <w:rsid w:val="00BE1F73"/>
    <w:rsid w:val="00BE205A"/>
    <w:rsid w:val="00BE2165"/>
    <w:rsid w:val="00BE2207"/>
    <w:rsid w:val="00BE29E9"/>
    <w:rsid w:val="00BE3551"/>
    <w:rsid w:val="00BE3802"/>
    <w:rsid w:val="00BE6ED0"/>
    <w:rsid w:val="00BF05A5"/>
    <w:rsid w:val="00BF1078"/>
    <w:rsid w:val="00BF124F"/>
    <w:rsid w:val="00BF238E"/>
    <w:rsid w:val="00BF2CB8"/>
    <w:rsid w:val="00BF2F4A"/>
    <w:rsid w:val="00BF335B"/>
    <w:rsid w:val="00BF38CC"/>
    <w:rsid w:val="00BF3D1B"/>
    <w:rsid w:val="00BF4367"/>
    <w:rsid w:val="00BF544D"/>
    <w:rsid w:val="00BF71EA"/>
    <w:rsid w:val="00BF7210"/>
    <w:rsid w:val="00BF7847"/>
    <w:rsid w:val="00C0046B"/>
    <w:rsid w:val="00C00487"/>
    <w:rsid w:val="00C0076F"/>
    <w:rsid w:val="00C01512"/>
    <w:rsid w:val="00C01570"/>
    <w:rsid w:val="00C0194D"/>
    <w:rsid w:val="00C02C46"/>
    <w:rsid w:val="00C0301C"/>
    <w:rsid w:val="00C03142"/>
    <w:rsid w:val="00C03565"/>
    <w:rsid w:val="00C03A0D"/>
    <w:rsid w:val="00C050B6"/>
    <w:rsid w:val="00C06561"/>
    <w:rsid w:val="00C067D6"/>
    <w:rsid w:val="00C069E0"/>
    <w:rsid w:val="00C07AF5"/>
    <w:rsid w:val="00C07EEF"/>
    <w:rsid w:val="00C1017C"/>
    <w:rsid w:val="00C10315"/>
    <w:rsid w:val="00C10F12"/>
    <w:rsid w:val="00C11EF7"/>
    <w:rsid w:val="00C11FEC"/>
    <w:rsid w:val="00C12C4C"/>
    <w:rsid w:val="00C137CA"/>
    <w:rsid w:val="00C1414E"/>
    <w:rsid w:val="00C15157"/>
    <w:rsid w:val="00C15A43"/>
    <w:rsid w:val="00C15AE9"/>
    <w:rsid w:val="00C17A3C"/>
    <w:rsid w:val="00C20F78"/>
    <w:rsid w:val="00C21DB8"/>
    <w:rsid w:val="00C2341B"/>
    <w:rsid w:val="00C23A9D"/>
    <w:rsid w:val="00C23C08"/>
    <w:rsid w:val="00C24487"/>
    <w:rsid w:val="00C244D9"/>
    <w:rsid w:val="00C245EA"/>
    <w:rsid w:val="00C256F6"/>
    <w:rsid w:val="00C2691B"/>
    <w:rsid w:val="00C26A8D"/>
    <w:rsid w:val="00C27C98"/>
    <w:rsid w:val="00C27DF3"/>
    <w:rsid w:val="00C3097E"/>
    <w:rsid w:val="00C309C7"/>
    <w:rsid w:val="00C3116C"/>
    <w:rsid w:val="00C3181A"/>
    <w:rsid w:val="00C31B51"/>
    <w:rsid w:val="00C31E23"/>
    <w:rsid w:val="00C329F6"/>
    <w:rsid w:val="00C33DB3"/>
    <w:rsid w:val="00C3449A"/>
    <w:rsid w:val="00C34502"/>
    <w:rsid w:val="00C35C47"/>
    <w:rsid w:val="00C35ECC"/>
    <w:rsid w:val="00C361A8"/>
    <w:rsid w:val="00C3665A"/>
    <w:rsid w:val="00C36ACF"/>
    <w:rsid w:val="00C36C5C"/>
    <w:rsid w:val="00C377AF"/>
    <w:rsid w:val="00C37BA1"/>
    <w:rsid w:val="00C4003D"/>
    <w:rsid w:val="00C401A2"/>
    <w:rsid w:val="00C41246"/>
    <w:rsid w:val="00C42974"/>
    <w:rsid w:val="00C42F96"/>
    <w:rsid w:val="00C43542"/>
    <w:rsid w:val="00C43BF7"/>
    <w:rsid w:val="00C43D11"/>
    <w:rsid w:val="00C45041"/>
    <w:rsid w:val="00C45E5F"/>
    <w:rsid w:val="00C46291"/>
    <w:rsid w:val="00C47DB5"/>
    <w:rsid w:val="00C506A8"/>
    <w:rsid w:val="00C511BD"/>
    <w:rsid w:val="00C52400"/>
    <w:rsid w:val="00C52A88"/>
    <w:rsid w:val="00C6306B"/>
    <w:rsid w:val="00C63412"/>
    <w:rsid w:val="00C635FF"/>
    <w:rsid w:val="00C640C2"/>
    <w:rsid w:val="00C646B9"/>
    <w:rsid w:val="00C65944"/>
    <w:rsid w:val="00C662E2"/>
    <w:rsid w:val="00C67280"/>
    <w:rsid w:val="00C702E0"/>
    <w:rsid w:val="00C714D0"/>
    <w:rsid w:val="00C71714"/>
    <w:rsid w:val="00C71FD4"/>
    <w:rsid w:val="00C7212F"/>
    <w:rsid w:val="00C725A5"/>
    <w:rsid w:val="00C73F95"/>
    <w:rsid w:val="00C74573"/>
    <w:rsid w:val="00C748EF"/>
    <w:rsid w:val="00C74EA0"/>
    <w:rsid w:val="00C755EB"/>
    <w:rsid w:val="00C75C8A"/>
    <w:rsid w:val="00C76109"/>
    <w:rsid w:val="00C763EC"/>
    <w:rsid w:val="00C768CC"/>
    <w:rsid w:val="00C775F7"/>
    <w:rsid w:val="00C8066E"/>
    <w:rsid w:val="00C80B71"/>
    <w:rsid w:val="00C80EE4"/>
    <w:rsid w:val="00C82359"/>
    <w:rsid w:val="00C825C2"/>
    <w:rsid w:val="00C90797"/>
    <w:rsid w:val="00C90EF4"/>
    <w:rsid w:val="00C91357"/>
    <w:rsid w:val="00C91621"/>
    <w:rsid w:val="00C9241F"/>
    <w:rsid w:val="00C92BAF"/>
    <w:rsid w:val="00C95091"/>
    <w:rsid w:val="00C969EB"/>
    <w:rsid w:val="00C972E4"/>
    <w:rsid w:val="00CA00E9"/>
    <w:rsid w:val="00CA0117"/>
    <w:rsid w:val="00CA015A"/>
    <w:rsid w:val="00CA01BF"/>
    <w:rsid w:val="00CA0CB0"/>
    <w:rsid w:val="00CA13DB"/>
    <w:rsid w:val="00CA37AF"/>
    <w:rsid w:val="00CA3CF6"/>
    <w:rsid w:val="00CA3E1C"/>
    <w:rsid w:val="00CA5C08"/>
    <w:rsid w:val="00CA6FFD"/>
    <w:rsid w:val="00CA7814"/>
    <w:rsid w:val="00CA79F3"/>
    <w:rsid w:val="00CB15E4"/>
    <w:rsid w:val="00CB1BEB"/>
    <w:rsid w:val="00CB211B"/>
    <w:rsid w:val="00CB431B"/>
    <w:rsid w:val="00CB4947"/>
    <w:rsid w:val="00CB50F9"/>
    <w:rsid w:val="00CB5112"/>
    <w:rsid w:val="00CB5941"/>
    <w:rsid w:val="00CB5A88"/>
    <w:rsid w:val="00CB63C2"/>
    <w:rsid w:val="00CB64D4"/>
    <w:rsid w:val="00CC0458"/>
    <w:rsid w:val="00CC1AA3"/>
    <w:rsid w:val="00CC259E"/>
    <w:rsid w:val="00CC2AD6"/>
    <w:rsid w:val="00CC3D24"/>
    <w:rsid w:val="00CC4C1C"/>
    <w:rsid w:val="00CC62D0"/>
    <w:rsid w:val="00CC6934"/>
    <w:rsid w:val="00CD0163"/>
    <w:rsid w:val="00CD0831"/>
    <w:rsid w:val="00CD0C41"/>
    <w:rsid w:val="00CD0CFF"/>
    <w:rsid w:val="00CD0DA7"/>
    <w:rsid w:val="00CD4463"/>
    <w:rsid w:val="00CD4486"/>
    <w:rsid w:val="00CD6EDC"/>
    <w:rsid w:val="00CD72BB"/>
    <w:rsid w:val="00CD7A4A"/>
    <w:rsid w:val="00CE05C9"/>
    <w:rsid w:val="00CE0638"/>
    <w:rsid w:val="00CE1130"/>
    <w:rsid w:val="00CE1592"/>
    <w:rsid w:val="00CE19D2"/>
    <w:rsid w:val="00CE19DF"/>
    <w:rsid w:val="00CE2915"/>
    <w:rsid w:val="00CE2BC1"/>
    <w:rsid w:val="00CE2F7C"/>
    <w:rsid w:val="00CE3F35"/>
    <w:rsid w:val="00CE52D1"/>
    <w:rsid w:val="00CE71C1"/>
    <w:rsid w:val="00CE7B46"/>
    <w:rsid w:val="00CF0603"/>
    <w:rsid w:val="00CF0C60"/>
    <w:rsid w:val="00CF297D"/>
    <w:rsid w:val="00CF2D53"/>
    <w:rsid w:val="00CF372B"/>
    <w:rsid w:val="00CF3A4D"/>
    <w:rsid w:val="00CF4051"/>
    <w:rsid w:val="00CF43A7"/>
    <w:rsid w:val="00CF52A2"/>
    <w:rsid w:val="00CF5E22"/>
    <w:rsid w:val="00CF62A3"/>
    <w:rsid w:val="00CF6338"/>
    <w:rsid w:val="00CF6AEB"/>
    <w:rsid w:val="00CF6C57"/>
    <w:rsid w:val="00CF6D2D"/>
    <w:rsid w:val="00D01500"/>
    <w:rsid w:val="00D0218F"/>
    <w:rsid w:val="00D04328"/>
    <w:rsid w:val="00D04A1F"/>
    <w:rsid w:val="00D051A6"/>
    <w:rsid w:val="00D055A6"/>
    <w:rsid w:val="00D05BE7"/>
    <w:rsid w:val="00D06A44"/>
    <w:rsid w:val="00D07D51"/>
    <w:rsid w:val="00D108FD"/>
    <w:rsid w:val="00D109EA"/>
    <w:rsid w:val="00D110B1"/>
    <w:rsid w:val="00D11223"/>
    <w:rsid w:val="00D11691"/>
    <w:rsid w:val="00D11B9B"/>
    <w:rsid w:val="00D13161"/>
    <w:rsid w:val="00D1453A"/>
    <w:rsid w:val="00D151EB"/>
    <w:rsid w:val="00D15A50"/>
    <w:rsid w:val="00D1732F"/>
    <w:rsid w:val="00D17A88"/>
    <w:rsid w:val="00D17D5F"/>
    <w:rsid w:val="00D229E7"/>
    <w:rsid w:val="00D22E0A"/>
    <w:rsid w:val="00D22FA2"/>
    <w:rsid w:val="00D23AB3"/>
    <w:rsid w:val="00D25A08"/>
    <w:rsid w:val="00D25D7B"/>
    <w:rsid w:val="00D26A69"/>
    <w:rsid w:val="00D2798B"/>
    <w:rsid w:val="00D300E0"/>
    <w:rsid w:val="00D3032C"/>
    <w:rsid w:val="00D30BCC"/>
    <w:rsid w:val="00D32176"/>
    <w:rsid w:val="00D32EB2"/>
    <w:rsid w:val="00D3379D"/>
    <w:rsid w:val="00D34A15"/>
    <w:rsid w:val="00D3507F"/>
    <w:rsid w:val="00D367D7"/>
    <w:rsid w:val="00D37111"/>
    <w:rsid w:val="00D374CD"/>
    <w:rsid w:val="00D3758C"/>
    <w:rsid w:val="00D37599"/>
    <w:rsid w:val="00D41D0D"/>
    <w:rsid w:val="00D41FA9"/>
    <w:rsid w:val="00D44578"/>
    <w:rsid w:val="00D45892"/>
    <w:rsid w:val="00D505E0"/>
    <w:rsid w:val="00D5164B"/>
    <w:rsid w:val="00D5214B"/>
    <w:rsid w:val="00D5419B"/>
    <w:rsid w:val="00D541AC"/>
    <w:rsid w:val="00D54BB4"/>
    <w:rsid w:val="00D54E4B"/>
    <w:rsid w:val="00D55DAB"/>
    <w:rsid w:val="00D57C81"/>
    <w:rsid w:val="00D60F05"/>
    <w:rsid w:val="00D650CE"/>
    <w:rsid w:val="00D65436"/>
    <w:rsid w:val="00D67B46"/>
    <w:rsid w:val="00D70AB8"/>
    <w:rsid w:val="00D7126E"/>
    <w:rsid w:val="00D71719"/>
    <w:rsid w:val="00D718CA"/>
    <w:rsid w:val="00D72870"/>
    <w:rsid w:val="00D72A9D"/>
    <w:rsid w:val="00D73FC1"/>
    <w:rsid w:val="00D74619"/>
    <w:rsid w:val="00D76D2E"/>
    <w:rsid w:val="00D776DA"/>
    <w:rsid w:val="00D77C4A"/>
    <w:rsid w:val="00D8234C"/>
    <w:rsid w:val="00D82664"/>
    <w:rsid w:val="00D83C05"/>
    <w:rsid w:val="00D844B1"/>
    <w:rsid w:val="00D8472B"/>
    <w:rsid w:val="00D84EF0"/>
    <w:rsid w:val="00D8589A"/>
    <w:rsid w:val="00D8758B"/>
    <w:rsid w:val="00D911C3"/>
    <w:rsid w:val="00D91E5F"/>
    <w:rsid w:val="00D93005"/>
    <w:rsid w:val="00D942B3"/>
    <w:rsid w:val="00D94773"/>
    <w:rsid w:val="00D94863"/>
    <w:rsid w:val="00D974B1"/>
    <w:rsid w:val="00DA091D"/>
    <w:rsid w:val="00DA094B"/>
    <w:rsid w:val="00DA1F98"/>
    <w:rsid w:val="00DA67ED"/>
    <w:rsid w:val="00DA7672"/>
    <w:rsid w:val="00DA7677"/>
    <w:rsid w:val="00DA7D09"/>
    <w:rsid w:val="00DB026A"/>
    <w:rsid w:val="00DB04AA"/>
    <w:rsid w:val="00DB1366"/>
    <w:rsid w:val="00DB26E0"/>
    <w:rsid w:val="00DB35D5"/>
    <w:rsid w:val="00DB3ADA"/>
    <w:rsid w:val="00DB3C72"/>
    <w:rsid w:val="00DB405F"/>
    <w:rsid w:val="00DB4337"/>
    <w:rsid w:val="00DB4431"/>
    <w:rsid w:val="00DB698D"/>
    <w:rsid w:val="00DC2630"/>
    <w:rsid w:val="00DC3E84"/>
    <w:rsid w:val="00DC45F3"/>
    <w:rsid w:val="00DC49E9"/>
    <w:rsid w:val="00DC55E4"/>
    <w:rsid w:val="00DC6272"/>
    <w:rsid w:val="00DC6402"/>
    <w:rsid w:val="00DC68C6"/>
    <w:rsid w:val="00DC7882"/>
    <w:rsid w:val="00DC7D71"/>
    <w:rsid w:val="00DD170F"/>
    <w:rsid w:val="00DD17A8"/>
    <w:rsid w:val="00DD188C"/>
    <w:rsid w:val="00DD29A3"/>
    <w:rsid w:val="00DD2D75"/>
    <w:rsid w:val="00DD2FF9"/>
    <w:rsid w:val="00DD3196"/>
    <w:rsid w:val="00DD38F7"/>
    <w:rsid w:val="00DD3D38"/>
    <w:rsid w:val="00DD48EE"/>
    <w:rsid w:val="00DD4F1E"/>
    <w:rsid w:val="00DD59BF"/>
    <w:rsid w:val="00DD6A18"/>
    <w:rsid w:val="00DD7152"/>
    <w:rsid w:val="00DE054E"/>
    <w:rsid w:val="00DE0B96"/>
    <w:rsid w:val="00DE0CA0"/>
    <w:rsid w:val="00DE10B9"/>
    <w:rsid w:val="00DE3524"/>
    <w:rsid w:val="00DE3BE1"/>
    <w:rsid w:val="00DE430E"/>
    <w:rsid w:val="00DE4AF6"/>
    <w:rsid w:val="00DE640D"/>
    <w:rsid w:val="00DE68BF"/>
    <w:rsid w:val="00DE6AA4"/>
    <w:rsid w:val="00DE6ABC"/>
    <w:rsid w:val="00DF0B06"/>
    <w:rsid w:val="00DF0B13"/>
    <w:rsid w:val="00DF26AD"/>
    <w:rsid w:val="00DF2EB8"/>
    <w:rsid w:val="00DF34D6"/>
    <w:rsid w:val="00DF4475"/>
    <w:rsid w:val="00DF4A94"/>
    <w:rsid w:val="00DF5D7C"/>
    <w:rsid w:val="00DF6003"/>
    <w:rsid w:val="00E00095"/>
    <w:rsid w:val="00E0023B"/>
    <w:rsid w:val="00E00F37"/>
    <w:rsid w:val="00E01138"/>
    <w:rsid w:val="00E011FA"/>
    <w:rsid w:val="00E032D3"/>
    <w:rsid w:val="00E0390A"/>
    <w:rsid w:val="00E04474"/>
    <w:rsid w:val="00E053EA"/>
    <w:rsid w:val="00E057E7"/>
    <w:rsid w:val="00E059F9"/>
    <w:rsid w:val="00E066C3"/>
    <w:rsid w:val="00E06A5F"/>
    <w:rsid w:val="00E10D8C"/>
    <w:rsid w:val="00E1353A"/>
    <w:rsid w:val="00E13E55"/>
    <w:rsid w:val="00E149DE"/>
    <w:rsid w:val="00E14B10"/>
    <w:rsid w:val="00E1502A"/>
    <w:rsid w:val="00E1564B"/>
    <w:rsid w:val="00E162F1"/>
    <w:rsid w:val="00E1662B"/>
    <w:rsid w:val="00E1772C"/>
    <w:rsid w:val="00E2057F"/>
    <w:rsid w:val="00E208A0"/>
    <w:rsid w:val="00E20B1D"/>
    <w:rsid w:val="00E20C76"/>
    <w:rsid w:val="00E2132E"/>
    <w:rsid w:val="00E219E0"/>
    <w:rsid w:val="00E221CC"/>
    <w:rsid w:val="00E2230C"/>
    <w:rsid w:val="00E228AB"/>
    <w:rsid w:val="00E23252"/>
    <w:rsid w:val="00E24D59"/>
    <w:rsid w:val="00E25516"/>
    <w:rsid w:val="00E25939"/>
    <w:rsid w:val="00E25B49"/>
    <w:rsid w:val="00E25F80"/>
    <w:rsid w:val="00E2774C"/>
    <w:rsid w:val="00E302F3"/>
    <w:rsid w:val="00E31314"/>
    <w:rsid w:val="00E313BF"/>
    <w:rsid w:val="00E318BC"/>
    <w:rsid w:val="00E3202D"/>
    <w:rsid w:val="00E355A1"/>
    <w:rsid w:val="00E357A9"/>
    <w:rsid w:val="00E35DD7"/>
    <w:rsid w:val="00E36C26"/>
    <w:rsid w:val="00E36FBB"/>
    <w:rsid w:val="00E37081"/>
    <w:rsid w:val="00E371EA"/>
    <w:rsid w:val="00E37E5D"/>
    <w:rsid w:val="00E41CC1"/>
    <w:rsid w:val="00E41D72"/>
    <w:rsid w:val="00E42DF6"/>
    <w:rsid w:val="00E43A61"/>
    <w:rsid w:val="00E445F2"/>
    <w:rsid w:val="00E45FCD"/>
    <w:rsid w:val="00E46E23"/>
    <w:rsid w:val="00E473A3"/>
    <w:rsid w:val="00E47FA5"/>
    <w:rsid w:val="00E5026C"/>
    <w:rsid w:val="00E50C6F"/>
    <w:rsid w:val="00E539B6"/>
    <w:rsid w:val="00E53F53"/>
    <w:rsid w:val="00E565A1"/>
    <w:rsid w:val="00E57DF6"/>
    <w:rsid w:val="00E6002D"/>
    <w:rsid w:val="00E61D7C"/>
    <w:rsid w:val="00E62C38"/>
    <w:rsid w:val="00E63AEA"/>
    <w:rsid w:val="00E641DA"/>
    <w:rsid w:val="00E64429"/>
    <w:rsid w:val="00E64FA5"/>
    <w:rsid w:val="00E677DD"/>
    <w:rsid w:val="00E707F9"/>
    <w:rsid w:val="00E71409"/>
    <w:rsid w:val="00E716F3"/>
    <w:rsid w:val="00E73936"/>
    <w:rsid w:val="00E74081"/>
    <w:rsid w:val="00E751D4"/>
    <w:rsid w:val="00E7594B"/>
    <w:rsid w:val="00E75BA3"/>
    <w:rsid w:val="00E75C37"/>
    <w:rsid w:val="00E81A0E"/>
    <w:rsid w:val="00E820B3"/>
    <w:rsid w:val="00E8338B"/>
    <w:rsid w:val="00E83CFC"/>
    <w:rsid w:val="00E84D2A"/>
    <w:rsid w:val="00E852E6"/>
    <w:rsid w:val="00E85705"/>
    <w:rsid w:val="00E86882"/>
    <w:rsid w:val="00E87AC6"/>
    <w:rsid w:val="00E91AF6"/>
    <w:rsid w:val="00E93429"/>
    <w:rsid w:val="00E94B4A"/>
    <w:rsid w:val="00E95611"/>
    <w:rsid w:val="00E966E4"/>
    <w:rsid w:val="00E96F95"/>
    <w:rsid w:val="00E97F1E"/>
    <w:rsid w:val="00EA0A6E"/>
    <w:rsid w:val="00EA1E4A"/>
    <w:rsid w:val="00EA215B"/>
    <w:rsid w:val="00EA267B"/>
    <w:rsid w:val="00EA3695"/>
    <w:rsid w:val="00EA3D25"/>
    <w:rsid w:val="00EA41AA"/>
    <w:rsid w:val="00EA57FC"/>
    <w:rsid w:val="00EA6B28"/>
    <w:rsid w:val="00EB21BF"/>
    <w:rsid w:val="00EB2488"/>
    <w:rsid w:val="00EB397D"/>
    <w:rsid w:val="00EB4688"/>
    <w:rsid w:val="00EB63EA"/>
    <w:rsid w:val="00EB6C07"/>
    <w:rsid w:val="00EB7800"/>
    <w:rsid w:val="00EC0233"/>
    <w:rsid w:val="00EC028D"/>
    <w:rsid w:val="00EC1522"/>
    <w:rsid w:val="00EC1D50"/>
    <w:rsid w:val="00EC1F30"/>
    <w:rsid w:val="00EC1F5E"/>
    <w:rsid w:val="00EC407F"/>
    <w:rsid w:val="00EC5956"/>
    <w:rsid w:val="00EC758D"/>
    <w:rsid w:val="00ED17ED"/>
    <w:rsid w:val="00ED2590"/>
    <w:rsid w:val="00ED3472"/>
    <w:rsid w:val="00ED45BB"/>
    <w:rsid w:val="00ED4B40"/>
    <w:rsid w:val="00ED57CE"/>
    <w:rsid w:val="00ED5D8D"/>
    <w:rsid w:val="00ED633B"/>
    <w:rsid w:val="00ED6AD1"/>
    <w:rsid w:val="00EE154C"/>
    <w:rsid w:val="00EE16B8"/>
    <w:rsid w:val="00EE1EEC"/>
    <w:rsid w:val="00EE478C"/>
    <w:rsid w:val="00EE49FA"/>
    <w:rsid w:val="00EE6C43"/>
    <w:rsid w:val="00EE7059"/>
    <w:rsid w:val="00EE726E"/>
    <w:rsid w:val="00EF109D"/>
    <w:rsid w:val="00EF220E"/>
    <w:rsid w:val="00EF4788"/>
    <w:rsid w:val="00EF51BE"/>
    <w:rsid w:val="00EF527A"/>
    <w:rsid w:val="00EF5C91"/>
    <w:rsid w:val="00EF6CEE"/>
    <w:rsid w:val="00EF7220"/>
    <w:rsid w:val="00EF7377"/>
    <w:rsid w:val="00EF7674"/>
    <w:rsid w:val="00EF7E7A"/>
    <w:rsid w:val="00F00438"/>
    <w:rsid w:val="00F02260"/>
    <w:rsid w:val="00F025AC"/>
    <w:rsid w:val="00F02BD0"/>
    <w:rsid w:val="00F02F4D"/>
    <w:rsid w:val="00F03A70"/>
    <w:rsid w:val="00F03BA4"/>
    <w:rsid w:val="00F05858"/>
    <w:rsid w:val="00F058B8"/>
    <w:rsid w:val="00F05E75"/>
    <w:rsid w:val="00F06557"/>
    <w:rsid w:val="00F1132C"/>
    <w:rsid w:val="00F15615"/>
    <w:rsid w:val="00F156D0"/>
    <w:rsid w:val="00F15D14"/>
    <w:rsid w:val="00F15DD5"/>
    <w:rsid w:val="00F15E88"/>
    <w:rsid w:val="00F15F45"/>
    <w:rsid w:val="00F16522"/>
    <w:rsid w:val="00F16677"/>
    <w:rsid w:val="00F16B1B"/>
    <w:rsid w:val="00F17D4B"/>
    <w:rsid w:val="00F23139"/>
    <w:rsid w:val="00F23D84"/>
    <w:rsid w:val="00F248A2"/>
    <w:rsid w:val="00F249FF"/>
    <w:rsid w:val="00F24E90"/>
    <w:rsid w:val="00F25217"/>
    <w:rsid w:val="00F259E1"/>
    <w:rsid w:val="00F270B8"/>
    <w:rsid w:val="00F306ED"/>
    <w:rsid w:val="00F30C62"/>
    <w:rsid w:val="00F3133B"/>
    <w:rsid w:val="00F315AD"/>
    <w:rsid w:val="00F3324F"/>
    <w:rsid w:val="00F34D00"/>
    <w:rsid w:val="00F34DDC"/>
    <w:rsid w:val="00F40139"/>
    <w:rsid w:val="00F40C66"/>
    <w:rsid w:val="00F44099"/>
    <w:rsid w:val="00F447A0"/>
    <w:rsid w:val="00F4585B"/>
    <w:rsid w:val="00F46730"/>
    <w:rsid w:val="00F47E28"/>
    <w:rsid w:val="00F50820"/>
    <w:rsid w:val="00F51180"/>
    <w:rsid w:val="00F517CB"/>
    <w:rsid w:val="00F537E5"/>
    <w:rsid w:val="00F55FA8"/>
    <w:rsid w:val="00F5721A"/>
    <w:rsid w:val="00F602AF"/>
    <w:rsid w:val="00F60DB1"/>
    <w:rsid w:val="00F61FE1"/>
    <w:rsid w:val="00F62325"/>
    <w:rsid w:val="00F635DE"/>
    <w:rsid w:val="00F641D8"/>
    <w:rsid w:val="00F64684"/>
    <w:rsid w:val="00F6472A"/>
    <w:rsid w:val="00F65F4A"/>
    <w:rsid w:val="00F66057"/>
    <w:rsid w:val="00F66248"/>
    <w:rsid w:val="00F66CD5"/>
    <w:rsid w:val="00F674F8"/>
    <w:rsid w:val="00F67A9A"/>
    <w:rsid w:val="00F704E9"/>
    <w:rsid w:val="00F70F4E"/>
    <w:rsid w:val="00F710A4"/>
    <w:rsid w:val="00F71BC2"/>
    <w:rsid w:val="00F71CEB"/>
    <w:rsid w:val="00F73113"/>
    <w:rsid w:val="00F75302"/>
    <w:rsid w:val="00F75313"/>
    <w:rsid w:val="00F753BB"/>
    <w:rsid w:val="00F75FC4"/>
    <w:rsid w:val="00F7622B"/>
    <w:rsid w:val="00F769A2"/>
    <w:rsid w:val="00F776C3"/>
    <w:rsid w:val="00F77D71"/>
    <w:rsid w:val="00F82100"/>
    <w:rsid w:val="00F84229"/>
    <w:rsid w:val="00F8540A"/>
    <w:rsid w:val="00F85981"/>
    <w:rsid w:val="00F87263"/>
    <w:rsid w:val="00F90800"/>
    <w:rsid w:val="00F91AA9"/>
    <w:rsid w:val="00F91E5B"/>
    <w:rsid w:val="00F91ED2"/>
    <w:rsid w:val="00F9245D"/>
    <w:rsid w:val="00F927E3"/>
    <w:rsid w:val="00F92CC1"/>
    <w:rsid w:val="00F93539"/>
    <w:rsid w:val="00F93725"/>
    <w:rsid w:val="00F952A9"/>
    <w:rsid w:val="00F95843"/>
    <w:rsid w:val="00F95C12"/>
    <w:rsid w:val="00F967B3"/>
    <w:rsid w:val="00F97A21"/>
    <w:rsid w:val="00FA1676"/>
    <w:rsid w:val="00FA21B9"/>
    <w:rsid w:val="00FA2300"/>
    <w:rsid w:val="00FA4890"/>
    <w:rsid w:val="00FA4C17"/>
    <w:rsid w:val="00FA6FE2"/>
    <w:rsid w:val="00FA7C1A"/>
    <w:rsid w:val="00FB0EAC"/>
    <w:rsid w:val="00FB306B"/>
    <w:rsid w:val="00FB3B8E"/>
    <w:rsid w:val="00FB3EBD"/>
    <w:rsid w:val="00FB557E"/>
    <w:rsid w:val="00FB621F"/>
    <w:rsid w:val="00FB77D1"/>
    <w:rsid w:val="00FB77FA"/>
    <w:rsid w:val="00FC0F23"/>
    <w:rsid w:val="00FC1082"/>
    <w:rsid w:val="00FC2B04"/>
    <w:rsid w:val="00FC3C70"/>
    <w:rsid w:val="00FC4224"/>
    <w:rsid w:val="00FC4A73"/>
    <w:rsid w:val="00FC506F"/>
    <w:rsid w:val="00FC5272"/>
    <w:rsid w:val="00FC559C"/>
    <w:rsid w:val="00FC7B74"/>
    <w:rsid w:val="00FC7F0D"/>
    <w:rsid w:val="00FD2069"/>
    <w:rsid w:val="00FD2C82"/>
    <w:rsid w:val="00FD3B5E"/>
    <w:rsid w:val="00FD4132"/>
    <w:rsid w:val="00FD5024"/>
    <w:rsid w:val="00FD540A"/>
    <w:rsid w:val="00FD63FD"/>
    <w:rsid w:val="00FD7AB6"/>
    <w:rsid w:val="00FE04CC"/>
    <w:rsid w:val="00FE0650"/>
    <w:rsid w:val="00FE0CA1"/>
    <w:rsid w:val="00FE1911"/>
    <w:rsid w:val="00FE3559"/>
    <w:rsid w:val="00FE3763"/>
    <w:rsid w:val="00FE3D06"/>
    <w:rsid w:val="00FE4FFE"/>
    <w:rsid w:val="00FE6376"/>
    <w:rsid w:val="00FE645A"/>
    <w:rsid w:val="00FE718B"/>
    <w:rsid w:val="00FE7DE7"/>
    <w:rsid w:val="00FF02A4"/>
    <w:rsid w:val="00FF077F"/>
    <w:rsid w:val="00FF102C"/>
    <w:rsid w:val="00FF2071"/>
    <w:rsid w:val="00FF208C"/>
    <w:rsid w:val="00FF3C99"/>
    <w:rsid w:val="00FF58A5"/>
    <w:rsid w:val="00FF5AD1"/>
    <w:rsid w:val="00FF6102"/>
    <w:rsid w:val="00FF6A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785"/>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A"/>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C95091"/>
    <w:rPr>
      <w:color w:val="800080" w:themeColor="followedHyperlink"/>
      <w:u w:val="single"/>
    </w:rPr>
  </w:style>
  <w:style w:type="paragraph" w:customStyle="1" w:styleId="xl65">
    <w:name w:val="xl65"/>
    <w:basedOn w:val="Normal"/>
    <w:rsid w:val="00B8486F"/>
    <w:pPr>
      <w:spacing w:before="100" w:beforeAutospacing="1" w:after="100" w:afterAutospacing="1"/>
      <w:textAlignment w:val="top"/>
    </w:pPr>
    <w:rPr>
      <w:rFonts w:ascii="Arial Narrow" w:eastAsia="Times New Roman" w:hAnsi="Arial Narrow" w:cs="Times New Roman"/>
      <w:sz w:val="20"/>
      <w:szCs w:val="20"/>
    </w:rPr>
  </w:style>
  <w:style w:type="paragraph" w:customStyle="1" w:styleId="xl66">
    <w:name w:val="xl66"/>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7">
    <w:name w:val="xl67"/>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8">
    <w:name w:val="xl68"/>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9">
    <w:name w:val="xl69"/>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0">
    <w:name w:val="xl70"/>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1">
    <w:name w:val="xl71"/>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2">
    <w:name w:val="xl72"/>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character" w:styleId="Strong">
    <w:name w:val="Strong"/>
    <w:basedOn w:val="DefaultParagraphFont"/>
    <w:uiPriority w:val="22"/>
    <w:qFormat/>
    <w:rsid w:val="00913A0C"/>
    <w:rPr>
      <w:b/>
      <w:bCs/>
    </w:rPr>
  </w:style>
  <w:style w:type="character" w:customStyle="1" w:styleId="apple-converted-space">
    <w:name w:val="apple-converted-space"/>
    <w:basedOn w:val="DefaultParagraphFont"/>
    <w:rsid w:val="00913A0C"/>
  </w:style>
  <w:style w:type="paragraph" w:styleId="NormalWeb">
    <w:name w:val="Normal (Web)"/>
    <w:basedOn w:val="Normal"/>
    <w:uiPriority w:val="99"/>
    <w:semiHidden/>
    <w:unhideWhenUsed/>
    <w:rsid w:val="00DA094B"/>
    <w:pPr>
      <w:spacing w:before="100" w:beforeAutospacing="1" w:after="100" w:afterAutospacing="1"/>
    </w:pPr>
    <w:rPr>
      <w:rFonts w:ascii="Times New Roman" w:eastAsia="Times New Roman" w:hAnsi="Times New Roman" w:cs="Times New Roman"/>
    </w:rPr>
  </w:style>
  <w:style w:type="character" w:styleId="IntenseReference">
    <w:name w:val="Intense Reference"/>
    <w:basedOn w:val="DefaultParagraphFont"/>
    <w:uiPriority w:val="32"/>
    <w:qFormat/>
    <w:rsid w:val="00BE6ED0"/>
    <w:rPr>
      <w:b/>
      <w:bCs/>
      <w:i/>
      <w:smallCaps/>
      <w:color w:val="C0504D" w:themeColor="accent2"/>
      <w:spacing w:val="5"/>
      <w:u w:val="none"/>
    </w:rPr>
  </w:style>
  <w:style w:type="paragraph" w:customStyle="1" w:styleId="PBACBullets">
    <w:name w:val="PBAC Bullets"/>
    <w:basedOn w:val="Normal"/>
    <w:qFormat/>
    <w:rsid w:val="00224826"/>
    <w:pPr>
      <w:numPr>
        <w:numId w:val="24"/>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A"/>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C95091"/>
    <w:rPr>
      <w:color w:val="800080" w:themeColor="followedHyperlink"/>
      <w:u w:val="single"/>
    </w:rPr>
  </w:style>
  <w:style w:type="paragraph" w:customStyle="1" w:styleId="xl65">
    <w:name w:val="xl65"/>
    <w:basedOn w:val="Normal"/>
    <w:rsid w:val="00B8486F"/>
    <w:pPr>
      <w:spacing w:before="100" w:beforeAutospacing="1" w:after="100" w:afterAutospacing="1"/>
      <w:textAlignment w:val="top"/>
    </w:pPr>
    <w:rPr>
      <w:rFonts w:ascii="Arial Narrow" w:eastAsia="Times New Roman" w:hAnsi="Arial Narrow" w:cs="Times New Roman"/>
      <w:sz w:val="20"/>
      <w:szCs w:val="20"/>
    </w:rPr>
  </w:style>
  <w:style w:type="paragraph" w:customStyle="1" w:styleId="xl66">
    <w:name w:val="xl66"/>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7">
    <w:name w:val="xl67"/>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8">
    <w:name w:val="xl68"/>
    <w:basedOn w:val="Normal"/>
    <w:rsid w:val="00B848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69">
    <w:name w:val="xl69"/>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0">
    <w:name w:val="xl70"/>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1">
    <w:name w:val="xl71"/>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72">
    <w:name w:val="xl72"/>
    <w:basedOn w:val="Normal"/>
    <w:rsid w:val="002865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character" w:styleId="Strong">
    <w:name w:val="Strong"/>
    <w:basedOn w:val="DefaultParagraphFont"/>
    <w:uiPriority w:val="22"/>
    <w:qFormat/>
    <w:rsid w:val="00913A0C"/>
    <w:rPr>
      <w:b/>
      <w:bCs/>
    </w:rPr>
  </w:style>
  <w:style w:type="character" w:customStyle="1" w:styleId="apple-converted-space">
    <w:name w:val="apple-converted-space"/>
    <w:basedOn w:val="DefaultParagraphFont"/>
    <w:rsid w:val="00913A0C"/>
  </w:style>
  <w:style w:type="paragraph" w:styleId="NormalWeb">
    <w:name w:val="Normal (Web)"/>
    <w:basedOn w:val="Normal"/>
    <w:uiPriority w:val="99"/>
    <w:semiHidden/>
    <w:unhideWhenUsed/>
    <w:rsid w:val="00DA094B"/>
    <w:pPr>
      <w:spacing w:before="100" w:beforeAutospacing="1" w:after="100" w:afterAutospacing="1"/>
    </w:pPr>
    <w:rPr>
      <w:rFonts w:ascii="Times New Roman" w:eastAsia="Times New Roman" w:hAnsi="Times New Roman" w:cs="Times New Roman"/>
    </w:rPr>
  </w:style>
  <w:style w:type="character" w:styleId="IntenseReference">
    <w:name w:val="Intense Reference"/>
    <w:basedOn w:val="DefaultParagraphFont"/>
    <w:uiPriority w:val="32"/>
    <w:qFormat/>
    <w:rsid w:val="00BE6ED0"/>
    <w:rPr>
      <w:b/>
      <w:bCs/>
      <w:i/>
      <w:smallCaps/>
      <w:color w:val="C0504D" w:themeColor="accent2"/>
      <w:spacing w:val="5"/>
      <w:u w:val="none"/>
    </w:rPr>
  </w:style>
  <w:style w:type="paragraph" w:customStyle="1" w:styleId="PBACBullets">
    <w:name w:val="PBAC Bullets"/>
    <w:basedOn w:val="Normal"/>
    <w:qFormat/>
    <w:rsid w:val="00224826"/>
    <w:pPr>
      <w:numPr>
        <w:numId w:val="24"/>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8">
      <w:bodyDiv w:val="1"/>
      <w:marLeft w:val="0"/>
      <w:marRight w:val="0"/>
      <w:marTop w:val="0"/>
      <w:marBottom w:val="0"/>
      <w:divBdr>
        <w:top w:val="none" w:sz="0" w:space="0" w:color="auto"/>
        <w:left w:val="none" w:sz="0" w:space="0" w:color="auto"/>
        <w:bottom w:val="none" w:sz="0" w:space="0" w:color="auto"/>
        <w:right w:val="none" w:sz="0" w:space="0" w:color="auto"/>
      </w:divBdr>
    </w:div>
    <w:div w:id="65491853">
      <w:bodyDiv w:val="1"/>
      <w:marLeft w:val="0"/>
      <w:marRight w:val="0"/>
      <w:marTop w:val="0"/>
      <w:marBottom w:val="0"/>
      <w:divBdr>
        <w:top w:val="none" w:sz="0" w:space="0" w:color="auto"/>
        <w:left w:val="none" w:sz="0" w:space="0" w:color="auto"/>
        <w:bottom w:val="none" w:sz="0" w:space="0" w:color="auto"/>
        <w:right w:val="none" w:sz="0" w:space="0" w:color="auto"/>
      </w:divBdr>
    </w:div>
    <w:div w:id="181095948">
      <w:bodyDiv w:val="1"/>
      <w:marLeft w:val="0"/>
      <w:marRight w:val="0"/>
      <w:marTop w:val="0"/>
      <w:marBottom w:val="0"/>
      <w:divBdr>
        <w:top w:val="none" w:sz="0" w:space="0" w:color="auto"/>
        <w:left w:val="none" w:sz="0" w:space="0" w:color="auto"/>
        <w:bottom w:val="none" w:sz="0" w:space="0" w:color="auto"/>
        <w:right w:val="none" w:sz="0" w:space="0" w:color="auto"/>
      </w:divBdr>
    </w:div>
    <w:div w:id="198056576">
      <w:bodyDiv w:val="1"/>
      <w:marLeft w:val="0"/>
      <w:marRight w:val="0"/>
      <w:marTop w:val="0"/>
      <w:marBottom w:val="0"/>
      <w:divBdr>
        <w:top w:val="none" w:sz="0" w:space="0" w:color="auto"/>
        <w:left w:val="none" w:sz="0" w:space="0" w:color="auto"/>
        <w:bottom w:val="none" w:sz="0" w:space="0" w:color="auto"/>
        <w:right w:val="none" w:sz="0" w:space="0" w:color="auto"/>
      </w:divBdr>
    </w:div>
    <w:div w:id="226841997">
      <w:bodyDiv w:val="1"/>
      <w:marLeft w:val="0"/>
      <w:marRight w:val="0"/>
      <w:marTop w:val="0"/>
      <w:marBottom w:val="0"/>
      <w:divBdr>
        <w:top w:val="none" w:sz="0" w:space="0" w:color="auto"/>
        <w:left w:val="none" w:sz="0" w:space="0" w:color="auto"/>
        <w:bottom w:val="none" w:sz="0" w:space="0" w:color="auto"/>
        <w:right w:val="none" w:sz="0" w:space="0" w:color="auto"/>
      </w:divBdr>
    </w:div>
    <w:div w:id="296301572">
      <w:bodyDiv w:val="1"/>
      <w:marLeft w:val="0"/>
      <w:marRight w:val="0"/>
      <w:marTop w:val="0"/>
      <w:marBottom w:val="0"/>
      <w:divBdr>
        <w:top w:val="none" w:sz="0" w:space="0" w:color="auto"/>
        <w:left w:val="none" w:sz="0" w:space="0" w:color="auto"/>
        <w:bottom w:val="none" w:sz="0" w:space="0" w:color="auto"/>
        <w:right w:val="none" w:sz="0" w:space="0" w:color="auto"/>
      </w:divBdr>
    </w:div>
    <w:div w:id="318582869">
      <w:bodyDiv w:val="1"/>
      <w:marLeft w:val="0"/>
      <w:marRight w:val="0"/>
      <w:marTop w:val="0"/>
      <w:marBottom w:val="0"/>
      <w:divBdr>
        <w:top w:val="none" w:sz="0" w:space="0" w:color="auto"/>
        <w:left w:val="none" w:sz="0" w:space="0" w:color="auto"/>
        <w:bottom w:val="none" w:sz="0" w:space="0" w:color="auto"/>
        <w:right w:val="none" w:sz="0" w:space="0" w:color="auto"/>
      </w:divBdr>
    </w:div>
    <w:div w:id="39474411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6583202">
      <w:bodyDiv w:val="1"/>
      <w:marLeft w:val="0"/>
      <w:marRight w:val="0"/>
      <w:marTop w:val="0"/>
      <w:marBottom w:val="0"/>
      <w:divBdr>
        <w:top w:val="none" w:sz="0" w:space="0" w:color="auto"/>
        <w:left w:val="none" w:sz="0" w:space="0" w:color="auto"/>
        <w:bottom w:val="none" w:sz="0" w:space="0" w:color="auto"/>
        <w:right w:val="none" w:sz="0" w:space="0" w:color="auto"/>
      </w:divBdr>
    </w:div>
    <w:div w:id="855080210">
      <w:bodyDiv w:val="1"/>
      <w:marLeft w:val="0"/>
      <w:marRight w:val="0"/>
      <w:marTop w:val="0"/>
      <w:marBottom w:val="0"/>
      <w:divBdr>
        <w:top w:val="none" w:sz="0" w:space="0" w:color="auto"/>
        <w:left w:val="none" w:sz="0" w:space="0" w:color="auto"/>
        <w:bottom w:val="none" w:sz="0" w:space="0" w:color="auto"/>
        <w:right w:val="none" w:sz="0" w:space="0" w:color="auto"/>
      </w:divBdr>
    </w:div>
    <w:div w:id="893124907">
      <w:bodyDiv w:val="1"/>
      <w:marLeft w:val="0"/>
      <w:marRight w:val="0"/>
      <w:marTop w:val="0"/>
      <w:marBottom w:val="0"/>
      <w:divBdr>
        <w:top w:val="none" w:sz="0" w:space="0" w:color="auto"/>
        <w:left w:val="none" w:sz="0" w:space="0" w:color="auto"/>
        <w:bottom w:val="none" w:sz="0" w:space="0" w:color="auto"/>
        <w:right w:val="none" w:sz="0" w:space="0" w:color="auto"/>
      </w:divBdr>
    </w:div>
    <w:div w:id="896207305">
      <w:bodyDiv w:val="1"/>
      <w:marLeft w:val="0"/>
      <w:marRight w:val="0"/>
      <w:marTop w:val="0"/>
      <w:marBottom w:val="0"/>
      <w:divBdr>
        <w:top w:val="none" w:sz="0" w:space="0" w:color="auto"/>
        <w:left w:val="none" w:sz="0" w:space="0" w:color="auto"/>
        <w:bottom w:val="none" w:sz="0" w:space="0" w:color="auto"/>
        <w:right w:val="none" w:sz="0" w:space="0" w:color="auto"/>
      </w:divBdr>
    </w:div>
    <w:div w:id="966620883">
      <w:bodyDiv w:val="1"/>
      <w:marLeft w:val="0"/>
      <w:marRight w:val="0"/>
      <w:marTop w:val="0"/>
      <w:marBottom w:val="0"/>
      <w:divBdr>
        <w:top w:val="none" w:sz="0" w:space="0" w:color="auto"/>
        <w:left w:val="none" w:sz="0" w:space="0" w:color="auto"/>
        <w:bottom w:val="none" w:sz="0" w:space="0" w:color="auto"/>
        <w:right w:val="none" w:sz="0" w:space="0" w:color="auto"/>
      </w:divBdr>
    </w:div>
    <w:div w:id="97225057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75220783">
      <w:bodyDiv w:val="1"/>
      <w:marLeft w:val="0"/>
      <w:marRight w:val="0"/>
      <w:marTop w:val="0"/>
      <w:marBottom w:val="0"/>
      <w:divBdr>
        <w:top w:val="none" w:sz="0" w:space="0" w:color="auto"/>
        <w:left w:val="none" w:sz="0" w:space="0" w:color="auto"/>
        <w:bottom w:val="none" w:sz="0" w:space="0" w:color="auto"/>
        <w:right w:val="none" w:sz="0" w:space="0" w:color="auto"/>
      </w:divBdr>
    </w:div>
    <w:div w:id="1365524468">
      <w:bodyDiv w:val="1"/>
      <w:marLeft w:val="0"/>
      <w:marRight w:val="0"/>
      <w:marTop w:val="0"/>
      <w:marBottom w:val="0"/>
      <w:divBdr>
        <w:top w:val="none" w:sz="0" w:space="0" w:color="auto"/>
        <w:left w:val="none" w:sz="0" w:space="0" w:color="auto"/>
        <w:bottom w:val="none" w:sz="0" w:space="0" w:color="auto"/>
        <w:right w:val="none" w:sz="0" w:space="0" w:color="auto"/>
      </w:divBdr>
    </w:div>
    <w:div w:id="1458522155">
      <w:bodyDiv w:val="1"/>
      <w:marLeft w:val="0"/>
      <w:marRight w:val="0"/>
      <w:marTop w:val="0"/>
      <w:marBottom w:val="0"/>
      <w:divBdr>
        <w:top w:val="none" w:sz="0" w:space="0" w:color="auto"/>
        <w:left w:val="none" w:sz="0" w:space="0" w:color="auto"/>
        <w:bottom w:val="none" w:sz="0" w:space="0" w:color="auto"/>
        <w:right w:val="none" w:sz="0" w:space="0" w:color="auto"/>
      </w:divBdr>
    </w:div>
    <w:div w:id="1650138074">
      <w:bodyDiv w:val="1"/>
      <w:marLeft w:val="0"/>
      <w:marRight w:val="0"/>
      <w:marTop w:val="0"/>
      <w:marBottom w:val="0"/>
      <w:divBdr>
        <w:top w:val="none" w:sz="0" w:space="0" w:color="auto"/>
        <w:left w:val="none" w:sz="0" w:space="0" w:color="auto"/>
        <w:bottom w:val="none" w:sz="0" w:space="0" w:color="auto"/>
        <w:right w:val="none" w:sz="0" w:space="0" w:color="auto"/>
      </w:divBdr>
    </w:div>
    <w:div w:id="1711762400">
      <w:bodyDiv w:val="1"/>
      <w:marLeft w:val="0"/>
      <w:marRight w:val="0"/>
      <w:marTop w:val="0"/>
      <w:marBottom w:val="0"/>
      <w:divBdr>
        <w:top w:val="none" w:sz="0" w:space="0" w:color="auto"/>
        <w:left w:val="none" w:sz="0" w:space="0" w:color="auto"/>
        <w:bottom w:val="none" w:sz="0" w:space="0" w:color="auto"/>
        <w:right w:val="none" w:sz="0" w:space="0" w:color="auto"/>
      </w:divBdr>
    </w:div>
    <w:div w:id="1890996827">
      <w:bodyDiv w:val="1"/>
      <w:marLeft w:val="0"/>
      <w:marRight w:val="0"/>
      <w:marTop w:val="0"/>
      <w:marBottom w:val="0"/>
      <w:divBdr>
        <w:top w:val="none" w:sz="0" w:space="0" w:color="auto"/>
        <w:left w:val="none" w:sz="0" w:space="0" w:color="auto"/>
        <w:bottom w:val="none" w:sz="0" w:space="0" w:color="auto"/>
        <w:right w:val="none" w:sz="0" w:space="0" w:color="auto"/>
      </w:divBdr>
    </w:div>
    <w:div w:id="1896231850">
      <w:bodyDiv w:val="1"/>
      <w:marLeft w:val="0"/>
      <w:marRight w:val="0"/>
      <w:marTop w:val="0"/>
      <w:marBottom w:val="0"/>
      <w:divBdr>
        <w:top w:val="none" w:sz="0" w:space="0" w:color="auto"/>
        <w:left w:val="none" w:sz="0" w:space="0" w:color="auto"/>
        <w:bottom w:val="none" w:sz="0" w:space="0" w:color="auto"/>
        <w:right w:val="none" w:sz="0" w:space="0" w:color="auto"/>
      </w:divBdr>
    </w:div>
    <w:div w:id="1905752291">
      <w:bodyDiv w:val="1"/>
      <w:marLeft w:val="0"/>
      <w:marRight w:val="0"/>
      <w:marTop w:val="0"/>
      <w:marBottom w:val="0"/>
      <w:divBdr>
        <w:top w:val="none" w:sz="0" w:space="0" w:color="auto"/>
        <w:left w:val="none" w:sz="0" w:space="0" w:color="auto"/>
        <w:bottom w:val="none" w:sz="0" w:space="0" w:color="auto"/>
        <w:right w:val="none" w:sz="0" w:space="0" w:color="auto"/>
      </w:divBdr>
    </w:div>
    <w:div w:id="1917786169">
      <w:bodyDiv w:val="1"/>
      <w:marLeft w:val="0"/>
      <w:marRight w:val="0"/>
      <w:marTop w:val="0"/>
      <w:marBottom w:val="0"/>
      <w:divBdr>
        <w:top w:val="none" w:sz="0" w:space="0" w:color="auto"/>
        <w:left w:val="none" w:sz="0" w:space="0" w:color="auto"/>
        <w:bottom w:val="none" w:sz="0" w:space="0" w:color="auto"/>
        <w:right w:val="none" w:sz="0" w:space="0" w:color="auto"/>
      </w:divBdr>
    </w:div>
    <w:div w:id="1935743344">
      <w:bodyDiv w:val="1"/>
      <w:marLeft w:val="0"/>
      <w:marRight w:val="0"/>
      <w:marTop w:val="0"/>
      <w:marBottom w:val="0"/>
      <w:divBdr>
        <w:top w:val="none" w:sz="0" w:space="0" w:color="auto"/>
        <w:left w:val="none" w:sz="0" w:space="0" w:color="auto"/>
        <w:bottom w:val="none" w:sz="0" w:space="0" w:color="auto"/>
        <w:right w:val="none" w:sz="0" w:space="0" w:color="auto"/>
      </w:divBdr>
    </w:div>
    <w:div w:id="1956055664">
      <w:bodyDiv w:val="1"/>
      <w:marLeft w:val="0"/>
      <w:marRight w:val="0"/>
      <w:marTop w:val="0"/>
      <w:marBottom w:val="0"/>
      <w:divBdr>
        <w:top w:val="none" w:sz="0" w:space="0" w:color="auto"/>
        <w:left w:val="none" w:sz="0" w:space="0" w:color="auto"/>
        <w:bottom w:val="none" w:sz="0" w:space="0" w:color="auto"/>
        <w:right w:val="none" w:sz="0" w:space="0" w:color="auto"/>
      </w:divBdr>
    </w:div>
    <w:div w:id="1957254224">
      <w:bodyDiv w:val="1"/>
      <w:marLeft w:val="0"/>
      <w:marRight w:val="0"/>
      <w:marTop w:val="0"/>
      <w:marBottom w:val="0"/>
      <w:divBdr>
        <w:top w:val="none" w:sz="0" w:space="0" w:color="auto"/>
        <w:left w:val="none" w:sz="0" w:space="0" w:color="auto"/>
        <w:bottom w:val="none" w:sz="0" w:space="0" w:color="auto"/>
        <w:right w:val="none" w:sz="0" w:space="0" w:color="auto"/>
      </w:divBdr>
    </w:div>
    <w:div w:id="2002613859">
      <w:bodyDiv w:val="1"/>
      <w:marLeft w:val="0"/>
      <w:marRight w:val="0"/>
      <w:marTop w:val="0"/>
      <w:marBottom w:val="0"/>
      <w:divBdr>
        <w:top w:val="none" w:sz="0" w:space="0" w:color="auto"/>
        <w:left w:val="none" w:sz="0" w:space="0" w:color="auto"/>
        <w:bottom w:val="none" w:sz="0" w:space="0" w:color="auto"/>
        <w:right w:val="none" w:sz="0" w:space="0" w:color="auto"/>
      </w:divBdr>
    </w:div>
    <w:div w:id="2127187487">
      <w:bodyDiv w:val="1"/>
      <w:marLeft w:val="0"/>
      <w:marRight w:val="0"/>
      <w:marTop w:val="0"/>
      <w:marBottom w:val="0"/>
      <w:divBdr>
        <w:top w:val="none" w:sz="0" w:space="0" w:color="auto"/>
        <w:left w:val="none" w:sz="0" w:space="0" w:color="auto"/>
        <w:bottom w:val="none" w:sz="0" w:space="0" w:color="auto"/>
        <w:right w:val="none" w:sz="0" w:space="0" w:color="auto"/>
      </w:divBdr>
    </w:div>
    <w:div w:id="21299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3.png"/><Relationship Id="rId42" Type="http://schemas.openxmlformats.org/officeDocument/2006/relationships/hyperlink" Target="http://www.pbs.gov.au/browse/manufacturer/os" TargetMode="External"/><Relationship Id="rId47" Type="http://schemas.openxmlformats.org/officeDocument/2006/relationships/hyperlink" Target="http://www.pbs.gov.au/browse/manufacturer/hh" TargetMode="External"/><Relationship Id="rId63" Type="http://schemas.openxmlformats.org/officeDocument/2006/relationships/hyperlink" Target="http://www.pbs.gov.au/browse/manufacturer/gq" TargetMode="External"/><Relationship Id="rId68" Type="http://schemas.openxmlformats.org/officeDocument/2006/relationships/hyperlink" Target="http://www.pbs.gov.au/browse/manufacturer/af" TargetMode="External"/><Relationship Id="rId84" Type="http://schemas.openxmlformats.org/officeDocument/2006/relationships/hyperlink" Target="http://www.pbs.gov.au/browse/manufacturer/sz" TargetMode="External"/><Relationship Id="rId89" Type="http://schemas.openxmlformats.org/officeDocument/2006/relationships/hyperlink" Target="http://www.pbs.gov.au/browse/manufacturer/ra" TargetMode="External"/><Relationship Id="rId7" Type="http://schemas.openxmlformats.org/officeDocument/2006/relationships/footnotes" Target="footnotes.xml"/><Relationship Id="rId71" Type="http://schemas.openxmlformats.org/officeDocument/2006/relationships/hyperlink" Target="http://www.pbs.gov.au/browse/manufacturer/ly" TargetMode="External"/><Relationship Id="rId92" Type="http://schemas.openxmlformats.org/officeDocument/2006/relationships/hyperlink" Target="http://www.pbs.gov.au/browse/manufacturer/jc" TargetMode="External"/><Relationship Id="rId2" Type="http://schemas.openxmlformats.org/officeDocument/2006/relationships/numbering" Target="numbering.xml"/><Relationship Id="rId16" Type="http://schemas.openxmlformats.org/officeDocument/2006/relationships/hyperlink" Target="http://www.pbs.gov.au/info/industry/listing/participants/public-release-docs/antipsychotics-children-adolescents-2013" TargetMode="External"/><Relationship Id="rId29" Type="http://schemas.openxmlformats.org/officeDocument/2006/relationships/footer" Target="footer2.xml"/><Relationship Id="rId11" Type="http://schemas.openxmlformats.org/officeDocument/2006/relationships/hyperlink" Target="http://tga.gov.au/hp/information-medicines-pi.htm" TargetMode="External"/><Relationship Id="rId24" Type="http://schemas.openxmlformats.org/officeDocument/2006/relationships/image" Target="media/image6.png"/><Relationship Id="rId32" Type="http://schemas.openxmlformats.org/officeDocument/2006/relationships/hyperlink" Target="http://www.pbs.gov.au/browse/manufacturer/wa" TargetMode="External"/><Relationship Id="rId37" Type="http://schemas.openxmlformats.org/officeDocument/2006/relationships/hyperlink" Target="http://www.pbs.gov.au/browse/manufacturer/sw" TargetMode="External"/><Relationship Id="rId40" Type="http://schemas.openxmlformats.org/officeDocument/2006/relationships/hyperlink" Target="http://www.pbs.gov.au/browse/manufacturer/sw" TargetMode="External"/><Relationship Id="rId45" Type="http://schemas.openxmlformats.org/officeDocument/2006/relationships/hyperlink" Target="http://www.pbs.gov.au/browse/manufacturer/hh" TargetMode="External"/><Relationship Id="rId53" Type="http://schemas.openxmlformats.org/officeDocument/2006/relationships/hyperlink" Target="http://www.pbs.gov.au/browse/manufacturer/se" TargetMode="External"/><Relationship Id="rId58" Type="http://schemas.openxmlformats.org/officeDocument/2006/relationships/hyperlink" Target="http://www.pbs.gov.au/browse/manufacturer/el" TargetMode="External"/><Relationship Id="rId66" Type="http://schemas.openxmlformats.org/officeDocument/2006/relationships/hyperlink" Target="http://www.pbs.gov.au/browse/manufacturer/tw" TargetMode="External"/><Relationship Id="rId74" Type="http://schemas.openxmlformats.org/officeDocument/2006/relationships/hyperlink" Target="http://www.pbs.gov.au/browse/manufacturer/jc" TargetMode="External"/><Relationship Id="rId79" Type="http://schemas.openxmlformats.org/officeDocument/2006/relationships/hyperlink" Target="http://www.pbs.gov.au/browse/manufacturer/cr" TargetMode="External"/><Relationship Id="rId87" Type="http://schemas.openxmlformats.org/officeDocument/2006/relationships/hyperlink" Target="http://www.pbs.gov.au/browse/manufacturer/tw"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pbs.gov.au/browse/manufacturer/ea" TargetMode="External"/><Relationship Id="rId82" Type="http://schemas.openxmlformats.org/officeDocument/2006/relationships/hyperlink" Target="http://www.pbs.gov.au/browse/manufacturer/rz" TargetMode="External"/><Relationship Id="rId90" Type="http://schemas.openxmlformats.org/officeDocument/2006/relationships/hyperlink" Target="http://www.pbs.gov.au/browse/manufacturer/rw" TargetMode="External"/><Relationship Id="rId95" Type="http://schemas.openxmlformats.org/officeDocument/2006/relationships/hyperlink" Target="http://www.pbs.gov.au/browse/manufacturer/gq" TargetMode="External"/><Relationship Id="rId19" Type="http://schemas.openxmlformats.org/officeDocument/2006/relationships/image" Target="media/image1.png"/><Relationship Id="rId14" Type="http://schemas.openxmlformats.org/officeDocument/2006/relationships/hyperlink" Target="http://www.pbs.gov.au/"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3.xml"/><Relationship Id="rId35" Type="http://schemas.openxmlformats.org/officeDocument/2006/relationships/hyperlink" Target="http://www.pbs.gov.au/browse/manufacturer/sz" TargetMode="External"/><Relationship Id="rId43" Type="http://schemas.openxmlformats.org/officeDocument/2006/relationships/hyperlink" Target="http://www.pbs.gov.au/browse/manufacturer/lu" TargetMode="External"/><Relationship Id="rId48" Type="http://schemas.openxmlformats.org/officeDocument/2006/relationships/hyperlink" Target="http://www.pbs.gov.au/browse/manufacturer/hh" TargetMode="External"/><Relationship Id="rId56" Type="http://schemas.openxmlformats.org/officeDocument/2006/relationships/hyperlink" Target="http://www.pbs.gov.au/browse/manufacturer/ch" TargetMode="External"/><Relationship Id="rId64" Type="http://schemas.openxmlformats.org/officeDocument/2006/relationships/hyperlink" Target="http://www.pbs.gov.au/browse/manufacturer/ra" TargetMode="External"/><Relationship Id="rId69" Type="http://schemas.openxmlformats.org/officeDocument/2006/relationships/hyperlink" Target="http://www.pbs.gov.au/browse/manufacturer/af" TargetMode="External"/><Relationship Id="rId77" Type="http://schemas.openxmlformats.org/officeDocument/2006/relationships/hyperlink" Target="http://www.pbs.gov.au/browse/manufacturer/do" TargetMode="External"/><Relationship Id="rId100" Type="http://schemas.openxmlformats.org/officeDocument/2006/relationships/hyperlink" Target="http://www.pbs.gov.au/browse/manufacturer/pf" TargetMode="External"/><Relationship Id="rId8" Type="http://schemas.openxmlformats.org/officeDocument/2006/relationships/endnotes" Target="endnotes.xml"/><Relationship Id="rId51" Type="http://schemas.openxmlformats.org/officeDocument/2006/relationships/hyperlink" Target="http://www.pbs.gov.au/browse/manufacturer/nv" TargetMode="External"/><Relationship Id="rId72" Type="http://schemas.openxmlformats.org/officeDocument/2006/relationships/hyperlink" Target="http://www.pbs.gov.au/browse/manufacturer/ly" TargetMode="External"/><Relationship Id="rId80" Type="http://schemas.openxmlformats.org/officeDocument/2006/relationships/hyperlink" Target="http://www.pbs.gov.au/browse/manufacturer/ef" TargetMode="External"/><Relationship Id="rId85" Type="http://schemas.openxmlformats.org/officeDocument/2006/relationships/hyperlink" Target="http://www.pbs.gov.au/browse/manufacturer/ap" TargetMode="External"/><Relationship Id="rId93" Type="http://schemas.openxmlformats.org/officeDocument/2006/relationships/hyperlink" Target="http://www.pbs.gov.au/browse/manufacturer/ef" TargetMode="External"/><Relationship Id="rId98" Type="http://schemas.openxmlformats.org/officeDocument/2006/relationships/hyperlink" Target="http://www.pbs.gov.au/browse/manufacturer/af" TargetMode="External"/><Relationship Id="rId3" Type="http://schemas.openxmlformats.org/officeDocument/2006/relationships/styles" Target="styles.xml"/><Relationship Id="rId12" Type="http://schemas.openxmlformats.org/officeDocument/2006/relationships/hyperlink" Target="http://www.tga.gov.au/consumers/information-medicines-cmi.htm" TargetMode="External"/><Relationship Id="rId17" Type="http://schemas.openxmlformats.org/officeDocument/2006/relationships/hyperlink" Target="http://www.pbs.gov.au/info/industry/listing/participants/public-release-docs/antipsychotics-middle-aged-2013" TargetMode="External"/><Relationship Id="rId25" Type="http://schemas.openxmlformats.org/officeDocument/2006/relationships/image" Target="media/image7.png"/><Relationship Id="rId33" Type="http://schemas.openxmlformats.org/officeDocument/2006/relationships/hyperlink" Target="http://www.pbs.gov.au/browse/manufacturer/wa" TargetMode="External"/><Relationship Id="rId38" Type="http://schemas.openxmlformats.org/officeDocument/2006/relationships/hyperlink" Target="http://www.pbs.gov.au/browse/manufacturer/sw" TargetMode="External"/><Relationship Id="rId46" Type="http://schemas.openxmlformats.org/officeDocument/2006/relationships/hyperlink" Target="http://www.pbs.gov.au/browse/manufacturer/hh" TargetMode="External"/><Relationship Id="rId59" Type="http://schemas.openxmlformats.org/officeDocument/2006/relationships/hyperlink" Target="http://www.pbs.gov.au/browse/manufacturer/rz" TargetMode="External"/><Relationship Id="rId67" Type="http://schemas.openxmlformats.org/officeDocument/2006/relationships/hyperlink" Target="http://www.pbs.gov.au/browse/manufacturer/tw" TargetMode="External"/><Relationship Id="rId103"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www.pbs.gov.au/browse/manufacturer/af" TargetMode="External"/><Relationship Id="rId54" Type="http://schemas.openxmlformats.org/officeDocument/2006/relationships/hyperlink" Target="http://www.pbs.gov.au/browse/manufacturer/tx" TargetMode="External"/><Relationship Id="rId62" Type="http://schemas.openxmlformats.org/officeDocument/2006/relationships/hyperlink" Target="http://www.pbs.gov.au/browse/manufacturer/ed" TargetMode="External"/><Relationship Id="rId70" Type="http://schemas.openxmlformats.org/officeDocument/2006/relationships/hyperlink" Target="http://www.pbs.gov.au/browse/manufacturer/ly" TargetMode="External"/><Relationship Id="rId75" Type="http://schemas.openxmlformats.org/officeDocument/2006/relationships/hyperlink" Target="http://www.pbs.gov.au/browse/manufacturer/tx" TargetMode="External"/><Relationship Id="rId83" Type="http://schemas.openxmlformats.org/officeDocument/2006/relationships/hyperlink" Target="http://www.pbs.gov.au/browse/manufacturer/ra" TargetMode="External"/><Relationship Id="rId88" Type="http://schemas.openxmlformats.org/officeDocument/2006/relationships/hyperlink" Target="http://www.pbs.gov.au/browse/manufacturer/tx" TargetMode="External"/><Relationship Id="rId91" Type="http://schemas.openxmlformats.org/officeDocument/2006/relationships/hyperlink" Target="http://www.pbs.gov.au/browse/manufacturer/jc" TargetMode="External"/><Relationship Id="rId96" Type="http://schemas.openxmlformats.org/officeDocument/2006/relationships/hyperlink" Target="http://www.pbs.gov.au/browse/manufacturer/sz"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entral.health\DFSGroupData\Sites\CO1\CO\PBD\PEB\EVAL\DUSC\DUSC%20Documents\Predicted%20vs%20actual%20usage\pbs.gov.au" TargetMode="External"/><Relationship Id="rId23" Type="http://schemas.openxmlformats.org/officeDocument/2006/relationships/image" Target="media/image5.png"/><Relationship Id="rId28" Type="http://schemas.openxmlformats.org/officeDocument/2006/relationships/footer" Target="footer1.xml"/><Relationship Id="rId36" Type="http://schemas.openxmlformats.org/officeDocument/2006/relationships/hyperlink" Target="http://www.pbs.gov.au/browse/manufacturer/tx" TargetMode="External"/><Relationship Id="rId49" Type="http://schemas.openxmlformats.org/officeDocument/2006/relationships/hyperlink" Target="http://www.pbs.gov.au/browse/manufacturer/hh" TargetMode="External"/><Relationship Id="rId57" Type="http://schemas.openxmlformats.org/officeDocument/2006/relationships/hyperlink" Target="http://www.pbs.gov.au/browse/manufacturer/el" TargetMode="External"/><Relationship Id="rId10" Type="http://schemas.openxmlformats.org/officeDocument/2006/relationships/hyperlink" Target="https://www.tga.gov.au/product-information-pi" TargetMode="External"/><Relationship Id="rId31" Type="http://schemas.openxmlformats.org/officeDocument/2006/relationships/hyperlink" Target="http://www.pbs.gov.au/browse/manufacturer/rw" TargetMode="External"/><Relationship Id="rId44" Type="http://schemas.openxmlformats.org/officeDocument/2006/relationships/hyperlink" Target="http://www.pbs.gov.au/browse/manufacturer/lu" TargetMode="External"/><Relationship Id="rId52" Type="http://schemas.openxmlformats.org/officeDocument/2006/relationships/hyperlink" Target="http://www.pbs.gov.au/browse/manufacturer/nv" TargetMode="External"/><Relationship Id="rId60" Type="http://schemas.openxmlformats.org/officeDocument/2006/relationships/hyperlink" Target="http://www.pbs.gov.au/browse/manufacturer/ea" TargetMode="External"/><Relationship Id="rId65" Type="http://schemas.openxmlformats.org/officeDocument/2006/relationships/hyperlink" Target="http://www.pbs.gov.au/browse/manufacturer/ra" TargetMode="External"/><Relationship Id="rId73" Type="http://schemas.openxmlformats.org/officeDocument/2006/relationships/hyperlink" Target="http://www.pbs.gov.au/browse/manufacturer/jc" TargetMode="External"/><Relationship Id="rId78" Type="http://schemas.openxmlformats.org/officeDocument/2006/relationships/hyperlink" Target="http://www.pbs.gov.au/browse/manufacturer/er" TargetMode="External"/><Relationship Id="rId81" Type="http://schemas.openxmlformats.org/officeDocument/2006/relationships/hyperlink" Target="http://www.pbs.gov.au/browse/manufacturer/ea" TargetMode="External"/><Relationship Id="rId86" Type="http://schemas.openxmlformats.org/officeDocument/2006/relationships/hyperlink" Target="http://www.pbs.gov.au/browse/manufacturer/af" TargetMode="External"/><Relationship Id="rId94" Type="http://schemas.openxmlformats.org/officeDocument/2006/relationships/hyperlink" Target="http://www.pbs.gov.au/browse/manufacturer/ea" TargetMode="External"/><Relationship Id="rId99" Type="http://schemas.openxmlformats.org/officeDocument/2006/relationships/hyperlink" Target="http://www.pbs.gov.au/browse/manufacturer/tx" TargetMode="External"/><Relationship Id="rId101" Type="http://schemas.openxmlformats.org/officeDocument/2006/relationships/hyperlink" Target="http://www.pbs.gov.au/pbs/home"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psd/2013-08/antipsychotics" TargetMode="External"/><Relationship Id="rId13" Type="http://schemas.openxmlformats.org/officeDocument/2006/relationships/hyperlink" Target="https://www.tga.gov.au/australian-register-therapeutic-goods" TargetMode="External"/><Relationship Id="rId18" Type="http://schemas.openxmlformats.org/officeDocument/2006/relationships/hyperlink" Target="http://www.pbs.gov.au/info/industry/listing/participants/public-release-docs/dusc-public-release-documents-by-medicine" TargetMode="External"/><Relationship Id="rId39" Type="http://schemas.openxmlformats.org/officeDocument/2006/relationships/hyperlink" Target="http://www.pbs.gov.au/browse/manufacturer/sw" TargetMode="External"/><Relationship Id="rId34" Type="http://schemas.openxmlformats.org/officeDocument/2006/relationships/hyperlink" Target="http://www.pbs.gov.au/browse/manufacturer/wa" TargetMode="External"/><Relationship Id="rId50" Type="http://schemas.openxmlformats.org/officeDocument/2006/relationships/hyperlink" Target="http://www.pbs.gov.au/browse/manufacturer/hh" TargetMode="External"/><Relationship Id="rId55" Type="http://schemas.openxmlformats.org/officeDocument/2006/relationships/hyperlink" Target="http://www.pbs.gov.au/browse/manufacturer/ch" TargetMode="External"/><Relationship Id="rId76" Type="http://schemas.openxmlformats.org/officeDocument/2006/relationships/hyperlink" Target="http://www.pbs.gov.au/browse/manufacturer/ch" TargetMode="External"/><Relationship Id="rId97" Type="http://schemas.openxmlformats.org/officeDocument/2006/relationships/hyperlink" Target="http://www.pbs.gov.au/browse/manufacturer/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ihw.gov.au/WorkArea/DownloadAsset.aspx?id=10737420130" TargetMode="External"/><Relationship Id="rId2" Type="http://schemas.openxmlformats.org/officeDocument/2006/relationships/hyperlink" Target="http://www.aihw.gov.au/WorkArea/DownloadAsset.aspx?id=10737420130" TargetMode="External"/><Relationship Id="rId1" Type="http://schemas.openxmlformats.org/officeDocument/2006/relationships/hyperlink" Target="http://www.medicareaustralia.gov.au/provider/pbs/stats.jsp" TargetMode="External"/><Relationship Id="rId4" Type="http://schemas.openxmlformats.org/officeDocument/2006/relationships/hyperlink" Target="http://www.aihw.gov.au/WorkArea/DownloadAsset.aspx?id=1073742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E331-5167-4B6A-98C0-C3906074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12478</Words>
  <Characters>71131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2017-02-14T23:57:00Z</dcterms:created>
  <dcterms:modified xsi:type="dcterms:W3CDTF">2017-02-15T00:24:00Z</dcterms:modified>
</cp:coreProperties>
</file>