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5.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drawings/drawing6.xml" ContentType="application/vnd.openxmlformats-officedocument.drawingml.chartshapes+xml"/>
  <Override PartName="/word/charts/chart10.xml" ContentType="application/vnd.openxmlformats-officedocument.drawingml.chart+xml"/>
  <Override PartName="/word/theme/themeOverride9.xml" ContentType="application/vnd.openxmlformats-officedocument.themeOverride+xml"/>
  <Override PartName="/word/drawings/drawing7.xml" ContentType="application/vnd.openxmlformats-officedocument.drawingml.chartshapes+xml"/>
  <Override PartName="/word/charts/chart11.xml" ContentType="application/vnd.openxmlformats-officedocument.drawingml.chart+xml"/>
  <Override PartName="/word/theme/themeOverride10.xml" ContentType="application/vnd.openxmlformats-officedocument.themeOverride+xml"/>
  <Override PartName="/word/drawings/drawing8.xml" ContentType="application/vnd.openxmlformats-officedocument.drawingml.chartshapes+xml"/>
  <Override PartName="/word/charts/chart12.xml" ContentType="application/vnd.openxmlformats-officedocument.drawingml.chart+xml"/>
  <Override PartName="/word/theme/themeOverride11.xml" ContentType="application/vnd.openxmlformats-officedocument.themeOverride+xml"/>
  <Override PartName="/word/drawings/drawing9.xml" ContentType="application/vnd.openxmlformats-officedocument.drawingml.chartshapes+xml"/>
  <Override PartName="/word/charts/chart13.xml" ContentType="application/vnd.openxmlformats-officedocument.drawingml.chart+xml"/>
  <Override PartName="/word/drawings/drawing10.xml" ContentType="application/vnd.openxmlformats-officedocument.drawingml.chartshapes+xml"/>
  <Override PartName="/word/charts/chart14.xml" ContentType="application/vnd.openxmlformats-officedocument.drawingml.chart+xml"/>
  <Override PartName="/word/drawings/drawing11.xml" ContentType="application/vnd.openxmlformats-officedocument.drawingml.chartshapes+xml"/>
  <Override PartName="/word/charts/chart15.xml" ContentType="application/vnd.openxmlformats-officedocument.drawingml.chart+xml"/>
  <Override PartName="/word/theme/themeOverride12.xml" ContentType="application/vnd.openxmlformats-officedocument.themeOverride+xml"/>
  <Override PartName="/word/drawings/drawing12.xml" ContentType="application/vnd.openxmlformats-officedocument.drawingml.chartshapes+xml"/>
  <Override PartName="/word/charts/chart16.xml" ContentType="application/vnd.openxmlformats-officedocument.drawingml.chart+xml"/>
  <Override PartName="/word/theme/themeOverride13.xml" ContentType="application/vnd.openxmlformats-officedocument.themeOverride+xml"/>
  <Override PartName="/word/charts/chart17.xml" ContentType="application/vnd.openxmlformats-officedocument.drawingml.chart+xml"/>
  <Override PartName="/word/theme/themeOverride14.xml" ContentType="application/vnd.openxmlformats-officedocument.themeOverride+xml"/>
  <Override PartName="/word/charts/chart18.xml" ContentType="application/vnd.openxmlformats-officedocument.drawingml.chart+xml"/>
  <Override PartName="/word/drawings/drawing13.xml" ContentType="application/vnd.openxmlformats-officedocument.drawingml.chartshapes+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41946F34" w:rsidR="00832324" w:rsidRDefault="001D3F5D" w:rsidP="00F73113">
      <w:pPr>
        <w:pStyle w:val="Title"/>
      </w:pPr>
      <w:r>
        <w:t>Antifungals for systemic use</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46828560" w:rsidR="009053D3" w:rsidRPr="00F73113" w:rsidRDefault="001D3F5D" w:rsidP="00F73113">
      <w:pPr>
        <w:pStyle w:val="Meetingdate"/>
      </w:pPr>
      <w:r>
        <w:t>September 2016</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4F073A20" w:rsidR="005C6661" w:rsidRDefault="001D3F5D" w:rsidP="001D3F5D">
      <w:pPr>
        <w:pStyle w:val="NoSpacing"/>
      </w:pPr>
      <w:r w:rsidRPr="00130B7B">
        <w:t>The analysis examine</w:t>
      </w:r>
      <w:r w:rsidR="002368B0">
        <w:t>d</w:t>
      </w:r>
      <w:r w:rsidRPr="00130B7B">
        <w:t xml:space="preserve"> the utilisation of antifungal medicines for systemic use</w:t>
      </w:r>
      <w:r>
        <w:t xml:space="preserve">. This includes a predicted versus actual analysis of the </w:t>
      </w:r>
      <w:proofErr w:type="spellStart"/>
      <w:r>
        <w:t>voriconazole</w:t>
      </w:r>
      <w:proofErr w:type="spellEnd"/>
      <w:r>
        <w:t xml:space="preserve"> listing for prophylaxis against invasive fungal infections in certain high risk patients.</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202792DB" w14:textId="2E62DB69" w:rsidR="001D3F5D" w:rsidRPr="002D144A" w:rsidRDefault="001D3F5D" w:rsidP="001D3F5D">
      <w:r>
        <w:t xml:space="preserve">The systemic antifungal medicines currently listed on the PBS are: fluconazole, </w:t>
      </w:r>
      <w:proofErr w:type="spellStart"/>
      <w:r>
        <w:t>itraconazole</w:t>
      </w:r>
      <w:proofErr w:type="spellEnd"/>
      <w:r>
        <w:t xml:space="preserve">, </w:t>
      </w:r>
      <w:proofErr w:type="spellStart"/>
      <w:r>
        <w:t>posaconazole</w:t>
      </w:r>
      <w:proofErr w:type="spellEnd"/>
      <w:r>
        <w:t xml:space="preserve">, </w:t>
      </w:r>
      <w:proofErr w:type="spellStart"/>
      <w:r>
        <w:t>voriconazole</w:t>
      </w:r>
      <w:proofErr w:type="spellEnd"/>
      <w:r>
        <w:t xml:space="preserve">, </w:t>
      </w:r>
      <w:proofErr w:type="spellStart"/>
      <w:r>
        <w:t>terbinafine</w:t>
      </w:r>
      <w:proofErr w:type="spellEnd"/>
      <w:r>
        <w:t xml:space="preserve"> and </w:t>
      </w:r>
      <w:proofErr w:type="spellStart"/>
      <w:r>
        <w:t>griseofulvin</w:t>
      </w:r>
      <w:proofErr w:type="spellEnd"/>
      <w:r>
        <w:t xml:space="preserve">.  </w:t>
      </w:r>
      <w:r w:rsidRPr="00130B7B">
        <w:t xml:space="preserve">There have been a number of changes to the PBS listings for systemic antifungals since </w:t>
      </w:r>
      <w:r>
        <w:t>the last DUSC analysis in October </w:t>
      </w:r>
      <w:r w:rsidRPr="00130B7B">
        <w:t xml:space="preserve">2013. </w:t>
      </w:r>
      <w:r>
        <w:t xml:space="preserve">Ketoconazole was removed from the Australian market in December 2013. </w:t>
      </w:r>
      <w:proofErr w:type="spellStart"/>
      <w:r>
        <w:t>Voriconazole</w:t>
      </w:r>
      <w:proofErr w:type="spellEnd"/>
      <w:r>
        <w:t xml:space="preserve"> was listed for prophylaxis against invasive fungal infections in December 2014. </w:t>
      </w:r>
      <w:proofErr w:type="spellStart"/>
      <w:r>
        <w:t>Posaconazole</w:t>
      </w:r>
      <w:proofErr w:type="spellEnd"/>
      <w:r>
        <w:t xml:space="preserve"> tablets were listed on 1 September 2015. Fluconazole and </w:t>
      </w:r>
      <w:proofErr w:type="spellStart"/>
      <w:r>
        <w:t>itraconazole</w:t>
      </w:r>
      <w:proofErr w:type="spellEnd"/>
      <w:r>
        <w:t xml:space="preserve"> became </w:t>
      </w:r>
      <w:r w:rsidR="00B719E8">
        <w:t>Restricted Benefit</w:t>
      </w:r>
      <w:r>
        <w:t xml:space="preserve"> listings in April 2016. </w:t>
      </w:r>
    </w:p>
    <w:p w14:paraId="526743BB" w14:textId="77777777" w:rsidR="005C6661" w:rsidRDefault="005C6661" w:rsidP="00CF5E22">
      <w:pPr>
        <w:pStyle w:val="Heading3"/>
      </w:pPr>
      <w:r>
        <w:t>Data Source / methodology</w:t>
      </w:r>
    </w:p>
    <w:p w14:paraId="249DAAFD" w14:textId="77777777" w:rsidR="001D3F5D" w:rsidRDefault="001D3F5D" w:rsidP="001D3F5D">
      <w:pPr>
        <w:pStyle w:val="NoSpacing"/>
      </w:pPr>
      <w:r>
        <w:t xml:space="preserve">The analyses use data from the </w:t>
      </w:r>
      <w:r w:rsidRPr="00130B7B">
        <w:t>DUSC database, the Department of Human Services (DHS) Medicare Supplied prescriptions database and the DHS Authority a</w:t>
      </w:r>
      <w:r>
        <w:t xml:space="preserve">pprovals database from January 2008 to July 2016. Telephone and streamlined authority medicines were matched to their authority approvals to identify the restriction for use. </w:t>
      </w:r>
    </w:p>
    <w:p w14:paraId="7599E7C1" w14:textId="77777777" w:rsidR="005C6661" w:rsidRDefault="005C6661" w:rsidP="00CF5E22">
      <w:pPr>
        <w:pStyle w:val="Heading3"/>
      </w:pPr>
      <w:r>
        <w:t>Key Findings</w:t>
      </w:r>
    </w:p>
    <w:p w14:paraId="37CE829C" w14:textId="77777777" w:rsidR="001D3F5D" w:rsidRDefault="001D3F5D" w:rsidP="001D3F5D">
      <w:pPr>
        <w:pStyle w:val="NoSpacing"/>
        <w:numPr>
          <w:ilvl w:val="0"/>
          <w:numId w:val="1"/>
        </w:numPr>
      </w:pPr>
      <w:r>
        <w:t xml:space="preserve">In the 2015-16 financial </w:t>
      </w:r>
      <w:proofErr w:type="gramStart"/>
      <w:r>
        <w:t>year</w:t>
      </w:r>
      <w:proofErr w:type="gramEnd"/>
      <w:r>
        <w:t>, 91,874 people received systemic antifungal medicines on the R/PBS. There were 203,228 prescriptions supplied at cost of $35,564,069 to the R/PBS.</w:t>
      </w:r>
    </w:p>
    <w:p w14:paraId="087576D6" w14:textId="634DC21A" w:rsidR="001D3F5D" w:rsidRDefault="001D3F5D" w:rsidP="001D3F5D">
      <w:pPr>
        <w:pStyle w:val="NoSpacing"/>
        <w:numPr>
          <w:ilvl w:val="0"/>
          <w:numId w:val="1"/>
        </w:numPr>
      </w:pPr>
      <w:proofErr w:type="spellStart"/>
      <w:r>
        <w:t>Terbinafine</w:t>
      </w:r>
      <w:proofErr w:type="spellEnd"/>
      <w:r>
        <w:t xml:space="preserve"> and </w:t>
      </w:r>
      <w:proofErr w:type="spellStart"/>
      <w:r>
        <w:t>griseofulvin</w:t>
      </w:r>
      <w:proofErr w:type="spellEnd"/>
      <w:r>
        <w:t xml:space="preserve"> </w:t>
      </w:r>
      <w:r w:rsidR="000D394B">
        <w:t>we</w:t>
      </w:r>
      <w:r>
        <w:t xml:space="preserve">re the most widely used medicines with over 30,000 people supplied each of the medicines in the 2015 16 financial year. </w:t>
      </w:r>
    </w:p>
    <w:p w14:paraId="1D5CB341" w14:textId="772F6E3F" w:rsidR="001D3F5D" w:rsidRDefault="001D3F5D" w:rsidP="001D3F5D">
      <w:pPr>
        <w:pStyle w:val="NoSpacing"/>
        <w:numPr>
          <w:ilvl w:val="0"/>
          <w:numId w:val="1"/>
        </w:numPr>
      </w:pPr>
      <w:proofErr w:type="spellStart"/>
      <w:r>
        <w:t>Terbinafine</w:t>
      </w:r>
      <w:proofErr w:type="spellEnd"/>
      <w:r>
        <w:t xml:space="preserve"> </w:t>
      </w:r>
      <w:r w:rsidR="00E20C37">
        <w:t xml:space="preserve">had </w:t>
      </w:r>
      <w:r>
        <w:t xml:space="preserve">remained the most utilised antifungal in terms of the prescriptions supplied since 2008. The number of fluconazole, </w:t>
      </w:r>
      <w:proofErr w:type="spellStart"/>
      <w:r>
        <w:t>itraconazole</w:t>
      </w:r>
      <w:proofErr w:type="spellEnd"/>
      <w:r>
        <w:t xml:space="preserve"> and </w:t>
      </w:r>
      <w:proofErr w:type="spellStart"/>
      <w:r>
        <w:t>posaconazole</w:t>
      </w:r>
      <w:proofErr w:type="spellEnd"/>
      <w:r>
        <w:t xml:space="preserve"> prescriptions </w:t>
      </w:r>
      <w:r w:rsidR="00E20C37">
        <w:t xml:space="preserve">had </w:t>
      </w:r>
      <w:r>
        <w:t xml:space="preserve">continued to increase. The number of </w:t>
      </w:r>
      <w:proofErr w:type="spellStart"/>
      <w:r>
        <w:t>voriconazole</w:t>
      </w:r>
      <w:proofErr w:type="spellEnd"/>
      <w:r>
        <w:t xml:space="preserve"> prescriptions </w:t>
      </w:r>
      <w:r w:rsidR="00E20C37">
        <w:t xml:space="preserve">had </w:t>
      </w:r>
      <w:r>
        <w:t xml:space="preserve">decreased after peaking in 2012. The number of </w:t>
      </w:r>
      <w:proofErr w:type="spellStart"/>
      <w:r>
        <w:t>griseofulvin</w:t>
      </w:r>
      <w:proofErr w:type="spellEnd"/>
      <w:r>
        <w:t xml:space="preserve"> prescriptions </w:t>
      </w:r>
      <w:r w:rsidR="00E20C37">
        <w:t xml:space="preserve">had </w:t>
      </w:r>
      <w:r>
        <w:t>remained relatively stable since 2012.</w:t>
      </w:r>
    </w:p>
    <w:p w14:paraId="08559158" w14:textId="4A6E7F2C" w:rsidR="001D3F5D" w:rsidRPr="001D3F5D" w:rsidRDefault="001D3F5D" w:rsidP="001D3F5D">
      <w:pPr>
        <w:pStyle w:val="NoSpacing"/>
        <w:numPr>
          <w:ilvl w:val="0"/>
          <w:numId w:val="1"/>
        </w:numPr>
      </w:pPr>
      <w:proofErr w:type="spellStart"/>
      <w:r w:rsidRPr="001D3F5D">
        <w:t>Posaconazole</w:t>
      </w:r>
      <w:proofErr w:type="spellEnd"/>
      <w:r w:rsidRPr="001D3F5D">
        <w:t xml:space="preserve"> ha</w:t>
      </w:r>
      <w:r w:rsidR="00642567">
        <w:t>d</w:t>
      </w:r>
      <w:r w:rsidRPr="001D3F5D">
        <w:t xml:space="preserve"> the highest PBS expenditure, costing $18,347,465 in the 2015</w:t>
      </w:r>
      <w:r w:rsidR="00642567">
        <w:t>-</w:t>
      </w:r>
      <w:r w:rsidRPr="001D3F5D">
        <w:t xml:space="preserve">16 financial </w:t>
      </w:r>
      <w:proofErr w:type="gramStart"/>
      <w:r w:rsidRPr="001D3F5D">
        <w:t>year</w:t>
      </w:r>
      <w:proofErr w:type="gramEnd"/>
      <w:r w:rsidRPr="001D3F5D">
        <w:t xml:space="preserve">. </w:t>
      </w:r>
    </w:p>
    <w:p w14:paraId="013B8A7D" w14:textId="225ACA1D" w:rsidR="005C6661" w:rsidRPr="001D3F5D" w:rsidRDefault="001D3F5D" w:rsidP="001D3F5D">
      <w:pPr>
        <w:pStyle w:val="NoSpacing"/>
        <w:numPr>
          <w:ilvl w:val="0"/>
          <w:numId w:val="1"/>
        </w:numPr>
      </w:pPr>
      <w:r w:rsidRPr="001D3F5D">
        <w:lastRenderedPageBreak/>
        <w:t xml:space="preserve">There </w:t>
      </w:r>
      <w:r w:rsidR="00E20C37" w:rsidRPr="001D3F5D">
        <w:t>ha</w:t>
      </w:r>
      <w:r w:rsidR="00E20C37">
        <w:t>d</w:t>
      </w:r>
      <w:r w:rsidR="00E20C37" w:rsidRPr="001D3F5D">
        <w:t xml:space="preserve"> </w:t>
      </w:r>
      <w:r w:rsidRPr="001D3F5D">
        <w:t xml:space="preserve">been a sharp increase in the use of fluconazole since it changed to a </w:t>
      </w:r>
      <w:r w:rsidR="00B719E8">
        <w:t>Restricted Benefit</w:t>
      </w:r>
      <w:r w:rsidRPr="001D3F5D">
        <w:t xml:space="preserve"> from 1 April 2016. This may </w:t>
      </w:r>
      <w:r w:rsidR="002368B0">
        <w:t xml:space="preserve">have </w:t>
      </w:r>
      <w:r w:rsidRPr="001D3F5D">
        <w:t>be</w:t>
      </w:r>
      <w:r w:rsidR="002368B0">
        <w:t>en</w:t>
      </w:r>
      <w:r w:rsidRPr="001D3F5D">
        <w:t xml:space="preserve"> due to use for </w:t>
      </w:r>
      <w:proofErr w:type="spellStart"/>
      <w:r w:rsidRPr="001D3F5D">
        <w:t>vulvovaginal</w:t>
      </w:r>
      <w:proofErr w:type="spellEnd"/>
      <w:r w:rsidRPr="001D3F5D">
        <w:t xml:space="preserve"> candidiasis and </w:t>
      </w:r>
      <w:proofErr w:type="spellStart"/>
      <w:r w:rsidRPr="001D3F5D">
        <w:t>dermatophyte</w:t>
      </w:r>
      <w:proofErr w:type="spellEnd"/>
      <w:r w:rsidRPr="001D3F5D">
        <w:t xml:space="preserve"> infections.</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41881DD4" w14:textId="1C501441" w:rsidR="001D3F5D" w:rsidRPr="00B8791A" w:rsidRDefault="001D3F5D" w:rsidP="001D3F5D">
      <w:r w:rsidRPr="00B8791A">
        <w:t>The analysis examine</w:t>
      </w:r>
      <w:r w:rsidR="00866FFE">
        <w:t>d</w:t>
      </w:r>
      <w:r w:rsidRPr="00B8791A">
        <w:t xml:space="preserve"> the utilisation of antifungal medicines for systemic use</w:t>
      </w:r>
      <w:r>
        <w:t xml:space="preserve">. </w:t>
      </w:r>
      <w:r w:rsidRPr="00A769BB">
        <w:t>This include</w:t>
      </w:r>
      <w:r w:rsidR="00866FFE">
        <w:t>s</w:t>
      </w:r>
      <w:r w:rsidRPr="00A769BB">
        <w:t xml:space="preserve"> a predicted versus actual analysis of the </w:t>
      </w:r>
      <w:proofErr w:type="spellStart"/>
      <w:r w:rsidRPr="00A769BB">
        <w:t>voriconazole</w:t>
      </w:r>
      <w:proofErr w:type="spellEnd"/>
      <w:r w:rsidRPr="00A769BB">
        <w:t xml:space="preserve"> listing for prophylaxis against invasive fungal infections in certain high risk patients. </w:t>
      </w:r>
    </w:p>
    <w:p w14:paraId="0A7F0B57" w14:textId="034D22D5" w:rsidR="006537D9" w:rsidRPr="005E22C2" w:rsidRDefault="00736041" w:rsidP="00CF5E22">
      <w:pPr>
        <w:pStyle w:val="Heading1"/>
      </w:pPr>
      <w:r w:rsidRPr="005E22C2">
        <w:t>Background</w:t>
      </w:r>
    </w:p>
    <w:p w14:paraId="0183A567" w14:textId="413DF87B" w:rsidR="007247B9" w:rsidRDefault="007247B9" w:rsidP="00CF5E22">
      <w:pPr>
        <w:pStyle w:val="Heading2"/>
      </w:pPr>
      <w:r>
        <w:t>Pharmacology</w:t>
      </w:r>
    </w:p>
    <w:p w14:paraId="1DC5F30F" w14:textId="77777777" w:rsidR="001D3F5D" w:rsidRDefault="001D3F5D" w:rsidP="001D3F5D">
      <w:r w:rsidRPr="00BB5B09">
        <w:t xml:space="preserve">Fluconazole, </w:t>
      </w:r>
      <w:proofErr w:type="spellStart"/>
      <w:r w:rsidRPr="00BB5B09">
        <w:t>posaconazole</w:t>
      </w:r>
      <w:proofErr w:type="spellEnd"/>
      <w:r w:rsidRPr="00BB5B09">
        <w:t xml:space="preserve"> and </w:t>
      </w:r>
      <w:proofErr w:type="spellStart"/>
      <w:r w:rsidRPr="00BB5B09">
        <w:t>voriconazole</w:t>
      </w:r>
      <w:proofErr w:type="spellEnd"/>
      <w:r w:rsidRPr="00BB5B09">
        <w:t xml:space="preserve"> are </w:t>
      </w:r>
      <w:proofErr w:type="spellStart"/>
      <w:r w:rsidRPr="00BB5B09">
        <w:t>triazole</w:t>
      </w:r>
      <w:proofErr w:type="spellEnd"/>
      <w:r w:rsidRPr="00BB5B09">
        <w:t xml:space="preserve"> antifungals</w:t>
      </w:r>
      <w:r>
        <w:t xml:space="preserve">. They inhibit the enzyme </w:t>
      </w:r>
      <w:proofErr w:type="spellStart"/>
      <w:r w:rsidRPr="00351EF7">
        <w:t>lanosterol</w:t>
      </w:r>
      <w:proofErr w:type="spellEnd"/>
      <w:r w:rsidRPr="00351EF7">
        <w:t xml:space="preserve"> 14</w:t>
      </w:r>
      <w:r>
        <w:t>α</w:t>
      </w:r>
      <w:r>
        <w:noBreakHyphen/>
      </w:r>
      <w:proofErr w:type="spellStart"/>
      <w:r w:rsidRPr="00351EF7">
        <w:t>demethylase</w:t>
      </w:r>
      <w:proofErr w:type="spellEnd"/>
      <w:r>
        <w:t>. This is thought to damage the fungal membrane and cause a build-up of methylated precursors. This results in the inhibition of cell growth and/or cell death.</w:t>
      </w:r>
      <w:r w:rsidRPr="000515CF">
        <w:rPr>
          <w:noProof/>
          <w:vertAlign w:val="superscript"/>
        </w:rPr>
        <w:t>1</w:t>
      </w:r>
      <w:r>
        <w:t xml:space="preserve"> </w:t>
      </w:r>
    </w:p>
    <w:p w14:paraId="4E0A4F48" w14:textId="77777777" w:rsidR="001D3F5D" w:rsidRPr="00BB5B09" w:rsidRDefault="001D3F5D" w:rsidP="001D3F5D">
      <w:proofErr w:type="spellStart"/>
      <w:r>
        <w:t>Terbinafine</w:t>
      </w:r>
      <w:proofErr w:type="spellEnd"/>
      <w:r>
        <w:t xml:space="preserve"> inhibits the fungal enzyme </w:t>
      </w:r>
      <w:proofErr w:type="spellStart"/>
      <w:r>
        <w:t>squalene</w:t>
      </w:r>
      <w:proofErr w:type="spellEnd"/>
      <w:r>
        <w:t xml:space="preserve"> </w:t>
      </w:r>
      <w:proofErr w:type="spellStart"/>
      <w:r>
        <w:t>epoxidase</w:t>
      </w:r>
      <w:proofErr w:type="spellEnd"/>
      <w:r>
        <w:t xml:space="preserve"> which is involved in </w:t>
      </w:r>
      <w:proofErr w:type="spellStart"/>
      <w:r>
        <w:t>ergosterol</w:t>
      </w:r>
      <w:proofErr w:type="spellEnd"/>
      <w:r>
        <w:t xml:space="preserve"> synthesis. This results in an </w:t>
      </w:r>
      <w:proofErr w:type="spellStart"/>
      <w:r>
        <w:t>ergosterol</w:t>
      </w:r>
      <w:proofErr w:type="spellEnd"/>
      <w:r>
        <w:t xml:space="preserve"> deficiency and accumulation of </w:t>
      </w:r>
      <w:proofErr w:type="spellStart"/>
      <w:r>
        <w:t>squalene</w:t>
      </w:r>
      <w:proofErr w:type="spellEnd"/>
      <w:r>
        <w:t>, resulting in fungal cell death.</w:t>
      </w:r>
      <w:r w:rsidRPr="000515CF">
        <w:rPr>
          <w:noProof/>
          <w:vertAlign w:val="superscript"/>
        </w:rPr>
        <w:t>2</w:t>
      </w:r>
      <w:r>
        <w:t xml:space="preserve"> </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67FE14F9" w14:textId="77777777" w:rsidR="001D3F5D" w:rsidRDefault="001D3F5D" w:rsidP="001D3F5D">
      <w:r w:rsidRPr="00124BFF">
        <w:rPr>
          <w:b/>
        </w:rPr>
        <w:t>Fluconazole</w:t>
      </w:r>
      <w:r>
        <w:rPr>
          <w:b/>
        </w:rPr>
        <w:t xml:space="preserve"> </w:t>
      </w:r>
      <w:r>
        <w:t>is indicated for the following conditions</w:t>
      </w:r>
      <w:r w:rsidRPr="000515CF">
        <w:rPr>
          <w:noProof/>
          <w:vertAlign w:val="superscript"/>
        </w:rPr>
        <w:t>3</w:t>
      </w:r>
      <w:r>
        <w:t>:</w:t>
      </w:r>
      <w:r w:rsidRPr="00B82730">
        <w:rPr>
          <w:highlight w:val="yellow"/>
          <w:vertAlign w:val="superscript"/>
        </w:rPr>
        <w:t xml:space="preserve"> </w:t>
      </w:r>
    </w:p>
    <w:p w14:paraId="19778E5E" w14:textId="77777777" w:rsidR="001D3F5D" w:rsidRDefault="001D3F5D" w:rsidP="001D3F5D">
      <w:pPr>
        <w:pStyle w:val="ListParagraph"/>
        <w:numPr>
          <w:ilvl w:val="0"/>
          <w:numId w:val="4"/>
        </w:numPr>
      </w:pPr>
      <w:proofErr w:type="spellStart"/>
      <w:r>
        <w:t>C</w:t>
      </w:r>
      <w:r w:rsidRPr="00124BFF">
        <w:t>ryptococcal</w:t>
      </w:r>
      <w:proofErr w:type="spellEnd"/>
      <w:r w:rsidRPr="00124BFF">
        <w:t xml:space="preserve"> meningitis in patients who are un</w:t>
      </w:r>
      <w:r>
        <w:t xml:space="preserve">able to tolerate amphotericin B, </w:t>
      </w:r>
    </w:p>
    <w:p w14:paraId="1A9D73EF" w14:textId="77777777" w:rsidR="001D3F5D" w:rsidRDefault="001D3F5D" w:rsidP="001D3F5D">
      <w:pPr>
        <w:pStyle w:val="ListParagraph"/>
        <w:numPr>
          <w:ilvl w:val="0"/>
          <w:numId w:val="4"/>
        </w:numPr>
      </w:pPr>
      <w:r>
        <w:t xml:space="preserve">Prevention of </w:t>
      </w:r>
      <w:proofErr w:type="spellStart"/>
      <w:r w:rsidRPr="00124BFF">
        <w:t>cryptococcal</w:t>
      </w:r>
      <w:proofErr w:type="spellEnd"/>
      <w:r w:rsidRPr="00124BFF">
        <w:t xml:space="preserve"> meningitis</w:t>
      </w:r>
      <w:r>
        <w:t xml:space="preserve"> relapse in patients with </w:t>
      </w:r>
      <w:r w:rsidRPr="00124BFF">
        <w:t>acquired immune deficiency syndrome</w:t>
      </w:r>
      <w:r>
        <w:t xml:space="preserve"> (AIDS), </w:t>
      </w:r>
    </w:p>
    <w:p w14:paraId="25754BC0" w14:textId="77777777" w:rsidR="001D3F5D" w:rsidRDefault="001D3F5D" w:rsidP="001D3F5D">
      <w:pPr>
        <w:pStyle w:val="ListParagraph"/>
        <w:numPr>
          <w:ilvl w:val="0"/>
          <w:numId w:val="4"/>
        </w:numPr>
      </w:pPr>
      <w:r w:rsidRPr="00124BFF">
        <w:t xml:space="preserve">Treatment of </w:t>
      </w:r>
      <w:proofErr w:type="spellStart"/>
      <w:r w:rsidRPr="00124BFF">
        <w:t>oropharyngeal</w:t>
      </w:r>
      <w:proofErr w:type="spellEnd"/>
      <w:r w:rsidRPr="00124BFF">
        <w:t xml:space="preserve"> and oesophageal candidiasis</w:t>
      </w:r>
      <w:r>
        <w:t xml:space="preserve"> in immunosuppressed patients, </w:t>
      </w:r>
    </w:p>
    <w:p w14:paraId="1FE7D9DF" w14:textId="77777777" w:rsidR="001D3F5D" w:rsidRDefault="001D3F5D" w:rsidP="001D3F5D">
      <w:pPr>
        <w:pStyle w:val="ListParagraph"/>
        <w:numPr>
          <w:ilvl w:val="0"/>
          <w:numId w:val="4"/>
        </w:numPr>
      </w:pPr>
      <w:r w:rsidRPr="00124BFF">
        <w:t xml:space="preserve">Secondary prophylaxis of </w:t>
      </w:r>
      <w:proofErr w:type="spellStart"/>
      <w:r w:rsidRPr="00124BFF">
        <w:t>oropharyngeal</w:t>
      </w:r>
      <w:proofErr w:type="spellEnd"/>
      <w:r w:rsidRPr="00124BFF">
        <w:t xml:space="preserve"> candidiasis</w:t>
      </w:r>
      <w:r>
        <w:t xml:space="preserve"> in patients with HIV infection,</w:t>
      </w:r>
    </w:p>
    <w:p w14:paraId="1C9E00AD" w14:textId="77777777" w:rsidR="001D3F5D" w:rsidRDefault="001D3F5D" w:rsidP="001D3F5D">
      <w:pPr>
        <w:pStyle w:val="ListParagraph"/>
        <w:numPr>
          <w:ilvl w:val="0"/>
          <w:numId w:val="4"/>
        </w:numPr>
      </w:pPr>
      <w:r w:rsidRPr="00124BFF">
        <w:t>Serious and life-threatening Candida infections in patients who are unable to tolerate amphotericin B</w:t>
      </w:r>
      <w:r>
        <w:t xml:space="preserve">, </w:t>
      </w:r>
    </w:p>
    <w:p w14:paraId="748CBD51" w14:textId="77777777" w:rsidR="001D3F5D" w:rsidRDefault="001D3F5D" w:rsidP="001D3F5D">
      <w:pPr>
        <w:pStyle w:val="ListParagraph"/>
        <w:numPr>
          <w:ilvl w:val="0"/>
          <w:numId w:val="4"/>
        </w:numPr>
      </w:pPr>
      <w:r w:rsidRPr="00124BFF">
        <w:t xml:space="preserve">Vaginal candidiasis, </w:t>
      </w:r>
      <w:r>
        <w:t xml:space="preserve">when topical therapy has failed, and, </w:t>
      </w:r>
    </w:p>
    <w:p w14:paraId="5647CFC6" w14:textId="77777777" w:rsidR="001D3F5D" w:rsidRDefault="001D3F5D" w:rsidP="001D3F5D">
      <w:pPr>
        <w:pStyle w:val="ListParagraph"/>
        <w:numPr>
          <w:ilvl w:val="0"/>
          <w:numId w:val="4"/>
        </w:numPr>
      </w:pPr>
      <w:r w:rsidRPr="00124BFF">
        <w:t xml:space="preserve">Treatment of extensive </w:t>
      </w:r>
      <w:proofErr w:type="spellStart"/>
      <w:r w:rsidRPr="00124BFF">
        <w:t>tinea</w:t>
      </w:r>
      <w:proofErr w:type="spellEnd"/>
      <w:r w:rsidRPr="00124BFF">
        <w:t xml:space="preserve"> </w:t>
      </w:r>
      <w:proofErr w:type="spellStart"/>
      <w:r w:rsidRPr="00124BFF">
        <w:t>corporis</w:t>
      </w:r>
      <w:proofErr w:type="spellEnd"/>
      <w:r w:rsidRPr="00124BFF">
        <w:t xml:space="preserve">, extensive </w:t>
      </w:r>
      <w:proofErr w:type="spellStart"/>
      <w:r w:rsidRPr="00124BFF">
        <w:t>tinea</w:t>
      </w:r>
      <w:proofErr w:type="spellEnd"/>
      <w:r w:rsidRPr="00124BFF">
        <w:t xml:space="preserve"> </w:t>
      </w:r>
      <w:proofErr w:type="spellStart"/>
      <w:r w:rsidRPr="00124BFF">
        <w:t>cruris</w:t>
      </w:r>
      <w:proofErr w:type="spellEnd"/>
      <w:r w:rsidRPr="00124BFF">
        <w:t xml:space="preserve"> and extensive </w:t>
      </w:r>
      <w:proofErr w:type="spellStart"/>
      <w:r w:rsidRPr="00124BFF">
        <w:t>tinea</w:t>
      </w:r>
      <w:proofErr w:type="spellEnd"/>
      <w:r w:rsidRPr="00124BFF">
        <w:t xml:space="preserve"> </w:t>
      </w:r>
      <w:proofErr w:type="spellStart"/>
      <w:r w:rsidRPr="00124BFF">
        <w:t>pedis</w:t>
      </w:r>
      <w:proofErr w:type="spellEnd"/>
      <w:r w:rsidRPr="00124BFF">
        <w:t xml:space="preserve"> infections in </w:t>
      </w:r>
      <w:proofErr w:type="spellStart"/>
      <w:r w:rsidRPr="00124BFF">
        <w:t>immunocompetent</w:t>
      </w:r>
      <w:proofErr w:type="spellEnd"/>
      <w:r w:rsidRPr="00124BFF">
        <w:t xml:space="preserve"> patients in whom topical therapy is not a practical treatment option.</w:t>
      </w:r>
    </w:p>
    <w:p w14:paraId="1BFAC8CE" w14:textId="77777777" w:rsidR="001D3F5D" w:rsidRDefault="001D3F5D" w:rsidP="001D3F5D">
      <w:proofErr w:type="spellStart"/>
      <w:r>
        <w:rPr>
          <w:b/>
        </w:rPr>
        <w:t>Itraconazole</w:t>
      </w:r>
      <w:proofErr w:type="spellEnd"/>
      <w:r>
        <w:t xml:space="preserve"> is indicated in adults for the treatment of</w:t>
      </w:r>
      <w:r w:rsidRPr="000515CF">
        <w:rPr>
          <w:noProof/>
          <w:vertAlign w:val="superscript"/>
        </w:rPr>
        <w:t>4</w:t>
      </w:r>
      <w:r>
        <w:t>:</w:t>
      </w:r>
    </w:p>
    <w:p w14:paraId="7EF6538F" w14:textId="77777777" w:rsidR="001D3F5D" w:rsidRDefault="001D3F5D" w:rsidP="001D3F5D">
      <w:pPr>
        <w:pStyle w:val="ListParagraph"/>
        <w:numPr>
          <w:ilvl w:val="0"/>
          <w:numId w:val="7"/>
        </w:numPr>
      </w:pPr>
      <w:r w:rsidRPr="00844EBE">
        <w:t xml:space="preserve">Superficial </w:t>
      </w:r>
      <w:proofErr w:type="spellStart"/>
      <w:r w:rsidRPr="00844EBE">
        <w:t>dermatomycoses</w:t>
      </w:r>
      <w:proofErr w:type="spellEnd"/>
      <w:r w:rsidRPr="00844EBE">
        <w:t xml:space="preserve"> not </w:t>
      </w:r>
      <w:r>
        <w:t xml:space="preserve">responding to topical treatment, </w:t>
      </w:r>
    </w:p>
    <w:p w14:paraId="4AF09527" w14:textId="77777777" w:rsidR="001D3F5D" w:rsidRDefault="001D3F5D" w:rsidP="001D3F5D">
      <w:pPr>
        <w:pStyle w:val="ListParagraph"/>
        <w:numPr>
          <w:ilvl w:val="0"/>
          <w:numId w:val="7"/>
        </w:numPr>
      </w:pPr>
      <w:r>
        <w:t xml:space="preserve">Fungal keratitis that is  rapidly spreading, immediately sight threatening or has failed to respond to topical treatment, </w:t>
      </w:r>
    </w:p>
    <w:p w14:paraId="0A96CAEB" w14:textId="77777777" w:rsidR="001D3F5D" w:rsidRDefault="001D3F5D" w:rsidP="001D3F5D">
      <w:pPr>
        <w:pStyle w:val="ListParagraph"/>
        <w:numPr>
          <w:ilvl w:val="0"/>
          <w:numId w:val="7"/>
        </w:numPr>
      </w:pPr>
      <w:proofErr w:type="spellStart"/>
      <w:r w:rsidRPr="00844EBE">
        <w:t>Pityriasis</w:t>
      </w:r>
      <w:proofErr w:type="spellEnd"/>
      <w:r w:rsidRPr="00844EBE">
        <w:t xml:space="preserve"> </w:t>
      </w:r>
      <w:proofErr w:type="spellStart"/>
      <w:r w:rsidRPr="00844EBE">
        <w:t>versicolor</w:t>
      </w:r>
      <w:proofErr w:type="spellEnd"/>
      <w:r w:rsidRPr="00844EBE">
        <w:t xml:space="preserve"> not responding to any other treatment</w:t>
      </w:r>
      <w:r>
        <w:t xml:space="preserve">, </w:t>
      </w:r>
    </w:p>
    <w:p w14:paraId="55F3535D" w14:textId="77777777" w:rsidR="001D3F5D" w:rsidRDefault="001D3F5D" w:rsidP="001D3F5D">
      <w:pPr>
        <w:pStyle w:val="ListParagraph"/>
        <w:numPr>
          <w:ilvl w:val="0"/>
          <w:numId w:val="7"/>
        </w:numPr>
      </w:pPr>
      <w:proofErr w:type="spellStart"/>
      <w:r w:rsidRPr="00844EBE">
        <w:t>Vulvovaginal</w:t>
      </w:r>
      <w:proofErr w:type="spellEnd"/>
      <w:r w:rsidRPr="00844EBE">
        <w:t xml:space="preserve"> candidiasis not </w:t>
      </w:r>
      <w:r>
        <w:t>responding to topical treatment,</w:t>
      </w:r>
    </w:p>
    <w:p w14:paraId="72D20740" w14:textId="77777777" w:rsidR="001D3F5D" w:rsidRDefault="001D3F5D" w:rsidP="001D3F5D">
      <w:pPr>
        <w:pStyle w:val="ListParagraph"/>
        <w:numPr>
          <w:ilvl w:val="0"/>
          <w:numId w:val="7"/>
        </w:numPr>
      </w:pPr>
      <w:r w:rsidRPr="00844EBE">
        <w:t xml:space="preserve">Oral candidiasis in </w:t>
      </w:r>
      <w:proofErr w:type="spellStart"/>
      <w:r w:rsidRPr="00844EBE">
        <w:t>immunocompromised</w:t>
      </w:r>
      <w:proofErr w:type="spellEnd"/>
      <w:r w:rsidRPr="00844EBE">
        <w:t xml:space="preserve"> patients</w:t>
      </w:r>
      <w:r>
        <w:t xml:space="preserve">, </w:t>
      </w:r>
    </w:p>
    <w:p w14:paraId="7E6D14BD" w14:textId="77777777" w:rsidR="001D3F5D" w:rsidRDefault="001D3F5D" w:rsidP="001D3F5D">
      <w:pPr>
        <w:pStyle w:val="ListParagraph"/>
        <w:numPr>
          <w:ilvl w:val="0"/>
          <w:numId w:val="7"/>
        </w:numPr>
      </w:pPr>
      <w:proofErr w:type="spellStart"/>
      <w:r w:rsidRPr="00844EBE">
        <w:t>Onychomycosis</w:t>
      </w:r>
      <w:proofErr w:type="spellEnd"/>
      <w:r w:rsidRPr="00844EBE">
        <w:t xml:space="preserve"> </w:t>
      </w:r>
      <w:r w:rsidRPr="00EB7241">
        <w:t xml:space="preserve">(fungal infection of the nail) </w:t>
      </w:r>
      <w:r w:rsidRPr="00844EBE">
        <w:t xml:space="preserve">caused by </w:t>
      </w:r>
      <w:proofErr w:type="spellStart"/>
      <w:r w:rsidRPr="00844EBE">
        <w:t>dermatophytes</w:t>
      </w:r>
      <w:proofErr w:type="spellEnd"/>
      <w:r>
        <w:t xml:space="preserve">, </w:t>
      </w:r>
    </w:p>
    <w:p w14:paraId="39C1857B" w14:textId="77777777" w:rsidR="001D3F5D" w:rsidRDefault="001D3F5D" w:rsidP="001D3F5D">
      <w:pPr>
        <w:pStyle w:val="ListParagraph"/>
        <w:numPr>
          <w:ilvl w:val="0"/>
          <w:numId w:val="7"/>
        </w:numPr>
      </w:pPr>
      <w:r w:rsidRPr="00844EBE">
        <w:t xml:space="preserve">Systemic </w:t>
      </w:r>
      <w:proofErr w:type="spellStart"/>
      <w:r w:rsidRPr="00844EBE">
        <w:t>aspergillosis</w:t>
      </w:r>
      <w:proofErr w:type="spellEnd"/>
      <w:r w:rsidRPr="00844EBE">
        <w:t xml:space="preserve">, </w:t>
      </w:r>
      <w:proofErr w:type="spellStart"/>
      <w:r w:rsidRPr="00844EBE">
        <w:t>histoplasmosis</w:t>
      </w:r>
      <w:proofErr w:type="spellEnd"/>
      <w:r>
        <w:t xml:space="preserve"> and</w:t>
      </w:r>
      <w:r w:rsidRPr="00844EBE">
        <w:t xml:space="preserve"> </w:t>
      </w:r>
      <w:proofErr w:type="spellStart"/>
      <w:r w:rsidRPr="00844EBE">
        <w:t>sporotrichosis</w:t>
      </w:r>
      <w:proofErr w:type="spellEnd"/>
      <w:r>
        <w:t xml:space="preserve">, </w:t>
      </w:r>
    </w:p>
    <w:p w14:paraId="502A8C09" w14:textId="77777777" w:rsidR="001D3F5D" w:rsidRDefault="001D3F5D" w:rsidP="001D3F5D">
      <w:pPr>
        <w:pStyle w:val="ListParagraph"/>
        <w:numPr>
          <w:ilvl w:val="0"/>
          <w:numId w:val="7"/>
        </w:numPr>
      </w:pPr>
      <w:r>
        <w:lastRenderedPageBreak/>
        <w:t xml:space="preserve">Treatment and maintenance therapy of </w:t>
      </w:r>
      <w:r w:rsidRPr="00844EBE">
        <w:t xml:space="preserve">disseminated or chronic pulmonary </w:t>
      </w:r>
      <w:proofErr w:type="spellStart"/>
      <w:r w:rsidRPr="00844EBE">
        <w:t>histoplasmosis</w:t>
      </w:r>
      <w:proofErr w:type="spellEnd"/>
      <w:r w:rsidRPr="00844EBE">
        <w:t xml:space="preserve"> infection</w:t>
      </w:r>
      <w:r>
        <w:t xml:space="preserve"> in patients with AIDS, </w:t>
      </w:r>
    </w:p>
    <w:p w14:paraId="0B4B12A2" w14:textId="77777777" w:rsidR="001D3F5D" w:rsidRDefault="001D3F5D" w:rsidP="001D3F5D">
      <w:pPr>
        <w:pStyle w:val="ListParagraph"/>
        <w:numPr>
          <w:ilvl w:val="0"/>
          <w:numId w:val="7"/>
        </w:numPr>
      </w:pPr>
      <w:r w:rsidRPr="00844EBE">
        <w:t xml:space="preserve">Treatment of </w:t>
      </w:r>
      <w:proofErr w:type="spellStart"/>
      <w:r w:rsidRPr="00844EBE">
        <w:t>oropharyngeal</w:t>
      </w:r>
      <w:proofErr w:type="spellEnd"/>
      <w:r w:rsidRPr="00844EBE">
        <w:t xml:space="preserve"> and/or oesophageal candidiasis when first line systemic antifungal therapy is inappropriate or has proven ineffective</w:t>
      </w:r>
      <w:r>
        <w:t xml:space="preserve">, and, </w:t>
      </w:r>
    </w:p>
    <w:p w14:paraId="5A1690C4" w14:textId="77777777" w:rsidR="001D3F5D" w:rsidRPr="00844EBE" w:rsidRDefault="001D3F5D" w:rsidP="001D3F5D">
      <w:pPr>
        <w:pStyle w:val="ListParagraph"/>
        <w:numPr>
          <w:ilvl w:val="0"/>
          <w:numId w:val="7"/>
        </w:numPr>
      </w:pPr>
      <w:r w:rsidRPr="00844EBE">
        <w:t>Treatment of non-invasive candidiasis in non-</w:t>
      </w:r>
      <w:proofErr w:type="spellStart"/>
      <w:r w:rsidRPr="00844EBE">
        <w:t>neutropenic</w:t>
      </w:r>
      <w:proofErr w:type="spellEnd"/>
      <w:r w:rsidRPr="00844EBE">
        <w:t xml:space="preserve"> patients when first-line systemic antifungal therapy is inappropriate or has proven ineffective. This may be due to underlying pathology, insensitivity of the pathogen or drug toxicity</w:t>
      </w:r>
      <w:r>
        <w:t xml:space="preserve">. </w:t>
      </w:r>
    </w:p>
    <w:p w14:paraId="2EBC86B9" w14:textId="77777777" w:rsidR="001D3F5D" w:rsidRDefault="001D3F5D" w:rsidP="001D3F5D">
      <w:proofErr w:type="spellStart"/>
      <w:r>
        <w:rPr>
          <w:b/>
        </w:rPr>
        <w:t>Posaconazole</w:t>
      </w:r>
      <w:proofErr w:type="spellEnd"/>
      <w:r>
        <w:rPr>
          <w:b/>
        </w:rPr>
        <w:t xml:space="preserve"> </w:t>
      </w:r>
      <w:r>
        <w:t>is indicated for the following conditions</w:t>
      </w:r>
      <w:r w:rsidRPr="000515CF">
        <w:rPr>
          <w:noProof/>
          <w:vertAlign w:val="superscript"/>
        </w:rPr>
        <w:t>1</w:t>
      </w:r>
      <w:r>
        <w:t>:</w:t>
      </w:r>
    </w:p>
    <w:p w14:paraId="118920AE" w14:textId="77777777" w:rsidR="001D3F5D" w:rsidRDefault="001D3F5D" w:rsidP="001D3F5D">
      <w:pPr>
        <w:pStyle w:val="ListParagraph"/>
        <w:numPr>
          <w:ilvl w:val="0"/>
          <w:numId w:val="5"/>
        </w:numPr>
      </w:pPr>
      <w:r>
        <w:t xml:space="preserve">Invasive </w:t>
      </w:r>
      <w:proofErr w:type="spellStart"/>
      <w:r>
        <w:t>aspergillosis</w:t>
      </w:r>
      <w:proofErr w:type="spellEnd"/>
      <w:r>
        <w:t xml:space="preserve"> in patients intolerant of, or with disease that is refractory to, alternative therapy.</w:t>
      </w:r>
    </w:p>
    <w:p w14:paraId="54B772E6" w14:textId="77777777" w:rsidR="001D3F5D" w:rsidRPr="00124BFF" w:rsidRDefault="001D3F5D" w:rsidP="001D3F5D">
      <w:pPr>
        <w:pStyle w:val="ListParagraph"/>
        <w:numPr>
          <w:ilvl w:val="0"/>
          <w:numId w:val="5"/>
        </w:numPr>
      </w:pPr>
      <w:proofErr w:type="spellStart"/>
      <w:r>
        <w:t>Fusariosis</w:t>
      </w:r>
      <w:proofErr w:type="spellEnd"/>
      <w:r>
        <w:t xml:space="preserve">, </w:t>
      </w:r>
      <w:proofErr w:type="spellStart"/>
      <w:r>
        <w:t>zygomycosis</w:t>
      </w:r>
      <w:proofErr w:type="spellEnd"/>
      <w:r>
        <w:t xml:space="preserve">, </w:t>
      </w:r>
      <w:proofErr w:type="spellStart"/>
      <w:r>
        <w:t>coccidioidomycosis</w:t>
      </w:r>
      <w:proofErr w:type="spellEnd"/>
      <w:r>
        <w:t xml:space="preserve">, </w:t>
      </w:r>
      <w:proofErr w:type="spellStart"/>
      <w:r>
        <w:t>chromoblastomycosis</w:t>
      </w:r>
      <w:proofErr w:type="spellEnd"/>
      <w:r>
        <w:t xml:space="preserve">, and </w:t>
      </w:r>
      <w:proofErr w:type="spellStart"/>
      <w:r>
        <w:t>mycetoma</w:t>
      </w:r>
      <w:proofErr w:type="spellEnd"/>
      <w:r>
        <w:t xml:space="preserve"> in patients intolerant of, or with disease that is refractory to, alternative therapy.</w:t>
      </w:r>
    </w:p>
    <w:p w14:paraId="1CBFCA88" w14:textId="77777777" w:rsidR="001D3F5D" w:rsidRDefault="001D3F5D" w:rsidP="001D3F5D">
      <w:pPr>
        <w:pStyle w:val="ListParagraph"/>
        <w:numPr>
          <w:ilvl w:val="0"/>
          <w:numId w:val="5"/>
        </w:numPr>
      </w:pPr>
      <w:r>
        <w:t xml:space="preserve">Treatment of </w:t>
      </w:r>
      <w:proofErr w:type="spellStart"/>
      <w:r>
        <w:t>oropharyngeal</w:t>
      </w:r>
      <w:proofErr w:type="spellEnd"/>
      <w:r>
        <w:t xml:space="preserve"> candidiasis in </w:t>
      </w:r>
      <w:proofErr w:type="spellStart"/>
      <w:r>
        <w:t>immunocompromised</w:t>
      </w:r>
      <w:proofErr w:type="spellEnd"/>
      <w:r>
        <w:t xml:space="preserve"> adults, including patients with disease that is refractory to </w:t>
      </w:r>
      <w:proofErr w:type="spellStart"/>
      <w:r>
        <w:t>itraconazole</w:t>
      </w:r>
      <w:proofErr w:type="spellEnd"/>
      <w:r>
        <w:t xml:space="preserve"> and fluconazole. Only the oral suspension should be used for this indication. </w:t>
      </w:r>
    </w:p>
    <w:p w14:paraId="04C9893E" w14:textId="77777777" w:rsidR="001D3F5D" w:rsidRDefault="001D3F5D" w:rsidP="001D3F5D">
      <w:pPr>
        <w:pStyle w:val="ListParagraph"/>
        <w:numPr>
          <w:ilvl w:val="0"/>
          <w:numId w:val="5"/>
        </w:numPr>
      </w:pPr>
      <w:r>
        <w:t>Prophylaxis of invasive fungal infections among patients 13 years of age and older, who are at high risk of developing these infections, such as patients with prolonged neutropenia or haematopoietic stem cell transplant (HSCT) recipients.</w:t>
      </w:r>
    </w:p>
    <w:p w14:paraId="42A2CE17" w14:textId="77777777" w:rsidR="001D3F5D" w:rsidRDefault="001D3F5D" w:rsidP="001D3F5D">
      <w:proofErr w:type="spellStart"/>
      <w:r>
        <w:rPr>
          <w:b/>
        </w:rPr>
        <w:t>Voriconazole</w:t>
      </w:r>
      <w:proofErr w:type="spellEnd"/>
      <w:r w:rsidRPr="009B7D07">
        <w:t xml:space="preserve"> is</w:t>
      </w:r>
      <w:r>
        <w:rPr>
          <w:b/>
        </w:rPr>
        <w:t xml:space="preserve"> </w:t>
      </w:r>
      <w:r>
        <w:t>indicated for</w:t>
      </w:r>
      <w:r w:rsidRPr="000515CF">
        <w:rPr>
          <w:noProof/>
          <w:vertAlign w:val="superscript"/>
        </w:rPr>
        <w:t>5</w:t>
      </w:r>
      <w:r>
        <w:t>:</w:t>
      </w:r>
    </w:p>
    <w:p w14:paraId="7AC91587" w14:textId="77777777" w:rsidR="001D3F5D" w:rsidRDefault="001D3F5D" w:rsidP="001D3F5D">
      <w:pPr>
        <w:pStyle w:val="ListParagraph"/>
        <w:numPr>
          <w:ilvl w:val="0"/>
          <w:numId w:val="6"/>
        </w:numPr>
      </w:pPr>
      <w:r>
        <w:t xml:space="preserve">Invasive </w:t>
      </w:r>
      <w:proofErr w:type="spellStart"/>
      <w:r>
        <w:t>aspergillosis</w:t>
      </w:r>
      <w:proofErr w:type="spellEnd"/>
      <w:r>
        <w:t xml:space="preserve">, </w:t>
      </w:r>
    </w:p>
    <w:p w14:paraId="0F4BDFB2" w14:textId="77777777" w:rsidR="001D3F5D" w:rsidRDefault="001D3F5D" w:rsidP="001D3F5D">
      <w:pPr>
        <w:pStyle w:val="ListParagraph"/>
        <w:numPr>
          <w:ilvl w:val="0"/>
          <w:numId w:val="6"/>
        </w:numPr>
      </w:pPr>
      <w:r>
        <w:t xml:space="preserve">Serious </w:t>
      </w:r>
      <w:r w:rsidRPr="000515CF">
        <w:t xml:space="preserve">Candida </w:t>
      </w:r>
      <w:r>
        <w:t xml:space="preserve">infections, </w:t>
      </w:r>
    </w:p>
    <w:p w14:paraId="6CD168AF" w14:textId="77777777" w:rsidR="001D3F5D" w:rsidRDefault="001D3F5D" w:rsidP="001D3F5D">
      <w:pPr>
        <w:pStyle w:val="ListParagraph"/>
        <w:numPr>
          <w:ilvl w:val="0"/>
          <w:numId w:val="6"/>
        </w:numPr>
      </w:pPr>
      <w:r w:rsidRPr="00FE2EEF">
        <w:t xml:space="preserve">Serious fungal infections caused by </w:t>
      </w:r>
      <w:proofErr w:type="spellStart"/>
      <w:r w:rsidRPr="000515CF">
        <w:t>Scedosporium</w:t>
      </w:r>
      <w:proofErr w:type="spellEnd"/>
      <w:r w:rsidRPr="000515CF">
        <w:t xml:space="preserve"> and </w:t>
      </w:r>
      <w:proofErr w:type="spellStart"/>
      <w:r w:rsidRPr="000515CF">
        <w:t>Fusarium</w:t>
      </w:r>
      <w:proofErr w:type="spellEnd"/>
      <w:r>
        <w:t xml:space="preserve"> species,</w:t>
      </w:r>
    </w:p>
    <w:p w14:paraId="38A9E42E" w14:textId="77777777" w:rsidR="001D3F5D" w:rsidRDefault="001D3F5D" w:rsidP="001D3F5D">
      <w:pPr>
        <w:pStyle w:val="ListParagraph"/>
        <w:numPr>
          <w:ilvl w:val="0"/>
          <w:numId w:val="6"/>
        </w:numPr>
      </w:pPr>
      <w:r w:rsidRPr="00FE2EEF">
        <w:t>Other serious fungal infections, in patients intolerant of, or refractory to, other therapy</w:t>
      </w:r>
      <w:r>
        <w:t xml:space="preserve">, and, </w:t>
      </w:r>
    </w:p>
    <w:p w14:paraId="68A3940C" w14:textId="77777777" w:rsidR="001D3F5D" w:rsidRDefault="001D3F5D" w:rsidP="001D3F5D">
      <w:pPr>
        <w:pStyle w:val="ListParagraph"/>
        <w:numPr>
          <w:ilvl w:val="0"/>
          <w:numId w:val="6"/>
        </w:numPr>
      </w:pPr>
      <w:r w:rsidRPr="00FE2EEF">
        <w:t>Prophylaxis in patients who are at high risk of develo</w:t>
      </w:r>
      <w:r>
        <w:t xml:space="preserve">ping invasive fungal infections (based on patients undergoing HSCT). </w:t>
      </w:r>
    </w:p>
    <w:p w14:paraId="66737A4E" w14:textId="77777777" w:rsidR="001D3F5D" w:rsidRDefault="001D3F5D" w:rsidP="001D3F5D">
      <w:proofErr w:type="spellStart"/>
      <w:r>
        <w:rPr>
          <w:b/>
        </w:rPr>
        <w:t>Terbinafine</w:t>
      </w:r>
      <w:proofErr w:type="spellEnd"/>
      <w:r>
        <w:rPr>
          <w:b/>
        </w:rPr>
        <w:t xml:space="preserve"> </w:t>
      </w:r>
      <w:r>
        <w:t>is indicated for</w:t>
      </w:r>
      <w:r w:rsidRPr="000515CF">
        <w:rPr>
          <w:noProof/>
          <w:vertAlign w:val="superscript"/>
        </w:rPr>
        <w:t>2</w:t>
      </w:r>
      <w:r>
        <w:t>:</w:t>
      </w:r>
    </w:p>
    <w:p w14:paraId="7727FC64" w14:textId="77777777" w:rsidR="001D3F5D" w:rsidRDefault="001D3F5D" w:rsidP="001D3F5D">
      <w:pPr>
        <w:pStyle w:val="ListParagraph"/>
        <w:numPr>
          <w:ilvl w:val="0"/>
          <w:numId w:val="8"/>
        </w:numPr>
      </w:pPr>
      <w:r>
        <w:t xml:space="preserve">Treatment of ringworm  due to infection caused by </w:t>
      </w:r>
      <w:proofErr w:type="spellStart"/>
      <w:r>
        <w:t>dermatophytes</w:t>
      </w:r>
      <w:proofErr w:type="spellEnd"/>
      <w:r>
        <w:t xml:space="preserve"> such as </w:t>
      </w:r>
      <w:proofErr w:type="spellStart"/>
      <w:r>
        <w:t>t</w:t>
      </w:r>
      <w:r w:rsidRPr="0019587A">
        <w:t>richophyton</w:t>
      </w:r>
      <w:proofErr w:type="spellEnd"/>
      <w:r>
        <w:t xml:space="preserve"> where oral therapy is appropriate due to </w:t>
      </w:r>
      <w:r w:rsidRPr="0019587A">
        <w:t>site, severity or extent of the infection,</w:t>
      </w:r>
      <w:r>
        <w:t xml:space="preserve"> </w:t>
      </w:r>
      <w:r w:rsidRPr="0019587A">
        <w:t>and the infection is no</w:t>
      </w:r>
      <w:r>
        <w:t xml:space="preserve">t responsive to topical therapy, and, </w:t>
      </w:r>
    </w:p>
    <w:p w14:paraId="540A8469" w14:textId="77777777" w:rsidR="001D3F5D" w:rsidRPr="0019587A" w:rsidRDefault="001D3F5D" w:rsidP="001D3F5D">
      <w:pPr>
        <w:pStyle w:val="ListParagraph"/>
        <w:numPr>
          <w:ilvl w:val="0"/>
          <w:numId w:val="8"/>
        </w:numPr>
      </w:pPr>
      <w:proofErr w:type="spellStart"/>
      <w:r w:rsidRPr="0019587A">
        <w:t>Onychomycosis</w:t>
      </w:r>
      <w:proofErr w:type="spellEnd"/>
      <w:r>
        <w:t xml:space="preserve"> </w:t>
      </w:r>
      <w:r w:rsidRPr="0019587A">
        <w:t xml:space="preserve">in adults caused by </w:t>
      </w:r>
      <w:proofErr w:type="spellStart"/>
      <w:r w:rsidRPr="0019587A">
        <w:t>dermatophyte</w:t>
      </w:r>
      <w:proofErr w:type="spellEnd"/>
      <w:r w:rsidRPr="0019587A">
        <w:t xml:space="preserve"> fungi</w:t>
      </w:r>
      <w:r>
        <w:t xml:space="preserve">. </w:t>
      </w:r>
    </w:p>
    <w:p w14:paraId="32868231" w14:textId="77777777" w:rsidR="001D3F5D" w:rsidRPr="00C14836" w:rsidRDefault="001D3F5D" w:rsidP="001D3F5D">
      <w:proofErr w:type="spellStart"/>
      <w:r>
        <w:rPr>
          <w:b/>
        </w:rPr>
        <w:t>Griseofulvin</w:t>
      </w:r>
      <w:proofErr w:type="spellEnd"/>
      <w:r>
        <w:rPr>
          <w:b/>
        </w:rPr>
        <w:t xml:space="preserve"> </w:t>
      </w:r>
      <w:r>
        <w:t xml:space="preserve">is indicated for </w:t>
      </w:r>
      <w:r w:rsidRPr="00C14836">
        <w:t>the treatment of fungal infections of the skin, scalp, hair or nails, where topical therapy is considered inappropriate or has failed</w:t>
      </w:r>
      <w:r>
        <w:t>.</w:t>
      </w:r>
      <w:r w:rsidRPr="00B31B6B">
        <w:rPr>
          <w:noProof/>
          <w:vertAlign w:val="superscript"/>
        </w:rPr>
        <w:t>6</w:t>
      </w:r>
    </w:p>
    <w:p w14:paraId="6D3D67AB" w14:textId="77777777" w:rsidR="001D3F5D" w:rsidRPr="006507F2" w:rsidRDefault="001D3F5D" w:rsidP="001D3F5D">
      <w:r w:rsidRPr="00FE2EEF">
        <w:rPr>
          <w:b/>
        </w:rPr>
        <w:t>Ketoconazole</w:t>
      </w:r>
      <w:r>
        <w:rPr>
          <w:b/>
        </w:rPr>
        <w:t xml:space="preserve"> </w:t>
      </w:r>
      <w:r>
        <w:t>was deregistered and its supply discontinued in Australia on 1 December 2013 due to risk of liver injury.</w:t>
      </w:r>
      <w:r w:rsidRPr="00B31B6B">
        <w:rPr>
          <w:noProof/>
          <w:vertAlign w:val="superscript"/>
        </w:rPr>
        <w:t>7</w:t>
      </w:r>
      <w:r>
        <w:t xml:space="preserve"> It was indicated for systemic and deep mycoses and r</w:t>
      </w:r>
      <w:r w:rsidRPr="003F2136">
        <w:t>ecalcitrant cases of superficial mycoses</w:t>
      </w:r>
      <w:r>
        <w:t>.</w:t>
      </w:r>
      <w:r w:rsidRPr="00B31B6B">
        <w:rPr>
          <w:noProof/>
          <w:vertAlign w:val="superscript"/>
        </w:rPr>
        <w:t>8</w:t>
      </w:r>
      <w:r>
        <w:t xml:space="preserve">   Ketoconazole is marketed in the United States (US) for certain fungal infections for patients who are unable to take or have failed other therapies. In July 2013, the US Food and Drug Administration (FDA) made a safety announcement on the risks of liver injury, adrenal gland problems and drug interactions with the use of oral ketoconazole.</w:t>
      </w:r>
      <w:r w:rsidRPr="00B31B6B">
        <w:rPr>
          <w:noProof/>
          <w:vertAlign w:val="superscript"/>
        </w:rPr>
        <w:t>9</w:t>
      </w:r>
      <w:r>
        <w:t xml:space="preserve"> </w:t>
      </w:r>
    </w:p>
    <w:p w14:paraId="15E919C1" w14:textId="1B3BA560" w:rsidR="006B709B" w:rsidRDefault="006B709B" w:rsidP="00CF5E22">
      <w:pPr>
        <w:pStyle w:val="Heading2"/>
      </w:pPr>
      <w:r>
        <w:lastRenderedPageBreak/>
        <w:t>Dosage and administration</w:t>
      </w:r>
    </w:p>
    <w:p w14:paraId="2DDABAEE" w14:textId="77777777" w:rsidR="001D3F5D" w:rsidRDefault="001D3F5D" w:rsidP="001D3F5D">
      <w:r>
        <w:t xml:space="preserve">Dosage and administration information are presented in Appendix 1. </w:t>
      </w:r>
    </w:p>
    <w:p w14:paraId="3B41FEEC" w14:textId="77777777" w:rsidR="001D3F5D" w:rsidRPr="002F61CA" w:rsidRDefault="001D3F5D" w:rsidP="001D3F5D">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46E2BB42" w14:textId="4588843F" w:rsidR="00DF0B13" w:rsidRPr="007247B9" w:rsidRDefault="00DF0B13" w:rsidP="00CF5E22">
      <w:pPr>
        <w:pStyle w:val="Heading2"/>
      </w:pPr>
      <w:r w:rsidRPr="007247B9">
        <w:t>PBS listing details</w:t>
      </w:r>
      <w:r w:rsidR="00D151EB">
        <w:t xml:space="preserve"> (</w:t>
      </w:r>
      <w:r w:rsidR="001D3F5D" w:rsidRPr="001D3F5D">
        <w:t>as at 1 August2016)</w:t>
      </w:r>
    </w:p>
    <w:p w14:paraId="63833C62" w14:textId="77777777" w:rsidR="001D3F5D" w:rsidRDefault="001D3F5D" w:rsidP="001D3F5D">
      <w:r>
        <w:t xml:space="preserve">Table 1 presents the PBS listing of systemic antifungal medicines at </w:t>
      </w:r>
      <w:r w:rsidRPr="00942B24">
        <w:t xml:space="preserve">1 </w:t>
      </w:r>
      <w:r>
        <w:t xml:space="preserve">August 2016. All systemic antifungals listed on the PBS are listed in the General Schedule (section 85). </w:t>
      </w:r>
    </w:p>
    <w:p w14:paraId="3CB05C56" w14:textId="77777777" w:rsidR="001D3F5D" w:rsidRPr="001420B3" w:rsidRDefault="001D3F5D" w:rsidP="001D3F5D">
      <w:pPr>
        <w:pStyle w:val="Tabletitle"/>
      </w:pPr>
      <w:r w:rsidRPr="001420B3">
        <w:t xml:space="preserve">Table </w:t>
      </w:r>
      <w:r>
        <w:t>1</w:t>
      </w:r>
      <w:r w:rsidRPr="001420B3">
        <w:t xml:space="preserve">: </w:t>
      </w:r>
      <w:r>
        <w:t>PBS listing of systemic antifungals</w:t>
      </w:r>
    </w:p>
    <w:tbl>
      <w:tblPr>
        <w:tblStyle w:val="TableGrid"/>
        <w:tblW w:w="0" w:type="auto"/>
        <w:tblLook w:val="04A0" w:firstRow="1" w:lastRow="0" w:firstColumn="1" w:lastColumn="0" w:noHBand="0" w:noVBand="1"/>
      </w:tblPr>
      <w:tblGrid>
        <w:gridCol w:w="1072"/>
        <w:gridCol w:w="2664"/>
        <w:gridCol w:w="1096"/>
        <w:gridCol w:w="659"/>
        <w:gridCol w:w="925"/>
        <w:gridCol w:w="2757"/>
      </w:tblGrid>
      <w:tr w:rsidR="001D3F5D" w:rsidRPr="00A35800" w14:paraId="05B36DE5" w14:textId="77777777" w:rsidTr="00F251E9">
        <w:trPr>
          <w:cantSplit/>
          <w:trHeight w:val="694"/>
          <w:tblHeader/>
        </w:trPr>
        <w:tc>
          <w:tcPr>
            <w:tcW w:w="0" w:type="auto"/>
            <w:shd w:val="clear" w:color="auto" w:fill="BFBFBF" w:themeFill="background1" w:themeFillShade="BF"/>
          </w:tcPr>
          <w:p w14:paraId="54D315D3" w14:textId="77777777" w:rsidR="001D3F5D" w:rsidRPr="00A35800" w:rsidRDefault="001D3F5D" w:rsidP="00F251E9">
            <w:pPr>
              <w:pStyle w:val="Tableheading"/>
              <w:rPr>
                <w:szCs w:val="20"/>
              </w:rPr>
            </w:pPr>
            <w:r w:rsidRPr="00A35800">
              <w:rPr>
                <w:szCs w:val="20"/>
              </w:rPr>
              <w:t>Item</w:t>
            </w:r>
          </w:p>
        </w:tc>
        <w:tc>
          <w:tcPr>
            <w:tcW w:w="0" w:type="auto"/>
            <w:shd w:val="clear" w:color="auto" w:fill="BFBFBF" w:themeFill="background1" w:themeFillShade="BF"/>
          </w:tcPr>
          <w:p w14:paraId="40F91D8A" w14:textId="77777777" w:rsidR="001D3F5D" w:rsidRPr="00A35800" w:rsidRDefault="001D3F5D" w:rsidP="00F251E9">
            <w:pPr>
              <w:pStyle w:val="Tableheading"/>
              <w:rPr>
                <w:szCs w:val="20"/>
              </w:rPr>
            </w:pPr>
            <w:r w:rsidRPr="00A35800">
              <w:rPr>
                <w:szCs w:val="20"/>
              </w:rPr>
              <w:t>Name, form &amp; strength, pack size</w:t>
            </w:r>
          </w:p>
        </w:tc>
        <w:tc>
          <w:tcPr>
            <w:tcW w:w="0" w:type="auto"/>
            <w:shd w:val="clear" w:color="auto" w:fill="BFBFBF" w:themeFill="background1" w:themeFillShade="BF"/>
          </w:tcPr>
          <w:p w14:paraId="2FEF0177" w14:textId="77777777" w:rsidR="001D3F5D" w:rsidRPr="00A35800" w:rsidRDefault="001D3F5D" w:rsidP="00F251E9">
            <w:pPr>
              <w:pStyle w:val="Tableheading"/>
              <w:rPr>
                <w:szCs w:val="20"/>
              </w:rPr>
            </w:pPr>
            <w:r w:rsidRPr="00A35800">
              <w:rPr>
                <w:szCs w:val="20"/>
              </w:rPr>
              <w:t xml:space="preserve">Max. quant. </w:t>
            </w:r>
          </w:p>
        </w:tc>
        <w:tc>
          <w:tcPr>
            <w:tcW w:w="0" w:type="auto"/>
            <w:shd w:val="clear" w:color="auto" w:fill="BFBFBF" w:themeFill="background1" w:themeFillShade="BF"/>
          </w:tcPr>
          <w:p w14:paraId="7F17ECE5" w14:textId="77777777" w:rsidR="001D3F5D" w:rsidRPr="00A35800" w:rsidRDefault="001D3F5D" w:rsidP="00F251E9">
            <w:pPr>
              <w:pStyle w:val="Tableheading"/>
              <w:rPr>
                <w:szCs w:val="20"/>
              </w:rPr>
            </w:pPr>
            <w:proofErr w:type="spellStart"/>
            <w:r w:rsidRPr="00A35800">
              <w:rPr>
                <w:szCs w:val="20"/>
              </w:rPr>
              <w:t>Rpts</w:t>
            </w:r>
            <w:proofErr w:type="spellEnd"/>
            <w:r w:rsidRPr="00A35800">
              <w:rPr>
                <w:szCs w:val="20"/>
              </w:rPr>
              <w:t xml:space="preserve"> </w:t>
            </w:r>
          </w:p>
        </w:tc>
        <w:tc>
          <w:tcPr>
            <w:tcW w:w="0" w:type="auto"/>
            <w:shd w:val="clear" w:color="auto" w:fill="BFBFBF" w:themeFill="background1" w:themeFillShade="BF"/>
          </w:tcPr>
          <w:p w14:paraId="53E81602" w14:textId="77777777" w:rsidR="001D3F5D" w:rsidRDefault="001D3F5D" w:rsidP="00F251E9">
            <w:pPr>
              <w:pStyle w:val="Tableheading"/>
              <w:rPr>
                <w:szCs w:val="20"/>
              </w:rPr>
            </w:pPr>
            <w:r w:rsidRPr="00A35800">
              <w:rPr>
                <w:szCs w:val="20"/>
              </w:rPr>
              <w:t>DPMQ</w:t>
            </w:r>
          </w:p>
          <w:p w14:paraId="09A13E7F" w14:textId="77777777" w:rsidR="001D3F5D" w:rsidRPr="00A35800" w:rsidRDefault="001D3F5D" w:rsidP="00F251E9">
            <w:pPr>
              <w:pStyle w:val="Tableheading"/>
              <w:rPr>
                <w:szCs w:val="20"/>
              </w:rPr>
            </w:pPr>
            <w:r>
              <w:rPr>
                <w:szCs w:val="20"/>
              </w:rPr>
              <w:t>$</w:t>
            </w:r>
          </w:p>
        </w:tc>
        <w:tc>
          <w:tcPr>
            <w:tcW w:w="0" w:type="auto"/>
            <w:shd w:val="clear" w:color="auto" w:fill="BFBFBF" w:themeFill="background1" w:themeFillShade="BF"/>
          </w:tcPr>
          <w:p w14:paraId="09E7339B" w14:textId="77777777" w:rsidR="001D3F5D" w:rsidRPr="00A35800" w:rsidRDefault="001D3F5D" w:rsidP="00F251E9">
            <w:pPr>
              <w:pStyle w:val="Tableheading"/>
              <w:rPr>
                <w:szCs w:val="20"/>
              </w:rPr>
            </w:pPr>
            <w:r w:rsidRPr="00A35800">
              <w:rPr>
                <w:szCs w:val="20"/>
              </w:rPr>
              <w:t xml:space="preserve">Brand name  </w:t>
            </w:r>
            <w:r>
              <w:rPr>
                <w:szCs w:val="20"/>
              </w:rPr>
              <w:t>[</w:t>
            </w:r>
            <w:r w:rsidRPr="00A35800">
              <w:rPr>
                <w:szCs w:val="20"/>
              </w:rPr>
              <w:t>manufacturer</w:t>
            </w:r>
            <w:r>
              <w:rPr>
                <w:szCs w:val="20"/>
              </w:rPr>
              <w:t>]</w:t>
            </w:r>
          </w:p>
        </w:tc>
      </w:tr>
      <w:tr w:rsidR="001D3F5D" w:rsidRPr="00A35800" w14:paraId="4E90A3F8" w14:textId="77777777" w:rsidTr="00F251E9">
        <w:trPr>
          <w:cantSplit/>
          <w:trHeight w:val="552"/>
        </w:trPr>
        <w:tc>
          <w:tcPr>
            <w:tcW w:w="0" w:type="auto"/>
            <w:shd w:val="clear" w:color="auto" w:fill="auto"/>
          </w:tcPr>
          <w:p w14:paraId="4F8BA097" w14:textId="77777777" w:rsidR="001D3F5D" w:rsidRPr="00A35800" w:rsidRDefault="001D3F5D" w:rsidP="00F251E9">
            <w:pPr>
              <w:pStyle w:val="Tablewriting"/>
            </w:pPr>
            <w:r w:rsidRPr="009E1867">
              <w:t>1471K</w:t>
            </w:r>
          </w:p>
        </w:tc>
        <w:tc>
          <w:tcPr>
            <w:tcW w:w="0" w:type="auto"/>
            <w:shd w:val="clear" w:color="auto" w:fill="auto"/>
          </w:tcPr>
          <w:p w14:paraId="3A9C95C0" w14:textId="77777777" w:rsidR="001D3F5D" w:rsidRPr="00A35800" w:rsidRDefault="001D3F5D" w:rsidP="00F251E9">
            <w:pPr>
              <w:pStyle w:val="Tablewriting"/>
            </w:pPr>
            <w:r w:rsidRPr="009E1867">
              <w:t>fluconazole 50 mg capsule, 28</w:t>
            </w:r>
          </w:p>
        </w:tc>
        <w:tc>
          <w:tcPr>
            <w:tcW w:w="0" w:type="auto"/>
            <w:shd w:val="clear" w:color="auto" w:fill="auto"/>
          </w:tcPr>
          <w:p w14:paraId="2429B8E0" w14:textId="77777777" w:rsidR="001D3F5D" w:rsidRPr="00A35800" w:rsidRDefault="001D3F5D" w:rsidP="00F251E9">
            <w:pPr>
              <w:pStyle w:val="Tablewriting"/>
            </w:pPr>
            <w:r w:rsidRPr="007F5F12">
              <w:t>28</w:t>
            </w:r>
          </w:p>
        </w:tc>
        <w:tc>
          <w:tcPr>
            <w:tcW w:w="0" w:type="auto"/>
            <w:shd w:val="clear" w:color="auto" w:fill="auto"/>
          </w:tcPr>
          <w:p w14:paraId="6FA61FD8" w14:textId="77777777" w:rsidR="001D3F5D" w:rsidRPr="00A35800" w:rsidRDefault="001D3F5D" w:rsidP="00F251E9">
            <w:pPr>
              <w:pStyle w:val="Tablewriting"/>
            </w:pPr>
            <w:r w:rsidRPr="007F5F12">
              <w:t>5</w:t>
            </w:r>
          </w:p>
        </w:tc>
        <w:tc>
          <w:tcPr>
            <w:tcW w:w="0" w:type="auto"/>
            <w:shd w:val="clear" w:color="auto" w:fill="auto"/>
          </w:tcPr>
          <w:p w14:paraId="5320A3B1" w14:textId="77777777" w:rsidR="001D3F5D" w:rsidRPr="00A35800" w:rsidRDefault="001D3F5D" w:rsidP="00F251E9">
            <w:pPr>
              <w:pStyle w:val="Tablewriting"/>
              <w:jc w:val="center"/>
            </w:pPr>
            <w:r w:rsidRPr="00697245">
              <w:t>25.09</w:t>
            </w:r>
          </w:p>
        </w:tc>
        <w:tc>
          <w:tcPr>
            <w:tcW w:w="0" w:type="auto"/>
            <w:shd w:val="clear" w:color="auto" w:fill="auto"/>
          </w:tcPr>
          <w:p w14:paraId="2634B1AB" w14:textId="77777777" w:rsidR="001D3F5D" w:rsidRPr="00A35800" w:rsidRDefault="001D3F5D" w:rsidP="00F251E9">
            <w:pPr>
              <w:pStyle w:val="Tablewriting"/>
            </w:pPr>
            <w:r>
              <w:t>Numerous brands</w:t>
            </w:r>
          </w:p>
        </w:tc>
      </w:tr>
      <w:tr w:rsidR="001D3F5D" w:rsidRPr="00A35800" w14:paraId="5E30B097" w14:textId="77777777" w:rsidTr="00F251E9">
        <w:trPr>
          <w:cantSplit/>
          <w:trHeight w:val="546"/>
        </w:trPr>
        <w:tc>
          <w:tcPr>
            <w:tcW w:w="0" w:type="auto"/>
            <w:shd w:val="clear" w:color="auto" w:fill="auto"/>
          </w:tcPr>
          <w:p w14:paraId="1DEF3970" w14:textId="77777777" w:rsidR="001D3F5D" w:rsidRPr="00A35800" w:rsidRDefault="001D3F5D" w:rsidP="00F251E9">
            <w:pPr>
              <w:pStyle w:val="Tablewriting"/>
            </w:pPr>
            <w:r w:rsidRPr="009E1867">
              <w:t>1472L</w:t>
            </w:r>
          </w:p>
        </w:tc>
        <w:tc>
          <w:tcPr>
            <w:tcW w:w="0" w:type="auto"/>
            <w:shd w:val="clear" w:color="auto" w:fill="auto"/>
          </w:tcPr>
          <w:p w14:paraId="7D7B3714" w14:textId="77777777" w:rsidR="001D3F5D" w:rsidRPr="00A35800" w:rsidRDefault="001D3F5D" w:rsidP="00F251E9">
            <w:pPr>
              <w:pStyle w:val="Tablewriting"/>
            </w:pPr>
            <w:r w:rsidRPr="009E1867">
              <w:t>fluconazole 100 mg capsule, 28</w:t>
            </w:r>
          </w:p>
        </w:tc>
        <w:tc>
          <w:tcPr>
            <w:tcW w:w="0" w:type="auto"/>
            <w:shd w:val="clear" w:color="auto" w:fill="auto"/>
          </w:tcPr>
          <w:p w14:paraId="7AFCFFB6" w14:textId="77777777" w:rsidR="001D3F5D" w:rsidRPr="00A35800" w:rsidRDefault="001D3F5D" w:rsidP="00F251E9">
            <w:pPr>
              <w:pStyle w:val="Tablewriting"/>
            </w:pPr>
            <w:r w:rsidRPr="007F5F12">
              <w:t>28</w:t>
            </w:r>
          </w:p>
        </w:tc>
        <w:tc>
          <w:tcPr>
            <w:tcW w:w="0" w:type="auto"/>
            <w:shd w:val="clear" w:color="auto" w:fill="auto"/>
          </w:tcPr>
          <w:p w14:paraId="56EAD649" w14:textId="77777777" w:rsidR="001D3F5D" w:rsidRPr="00A35800" w:rsidRDefault="001D3F5D" w:rsidP="00F251E9">
            <w:pPr>
              <w:pStyle w:val="Tablewriting"/>
            </w:pPr>
            <w:r w:rsidRPr="007F5F12">
              <w:t>5</w:t>
            </w:r>
          </w:p>
        </w:tc>
        <w:tc>
          <w:tcPr>
            <w:tcW w:w="0" w:type="auto"/>
            <w:shd w:val="clear" w:color="auto" w:fill="auto"/>
          </w:tcPr>
          <w:p w14:paraId="0A2BA163" w14:textId="77777777" w:rsidR="001D3F5D" w:rsidRPr="00A35800" w:rsidRDefault="001D3F5D" w:rsidP="00F251E9">
            <w:pPr>
              <w:pStyle w:val="Tablewriting"/>
              <w:jc w:val="center"/>
            </w:pPr>
            <w:r w:rsidRPr="00697245">
              <w:t>38.84</w:t>
            </w:r>
          </w:p>
        </w:tc>
        <w:tc>
          <w:tcPr>
            <w:tcW w:w="0" w:type="auto"/>
            <w:shd w:val="clear" w:color="auto" w:fill="auto"/>
          </w:tcPr>
          <w:p w14:paraId="46DB17E6" w14:textId="77777777" w:rsidR="001D3F5D" w:rsidRPr="00A35800" w:rsidRDefault="001D3F5D" w:rsidP="00F251E9">
            <w:pPr>
              <w:pStyle w:val="Tablewriting"/>
            </w:pPr>
            <w:r>
              <w:t>Numerous brands</w:t>
            </w:r>
          </w:p>
        </w:tc>
      </w:tr>
      <w:tr w:rsidR="001D3F5D" w:rsidRPr="00A35800" w14:paraId="640F5075" w14:textId="77777777" w:rsidTr="00F251E9">
        <w:trPr>
          <w:cantSplit/>
          <w:trHeight w:val="546"/>
        </w:trPr>
        <w:tc>
          <w:tcPr>
            <w:tcW w:w="0" w:type="auto"/>
            <w:shd w:val="clear" w:color="auto" w:fill="auto"/>
          </w:tcPr>
          <w:p w14:paraId="0CF36920" w14:textId="77777777" w:rsidR="001D3F5D" w:rsidRPr="00A35800" w:rsidRDefault="001D3F5D" w:rsidP="00F251E9">
            <w:pPr>
              <w:pStyle w:val="Tablewriting"/>
            </w:pPr>
            <w:r w:rsidRPr="009E1867">
              <w:t>1473M</w:t>
            </w:r>
          </w:p>
        </w:tc>
        <w:tc>
          <w:tcPr>
            <w:tcW w:w="0" w:type="auto"/>
            <w:shd w:val="clear" w:color="auto" w:fill="auto"/>
          </w:tcPr>
          <w:p w14:paraId="7114A30D" w14:textId="77777777" w:rsidR="001D3F5D" w:rsidRPr="00A35800" w:rsidRDefault="001D3F5D" w:rsidP="00F251E9">
            <w:pPr>
              <w:pStyle w:val="Tablewriting"/>
            </w:pPr>
            <w:r w:rsidRPr="009E1867">
              <w:t>fluconazole 100 mg/50 mL injection, 50 mL vial</w:t>
            </w:r>
          </w:p>
        </w:tc>
        <w:tc>
          <w:tcPr>
            <w:tcW w:w="0" w:type="auto"/>
            <w:shd w:val="clear" w:color="auto" w:fill="auto"/>
          </w:tcPr>
          <w:p w14:paraId="3FC00CEE" w14:textId="77777777" w:rsidR="001D3F5D" w:rsidRPr="00A35800" w:rsidRDefault="001D3F5D" w:rsidP="00F251E9">
            <w:pPr>
              <w:pStyle w:val="Tablewriting"/>
            </w:pPr>
            <w:r w:rsidRPr="007F5F12">
              <w:t>7</w:t>
            </w:r>
          </w:p>
        </w:tc>
        <w:tc>
          <w:tcPr>
            <w:tcW w:w="0" w:type="auto"/>
            <w:shd w:val="clear" w:color="auto" w:fill="auto"/>
          </w:tcPr>
          <w:p w14:paraId="45BCCCD2" w14:textId="77777777" w:rsidR="001D3F5D" w:rsidRPr="00A35800" w:rsidRDefault="001D3F5D" w:rsidP="00F251E9">
            <w:pPr>
              <w:pStyle w:val="Tablewriting"/>
            </w:pPr>
            <w:r w:rsidRPr="007F5F12">
              <w:t>0</w:t>
            </w:r>
          </w:p>
        </w:tc>
        <w:tc>
          <w:tcPr>
            <w:tcW w:w="0" w:type="auto"/>
            <w:shd w:val="clear" w:color="auto" w:fill="auto"/>
          </w:tcPr>
          <w:p w14:paraId="770A5D44" w14:textId="77777777" w:rsidR="001D3F5D" w:rsidRPr="00A35800" w:rsidRDefault="001D3F5D" w:rsidP="00F251E9">
            <w:pPr>
              <w:pStyle w:val="Tablewriting"/>
              <w:jc w:val="center"/>
            </w:pPr>
            <w:r w:rsidRPr="00697245">
              <w:t>21.79</w:t>
            </w:r>
          </w:p>
        </w:tc>
        <w:tc>
          <w:tcPr>
            <w:tcW w:w="0" w:type="auto"/>
            <w:shd w:val="clear" w:color="auto" w:fill="auto"/>
          </w:tcPr>
          <w:p w14:paraId="63A8F6C2" w14:textId="77777777" w:rsidR="001D3F5D" w:rsidRPr="00A35800" w:rsidRDefault="001D3F5D" w:rsidP="00F251E9">
            <w:pPr>
              <w:pStyle w:val="Tablewriting"/>
            </w:pPr>
            <w:r>
              <w:t>Numerous brands</w:t>
            </w:r>
          </w:p>
        </w:tc>
      </w:tr>
      <w:tr w:rsidR="001D3F5D" w:rsidRPr="00A35800" w14:paraId="73A5A8D1" w14:textId="77777777" w:rsidTr="00F251E9">
        <w:trPr>
          <w:cantSplit/>
          <w:trHeight w:val="546"/>
        </w:trPr>
        <w:tc>
          <w:tcPr>
            <w:tcW w:w="0" w:type="auto"/>
            <w:shd w:val="clear" w:color="auto" w:fill="auto"/>
          </w:tcPr>
          <w:p w14:paraId="3A8E8C7E" w14:textId="77777777" w:rsidR="001D3F5D" w:rsidRPr="00A35800" w:rsidRDefault="001D3F5D" w:rsidP="00F251E9">
            <w:pPr>
              <w:pStyle w:val="Tablewriting"/>
            </w:pPr>
            <w:r w:rsidRPr="009E1867">
              <w:t>1474N</w:t>
            </w:r>
          </w:p>
        </w:tc>
        <w:tc>
          <w:tcPr>
            <w:tcW w:w="0" w:type="auto"/>
            <w:shd w:val="clear" w:color="auto" w:fill="auto"/>
          </w:tcPr>
          <w:p w14:paraId="09B09E82" w14:textId="77777777" w:rsidR="001D3F5D" w:rsidRPr="00A35800" w:rsidRDefault="001D3F5D" w:rsidP="00F251E9">
            <w:pPr>
              <w:pStyle w:val="Tablewriting"/>
            </w:pPr>
            <w:r w:rsidRPr="009E1867">
              <w:t>fluconazole 200 mg/100 mL injection, 100 mL vial</w:t>
            </w:r>
          </w:p>
        </w:tc>
        <w:tc>
          <w:tcPr>
            <w:tcW w:w="0" w:type="auto"/>
            <w:shd w:val="clear" w:color="auto" w:fill="auto"/>
          </w:tcPr>
          <w:p w14:paraId="57BDA7CF" w14:textId="77777777" w:rsidR="001D3F5D" w:rsidRPr="00A35800" w:rsidRDefault="001D3F5D" w:rsidP="00F251E9">
            <w:pPr>
              <w:pStyle w:val="Tablewriting"/>
            </w:pPr>
            <w:r w:rsidRPr="007F5F12">
              <w:t>7</w:t>
            </w:r>
          </w:p>
        </w:tc>
        <w:tc>
          <w:tcPr>
            <w:tcW w:w="0" w:type="auto"/>
            <w:shd w:val="clear" w:color="auto" w:fill="auto"/>
          </w:tcPr>
          <w:p w14:paraId="21DB8E16" w14:textId="77777777" w:rsidR="001D3F5D" w:rsidRPr="00A35800" w:rsidRDefault="001D3F5D" w:rsidP="00F251E9">
            <w:pPr>
              <w:pStyle w:val="Tablewriting"/>
            </w:pPr>
            <w:r w:rsidRPr="007F5F12">
              <w:t>0</w:t>
            </w:r>
          </w:p>
        </w:tc>
        <w:tc>
          <w:tcPr>
            <w:tcW w:w="0" w:type="auto"/>
            <w:shd w:val="clear" w:color="auto" w:fill="auto"/>
          </w:tcPr>
          <w:p w14:paraId="7EE6AC51" w14:textId="77777777" w:rsidR="001D3F5D" w:rsidRPr="00A35800" w:rsidRDefault="001D3F5D" w:rsidP="00F251E9">
            <w:pPr>
              <w:pStyle w:val="Tablewriting"/>
              <w:jc w:val="center"/>
            </w:pPr>
            <w:r w:rsidRPr="00697245">
              <w:t>31.73</w:t>
            </w:r>
          </w:p>
        </w:tc>
        <w:tc>
          <w:tcPr>
            <w:tcW w:w="0" w:type="auto"/>
            <w:shd w:val="clear" w:color="auto" w:fill="auto"/>
          </w:tcPr>
          <w:p w14:paraId="726DA6D2" w14:textId="77777777" w:rsidR="001D3F5D" w:rsidRPr="00A35800" w:rsidRDefault="001D3F5D" w:rsidP="00F251E9">
            <w:pPr>
              <w:pStyle w:val="Tablewriting"/>
            </w:pPr>
            <w:r>
              <w:t>Numerous brands</w:t>
            </w:r>
          </w:p>
        </w:tc>
      </w:tr>
      <w:tr w:rsidR="001D3F5D" w:rsidRPr="00A35800" w14:paraId="014C4726" w14:textId="77777777" w:rsidTr="00F251E9">
        <w:trPr>
          <w:cantSplit/>
          <w:trHeight w:val="546"/>
        </w:trPr>
        <w:tc>
          <w:tcPr>
            <w:tcW w:w="0" w:type="auto"/>
            <w:shd w:val="clear" w:color="auto" w:fill="auto"/>
          </w:tcPr>
          <w:p w14:paraId="354A54BC" w14:textId="77777777" w:rsidR="001D3F5D" w:rsidRPr="00A35800" w:rsidRDefault="001D3F5D" w:rsidP="00F251E9">
            <w:pPr>
              <w:pStyle w:val="Tablewriting"/>
            </w:pPr>
            <w:r w:rsidRPr="009E1867">
              <w:t>1475P</w:t>
            </w:r>
          </w:p>
        </w:tc>
        <w:tc>
          <w:tcPr>
            <w:tcW w:w="0" w:type="auto"/>
            <w:shd w:val="clear" w:color="auto" w:fill="auto"/>
          </w:tcPr>
          <w:p w14:paraId="7FA17F0B" w14:textId="77777777" w:rsidR="001D3F5D" w:rsidRPr="00A35800" w:rsidRDefault="001D3F5D" w:rsidP="00F251E9">
            <w:pPr>
              <w:pStyle w:val="Tablewriting"/>
            </w:pPr>
            <w:r w:rsidRPr="009E1867">
              <w:t>fluconazole 200 mg capsule, 28</w:t>
            </w:r>
          </w:p>
        </w:tc>
        <w:tc>
          <w:tcPr>
            <w:tcW w:w="0" w:type="auto"/>
            <w:shd w:val="clear" w:color="auto" w:fill="auto"/>
          </w:tcPr>
          <w:p w14:paraId="7193C586" w14:textId="77777777" w:rsidR="001D3F5D" w:rsidRPr="00A35800" w:rsidRDefault="001D3F5D" w:rsidP="00F251E9">
            <w:pPr>
              <w:pStyle w:val="Tablewriting"/>
            </w:pPr>
            <w:r w:rsidRPr="007F5F12">
              <w:t>28</w:t>
            </w:r>
          </w:p>
        </w:tc>
        <w:tc>
          <w:tcPr>
            <w:tcW w:w="0" w:type="auto"/>
            <w:shd w:val="clear" w:color="auto" w:fill="auto"/>
          </w:tcPr>
          <w:p w14:paraId="4D0DA189" w14:textId="77777777" w:rsidR="001D3F5D" w:rsidRPr="00A35800" w:rsidRDefault="001D3F5D" w:rsidP="00F251E9">
            <w:pPr>
              <w:pStyle w:val="Tablewriting"/>
            </w:pPr>
            <w:r w:rsidRPr="007F5F12">
              <w:t>5</w:t>
            </w:r>
          </w:p>
        </w:tc>
        <w:tc>
          <w:tcPr>
            <w:tcW w:w="0" w:type="auto"/>
            <w:shd w:val="clear" w:color="auto" w:fill="auto"/>
          </w:tcPr>
          <w:p w14:paraId="1EFAE85A" w14:textId="77777777" w:rsidR="001D3F5D" w:rsidRPr="00A35800" w:rsidRDefault="001D3F5D" w:rsidP="00F251E9">
            <w:pPr>
              <w:pStyle w:val="Tablewriting"/>
              <w:jc w:val="center"/>
            </w:pPr>
            <w:r w:rsidRPr="00697245">
              <w:t>65.64</w:t>
            </w:r>
          </w:p>
        </w:tc>
        <w:tc>
          <w:tcPr>
            <w:tcW w:w="0" w:type="auto"/>
            <w:shd w:val="clear" w:color="auto" w:fill="auto"/>
          </w:tcPr>
          <w:p w14:paraId="1AB08789" w14:textId="77777777" w:rsidR="001D3F5D" w:rsidRPr="00A35800" w:rsidRDefault="001D3F5D" w:rsidP="00F251E9">
            <w:pPr>
              <w:pStyle w:val="Tablewriting"/>
            </w:pPr>
            <w:r>
              <w:t>Numerous brands</w:t>
            </w:r>
          </w:p>
        </w:tc>
      </w:tr>
      <w:tr w:rsidR="001D3F5D" w:rsidRPr="00A35800" w14:paraId="21CEF9B4" w14:textId="77777777" w:rsidTr="00F251E9">
        <w:trPr>
          <w:cantSplit/>
          <w:trHeight w:val="546"/>
        </w:trPr>
        <w:tc>
          <w:tcPr>
            <w:tcW w:w="0" w:type="auto"/>
            <w:shd w:val="clear" w:color="auto" w:fill="auto"/>
          </w:tcPr>
          <w:p w14:paraId="66522F01" w14:textId="77777777" w:rsidR="001D3F5D" w:rsidRPr="00A35800" w:rsidRDefault="001D3F5D" w:rsidP="00F251E9">
            <w:pPr>
              <w:pStyle w:val="Tablewriting"/>
            </w:pPr>
            <w:r w:rsidRPr="009E1867">
              <w:t>1757L</w:t>
            </w:r>
          </w:p>
        </w:tc>
        <w:tc>
          <w:tcPr>
            <w:tcW w:w="0" w:type="auto"/>
            <w:shd w:val="clear" w:color="auto" w:fill="auto"/>
          </w:tcPr>
          <w:p w14:paraId="79E22E06" w14:textId="77777777" w:rsidR="001D3F5D" w:rsidRPr="00A35800" w:rsidRDefault="001D3F5D" w:rsidP="00F251E9">
            <w:pPr>
              <w:pStyle w:val="Tablewriting"/>
            </w:pPr>
            <w:r w:rsidRPr="009E1867">
              <w:t>fluconazole 400 mg/200 mL injection, 200 mL bag</w:t>
            </w:r>
          </w:p>
        </w:tc>
        <w:tc>
          <w:tcPr>
            <w:tcW w:w="0" w:type="auto"/>
            <w:shd w:val="clear" w:color="auto" w:fill="auto"/>
          </w:tcPr>
          <w:p w14:paraId="750CA0BA" w14:textId="77777777" w:rsidR="001D3F5D" w:rsidRPr="00A35800" w:rsidRDefault="001D3F5D" w:rsidP="00F251E9">
            <w:pPr>
              <w:pStyle w:val="Tablewriting"/>
            </w:pPr>
            <w:r w:rsidRPr="007F5F12">
              <w:t>1</w:t>
            </w:r>
          </w:p>
        </w:tc>
        <w:tc>
          <w:tcPr>
            <w:tcW w:w="0" w:type="auto"/>
            <w:shd w:val="clear" w:color="auto" w:fill="auto"/>
          </w:tcPr>
          <w:p w14:paraId="007EE5DA" w14:textId="77777777" w:rsidR="001D3F5D" w:rsidRPr="00A35800" w:rsidRDefault="001D3F5D" w:rsidP="00F251E9">
            <w:pPr>
              <w:pStyle w:val="Tablewriting"/>
            </w:pPr>
            <w:r w:rsidRPr="007F5F12">
              <w:t>0</w:t>
            </w:r>
          </w:p>
        </w:tc>
        <w:tc>
          <w:tcPr>
            <w:tcW w:w="0" w:type="auto"/>
            <w:shd w:val="clear" w:color="auto" w:fill="auto"/>
          </w:tcPr>
          <w:p w14:paraId="1F448D6D" w14:textId="77777777" w:rsidR="001D3F5D" w:rsidRPr="00A35800" w:rsidRDefault="001D3F5D" w:rsidP="00F251E9">
            <w:pPr>
              <w:pStyle w:val="Tablewriting"/>
              <w:jc w:val="center"/>
            </w:pPr>
            <w:r w:rsidRPr="00697245">
              <w:t>15.31</w:t>
            </w:r>
          </w:p>
        </w:tc>
        <w:tc>
          <w:tcPr>
            <w:tcW w:w="0" w:type="auto"/>
            <w:shd w:val="clear" w:color="auto" w:fill="auto"/>
          </w:tcPr>
          <w:p w14:paraId="23F24F0A" w14:textId="4725C26D" w:rsidR="001D3F5D" w:rsidRPr="00A35800" w:rsidRDefault="001D3F5D" w:rsidP="00F251E9">
            <w:pPr>
              <w:pStyle w:val="Tablewriting"/>
            </w:pPr>
            <w:r w:rsidRPr="000178C5">
              <w:t xml:space="preserve">Fluconazole </w:t>
            </w:r>
            <w:proofErr w:type="spellStart"/>
            <w:r w:rsidRPr="000178C5">
              <w:t>Alphapharm</w:t>
            </w:r>
            <w:proofErr w:type="spellEnd"/>
            <w:r w:rsidRPr="000178C5">
              <w:t xml:space="preserve"> [</w:t>
            </w:r>
            <w:proofErr w:type="spellStart"/>
            <w:r w:rsidRPr="000178C5">
              <w:t>A</w:t>
            </w:r>
            <w:r w:rsidR="00F06DD6">
              <w:t>lphapharm</w:t>
            </w:r>
            <w:proofErr w:type="spellEnd"/>
            <w:r w:rsidR="00F06DD6">
              <w:t xml:space="preserve"> Pty Ltd</w:t>
            </w:r>
            <w:r w:rsidRPr="000178C5">
              <w:t>]</w:t>
            </w:r>
          </w:p>
        </w:tc>
      </w:tr>
      <w:tr w:rsidR="001D3F5D" w:rsidRPr="00A35800" w14:paraId="0EA75350" w14:textId="77777777" w:rsidTr="00F251E9">
        <w:trPr>
          <w:cantSplit/>
          <w:trHeight w:val="546"/>
        </w:trPr>
        <w:tc>
          <w:tcPr>
            <w:tcW w:w="0" w:type="auto"/>
            <w:shd w:val="clear" w:color="auto" w:fill="auto"/>
          </w:tcPr>
          <w:p w14:paraId="1C4E4007" w14:textId="77777777" w:rsidR="001D3F5D" w:rsidRPr="00A35800" w:rsidRDefault="001D3F5D" w:rsidP="00F251E9">
            <w:pPr>
              <w:pStyle w:val="Tablewriting"/>
            </w:pPr>
            <w:r w:rsidRPr="009E1867">
              <w:t>5446P</w:t>
            </w:r>
          </w:p>
        </w:tc>
        <w:tc>
          <w:tcPr>
            <w:tcW w:w="0" w:type="auto"/>
            <w:shd w:val="clear" w:color="auto" w:fill="auto"/>
          </w:tcPr>
          <w:p w14:paraId="00FB0F45" w14:textId="77777777" w:rsidR="001D3F5D" w:rsidRPr="00A35800" w:rsidRDefault="001D3F5D" w:rsidP="00F251E9">
            <w:pPr>
              <w:pStyle w:val="Tablewriting"/>
            </w:pPr>
            <w:r w:rsidRPr="009E1867">
              <w:t>fluconazole 50 mg/5 mL oral liquid: powder for, 35 mL</w:t>
            </w:r>
          </w:p>
        </w:tc>
        <w:tc>
          <w:tcPr>
            <w:tcW w:w="0" w:type="auto"/>
            <w:shd w:val="clear" w:color="auto" w:fill="auto"/>
          </w:tcPr>
          <w:p w14:paraId="3A85872C" w14:textId="77777777" w:rsidR="001D3F5D" w:rsidRPr="00A35800" w:rsidRDefault="001D3F5D" w:rsidP="00F251E9">
            <w:pPr>
              <w:pStyle w:val="Tablewriting"/>
            </w:pPr>
            <w:r w:rsidRPr="007F5F12">
              <w:t>1</w:t>
            </w:r>
          </w:p>
        </w:tc>
        <w:tc>
          <w:tcPr>
            <w:tcW w:w="0" w:type="auto"/>
            <w:shd w:val="clear" w:color="auto" w:fill="auto"/>
          </w:tcPr>
          <w:p w14:paraId="2F9F6E8D" w14:textId="77777777" w:rsidR="001D3F5D" w:rsidRPr="00A35800" w:rsidRDefault="001D3F5D" w:rsidP="00F251E9">
            <w:pPr>
              <w:pStyle w:val="Tablewriting"/>
            </w:pPr>
            <w:r w:rsidRPr="007F5F12">
              <w:t>0</w:t>
            </w:r>
          </w:p>
        </w:tc>
        <w:tc>
          <w:tcPr>
            <w:tcW w:w="0" w:type="auto"/>
            <w:shd w:val="clear" w:color="auto" w:fill="auto"/>
          </w:tcPr>
          <w:p w14:paraId="1260F077" w14:textId="77777777" w:rsidR="001D3F5D" w:rsidRPr="00A35800" w:rsidRDefault="001D3F5D" w:rsidP="00F251E9">
            <w:pPr>
              <w:pStyle w:val="Tablewriting"/>
              <w:jc w:val="center"/>
            </w:pPr>
            <w:r w:rsidRPr="00697245">
              <w:t>66.75</w:t>
            </w:r>
          </w:p>
        </w:tc>
        <w:tc>
          <w:tcPr>
            <w:tcW w:w="0" w:type="auto"/>
            <w:shd w:val="clear" w:color="auto" w:fill="auto"/>
          </w:tcPr>
          <w:p w14:paraId="2BF5C585" w14:textId="0EA0AE03" w:rsidR="001D3F5D" w:rsidRPr="00A35800" w:rsidRDefault="001D3F5D" w:rsidP="00F251E9">
            <w:pPr>
              <w:pStyle w:val="Tablewriting"/>
            </w:pPr>
            <w:proofErr w:type="spellStart"/>
            <w:r w:rsidRPr="000178C5">
              <w:t>Diflucan</w:t>
            </w:r>
            <w:proofErr w:type="spellEnd"/>
            <w:r w:rsidRPr="000178C5">
              <w:t xml:space="preserve"> [P</w:t>
            </w:r>
            <w:r w:rsidR="00F06DD6">
              <w:t>fizer Australia Pty Ltd</w:t>
            </w:r>
            <w:r w:rsidRPr="000178C5">
              <w:t>]</w:t>
            </w:r>
          </w:p>
        </w:tc>
      </w:tr>
      <w:tr w:rsidR="001D3F5D" w:rsidRPr="00A35800" w14:paraId="4F6725AF" w14:textId="77777777" w:rsidTr="00F251E9">
        <w:trPr>
          <w:cantSplit/>
          <w:trHeight w:val="546"/>
        </w:trPr>
        <w:tc>
          <w:tcPr>
            <w:tcW w:w="0" w:type="auto"/>
            <w:shd w:val="clear" w:color="auto" w:fill="auto"/>
          </w:tcPr>
          <w:p w14:paraId="4433EF4A" w14:textId="77777777" w:rsidR="001D3F5D" w:rsidRPr="009E1867" w:rsidRDefault="001D3F5D" w:rsidP="00F251E9">
            <w:pPr>
              <w:pStyle w:val="Tablewriting"/>
            </w:pPr>
            <w:r w:rsidRPr="00E626E7">
              <w:t>10732W</w:t>
            </w:r>
          </w:p>
        </w:tc>
        <w:tc>
          <w:tcPr>
            <w:tcW w:w="0" w:type="auto"/>
            <w:shd w:val="clear" w:color="auto" w:fill="auto"/>
          </w:tcPr>
          <w:p w14:paraId="176FD1D0" w14:textId="77777777" w:rsidR="001D3F5D" w:rsidRPr="009E1867" w:rsidRDefault="001D3F5D" w:rsidP="00F251E9">
            <w:pPr>
              <w:pStyle w:val="Tablewriting"/>
            </w:pPr>
            <w:proofErr w:type="spellStart"/>
            <w:r w:rsidRPr="00E626E7">
              <w:t>itraconazole</w:t>
            </w:r>
            <w:proofErr w:type="spellEnd"/>
            <w:r w:rsidRPr="00E626E7">
              <w:t xml:space="preserve"> 50 mg capsule, 60</w:t>
            </w:r>
          </w:p>
        </w:tc>
        <w:tc>
          <w:tcPr>
            <w:tcW w:w="0" w:type="auto"/>
            <w:shd w:val="clear" w:color="auto" w:fill="auto"/>
          </w:tcPr>
          <w:p w14:paraId="37D0C991" w14:textId="77777777" w:rsidR="001D3F5D" w:rsidRPr="007F5F12" w:rsidRDefault="001D3F5D" w:rsidP="00F251E9">
            <w:pPr>
              <w:pStyle w:val="Tablewriting"/>
            </w:pPr>
            <w:r w:rsidRPr="00E626E7">
              <w:t>60</w:t>
            </w:r>
          </w:p>
        </w:tc>
        <w:tc>
          <w:tcPr>
            <w:tcW w:w="0" w:type="auto"/>
            <w:shd w:val="clear" w:color="auto" w:fill="auto"/>
          </w:tcPr>
          <w:p w14:paraId="5FD19192" w14:textId="77777777" w:rsidR="001D3F5D" w:rsidRPr="007F5F12" w:rsidRDefault="001D3F5D" w:rsidP="00F251E9">
            <w:pPr>
              <w:pStyle w:val="Tablewriting"/>
            </w:pPr>
            <w:r w:rsidRPr="00E626E7">
              <w:t>5</w:t>
            </w:r>
          </w:p>
        </w:tc>
        <w:tc>
          <w:tcPr>
            <w:tcW w:w="0" w:type="auto"/>
            <w:shd w:val="clear" w:color="auto" w:fill="auto"/>
          </w:tcPr>
          <w:p w14:paraId="05CA7C56" w14:textId="77777777" w:rsidR="001D3F5D" w:rsidRPr="00697245" w:rsidRDefault="001D3F5D" w:rsidP="00F251E9">
            <w:pPr>
              <w:pStyle w:val="Tablewriting"/>
              <w:jc w:val="center"/>
            </w:pPr>
            <w:r w:rsidRPr="00E626E7">
              <w:t>150.53</w:t>
            </w:r>
          </w:p>
        </w:tc>
        <w:tc>
          <w:tcPr>
            <w:tcW w:w="0" w:type="auto"/>
            <w:shd w:val="clear" w:color="auto" w:fill="auto"/>
          </w:tcPr>
          <w:p w14:paraId="4410B11B" w14:textId="45405778" w:rsidR="001D3F5D" w:rsidRPr="000178C5" w:rsidRDefault="001D3F5D" w:rsidP="00F251E9">
            <w:pPr>
              <w:pStyle w:val="Tablewriting"/>
            </w:pPr>
            <w:proofErr w:type="spellStart"/>
            <w:r>
              <w:t>Lozanoc</w:t>
            </w:r>
            <w:proofErr w:type="spellEnd"/>
            <w:r>
              <w:t xml:space="preserve"> [</w:t>
            </w:r>
            <w:r w:rsidR="00F06DD6">
              <w:t xml:space="preserve">Mayne </w:t>
            </w:r>
            <w:proofErr w:type="spellStart"/>
            <w:r w:rsidR="00F06DD6">
              <w:t>Pharma</w:t>
            </w:r>
            <w:proofErr w:type="spellEnd"/>
            <w:r w:rsidR="00F06DD6">
              <w:t xml:space="preserve"> International Pty Ltd</w:t>
            </w:r>
            <w:r>
              <w:t>]</w:t>
            </w:r>
          </w:p>
        </w:tc>
      </w:tr>
      <w:tr w:rsidR="001D3F5D" w:rsidRPr="00A35800" w14:paraId="6570B353" w14:textId="77777777" w:rsidTr="00F251E9">
        <w:trPr>
          <w:cantSplit/>
          <w:trHeight w:val="546"/>
        </w:trPr>
        <w:tc>
          <w:tcPr>
            <w:tcW w:w="0" w:type="auto"/>
            <w:shd w:val="clear" w:color="auto" w:fill="auto"/>
          </w:tcPr>
          <w:p w14:paraId="431D925A" w14:textId="77777777" w:rsidR="001D3F5D" w:rsidRPr="009E1867" w:rsidRDefault="001D3F5D" w:rsidP="00F251E9">
            <w:pPr>
              <w:pStyle w:val="Tablewriting"/>
            </w:pPr>
            <w:r w:rsidRPr="00E626E7">
              <w:t>8196J</w:t>
            </w:r>
          </w:p>
        </w:tc>
        <w:tc>
          <w:tcPr>
            <w:tcW w:w="0" w:type="auto"/>
            <w:shd w:val="clear" w:color="auto" w:fill="auto"/>
          </w:tcPr>
          <w:p w14:paraId="60845020" w14:textId="77777777" w:rsidR="001D3F5D" w:rsidRPr="009E1867" w:rsidRDefault="001D3F5D" w:rsidP="00F251E9">
            <w:pPr>
              <w:pStyle w:val="Tablewriting"/>
            </w:pPr>
            <w:proofErr w:type="spellStart"/>
            <w:r w:rsidRPr="00E626E7">
              <w:t>itraconazole</w:t>
            </w:r>
            <w:proofErr w:type="spellEnd"/>
            <w:r w:rsidRPr="00E626E7">
              <w:t xml:space="preserve"> 100 mg capsule, 60</w:t>
            </w:r>
          </w:p>
        </w:tc>
        <w:tc>
          <w:tcPr>
            <w:tcW w:w="0" w:type="auto"/>
            <w:shd w:val="clear" w:color="auto" w:fill="auto"/>
          </w:tcPr>
          <w:p w14:paraId="4F02B5C3" w14:textId="77777777" w:rsidR="001D3F5D" w:rsidRPr="007F5F12" w:rsidRDefault="001D3F5D" w:rsidP="00F251E9">
            <w:pPr>
              <w:pStyle w:val="Tablewriting"/>
            </w:pPr>
            <w:r w:rsidRPr="00E626E7">
              <w:t>60</w:t>
            </w:r>
          </w:p>
        </w:tc>
        <w:tc>
          <w:tcPr>
            <w:tcW w:w="0" w:type="auto"/>
            <w:shd w:val="clear" w:color="auto" w:fill="auto"/>
          </w:tcPr>
          <w:p w14:paraId="3603E763" w14:textId="77777777" w:rsidR="001D3F5D" w:rsidRPr="007F5F12" w:rsidRDefault="001D3F5D" w:rsidP="00F251E9">
            <w:pPr>
              <w:pStyle w:val="Tablewriting"/>
            </w:pPr>
            <w:r w:rsidRPr="00E626E7">
              <w:t>5</w:t>
            </w:r>
          </w:p>
        </w:tc>
        <w:tc>
          <w:tcPr>
            <w:tcW w:w="0" w:type="auto"/>
            <w:shd w:val="clear" w:color="auto" w:fill="auto"/>
          </w:tcPr>
          <w:p w14:paraId="4ED089DF" w14:textId="77777777" w:rsidR="001D3F5D" w:rsidRPr="00697245" w:rsidRDefault="001D3F5D" w:rsidP="00F251E9">
            <w:pPr>
              <w:pStyle w:val="Tablewriting"/>
              <w:jc w:val="center"/>
            </w:pPr>
            <w:r w:rsidRPr="00E626E7">
              <w:t>222.91</w:t>
            </w:r>
          </w:p>
        </w:tc>
        <w:tc>
          <w:tcPr>
            <w:tcW w:w="0" w:type="auto"/>
            <w:shd w:val="clear" w:color="auto" w:fill="auto"/>
          </w:tcPr>
          <w:p w14:paraId="3145FFBD" w14:textId="50688124" w:rsidR="001D3F5D" w:rsidRPr="000178C5" w:rsidRDefault="001D3F5D" w:rsidP="00F251E9">
            <w:pPr>
              <w:pStyle w:val="Tablewriting"/>
            </w:pPr>
            <w:proofErr w:type="spellStart"/>
            <w:r>
              <w:t>Sporanox</w:t>
            </w:r>
            <w:proofErr w:type="spellEnd"/>
            <w:r>
              <w:t xml:space="preserve"> [J</w:t>
            </w:r>
            <w:r w:rsidR="00E24BAA">
              <w:t>anssen-</w:t>
            </w:r>
            <w:proofErr w:type="spellStart"/>
            <w:r w:rsidR="00E24BAA">
              <w:t>Cilag</w:t>
            </w:r>
            <w:proofErr w:type="spellEnd"/>
            <w:r w:rsidR="00E24BAA">
              <w:t xml:space="preserve"> Pty Ltd</w:t>
            </w:r>
            <w:r>
              <w:t>]</w:t>
            </w:r>
          </w:p>
        </w:tc>
      </w:tr>
      <w:tr w:rsidR="001D3F5D" w:rsidRPr="00A35800" w14:paraId="7D33B7D1" w14:textId="77777777" w:rsidTr="00F251E9">
        <w:trPr>
          <w:cantSplit/>
          <w:trHeight w:val="546"/>
        </w:trPr>
        <w:tc>
          <w:tcPr>
            <w:tcW w:w="0" w:type="auto"/>
            <w:shd w:val="clear" w:color="auto" w:fill="auto"/>
          </w:tcPr>
          <w:p w14:paraId="2F9C63CD" w14:textId="77777777" w:rsidR="001D3F5D" w:rsidRPr="009E1867" w:rsidRDefault="001D3F5D" w:rsidP="00F251E9">
            <w:pPr>
              <w:pStyle w:val="Tablewriting"/>
            </w:pPr>
            <w:r w:rsidRPr="00977FD8">
              <w:t>10460M</w:t>
            </w:r>
          </w:p>
        </w:tc>
        <w:tc>
          <w:tcPr>
            <w:tcW w:w="0" w:type="auto"/>
            <w:shd w:val="clear" w:color="auto" w:fill="auto"/>
          </w:tcPr>
          <w:p w14:paraId="1DAD717D" w14:textId="77777777" w:rsidR="001D3F5D" w:rsidRPr="009E1867" w:rsidRDefault="001D3F5D" w:rsidP="00F251E9">
            <w:pPr>
              <w:pStyle w:val="Tablewriting"/>
            </w:pPr>
            <w:proofErr w:type="spellStart"/>
            <w:r w:rsidRPr="00977FD8">
              <w:t>posaconazole</w:t>
            </w:r>
            <w:proofErr w:type="spellEnd"/>
            <w:r w:rsidRPr="00977FD8">
              <w:t xml:space="preserve"> 100 mg tablet: modified release, 24</w:t>
            </w:r>
          </w:p>
        </w:tc>
        <w:tc>
          <w:tcPr>
            <w:tcW w:w="0" w:type="auto"/>
            <w:shd w:val="clear" w:color="auto" w:fill="auto"/>
          </w:tcPr>
          <w:p w14:paraId="21E77CDD" w14:textId="77777777" w:rsidR="001D3F5D" w:rsidRPr="007F5F12" w:rsidRDefault="001D3F5D" w:rsidP="00F251E9">
            <w:pPr>
              <w:pStyle w:val="Tablewriting"/>
            </w:pPr>
            <w:r w:rsidRPr="00977FD8">
              <w:t>24</w:t>
            </w:r>
          </w:p>
        </w:tc>
        <w:tc>
          <w:tcPr>
            <w:tcW w:w="0" w:type="auto"/>
            <w:shd w:val="clear" w:color="auto" w:fill="auto"/>
          </w:tcPr>
          <w:p w14:paraId="48ADE375" w14:textId="77777777" w:rsidR="001D3F5D" w:rsidRPr="007F5F12" w:rsidRDefault="001D3F5D" w:rsidP="00F251E9">
            <w:pPr>
              <w:pStyle w:val="Tablewriting"/>
            </w:pPr>
            <w:r w:rsidRPr="00977FD8">
              <w:t>0</w:t>
            </w:r>
          </w:p>
        </w:tc>
        <w:tc>
          <w:tcPr>
            <w:tcW w:w="0" w:type="auto"/>
            <w:shd w:val="clear" w:color="auto" w:fill="auto"/>
          </w:tcPr>
          <w:p w14:paraId="51FBC9AF" w14:textId="77777777" w:rsidR="001D3F5D" w:rsidRPr="00697245" w:rsidRDefault="001D3F5D" w:rsidP="00F251E9">
            <w:pPr>
              <w:pStyle w:val="Tablewriting"/>
              <w:jc w:val="center"/>
            </w:pPr>
            <w:r w:rsidRPr="00977FD8">
              <w:t>834.12</w:t>
            </w:r>
          </w:p>
        </w:tc>
        <w:tc>
          <w:tcPr>
            <w:tcW w:w="0" w:type="auto"/>
            <w:shd w:val="clear" w:color="auto" w:fill="auto"/>
          </w:tcPr>
          <w:p w14:paraId="437511AB" w14:textId="542F2728" w:rsidR="001D3F5D" w:rsidRPr="000178C5" w:rsidRDefault="001D3F5D" w:rsidP="00F251E9">
            <w:pPr>
              <w:pStyle w:val="Tablewriting"/>
            </w:pPr>
            <w:proofErr w:type="spellStart"/>
            <w:r>
              <w:t>Noxafil</w:t>
            </w:r>
            <w:proofErr w:type="spellEnd"/>
            <w:r>
              <w:t xml:space="preserve"> [M</w:t>
            </w:r>
            <w:r w:rsidR="009907C0">
              <w:t xml:space="preserve">erck Sharp &amp; </w:t>
            </w:r>
            <w:proofErr w:type="spellStart"/>
            <w:r w:rsidR="009907C0">
              <w:t>Dohme</w:t>
            </w:r>
            <w:proofErr w:type="spellEnd"/>
            <w:r w:rsidR="009907C0">
              <w:t xml:space="preserve"> (Australia Pty Ltd</w:t>
            </w:r>
            <w:r>
              <w:t>]</w:t>
            </w:r>
          </w:p>
        </w:tc>
      </w:tr>
      <w:tr w:rsidR="001D3F5D" w:rsidRPr="00A35800" w14:paraId="31E00831" w14:textId="77777777" w:rsidTr="00F251E9">
        <w:trPr>
          <w:cantSplit/>
          <w:trHeight w:val="546"/>
        </w:trPr>
        <w:tc>
          <w:tcPr>
            <w:tcW w:w="0" w:type="auto"/>
            <w:shd w:val="clear" w:color="auto" w:fill="auto"/>
          </w:tcPr>
          <w:p w14:paraId="441FBFF1" w14:textId="77777777" w:rsidR="001D3F5D" w:rsidRPr="009E1867" w:rsidRDefault="001D3F5D" w:rsidP="00F251E9">
            <w:pPr>
              <w:pStyle w:val="Tablewriting"/>
            </w:pPr>
            <w:r w:rsidRPr="00977FD8">
              <w:t>9360P</w:t>
            </w:r>
          </w:p>
        </w:tc>
        <w:tc>
          <w:tcPr>
            <w:tcW w:w="0" w:type="auto"/>
            <w:shd w:val="clear" w:color="auto" w:fill="auto"/>
          </w:tcPr>
          <w:p w14:paraId="11135380" w14:textId="77777777" w:rsidR="001D3F5D" w:rsidRPr="009E1867" w:rsidRDefault="001D3F5D" w:rsidP="00F251E9">
            <w:pPr>
              <w:pStyle w:val="Tablewriting"/>
            </w:pPr>
            <w:proofErr w:type="spellStart"/>
            <w:r w:rsidRPr="00977FD8">
              <w:t>posaconazole</w:t>
            </w:r>
            <w:proofErr w:type="spellEnd"/>
            <w:r w:rsidRPr="00977FD8">
              <w:t xml:space="preserve"> 40 mg/mL oral liquid, 105 mL</w:t>
            </w:r>
          </w:p>
        </w:tc>
        <w:tc>
          <w:tcPr>
            <w:tcW w:w="0" w:type="auto"/>
            <w:shd w:val="clear" w:color="auto" w:fill="auto"/>
          </w:tcPr>
          <w:p w14:paraId="2D770BE6" w14:textId="77777777" w:rsidR="001D3F5D" w:rsidRPr="007F5F12" w:rsidRDefault="001D3F5D" w:rsidP="00F251E9">
            <w:pPr>
              <w:pStyle w:val="Tablewriting"/>
            </w:pPr>
            <w:r w:rsidRPr="00977FD8">
              <w:t>1</w:t>
            </w:r>
          </w:p>
        </w:tc>
        <w:tc>
          <w:tcPr>
            <w:tcW w:w="0" w:type="auto"/>
            <w:shd w:val="clear" w:color="auto" w:fill="auto"/>
          </w:tcPr>
          <w:p w14:paraId="4B104B73" w14:textId="77777777" w:rsidR="001D3F5D" w:rsidRPr="007F5F12" w:rsidRDefault="001D3F5D" w:rsidP="00F251E9">
            <w:pPr>
              <w:pStyle w:val="Tablewriting"/>
            </w:pPr>
            <w:r w:rsidRPr="00977FD8">
              <w:t>0</w:t>
            </w:r>
          </w:p>
        </w:tc>
        <w:tc>
          <w:tcPr>
            <w:tcW w:w="0" w:type="auto"/>
            <w:shd w:val="clear" w:color="auto" w:fill="auto"/>
          </w:tcPr>
          <w:p w14:paraId="4B2B4CE6" w14:textId="77777777" w:rsidR="001D3F5D" w:rsidRPr="00697245" w:rsidRDefault="001D3F5D" w:rsidP="00F251E9">
            <w:pPr>
              <w:pStyle w:val="Tablewriting"/>
              <w:jc w:val="center"/>
            </w:pPr>
            <w:r w:rsidRPr="00977FD8">
              <w:t>691.44</w:t>
            </w:r>
          </w:p>
        </w:tc>
        <w:tc>
          <w:tcPr>
            <w:tcW w:w="0" w:type="auto"/>
            <w:shd w:val="clear" w:color="auto" w:fill="auto"/>
          </w:tcPr>
          <w:p w14:paraId="5731F064" w14:textId="2FFE04A5" w:rsidR="001D3F5D" w:rsidRPr="000178C5" w:rsidRDefault="001D3F5D" w:rsidP="00F251E9">
            <w:pPr>
              <w:pStyle w:val="Tablewriting"/>
            </w:pPr>
            <w:proofErr w:type="spellStart"/>
            <w:r>
              <w:t>Noxafil</w:t>
            </w:r>
            <w:proofErr w:type="spellEnd"/>
            <w:r>
              <w:t xml:space="preserve"> [M</w:t>
            </w:r>
            <w:r w:rsidR="009907C0">
              <w:t xml:space="preserve">erck Sharp &amp; </w:t>
            </w:r>
            <w:proofErr w:type="spellStart"/>
            <w:r w:rsidR="009907C0">
              <w:t>Dohme</w:t>
            </w:r>
            <w:proofErr w:type="spellEnd"/>
            <w:r w:rsidR="009907C0">
              <w:t xml:space="preserve"> (Australia Pty Ltd</w:t>
            </w:r>
            <w:r>
              <w:t>]</w:t>
            </w:r>
          </w:p>
        </w:tc>
      </w:tr>
      <w:tr w:rsidR="001D3F5D" w:rsidRPr="00A35800" w14:paraId="79AB810E" w14:textId="77777777" w:rsidTr="00F251E9">
        <w:trPr>
          <w:cantSplit/>
          <w:trHeight w:val="546"/>
        </w:trPr>
        <w:tc>
          <w:tcPr>
            <w:tcW w:w="0" w:type="auto"/>
            <w:shd w:val="clear" w:color="auto" w:fill="auto"/>
          </w:tcPr>
          <w:p w14:paraId="7AA70DCC" w14:textId="77777777" w:rsidR="001D3F5D" w:rsidRPr="009E1867" w:rsidRDefault="001D3F5D" w:rsidP="00F251E9">
            <w:pPr>
              <w:pStyle w:val="Tablewriting"/>
            </w:pPr>
            <w:r w:rsidRPr="008805C6">
              <w:t>10168E</w:t>
            </w:r>
          </w:p>
        </w:tc>
        <w:tc>
          <w:tcPr>
            <w:tcW w:w="0" w:type="auto"/>
            <w:shd w:val="clear" w:color="auto" w:fill="auto"/>
          </w:tcPr>
          <w:p w14:paraId="75C94EAE" w14:textId="77777777" w:rsidR="001D3F5D" w:rsidRPr="009E1867" w:rsidRDefault="001D3F5D" w:rsidP="00F251E9">
            <w:pPr>
              <w:pStyle w:val="Tablewriting"/>
            </w:pPr>
            <w:proofErr w:type="spellStart"/>
            <w:r w:rsidRPr="008805C6">
              <w:t>voriconazole</w:t>
            </w:r>
            <w:proofErr w:type="spellEnd"/>
            <w:r w:rsidRPr="008805C6">
              <w:t xml:space="preserve"> 40 mg/mL oral liquid: powder for, 70 mL</w:t>
            </w:r>
          </w:p>
        </w:tc>
        <w:tc>
          <w:tcPr>
            <w:tcW w:w="0" w:type="auto"/>
            <w:shd w:val="clear" w:color="auto" w:fill="auto"/>
          </w:tcPr>
          <w:p w14:paraId="46DC67EA" w14:textId="77777777" w:rsidR="001D3F5D" w:rsidRPr="007F5F12" w:rsidRDefault="001D3F5D" w:rsidP="00F251E9">
            <w:pPr>
              <w:pStyle w:val="Tablewriting"/>
            </w:pPr>
            <w:r w:rsidRPr="008805C6">
              <w:t>1</w:t>
            </w:r>
          </w:p>
        </w:tc>
        <w:tc>
          <w:tcPr>
            <w:tcW w:w="0" w:type="auto"/>
            <w:shd w:val="clear" w:color="auto" w:fill="auto"/>
          </w:tcPr>
          <w:p w14:paraId="108B5BD8" w14:textId="77777777" w:rsidR="001D3F5D" w:rsidRPr="007F5F12" w:rsidRDefault="001D3F5D" w:rsidP="00F251E9">
            <w:pPr>
              <w:pStyle w:val="Tablewriting"/>
            </w:pPr>
            <w:r w:rsidRPr="008805C6">
              <w:t>0</w:t>
            </w:r>
          </w:p>
        </w:tc>
        <w:tc>
          <w:tcPr>
            <w:tcW w:w="0" w:type="auto"/>
            <w:shd w:val="clear" w:color="auto" w:fill="auto"/>
          </w:tcPr>
          <w:p w14:paraId="4D4F2D28" w14:textId="77777777" w:rsidR="001D3F5D" w:rsidRPr="00697245" w:rsidRDefault="001D3F5D" w:rsidP="00F251E9">
            <w:pPr>
              <w:pStyle w:val="Tablewriting"/>
              <w:jc w:val="center"/>
            </w:pPr>
            <w:r w:rsidRPr="008805C6">
              <w:t>495.6</w:t>
            </w:r>
            <w:r>
              <w:t>0</w:t>
            </w:r>
          </w:p>
        </w:tc>
        <w:tc>
          <w:tcPr>
            <w:tcW w:w="0" w:type="auto"/>
            <w:shd w:val="clear" w:color="auto" w:fill="auto"/>
          </w:tcPr>
          <w:p w14:paraId="71844081" w14:textId="3F0502FC" w:rsidR="001D3F5D" w:rsidRPr="000178C5" w:rsidRDefault="001D3F5D" w:rsidP="00F251E9">
            <w:pPr>
              <w:pStyle w:val="Tablewriting"/>
            </w:pPr>
            <w:proofErr w:type="spellStart"/>
            <w:r>
              <w:t>Vfend</w:t>
            </w:r>
            <w:proofErr w:type="spellEnd"/>
            <w:r>
              <w:t xml:space="preserve"> [</w:t>
            </w:r>
            <w:r w:rsidR="009907C0" w:rsidRPr="000178C5">
              <w:t>P</w:t>
            </w:r>
            <w:r w:rsidR="009907C0">
              <w:t>fizer Australia Pty Ltd</w:t>
            </w:r>
            <w:r>
              <w:t>]</w:t>
            </w:r>
          </w:p>
        </w:tc>
      </w:tr>
      <w:tr w:rsidR="001D3F5D" w:rsidRPr="00A35800" w14:paraId="76D6F920" w14:textId="77777777" w:rsidTr="00F251E9">
        <w:trPr>
          <w:cantSplit/>
          <w:trHeight w:val="546"/>
        </w:trPr>
        <w:tc>
          <w:tcPr>
            <w:tcW w:w="0" w:type="auto"/>
            <w:shd w:val="clear" w:color="auto" w:fill="auto"/>
          </w:tcPr>
          <w:p w14:paraId="43830161" w14:textId="77777777" w:rsidR="001D3F5D" w:rsidRPr="009E1867" w:rsidRDefault="001D3F5D" w:rsidP="00F251E9">
            <w:pPr>
              <w:pStyle w:val="Tablewriting"/>
            </w:pPr>
            <w:r w:rsidRPr="008805C6">
              <w:t>10173K</w:t>
            </w:r>
          </w:p>
        </w:tc>
        <w:tc>
          <w:tcPr>
            <w:tcW w:w="0" w:type="auto"/>
            <w:shd w:val="clear" w:color="auto" w:fill="auto"/>
          </w:tcPr>
          <w:p w14:paraId="13D8B37E" w14:textId="77777777" w:rsidR="001D3F5D" w:rsidRPr="009E1867" w:rsidRDefault="001D3F5D" w:rsidP="00F251E9">
            <w:pPr>
              <w:pStyle w:val="Tablewriting"/>
            </w:pPr>
            <w:proofErr w:type="spellStart"/>
            <w:r w:rsidRPr="008805C6">
              <w:t>voriconazole</w:t>
            </w:r>
            <w:proofErr w:type="spellEnd"/>
            <w:r w:rsidRPr="008805C6">
              <w:t xml:space="preserve"> 50 mg tablet, 56</w:t>
            </w:r>
          </w:p>
        </w:tc>
        <w:tc>
          <w:tcPr>
            <w:tcW w:w="0" w:type="auto"/>
            <w:shd w:val="clear" w:color="auto" w:fill="auto"/>
          </w:tcPr>
          <w:p w14:paraId="7B6AA6A9" w14:textId="77777777" w:rsidR="001D3F5D" w:rsidRPr="007F5F12" w:rsidRDefault="001D3F5D" w:rsidP="00F251E9">
            <w:pPr>
              <w:pStyle w:val="Tablewriting"/>
            </w:pPr>
            <w:r w:rsidRPr="008805C6">
              <w:t>56</w:t>
            </w:r>
          </w:p>
        </w:tc>
        <w:tc>
          <w:tcPr>
            <w:tcW w:w="0" w:type="auto"/>
            <w:shd w:val="clear" w:color="auto" w:fill="auto"/>
          </w:tcPr>
          <w:p w14:paraId="4588A2F2" w14:textId="77777777" w:rsidR="001D3F5D" w:rsidRPr="007F5F12" w:rsidRDefault="001D3F5D" w:rsidP="00F251E9">
            <w:pPr>
              <w:pStyle w:val="Tablewriting"/>
            </w:pPr>
            <w:r w:rsidRPr="008805C6">
              <w:t>0</w:t>
            </w:r>
          </w:p>
        </w:tc>
        <w:tc>
          <w:tcPr>
            <w:tcW w:w="0" w:type="auto"/>
            <w:shd w:val="clear" w:color="auto" w:fill="auto"/>
          </w:tcPr>
          <w:p w14:paraId="25DFFA01" w14:textId="77777777" w:rsidR="001D3F5D" w:rsidRPr="00697245" w:rsidRDefault="001D3F5D" w:rsidP="00F251E9">
            <w:pPr>
              <w:pStyle w:val="Tablewriting"/>
              <w:jc w:val="center"/>
            </w:pPr>
            <w:r w:rsidRPr="008805C6">
              <w:t>492.95</w:t>
            </w:r>
          </w:p>
        </w:tc>
        <w:tc>
          <w:tcPr>
            <w:tcW w:w="0" w:type="auto"/>
            <w:shd w:val="clear" w:color="auto" w:fill="auto"/>
          </w:tcPr>
          <w:p w14:paraId="1C86B4E8" w14:textId="77777777" w:rsidR="001D3F5D" w:rsidRPr="000178C5" w:rsidRDefault="001D3F5D" w:rsidP="00F251E9">
            <w:pPr>
              <w:pStyle w:val="Tablewriting"/>
            </w:pPr>
            <w:r>
              <w:t>Numerous brands</w:t>
            </w:r>
          </w:p>
        </w:tc>
      </w:tr>
      <w:tr w:rsidR="001D3F5D" w:rsidRPr="00A35800" w14:paraId="4A61DC2D" w14:textId="77777777" w:rsidTr="00F251E9">
        <w:trPr>
          <w:cantSplit/>
          <w:trHeight w:val="546"/>
        </w:trPr>
        <w:tc>
          <w:tcPr>
            <w:tcW w:w="0" w:type="auto"/>
            <w:shd w:val="clear" w:color="auto" w:fill="auto"/>
          </w:tcPr>
          <w:p w14:paraId="30204074" w14:textId="77777777" w:rsidR="001D3F5D" w:rsidRPr="009E1867" w:rsidRDefault="001D3F5D" w:rsidP="00F251E9">
            <w:pPr>
              <w:pStyle w:val="Tablewriting"/>
            </w:pPr>
            <w:r w:rsidRPr="008805C6">
              <w:t>10198R</w:t>
            </w:r>
          </w:p>
        </w:tc>
        <w:tc>
          <w:tcPr>
            <w:tcW w:w="0" w:type="auto"/>
            <w:shd w:val="clear" w:color="auto" w:fill="auto"/>
          </w:tcPr>
          <w:p w14:paraId="60557755" w14:textId="77777777" w:rsidR="001D3F5D" w:rsidRPr="009E1867" w:rsidRDefault="001D3F5D" w:rsidP="00F251E9">
            <w:pPr>
              <w:pStyle w:val="Tablewriting"/>
            </w:pPr>
            <w:proofErr w:type="spellStart"/>
            <w:r w:rsidRPr="008805C6">
              <w:t>voriconazole</w:t>
            </w:r>
            <w:proofErr w:type="spellEnd"/>
            <w:r w:rsidRPr="008805C6">
              <w:t xml:space="preserve"> 200 mg tablet, 56</w:t>
            </w:r>
          </w:p>
        </w:tc>
        <w:tc>
          <w:tcPr>
            <w:tcW w:w="0" w:type="auto"/>
            <w:shd w:val="clear" w:color="auto" w:fill="auto"/>
          </w:tcPr>
          <w:p w14:paraId="49CFE5E0" w14:textId="77777777" w:rsidR="001D3F5D" w:rsidRPr="007F5F12" w:rsidRDefault="001D3F5D" w:rsidP="00F251E9">
            <w:pPr>
              <w:pStyle w:val="Tablewriting"/>
            </w:pPr>
            <w:r w:rsidRPr="008805C6">
              <w:t>56</w:t>
            </w:r>
          </w:p>
        </w:tc>
        <w:tc>
          <w:tcPr>
            <w:tcW w:w="0" w:type="auto"/>
            <w:shd w:val="clear" w:color="auto" w:fill="auto"/>
          </w:tcPr>
          <w:p w14:paraId="47B28EBA" w14:textId="77777777" w:rsidR="001D3F5D" w:rsidRPr="007F5F12" w:rsidRDefault="001D3F5D" w:rsidP="00F251E9">
            <w:pPr>
              <w:pStyle w:val="Tablewriting"/>
            </w:pPr>
            <w:r w:rsidRPr="008805C6">
              <w:t>0</w:t>
            </w:r>
          </w:p>
        </w:tc>
        <w:tc>
          <w:tcPr>
            <w:tcW w:w="0" w:type="auto"/>
            <w:shd w:val="clear" w:color="auto" w:fill="auto"/>
          </w:tcPr>
          <w:p w14:paraId="281A52EF" w14:textId="77777777" w:rsidR="001D3F5D" w:rsidRPr="00697245" w:rsidRDefault="001D3F5D" w:rsidP="00F251E9">
            <w:pPr>
              <w:pStyle w:val="Tablewriting"/>
              <w:jc w:val="center"/>
            </w:pPr>
            <w:r w:rsidRPr="008805C6">
              <w:t>1</w:t>
            </w:r>
            <w:r>
              <w:t>,</w:t>
            </w:r>
            <w:r w:rsidRPr="008805C6">
              <w:t>894.7</w:t>
            </w:r>
            <w:r>
              <w:t>0</w:t>
            </w:r>
          </w:p>
        </w:tc>
        <w:tc>
          <w:tcPr>
            <w:tcW w:w="0" w:type="auto"/>
            <w:shd w:val="clear" w:color="auto" w:fill="auto"/>
          </w:tcPr>
          <w:p w14:paraId="14EC5ABE" w14:textId="77777777" w:rsidR="001D3F5D" w:rsidRPr="000178C5" w:rsidRDefault="001D3F5D" w:rsidP="00F251E9">
            <w:pPr>
              <w:pStyle w:val="Tablewriting"/>
            </w:pPr>
            <w:r>
              <w:t>Numerous brands</w:t>
            </w:r>
          </w:p>
        </w:tc>
      </w:tr>
      <w:tr w:rsidR="001D3F5D" w:rsidRPr="00A35800" w14:paraId="50BDDD29" w14:textId="77777777" w:rsidTr="00F251E9">
        <w:trPr>
          <w:cantSplit/>
          <w:trHeight w:val="546"/>
        </w:trPr>
        <w:tc>
          <w:tcPr>
            <w:tcW w:w="0" w:type="auto"/>
            <w:shd w:val="clear" w:color="auto" w:fill="auto"/>
          </w:tcPr>
          <w:p w14:paraId="27488A2F" w14:textId="77777777" w:rsidR="001D3F5D" w:rsidRPr="009E1867" w:rsidRDefault="001D3F5D" w:rsidP="00F251E9">
            <w:pPr>
              <w:pStyle w:val="Tablewriting"/>
            </w:pPr>
            <w:r w:rsidRPr="008805C6">
              <w:lastRenderedPageBreak/>
              <w:t>9363T</w:t>
            </w:r>
          </w:p>
        </w:tc>
        <w:tc>
          <w:tcPr>
            <w:tcW w:w="0" w:type="auto"/>
            <w:shd w:val="clear" w:color="auto" w:fill="auto"/>
          </w:tcPr>
          <w:p w14:paraId="24E9ECC4" w14:textId="77777777" w:rsidR="001D3F5D" w:rsidRPr="009E1867" w:rsidRDefault="001D3F5D" w:rsidP="00F251E9">
            <w:pPr>
              <w:pStyle w:val="Tablewriting"/>
            </w:pPr>
            <w:proofErr w:type="spellStart"/>
            <w:r w:rsidRPr="008805C6">
              <w:t>voriconazole</w:t>
            </w:r>
            <w:proofErr w:type="spellEnd"/>
            <w:r w:rsidRPr="008805C6">
              <w:t xml:space="preserve"> 50 mg tablet, 56</w:t>
            </w:r>
          </w:p>
        </w:tc>
        <w:tc>
          <w:tcPr>
            <w:tcW w:w="0" w:type="auto"/>
            <w:shd w:val="clear" w:color="auto" w:fill="auto"/>
          </w:tcPr>
          <w:p w14:paraId="3D2CDDD1" w14:textId="77777777" w:rsidR="001D3F5D" w:rsidRPr="007F5F12" w:rsidRDefault="001D3F5D" w:rsidP="00F251E9">
            <w:pPr>
              <w:pStyle w:val="Tablewriting"/>
            </w:pPr>
            <w:r w:rsidRPr="008805C6">
              <w:t>56</w:t>
            </w:r>
          </w:p>
        </w:tc>
        <w:tc>
          <w:tcPr>
            <w:tcW w:w="0" w:type="auto"/>
            <w:shd w:val="clear" w:color="auto" w:fill="auto"/>
          </w:tcPr>
          <w:p w14:paraId="7D4660C1" w14:textId="77777777" w:rsidR="001D3F5D" w:rsidRPr="007F5F12" w:rsidRDefault="001D3F5D" w:rsidP="00F251E9">
            <w:pPr>
              <w:pStyle w:val="Tablewriting"/>
            </w:pPr>
            <w:r w:rsidRPr="008805C6">
              <w:t>2</w:t>
            </w:r>
          </w:p>
        </w:tc>
        <w:tc>
          <w:tcPr>
            <w:tcW w:w="0" w:type="auto"/>
            <w:shd w:val="clear" w:color="auto" w:fill="auto"/>
          </w:tcPr>
          <w:p w14:paraId="0FFAD769" w14:textId="77777777" w:rsidR="001D3F5D" w:rsidRPr="00697245" w:rsidRDefault="001D3F5D" w:rsidP="00F251E9">
            <w:pPr>
              <w:pStyle w:val="Tablewriting"/>
              <w:jc w:val="center"/>
            </w:pPr>
            <w:r w:rsidRPr="008805C6">
              <w:t>492.95</w:t>
            </w:r>
          </w:p>
        </w:tc>
        <w:tc>
          <w:tcPr>
            <w:tcW w:w="0" w:type="auto"/>
            <w:shd w:val="clear" w:color="auto" w:fill="auto"/>
          </w:tcPr>
          <w:p w14:paraId="25267E09" w14:textId="77777777" w:rsidR="001D3F5D" w:rsidRPr="000178C5" w:rsidRDefault="001D3F5D" w:rsidP="00F251E9">
            <w:pPr>
              <w:pStyle w:val="Tablewriting"/>
            </w:pPr>
            <w:r>
              <w:t>Numerous brands</w:t>
            </w:r>
          </w:p>
        </w:tc>
      </w:tr>
      <w:tr w:rsidR="001D3F5D" w:rsidRPr="00A35800" w14:paraId="458E4C63" w14:textId="77777777" w:rsidTr="00F251E9">
        <w:trPr>
          <w:cantSplit/>
          <w:trHeight w:val="546"/>
        </w:trPr>
        <w:tc>
          <w:tcPr>
            <w:tcW w:w="0" w:type="auto"/>
            <w:shd w:val="clear" w:color="auto" w:fill="auto"/>
          </w:tcPr>
          <w:p w14:paraId="1EDA4916" w14:textId="77777777" w:rsidR="001D3F5D" w:rsidRPr="009E1867" w:rsidRDefault="001D3F5D" w:rsidP="00F251E9">
            <w:pPr>
              <w:pStyle w:val="Tablewriting"/>
            </w:pPr>
            <w:r w:rsidRPr="008805C6">
              <w:t>9364W</w:t>
            </w:r>
          </w:p>
        </w:tc>
        <w:tc>
          <w:tcPr>
            <w:tcW w:w="0" w:type="auto"/>
            <w:shd w:val="clear" w:color="auto" w:fill="auto"/>
          </w:tcPr>
          <w:p w14:paraId="373286A4" w14:textId="77777777" w:rsidR="001D3F5D" w:rsidRPr="009E1867" w:rsidRDefault="001D3F5D" w:rsidP="00F251E9">
            <w:pPr>
              <w:pStyle w:val="Tablewriting"/>
            </w:pPr>
            <w:proofErr w:type="spellStart"/>
            <w:r w:rsidRPr="008805C6">
              <w:t>voriconazole</w:t>
            </w:r>
            <w:proofErr w:type="spellEnd"/>
            <w:r w:rsidRPr="008805C6">
              <w:t xml:space="preserve"> 200 mg tablet, 56</w:t>
            </w:r>
          </w:p>
        </w:tc>
        <w:tc>
          <w:tcPr>
            <w:tcW w:w="0" w:type="auto"/>
            <w:shd w:val="clear" w:color="auto" w:fill="auto"/>
          </w:tcPr>
          <w:p w14:paraId="28641D84" w14:textId="77777777" w:rsidR="001D3F5D" w:rsidRPr="007F5F12" w:rsidRDefault="001D3F5D" w:rsidP="00F251E9">
            <w:pPr>
              <w:pStyle w:val="Tablewriting"/>
            </w:pPr>
            <w:r w:rsidRPr="008805C6">
              <w:t>56</w:t>
            </w:r>
          </w:p>
        </w:tc>
        <w:tc>
          <w:tcPr>
            <w:tcW w:w="0" w:type="auto"/>
            <w:shd w:val="clear" w:color="auto" w:fill="auto"/>
          </w:tcPr>
          <w:p w14:paraId="23CD25ED" w14:textId="77777777" w:rsidR="001D3F5D" w:rsidRPr="007F5F12" w:rsidRDefault="001D3F5D" w:rsidP="00F251E9">
            <w:pPr>
              <w:pStyle w:val="Tablewriting"/>
            </w:pPr>
            <w:r w:rsidRPr="008805C6">
              <w:t>2</w:t>
            </w:r>
          </w:p>
        </w:tc>
        <w:tc>
          <w:tcPr>
            <w:tcW w:w="0" w:type="auto"/>
            <w:shd w:val="clear" w:color="auto" w:fill="auto"/>
          </w:tcPr>
          <w:p w14:paraId="1034A7D4" w14:textId="77777777" w:rsidR="001D3F5D" w:rsidRPr="00697245" w:rsidRDefault="001D3F5D" w:rsidP="00F251E9">
            <w:pPr>
              <w:pStyle w:val="Tablewriting"/>
              <w:jc w:val="center"/>
            </w:pPr>
            <w:r w:rsidRPr="008805C6">
              <w:t>1</w:t>
            </w:r>
            <w:r>
              <w:t>,</w:t>
            </w:r>
            <w:r w:rsidRPr="008805C6">
              <w:t>894.7</w:t>
            </w:r>
            <w:r>
              <w:t>0</w:t>
            </w:r>
          </w:p>
        </w:tc>
        <w:tc>
          <w:tcPr>
            <w:tcW w:w="0" w:type="auto"/>
            <w:shd w:val="clear" w:color="auto" w:fill="auto"/>
          </w:tcPr>
          <w:p w14:paraId="4F17225E" w14:textId="77777777" w:rsidR="001D3F5D" w:rsidRPr="000178C5" w:rsidRDefault="001D3F5D" w:rsidP="00F251E9">
            <w:pPr>
              <w:pStyle w:val="Tablewriting"/>
            </w:pPr>
            <w:r>
              <w:t>Numerous brands</w:t>
            </w:r>
          </w:p>
        </w:tc>
      </w:tr>
      <w:tr w:rsidR="001D3F5D" w:rsidRPr="00A35800" w14:paraId="66D41745" w14:textId="77777777" w:rsidTr="00F251E9">
        <w:trPr>
          <w:cantSplit/>
          <w:trHeight w:val="546"/>
        </w:trPr>
        <w:tc>
          <w:tcPr>
            <w:tcW w:w="0" w:type="auto"/>
            <w:shd w:val="clear" w:color="auto" w:fill="auto"/>
          </w:tcPr>
          <w:p w14:paraId="7F153C71" w14:textId="77777777" w:rsidR="001D3F5D" w:rsidRPr="009E1867" w:rsidRDefault="001D3F5D" w:rsidP="00F251E9">
            <w:pPr>
              <w:pStyle w:val="Tablewriting"/>
            </w:pPr>
            <w:r w:rsidRPr="008805C6">
              <w:t>9452L</w:t>
            </w:r>
          </w:p>
        </w:tc>
        <w:tc>
          <w:tcPr>
            <w:tcW w:w="0" w:type="auto"/>
            <w:shd w:val="clear" w:color="auto" w:fill="auto"/>
          </w:tcPr>
          <w:p w14:paraId="6CBCAA04" w14:textId="77777777" w:rsidR="001D3F5D" w:rsidRPr="009E1867" w:rsidRDefault="001D3F5D" w:rsidP="00F251E9">
            <w:pPr>
              <w:pStyle w:val="Tablewriting"/>
            </w:pPr>
            <w:proofErr w:type="spellStart"/>
            <w:r w:rsidRPr="008805C6">
              <w:t>voriconazole</w:t>
            </w:r>
            <w:proofErr w:type="spellEnd"/>
            <w:r w:rsidRPr="008805C6">
              <w:t xml:space="preserve"> 40 mg/mL oral liquid: powder for, 70 mL</w:t>
            </w:r>
          </w:p>
        </w:tc>
        <w:tc>
          <w:tcPr>
            <w:tcW w:w="0" w:type="auto"/>
            <w:shd w:val="clear" w:color="auto" w:fill="auto"/>
          </w:tcPr>
          <w:p w14:paraId="1CD35C1C" w14:textId="77777777" w:rsidR="001D3F5D" w:rsidRPr="007F5F12" w:rsidRDefault="001D3F5D" w:rsidP="00F251E9">
            <w:pPr>
              <w:pStyle w:val="Tablewriting"/>
            </w:pPr>
            <w:r w:rsidRPr="008805C6">
              <w:t>1</w:t>
            </w:r>
          </w:p>
        </w:tc>
        <w:tc>
          <w:tcPr>
            <w:tcW w:w="0" w:type="auto"/>
            <w:shd w:val="clear" w:color="auto" w:fill="auto"/>
          </w:tcPr>
          <w:p w14:paraId="73814D00" w14:textId="77777777" w:rsidR="001D3F5D" w:rsidRPr="007F5F12" w:rsidRDefault="001D3F5D" w:rsidP="00F251E9">
            <w:pPr>
              <w:pStyle w:val="Tablewriting"/>
            </w:pPr>
            <w:r w:rsidRPr="008805C6">
              <w:t>0</w:t>
            </w:r>
          </w:p>
        </w:tc>
        <w:tc>
          <w:tcPr>
            <w:tcW w:w="0" w:type="auto"/>
            <w:shd w:val="clear" w:color="auto" w:fill="auto"/>
          </w:tcPr>
          <w:p w14:paraId="4273E6FF" w14:textId="77777777" w:rsidR="001D3F5D" w:rsidRPr="00697245" w:rsidRDefault="001D3F5D" w:rsidP="00F251E9">
            <w:pPr>
              <w:pStyle w:val="Tablewriting"/>
              <w:jc w:val="center"/>
            </w:pPr>
            <w:r w:rsidRPr="008805C6">
              <w:t>495.6</w:t>
            </w:r>
          </w:p>
        </w:tc>
        <w:tc>
          <w:tcPr>
            <w:tcW w:w="0" w:type="auto"/>
            <w:shd w:val="clear" w:color="auto" w:fill="auto"/>
          </w:tcPr>
          <w:p w14:paraId="737190FC" w14:textId="3E505D9B" w:rsidR="001D3F5D" w:rsidRPr="000178C5" w:rsidRDefault="001D3F5D" w:rsidP="00F251E9">
            <w:pPr>
              <w:pStyle w:val="Tablewriting"/>
            </w:pPr>
            <w:proofErr w:type="spellStart"/>
            <w:r>
              <w:t>Vfend</w:t>
            </w:r>
            <w:proofErr w:type="spellEnd"/>
            <w:r>
              <w:t xml:space="preserve"> [</w:t>
            </w:r>
            <w:r w:rsidR="00ED6200" w:rsidRPr="000178C5">
              <w:t>P</w:t>
            </w:r>
            <w:r w:rsidR="00ED6200">
              <w:t>fizer Australia Pty Ltd</w:t>
            </w:r>
            <w:r>
              <w:t>]</w:t>
            </w:r>
          </w:p>
        </w:tc>
      </w:tr>
      <w:tr w:rsidR="001D3F5D" w:rsidRPr="00A35800" w14:paraId="2351AB6A" w14:textId="77777777" w:rsidTr="00F251E9">
        <w:trPr>
          <w:cantSplit/>
          <w:trHeight w:val="546"/>
        </w:trPr>
        <w:tc>
          <w:tcPr>
            <w:tcW w:w="0" w:type="auto"/>
            <w:shd w:val="clear" w:color="auto" w:fill="auto"/>
          </w:tcPr>
          <w:p w14:paraId="718D9857" w14:textId="77777777" w:rsidR="001D3F5D" w:rsidRPr="008805C6" w:rsidRDefault="001D3F5D" w:rsidP="00F251E9">
            <w:pPr>
              <w:pStyle w:val="Tablewriting"/>
            </w:pPr>
            <w:r w:rsidRPr="008F3B84">
              <w:t>1460W</w:t>
            </w:r>
          </w:p>
        </w:tc>
        <w:tc>
          <w:tcPr>
            <w:tcW w:w="0" w:type="auto"/>
            <w:shd w:val="clear" w:color="auto" w:fill="auto"/>
          </w:tcPr>
          <w:p w14:paraId="601A3F7C" w14:textId="77777777" w:rsidR="001D3F5D" w:rsidRPr="008805C6" w:rsidRDefault="001D3F5D" w:rsidP="00F251E9">
            <w:pPr>
              <w:pStyle w:val="Tablewriting"/>
            </w:pPr>
            <w:proofErr w:type="spellStart"/>
            <w:r w:rsidRPr="008F3B84">
              <w:t>griseofulvin</w:t>
            </w:r>
            <w:proofErr w:type="spellEnd"/>
            <w:r w:rsidRPr="008F3B84">
              <w:t xml:space="preserve"> 125 mg tablet, 100</w:t>
            </w:r>
          </w:p>
        </w:tc>
        <w:tc>
          <w:tcPr>
            <w:tcW w:w="0" w:type="auto"/>
            <w:shd w:val="clear" w:color="auto" w:fill="auto"/>
          </w:tcPr>
          <w:p w14:paraId="6A0257E1" w14:textId="77777777" w:rsidR="001D3F5D" w:rsidRPr="008805C6" w:rsidRDefault="001D3F5D" w:rsidP="00F251E9">
            <w:pPr>
              <w:pStyle w:val="Tablewriting"/>
            </w:pPr>
            <w:r w:rsidRPr="008F3B84">
              <w:t>100</w:t>
            </w:r>
          </w:p>
        </w:tc>
        <w:tc>
          <w:tcPr>
            <w:tcW w:w="0" w:type="auto"/>
            <w:shd w:val="clear" w:color="auto" w:fill="auto"/>
          </w:tcPr>
          <w:p w14:paraId="76F238CA" w14:textId="77777777" w:rsidR="001D3F5D" w:rsidRPr="008805C6" w:rsidRDefault="001D3F5D" w:rsidP="00F251E9">
            <w:pPr>
              <w:pStyle w:val="Tablewriting"/>
            </w:pPr>
            <w:r w:rsidRPr="008F3B84">
              <w:t>2</w:t>
            </w:r>
          </w:p>
        </w:tc>
        <w:tc>
          <w:tcPr>
            <w:tcW w:w="0" w:type="auto"/>
            <w:shd w:val="clear" w:color="auto" w:fill="auto"/>
          </w:tcPr>
          <w:p w14:paraId="4579865B" w14:textId="77777777" w:rsidR="001D3F5D" w:rsidRPr="008805C6" w:rsidRDefault="001D3F5D" w:rsidP="00F251E9">
            <w:pPr>
              <w:pStyle w:val="Tablewriting"/>
              <w:jc w:val="center"/>
            </w:pPr>
            <w:r w:rsidRPr="008F3B84">
              <w:t>26.62</w:t>
            </w:r>
          </w:p>
        </w:tc>
        <w:tc>
          <w:tcPr>
            <w:tcW w:w="0" w:type="auto"/>
            <w:shd w:val="clear" w:color="auto" w:fill="auto"/>
          </w:tcPr>
          <w:p w14:paraId="62243D54" w14:textId="2C23D7E7" w:rsidR="001D3F5D" w:rsidRDefault="001D3F5D" w:rsidP="00F251E9">
            <w:pPr>
              <w:pStyle w:val="Tablewriting"/>
            </w:pPr>
            <w:proofErr w:type="spellStart"/>
            <w:r w:rsidRPr="008E55ED">
              <w:t>Grisovin</w:t>
            </w:r>
            <w:proofErr w:type="spellEnd"/>
            <w:r w:rsidRPr="008E55ED">
              <w:t xml:space="preserve"> [</w:t>
            </w:r>
            <w:r w:rsidR="00ED6200">
              <w:t xml:space="preserve">Aspen </w:t>
            </w:r>
            <w:proofErr w:type="spellStart"/>
            <w:r w:rsidR="00ED6200">
              <w:t>Pharma</w:t>
            </w:r>
            <w:proofErr w:type="spellEnd"/>
            <w:r w:rsidR="00ED6200">
              <w:t xml:space="preserve"> Pty Ltd</w:t>
            </w:r>
            <w:r>
              <w:t>]</w:t>
            </w:r>
          </w:p>
        </w:tc>
      </w:tr>
      <w:tr w:rsidR="001D3F5D" w:rsidRPr="00A35800" w14:paraId="5836A156" w14:textId="77777777" w:rsidTr="00F251E9">
        <w:trPr>
          <w:cantSplit/>
          <w:trHeight w:val="546"/>
        </w:trPr>
        <w:tc>
          <w:tcPr>
            <w:tcW w:w="0" w:type="auto"/>
            <w:shd w:val="clear" w:color="auto" w:fill="auto"/>
          </w:tcPr>
          <w:p w14:paraId="0F29CA91" w14:textId="77777777" w:rsidR="001D3F5D" w:rsidRPr="008805C6" w:rsidRDefault="001D3F5D" w:rsidP="00F251E9">
            <w:pPr>
              <w:pStyle w:val="Tablewriting"/>
            </w:pPr>
            <w:r w:rsidRPr="008F3B84">
              <w:t>2982Y</w:t>
            </w:r>
          </w:p>
        </w:tc>
        <w:tc>
          <w:tcPr>
            <w:tcW w:w="0" w:type="auto"/>
            <w:shd w:val="clear" w:color="auto" w:fill="auto"/>
          </w:tcPr>
          <w:p w14:paraId="514CD3F9" w14:textId="77777777" w:rsidR="001D3F5D" w:rsidRPr="008805C6" w:rsidRDefault="001D3F5D" w:rsidP="00F251E9">
            <w:pPr>
              <w:pStyle w:val="Tablewriting"/>
            </w:pPr>
            <w:proofErr w:type="spellStart"/>
            <w:r w:rsidRPr="008F3B84">
              <w:t>griseofulvin</w:t>
            </w:r>
            <w:proofErr w:type="spellEnd"/>
            <w:r w:rsidRPr="008F3B84">
              <w:t xml:space="preserve"> 500 mg tablet, 28</w:t>
            </w:r>
          </w:p>
        </w:tc>
        <w:tc>
          <w:tcPr>
            <w:tcW w:w="0" w:type="auto"/>
            <w:shd w:val="clear" w:color="auto" w:fill="auto"/>
          </w:tcPr>
          <w:p w14:paraId="0B6CD33F" w14:textId="77777777" w:rsidR="001D3F5D" w:rsidRPr="008805C6" w:rsidRDefault="001D3F5D" w:rsidP="00F251E9">
            <w:pPr>
              <w:pStyle w:val="Tablewriting"/>
            </w:pPr>
            <w:r w:rsidRPr="008F3B84">
              <w:t>28</w:t>
            </w:r>
          </w:p>
        </w:tc>
        <w:tc>
          <w:tcPr>
            <w:tcW w:w="0" w:type="auto"/>
            <w:shd w:val="clear" w:color="auto" w:fill="auto"/>
          </w:tcPr>
          <w:p w14:paraId="68F0DEEB" w14:textId="77777777" w:rsidR="001D3F5D" w:rsidRPr="008805C6" w:rsidRDefault="001D3F5D" w:rsidP="00F251E9">
            <w:pPr>
              <w:pStyle w:val="Tablewriting"/>
            </w:pPr>
            <w:r w:rsidRPr="008F3B84">
              <w:t>2</w:t>
            </w:r>
          </w:p>
        </w:tc>
        <w:tc>
          <w:tcPr>
            <w:tcW w:w="0" w:type="auto"/>
            <w:shd w:val="clear" w:color="auto" w:fill="auto"/>
          </w:tcPr>
          <w:p w14:paraId="7BA4BEB3" w14:textId="77777777" w:rsidR="001D3F5D" w:rsidRPr="008805C6" w:rsidRDefault="001D3F5D" w:rsidP="00F251E9">
            <w:pPr>
              <w:pStyle w:val="Tablewriting"/>
              <w:jc w:val="center"/>
            </w:pPr>
            <w:r w:rsidRPr="008F3B84">
              <w:t>27.56</w:t>
            </w:r>
          </w:p>
        </w:tc>
        <w:tc>
          <w:tcPr>
            <w:tcW w:w="0" w:type="auto"/>
            <w:shd w:val="clear" w:color="auto" w:fill="auto"/>
          </w:tcPr>
          <w:p w14:paraId="7A34D75A" w14:textId="761E9587" w:rsidR="001D3F5D" w:rsidRDefault="001D3F5D" w:rsidP="00F251E9">
            <w:pPr>
              <w:pStyle w:val="Tablewriting"/>
            </w:pPr>
            <w:proofErr w:type="spellStart"/>
            <w:r w:rsidRPr="008E55ED">
              <w:t>Grisovin</w:t>
            </w:r>
            <w:proofErr w:type="spellEnd"/>
            <w:r>
              <w:t xml:space="preserve"> 500</w:t>
            </w:r>
            <w:r w:rsidRPr="008E55ED">
              <w:t xml:space="preserve"> [</w:t>
            </w:r>
            <w:r w:rsidR="00ED6200">
              <w:t xml:space="preserve">Aspen </w:t>
            </w:r>
            <w:proofErr w:type="spellStart"/>
            <w:r w:rsidR="00ED6200">
              <w:t>Pharma</w:t>
            </w:r>
            <w:proofErr w:type="spellEnd"/>
            <w:r w:rsidR="00ED6200">
              <w:t xml:space="preserve"> Pty Ltd</w:t>
            </w:r>
            <w:r>
              <w:t>]</w:t>
            </w:r>
          </w:p>
        </w:tc>
      </w:tr>
      <w:tr w:rsidR="001D3F5D" w:rsidRPr="00A35800" w14:paraId="59E5E4BF" w14:textId="77777777" w:rsidTr="00F251E9">
        <w:trPr>
          <w:cantSplit/>
          <w:trHeight w:val="546"/>
        </w:trPr>
        <w:tc>
          <w:tcPr>
            <w:tcW w:w="0" w:type="auto"/>
            <w:shd w:val="clear" w:color="auto" w:fill="auto"/>
          </w:tcPr>
          <w:p w14:paraId="42D85402" w14:textId="77777777" w:rsidR="001D3F5D" w:rsidRPr="000100E5" w:rsidRDefault="001D3F5D" w:rsidP="00F251E9">
            <w:pPr>
              <w:pStyle w:val="Tablewriting"/>
              <w:rPr>
                <w:vertAlign w:val="superscript"/>
              </w:rPr>
            </w:pPr>
            <w:r w:rsidRPr="007A78A6">
              <w:t>2285G</w:t>
            </w:r>
            <w:r>
              <w:rPr>
                <w:vertAlign w:val="superscript"/>
              </w:rPr>
              <w:t>a</w:t>
            </w:r>
          </w:p>
        </w:tc>
        <w:tc>
          <w:tcPr>
            <w:tcW w:w="0" w:type="auto"/>
            <w:shd w:val="clear" w:color="auto" w:fill="auto"/>
          </w:tcPr>
          <w:p w14:paraId="001B9C8F" w14:textId="77777777" w:rsidR="001D3F5D" w:rsidRPr="008F3B84" w:rsidRDefault="001D3F5D" w:rsidP="00F251E9">
            <w:pPr>
              <w:pStyle w:val="Tablewriting"/>
            </w:pPr>
            <w:proofErr w:type="spellStart"/>
            <w:r w:rsidRPr="007A78A6">
              <w:t>terbinafine</w:t>
            </w:r>
            <w:proofErr w:type="spellEnd"/>
            <w:r w:rsidRPr="007A78A6">
              <w:t xml:space="preserve"> 250 mg tablet, 42</w:t>
            </w:r>
          </w:p>
        </w:tc>
        <w:tc>
          <w:tcPr>
            <w:tcW w:w="0" w:type="auto"/>
            <w:shd w:val="clear" w:color="auto" w:fill="auto"/>
          </w:tcPr>
          <w:p w14:paraId="3E51C688" w14:textId="77777777" w:rsidR="001D3F5D" w:rsidRPr="008F3B84" w:rsidRDefault="001D3F5D" w:rsidP="00F251E9">
            <w:pPr>
              <w:pStyle w:val="Tablewriting"/>
            </w:pPr>
            <w:r w:rsidRPr="007A78A6">
              <w:t>42</w:t>
            </w:r>
          </w:p>
        </w:tc>
        <w:tc>
          <w:tcPr>
            <w:tcW w:w="0" w:type="auto"/>
            <w:shd w:val="clear" w:color="auto" w:fill="auto"/>
          </w:tcPr>
          <w:p w14:paraId="623A2C2B" w14:textId="77777777" w:rsidR="001D3F5D" w:rsidRPr="008F3B84" w:rsidRDefault="001D3F5D" w:rsidP="00F251E9">
            <w:pPr>
              <w:pStyle w:val="Tablewriting"/>
            </w:pPr>
            <w:r w:rsidRPr="007A78A6">
              <w:t>0</w:t>
            </w:r>
          </w:p>
        </w:tc>
        <w:tc>
          <w:tcPr>
            <w:tcW w:w="0" w:type="auto"/>
            <w:shd w:val="clear" w:color="auto" w:fill="auto"/>
          </w:tcPr>
          <w:p w14:paraId="6CBD50E6" w14:textId="77777777" w:rsidR="001D3F5D" w:rsidRPr="008F3B84" w:rsidRDefault="001D3F5D" w:rsidP="00F251E9">
            <w:pPr>
              <w:pStyle w:val="Tablewriting"/>
              <w:jc w:val="center"/>
            </w:pPr>
            <w:r w:rsidRPr="007A78A6">
              <w:t>34.34</w:t>
            </w:r>
          </w:p>
        </w:tc>
        <w:tc>
          <w:tcPr>
            <w:tcW w:w="0" w:type="auto"/>
            <w:shd w:val="clear" w:color="auto" w:fill="auto"/>
          </w:tcPr>
          <w:p w14:paraId="35D57B3F" w14:textId="77777777" w:rsidR="001D3F5D" w:rsidRPr="008E55ED" w:rsidRDefault="001D3F5D" w:rsidP="00F251E9">
            <w:pPr>
              <w:pStyle w:val="Tablewriting"/>
            </w:pPr>
            <w:r>
              <w:t>Numerous brands</w:t>
            </w:r>
          </w:p>
        </w:tc>
      </w:tr>
      <w:tr w:rsidR="001D3F5D" w:rsidRPr="00A35800" w14:paraId="3FB8ED32" w14:textId="77777777" w:rsidTr="00F251E9">
        <w:trPr>
          <w:cantSplit/>
          <w:trHeight w:val="546"/>
        </w:trPr>
        <w:tc>
          <w:tcPr>
            <w:tcW w:w="0" w:type="auto"/>
            <w:shd w:val="clear" w:color="auto" w:fill="auto"/>
          </w:tcPr>
          <w:p w14:paraId="63854A74" w14:textId="77777777" w:rsidR="001D3F5D" w:rsidRPr="000100E5" w:rsidRDefault="001D3F5D" w:rsidP="00F251E9">
            <w:pPr>
              <w:pStyle w:val="Tablewriting"/>
            </w:pPr>
            <w:r w:rsidRPr="007A78A6">
              <w:t>2804N</w:t>
            </w:r>
            <w:r>
              <w:rPr>
                <w:vertAlign w:val="superscript"/>
              </w:rPr>
              <w:t>b</w:t>
            </w:r>
          </w:p>
        </w:tc>
        <w:tc>
          <w:tcPr>
            <w:tcW w:w="0" w:type="auto"/>
            <w:shd w:val="clear" w:color="auto" w:fill="auto"/>
          </w:tcPr>
          <w:p w14:paraId="0B862088" w14:textId="77777777" w:rsidR="001D3F5D" w:rsidRPr="008F3B84" w:rsidRDefault="001D3F5D" w:rsidP="00F251E9">
            <w:pPr>
              <w:pStyle w:val="Tablewriting"/>
            </w:pPr>
            <w:proofErr w:type="spellStart"/>
            <w:r w:rsidRPr="007A78A6">
              <w:t>terbinafine</w:t>
            </w:r>
            <w:proofErr w:type="spellEnd"/>
            <w:r w:rsidRPr="007A78A6">
              <w:t xml:space="preserve"> 250 mg tablet, 42</w:t>
            </w:r>
          </w:p>
        </w:tc>
        <w:tc>
          <w:tcPr>
            <w:tcW w:w="0" w:type="auto"/>
            <w:shd w:val="clear" w:color="auto" w:fill="auto"/>
          </w:tcPr>
          <w:p w14:paraId="339AB376" w14:textId="77777777" w:rsidR="001D3F5D" w:rsidRPr="008F3B84" w:rsidRDefault="001D3F5D" w:rsidP="00F251E9">
            <w:pPr>
              <w:pStyle w:val="Tablewriting"/>
            </w:pPr>
            <w:r w:rsidRPr="007A78A6">
              <w:t>42</w:t>
            </w:r>
          </w:p>
        </w:tc>
        <w:tc>
          <w:tcPr>
            <w:tcW w:w="0" w:type="auto"/>
            <w:shd w:val="clear" w:color="auto" w:fill="auto"/>
          </w:tcPr>
          <w:p w14:paraId="50E3763B" w14:textId="77777777" w:rsidR="001D3F5D" w:rsidRPr="008F3B84" w:rsidRDefault="001D3F5D" w:rsidP="00F251E9">
            <w:pPr>
              <w:pStyle w:val="Tablewriting"/>
            </w:pPr>
            <w:r w:rsidRPr="007A78A6">
              <w:t>1</w:t>
            </w:r>
          </w:p>
        </w:tc>
        <w:tc>
          <w:tcPr>
            <w:tcW w:w="0" w:type="auto"/>
            <w:shd w:val="clear" w:color="auto" w:fill="auto"/>
          </w:tcPr>
          <w:p w14:paraId="413B9066" w14:textId="77777777" w:rsidR="001D3F5D" w:rsidRPr="008F3B84" w:rsidRDefault="001D3F5D" w:rsidP="00F251E9">
            <w:pPr>
              <w:pStyle w:val="Tablewriting"/>
              <w:jc w:val="center"/>
            </w:pPr>
            <w:r w:rsidRPr="007A78A6">
              <w:t>34.34</w:t>
            </w:r>
          </w:p>
        </w:tc>
        <w:tc>
          <w:tcPr>
            <w:tcW w:w="0" w:type="auto"/>
            <w:shd w:val="clear" w:color="auto" w:fill="auto"/>
          </w:tcPr>
          <w:p w14:paraId="251F602A" w14:textId="77777777" w:rsidR="001D3F5D" w:rsidRPr="008E55ED" w:rsidRDefault="001D3F5D" w:rsidP="00F251E9">
            <w:pPr>
              <w:pStyle w:val="Tablewriting"/>
            </w:pPr>
            <w:r>
              <w:t>Numerous brands</w:t>
            </w:r>
          </w:p>
        </w:tc>
      </w:tr>
      <w:tr w:rsidR="001D3F5D" w:rsidRPr="00A35800" w14:paraId="31A7D4FD" w14:textId="77777777" w:rsidTr="00F251E9">
        <w:trPr>
          <w:cantSplit/>
          <w:trHeight w:val="546"/>
        </w:trPr>
        <w:tc>
          <w:tcPr>
            <w:tcW w:w="0" w:type="auto"/>
            <w:shd w:val="clear" w:color="auto" w:fill="auto"/>
          </w:tcPr>
          <w:p w14:paraId="34706B03" w14:textId="77777777" w:rsidR="001D3F5D" w:rsidRPr="008F3B84" w:rsidRDefault="001D3F5D" w:rsidP="00F251E9">
            <w:pPr>
              <w:pStyle w:val="Tablewriting"/>
            </w:pPr>
            <w:r w:rsidRPr="007A78A6">
              <w:t>4011D</w:t>
            </w:r>
            <w:r>
              <w:t xml:space="preserve"> (RPBS)</w:t>
            </w:r>
          </w:p>
        </w:tc>
        <w:tc>
          <w:tcPr>
            <w:tcW w:w="0" w:type="auto"/>
            <w:shd w:val="clear" w:color="auto" w:fill="auto"/>
          </w:tcPr>
          <w:p w14:paraId="57C60F61" w14:textId="77777777" w:rsidR="001D3F5D" w:rsidRPr="008F3B84" w:rsidRDefault="001D3F5D" w:rsidP="00F251E9">
            <w:pPr>
              <w:pStyle w:val="Tablewriting"/>
            </w:pPr>
            <w:proofErr w:type="spellStart"/>
            <w:r w:rsidRPr="007A78A6">
              <w:t>terbinafine</w:t>
            </w:r>
            <w:proofErr w:type="spellEnd"/>
            <w:r w:rsidRPr="007A78A6">
              <w:t xml:space="preserve"> 250 mg tablet, 42</w:t>
            </w:r>
          </w:p>
        </w:tc>
        <w:tc>
          <w:tcPr>
            <w:tcW w:w="0" w:type="auto"/>
            <w:shd w:val="clear" w:color="auto" w:fill="auto"/>
          </w:tcPr>
          <w:p w14:paraId="6448EC67" w14:textId="77777777" w:rsidR="001D3F5D" w:rsidRPr="008F3B84" w:rsidRDefault="001D3F5D" w:rsidP="00F251E9">
            <w:pPr>
              <w:pStyle w:val="Tablewriting"/>
            </w:pPr>
            <w:r w:rsidRPr="007A78A6">
              <w:t>42</w:t>
            </w:r>
          </w:p>
        </w:tc>
        <w:tc>
          <w:tcPr>
            <w:tcW w:w="0" w:type="auto"/>
            <w:shd w:val="clear" w:color="auto" w:fill="auto"/>
          </w:tcPr>
          <w:p w14:paraId="5CA22866" w14:textId="77777777" w:rsidR="001D3F5D" w:rsidRPr="008F3B84" w:rsidRDefault="001D3F5D" w:rsidP="00F251E9">
            <w:pPr>
              <w:pStyle w:val="Tablewriting"/>
            </w:pPr>
            <w:r w:rsidRPr="007A78A6">
              <w:t>1</w:t>
            </w:r>
          </w:p>
        </w:tc>
        <w:tc>
          <w:tcPr>
            <w:tcW w:w="0" w:type="auto"/>
            <w:shd w:val="clear" w:color="auto" w:fill="auto"/>
          </w:tcPr>
          <w:p w14:paraId="53F4A9FE" w14:textId="77777777" w:rsidR="001D3F5D" w:rsidRPr="008F3B84" w:rsidRDefault="001D3F5D" w:rsidP="00F251E9">
            <w:pPr>
              <w:pStyle w:val="Tablewriting"/>
              <w:jc w:val="center"/>
            </w:pPr>
            <w:r w:rsidRPr="007A78A6">
              <w:t>34.34</w:t>
            </w:r>
          </w:p>
        </w:tc>
        <w:tc>
          <w:tcPr>
            <w:tcW w:w="0" w:type="auto"/>
            <w:shd w:val="clear" w:color="auto" w:fill="auto"/>
          </w:tcPr>
          <w:p w14:paraId="6C2A666A" w14:textId="77777777" w:rsidR="001D3F5D" w:rsidRPr="008E55ED" w:rsidRDefault="001D3F5D" w:rsidP="00F251E9">
            <w:pPr>
              <w:pStyle w:val="Tablewriting"/>
            </w:pPr>
            <w:r>
              <w:t>Numerous brands</w:t>
            </w:r>
          </w:p>
        </w:tc>
      </w:tr>
    </w:tbl>
    <w:p w14:paraId="0EA2B7B8" w14:textId="77777777" w:rsidR="001D3F5D" w:rsidRPr="000100E5" w:rsidRDefault="001D3F5D" w:rsidP="001D3F5D">
      <w:pPr>
        <w:pStyle w:val="Notes"/>
      </w:pPr>
      <w:r w:rsidRPr="00A35800">
        <w:t xml:space="preserve">Source: </w:t>
      </w:r>
      <w:r>
        <w:t xml:space="preserve">the </w:t>
      </w:r>
      <w:hyperlink r:id="rId11" w:history="1">
        <w:r w:rsidRPr="001624D7">
          <w:rPr>
            <w:rStyle w:val="Hyperlink"/>
          </w:rPr>
          <w:t>PBS website</w:t>
        </w:r>
      </w:hyperlink>
      <w:r>
        <w:t xml:space="preserve">. </w:t>
      </w:r>
      <w:r>
        <w:br/>
      </w:r>
      <w:proofErr w:type="gramStart"/>
      <w:r>
        <w:rPr>
          <w:vertAlign w:val="superscript"/>
        </w:rPr>
        <w:t>a</w:t>
      </w:r>
      <w:proofErr w:type="gramEnd"/>
      <w:r>
        <w:rPr>
          <w:vertAlign w:val="superscript"/>
        </w:rPr>
        <w:t xml:space="preserve"> </w:t>
      </w:r>
      <w:proofErr w:type="spellStart"/>
      <w:r>
        <w:t>Dermatophyte</w:t>
      </w:r>
      <w:proofErr w:type="spellEnd"/>
      <w:r>
        <w:t xml:space="preserve"> infection in </w:t>
      </w:r>
      <w:r w:rsidRPr="000100E5">
        <w:t>Aboriginal or a Torres Strait Islander person</w:t>
      </w:r>
      <w:r>
        <w:t xml:space="preserve"> or a person aged up to 18 years after other treatments have failed. </w:t>
      </w:r>
      <w:r>
        <w:br/>
      </w:r>
      <w:proofErr w:type="gramStart"/>
      <w:r>
        <w:rPr>
          <w:vertAlign w:val="superscript"/>
        </w:rPr>
        <w:t>b</w:t>
      </w:r>
      <w:proofErr w:type="gramEnd"/>
      <w:r>
        <w:rPr>
          <w:vertAlign w:val="superscript"/>
        </w:rPr>
        <w:t xml:space="preserve"> </w:t>
      </w:r>
      <w:r w:rsidRPr="000100E5">
        <w:t xml:space="preserve">Proximal or extensive </w:t>
      </w:r>
      <w:proofErr w:type="spellStart"/>
      <w:r w:rsidRPr="000100E5">
        <w:t>onychomycosis</w:t>
      </w:r>
      <w:proofErr w:type="spellEnd"/>
      <w:r>
        <w:t xml:space="preserve"> where topical treatment has failed. </w:t>
      </w:r>
    </w:p>
    <w:p w14:paraId="1AFA1485" w14:textId="129447A8" w:rsidR="004C3186" w:rsidRDefault="004C3186" w:rsidP="00CF5E22">
      <w:pPr>
        <w:pStyle w:val="Heading3"/>
      </w:pPr>
      <w:r>
        <w:t>Restriction</w:t>
      </w:r>
    </w:p>
    <w:p w14:paraId="577BEC07" w14:textId="5F1A4F39" w:rsidR="001D3F5D" w:rsidRDefault="001D3F5D" w:rsidP="001D3F5D">
      <w:r w:rsidRPr="00163E3F">
        <w:rPr>
          <w:b/>
        </w:rPr>
        <w:t>Fluconazole</w:t>
      </w:r>
      <w:r>
        <w:rPr>
          <w:b/>
        </w:rPr>
        <w:t xml:space="preserve"> </w:t>
      </w:r>
      <w:r>
        <w:t xml:space="preserve">capsules and injections have </w:t>
      </w:r>
      <w:r w:rsidR="00876ADD">
        <w:t>R</w:t>
      </w:r>
      <w:r>
        <w:t xml:space="preserve">estricted </w:t>
      </w:r>
      <w:r w:rsidR="00876ADD">
        <w:t>B</w:t>
      </w:r>
      <w:r>
        <w:t>enefit listings for the following conditions:</w:t>
      </w:r>
    </w:p>
    <w:p w14:paraId="481AAB00" w14:textId="77777777" w:rsidR="001D3F5D" w:rsidRDefault="001D3F5D" w:rsidP="001D3F5D">
      <w:pPr>
        <w:pStyle w:val="ListParagraph"/>
        <w:numPr>
          <w:ilvl w:val="0"/>
          <w:numId w:val="9"/>
        </w:numPr>
      </w:pPr>
      <w:proofErr w:type="spellStart"/>
      <w:r w:rsidRPr="00163E3F">
        <w:t>Cryptococcal</w:t>
      </w:r>
      <w:proofErr w:type="spellEnd"/>
      <w:r w:rsidRPr="00163E3F">
        <w:t xml:space="preserve"> meningitis</w:t>
      </w:r>
      <w:r>
        <w:t xml:space="preserve">, </w:t>
      </w:r>
    </w:p>
    <w:p w14:paraId="421EEC67" w14:textId="77777777" w:rsidR="001D3F5D" w:rsidRDefault="001D3F5D" w:rsidP="001D3F5D">
      <w:pPr>
        <w:pStyle w:val="ListParagraph"/>
        <w:numPr>
          <w:ilvl w:val="0"/>
          <w:numId w:val="9"/>
        </w:numPr>
      </w:pPr>
      <w:r>
        <w:t xml:space="preserve">Maintenance therapy of </w:t>
      </w:r>
      <w:proofErr w:type="spellStart"/>
      <w:r>
        <w:t>cryptococcal</w:t>
      </w:r>
      <w:proofErr w:type="spellEnd"/>
      <w:r>
        <w:t xml:space="preserve"> meningitis for immunosuppressed patients, </w:t>
      </w:r>
    </w:p>
    <w:p w14:paraId="375FF73F" w14:textId="77777777" w:rsidR="001D3F5D" w:rsidRDefault="001D3F5D" w:rsidP="001D3F5D">
      <w:pPr>
        <w:pStyle w:val="ListParagraph"/>
        <w:numPr>
          <w:ilvl w:val="0"/>
          <w:numId w:val="9"/>
        </w:numPr>
      </w:pPr>
      <w:proofErr w:type="spellStart"/>
      <w:r w:rsidRPr="00163E3F">
        <w:t>Oropharyngeal</w:t>
      </w:r>
      <w:proofErr w:type="spellEnd"/>
      <w:r w:rsidRPr="00163E3F">
        <w:t xml:space="preserve"> candidiasis</w:t>
      </w:r>
      <w:r>
        <w:t xml:space="preserve"> in immunosuppressed patients, </w:t>
      </w:r>
    </w:p>
    <w:p w14:paraId="779CFED4" w14:textId="77777777" w:rsidR="001D3F5D" w:rsidRDefault="001D3F5D" w:rsidP="001D3F5D">
      <w:pPr>
        <w:pStyle w:val="ListParagraph"/>
        <w:numPr>
          <w:ilvl w:val="0"/>
          <w:numId w:val="9"/>
        </w:numPr>
      </w:pPr>
      <w:r w:rsidRPr="00A21140">
        <w:t>Oesophageal candidiasis</w:t>
      </w:r>
      <w:r>
        <w:t xml:space="preserve"> in immunosuppressed patients, </w:t>
      </w:r>
    </w:p>
    <w:p w14:paraId="5CE90E24" w14:textId="77777777" w:rsidR="001D3F5D" w:rsidRDefault="001D3F5D" w:rsidP="001D3F5D">
      <w:pPr>
        <w:pStyle w:val="ListParagraph"/>
        <w:numPr>
          <w:ilvl w:val="0"/>
          <w:numId w:val="9"/>
        </w:numPr>
      </w:pPr>
      <w:r>
        <w:t xml:space="preserve">Prophylaxis of </w:t>
      </w:r>
      <w:proofErr w:type="spellStart"/>
      <w:r>
        <w:t>o</w:t>
      </w:r>
      <w:r w:rsidRPr="00163E3F">
        <w:t>ropharyngeal</w:t>
      </w:r>
      <w:proofErr w:type="spellEnd"/>
      <w:r w:rsidRPr="00163E3F">
        <w:t xml:space="preserve"> candidiasis</w:t>
      </w:r>
      <w:r>
        <w:t xml:space="preserve"> in immunosuppressed patients, and, </w:t>
      </w:r>
    </w:p>
    <w:p w14:paraId="73D04FF8" w14:textId="77777777" w:rsidR="001D3F5D" w:rsidRDefault="001D3F5D" w:rsidP="001D3F5D">
      <w:pPr>
        <w:pStyle w:val="ListParagraph"/>
        <w:numPr>
          <w:ilvl w:val="0"/>
          <w:numId w:val="9"/>
        </w:numPr>
      </w:pPr>
      <w:r>
        <w:t>Serious or life</w:t>
      </w:r>
      <w:r>
        <w:noBreakHyphen/>
        <w:t>threatening candida infections.</w:t>
      </w:r>
    </w:p>
    <w:p w14:paraId="1998D595" w14:textId="65DD576B" w:rsidR="001D3F5D" w:rsidRPr="00163E3F" w:rsidRDefault="001D3F5D" w:rsidP="001D3F5D">
      <w:r>
        <w:t xml:space="preserve">Fluconazole suspension has a </w:t>
      </w:r>
      <w:r w:rsidR="00B719E8">
        <w:t>Restricted Benefit</w:t>
      </w:r>
      <w:r>
        <w:t xml:space="preserve"> listing for the same conditions as the capsule and injection listings but require that patients are unable to take the solid dose form of fluconazole.</w:t>
      </w:r>
    </w:p>
    <w:p w14:paraId="17466B9B" w14:textId="291BB7A0" w:rsidR="001D3F5D" w:rsidRDefault="001D3F5D" w:rsidP="001D3F5D">
      <w:proofErr w:type="spellStart"/>
      <w:r>
        <w:rPr>
          <w:b/>
        </w:rPr>
        <w:t>Itraconazole</w:t>
      </w:r>
      <w:proofErr w:type="spellEnd"/>
      <w:r>
        <w:rPr>
          <w:b/>
          <w:i/>
        </w:rPr>
        <w:t xml:space="preserve"> </w:t>
      </w:r>
      <w:r>
        <w:t xml:space="preserve">has a </w:t>
      </w:r>
      <w:r w:rsidR="00876ADD">
        <w:t>R</w:t>
      </w:r>
      <w:r>
        <w:t xml:space="preserve">estricted </w:t>
      </w:r>
      <w:r w:rsidR="00876ADD">
        <w:t>B</w:t>
      </w:r>
      <w:r>
        <w:t>enefit listing for:</w:t>
      </w:r>
    </w:p>
    <w:p w14:paraId="039ACED0" w14:textId="77777777" w:rsidR="001D3F5D" w:rsidRDefault="001D3F5D" w:rsidP="001D3F5D">
      <w:pPr>
        <w:pStyle w:val="ListParagraph"/>
        <w:numPr>
          <w:ilvl w:val="0"/>
          <w:numId w:val="10"/>
        </w:numPr>
      </w:pPr>
      <w:r w:rsidRPr="00821E0C">
        <w:t xml:space="preserve">Systemic </w:t>
      </w:r>
      <w:proofErr w:type="spellStart"/>
      <w:r w:rsidRPr="00821E0C">
        <w:t>aspergillosis</w:t>
      </w:r>
      <w:proofErr w:type="spellEnd"/>
      <w:r>
        <w:t>,</w:t>
      </w:r>
    </w:p>
    <w:p w14:paraId="64FCA933" w14:textId="77777777" w:rsidR="001D3F5D" w:rsidRDefault="001D3F5D" w:rsidP="001D3F5D">
      <w:pPr>
        <w:pStyle w:val="ListParagraph"/>
        <w:numPr>
          <w:ilvl w:val="0"/>
          <w:numId w:val="10"/>
        </w:numPr>
      </w:pPr>
      <w:r w:rsidRPr="00821E0C">
        <w:t xml:space="preserve">Systemic </w:t>
      </w:r>
      <w:proofErr w:type="spellStart"/>
      <w:r w:rsidRPr="00821E0C">
        <w:t>sporotrichosis</w:t>
      </w:r>
      <w:proofErr w:type="spellEnd"/>
      <w:r>
        <w:t>,</w:t>
      </w:r>
    </w:p>
    <w:p w14:paraId="4BF3E6BD" w14:textId="77777777" w:rsidR="001D3F5D" w:rsidRDefault="001D3F5D" w:rsidP="001D3F5D">
      <w:pPr>
        <w:pStyle w:val="ListParagraph"/>
        <w:numPr>
          <w:ilvl w:val="0"/>
          <w:numId w:val="10"/>
        </w:numPr>
      </w:pPr>
      <w:r w:rsidRPr="00821E0C">
        <w:t xml:space="preserve">Systemic </w:t>
      </w:r>
      <w:proofErr w:type="spellStart"/>
      <w:r w:rsidRPr="00821E0C">
        <w:t>histoplasmosis</w:t>
      </w:r>
      <w:proofErr w:type="spellEnd"/>
      <w:r>
        <w:t>,</w:t>
      </w:r>
    </w:p>
    <w:p w14:paraId="66E7B900" w14:textId="77777777" w:rsidR="001D3F5D" w:rsidRDefault="001D3F5D" w:rsidP="001D3F5D">
      <w:pPr>
        <w:pStyle w:val="ListParagraph"/>
        <w:numPr>
          <w:ilvl w:val="0"/>
          <w:numId w:val="10"/>
        </w:numPr>
      </w:pPr>
      <w:r>
        <w:t>Treatment and maintenance therapy of d</w:t>
      </w:r>
      <w:r w:rsidRPr="00821E0C">
        <w:t xml:space="preserve">isseminated pulmonary </w:t>
      </w:r>
      <w:proofErr w:type="spellStart"/>
      <w:r w:rsidRPr="00821E0C">
        <w:t>histoplasmosis</w:t>
      </w:r>
      <w:proofErr w:type="spellEnd"/>
      <w:r w:rsidRPr="00821E0C">
        <w:t xml:space="preserve"> infection</w:t>
      </w:r>
      <w:r>
        <w:t xml:space="preserve"> of patients with AIDS, </w:t>
      </w:r>
    </w:p>
    <w:p w14:paraId="62B114C2" w14:textId="77777777" w:rsidR="001D3F5D" w:rsidRPr="00821E0C" w:rsidRDefault="001D3F5D" w:rsidP="001D3F5D">
      <w:pPr>
        <w:pStyle w:val="ListParagraph"/>
        <w:numPr>
          <w:ilvl w:val="0"/>
          <w:numId w:val="10"/>
        </w:numPr>
      </w:pPr>
      <w:r w:rsidRPr="00821E0C">
        <w:lastRenderedPageBreak/>
        <w:t xml:space="preserve">Treatment and maintenance therapy of </w:t>
      </w:r>
      <w:r>
        <w:t>chronic</w:t>
      </w:r>
      <w:r w:rsidRPr="00821E0C">
        <w:t xml:space="preserve"> pulmonary </w:t>
      </w:r>
      <w:proofErr w:type="spellStart"/>
      <w:r w:rsidRPr="00821E0C">
        <w:t>histoplasmosis</w:t>
      </w:r>
      <w:proofErr w:type="spellEnd"/>
      <w:r w:rsidRPr="00821E0C">
        <w:t xml:space="preserve"> infection of patients with AIDS, </w:t>
      </w:r>
    </w:p>
    <w:p w14:paraId="3E763590" w14:textId="77777777" w:rsidR="001D3F5D" w:rsidRDefault="001D3F5D" w:rsidP="001D3F5D">
      <w:pPr>
        <w:pStyle w:val="ListParagraph"/>
        <w:numPr>
          <w:ilvl w:val="0"/>
          <w:numId w:val="10"/>
        </w:numPr>
      </w:pPr>
      <w:proofErr w:type="spellStart"/>
      <w:r w:rsidRPr="00821E0C">
        <w:t>Oropharyngeal</w:t>
      </w:r>
      <w:proofErr w:type="spellEnd"/>
      <w:r w:rsidRPr="00821E0C">
        <w:t xml:space="preserve"> candidiasis</w:t>
      </w:r>
      <w:r>
        <w:t xml:space="preserve"> in immunosuppressed patients, and, </w:t>
      </w:r>
    </w:p>
    <w:p w14:paraId="57F19C0B" w14:textId="77777777" w:rsidR="001D3F5D" w:rsidRDefault="001D3F5D" w:rsidP="001D3F5D">
      <w:pPr>
        <w:pStyle w:val="ListParagraph"/>
        <w:numPr>
          <w:ilvl w:val="0"/>
          <w:numId w:val="10"/>
        </w:numPr>
      </w:pPr>
      <w:r w:rsidRPr="00821E0C">
        <w:t>Oesophageal candidiasis</w:t>
      </w:r>
      <w:r>
        <w:t xml:space="preserve"> in immunosuppressed patients.</w:t>
      </w:r>
    </w:p>
    <w:p w14:paraId="6AFC3DD1" w14:textId="33779A47" w:rsidR="001D3F5D" w:rsidRDefault="001D3F5D" w:rsidP="001D3F5D">
      <w:proofErr w:type="spellStart"/>
      <w:r>
        <w:rPr>
          <w:b/>
        </w:rPr>
        <w:t>Posaconazole</w:t>
      </w:r>
      <w:proofErr w:type="spellEnd"/>
      <w:r>
        <w:rPr>
          <w:b/>
        </w:rPr>
        <w:t xml:space="preserve"> </w:t>
      </w:r>
      <w:r>
        <w:t xml:space="preserve">has an </w:t>
      </w:r>
      <w:r w:rsidR="00061080">
        <w:t>A</w:t>
      </w:r>
      <w:r>
        <w:t xml:space="preserve">uthority </w:t>
      </w:r>
      <w:proofErr w:type="gramStart"/>
      <w:r w:rsidR="00061080">
        <w:t>R</w:t>
      </w:r>
      <w:r>
        <w:t>equired</w:t>
      </w:r>
      <w:proofErr w:type="gramEnd"/>
      <w:r>
        <w:t xml:space="preserve"> (telephone authority) listing for the treatment of the following fungal infections for patients unable to tolerate alternative therapy or the condition is refractory to alternative therapy: </w:t>
      </w:r>
    </w:p>
    <w:p w14:paraId="69DC6360" w14:textId="77777777" w:rsidR="001D3F5D" w:rsidRDefault="001D3F5D" w:rsidP="001D3F5D">
      <w:pPr>
        <w:pStyle w:val="ListParagraph"/>
        <w:numPr>
          <w:ilvl w:val="0"/>
          <w:numId w:val="11"/>
        </w:numPr>
      </w:pPr>
      <w:r>
        <w:t xml:space="preserve">Invasive </w:t>
      </w:r>
      <w:proofErr w:type="spellStart"/>
      <w:r>
        <w:t>aspergillosis</w:t>
      </w:r>
      <w:proofErr w:type="spellEnd"/>
      <w:r>
        <w:t xml:space="preserve">, </w:t>
      </w:r>
    </w:p>
    <w:p w14:paraId="46DD3BA8" w14:textId="77777777" w:rsidR="001D3F5D" w:rsidRDefault="001D3F5D" w:rsidP="001D3F5D">
      <w:pPr>
        <w:pStyle w:val="ListParagraph"/>
        <w:numPr>
          <w:ilvl w:val="0"/>
          <w:numId w:val="11"/>
        </w:numPr>
      </w:pPr>
      <w:proofErr w:type="spellStart"/>
      <w:r>
        <w:t>F</w:t>
      </w:r>
      <w:r w:rsidRPr="00821E0C">
        <w:t>usariosis</w:t>
      </w:r>
      <w:proofErr w:type="spellEnd"/>
      <w:r>
        <w:t>,</w:t>
      </w:r>
      <w:r w:rsidRPr="00821E0C">
        <w:t xml:space="preserve"> </w:t>
      </w:r>
    </w:p>
    <w:p w14:paraId="30467772" w14:textId="77777777" w:rsidR="001D3F5D" w:rsidRDefault="001D3F5D" w:rsidP="001D3F5D">
      <w:pPr>
        <w:pStyle w:val="ListParagraph"/>
        <w:numPr>
          <w:ilvl w:val="0"/>
          <w:numId w:val="11"/>
        </w:numPr>
      </w:pPr>
      <w:proofErr w:type="spellStart"/>
      <w:r>
        <w:t>Z</w:t>
      </w:r>
      <w:r w:rsidRPr="00821E0C">
        <w:t>ygomycosis</w:t>
      </w:r>
      <w:proofErr w:type="spellEnd"/>
      <w:r>
        <w:t>,</w:t>
      </w:r>
      <w:r w:rsidRPr="00821E0C">
        <w:t xml:space="preserve"> </w:t>
      </w:r>
    </w:p>
    <w:p w14:paraId="1A611AF8" w14:textId="77777777" w:rsidR="001D3F5D" w:rsidRDefault="001D3F5D" w:rsidP="001D3F5D">
      <w:pPr>
        <w:pStyle w:val="ListParagraph"/>
        <w:numPr>
          <w:ilvl w:val="0"/>
          <w:numId w:val="11"/>
        </w:numPr>
      </w:pPr>
      <w:proofErr w:type="spellStart"/>
      <w:r w:rsidRPr="00821E0C">
        <w:t>Coccidioidomycosis</w:t>
      </w:r>
      <w:proofErr w:type="spellEnd"/>
      <w:r>
        <w:t>,</w:t>
      </w:r>
      <w:r w:rsidRPr="00821E0C">
        <w:t xml:space="preserve"> </w:t>
      </w:r>
    </w:p>
    <w:p w14:paraId="1A546BAC" w14:textId="77777777" w:rsidR="001D3F5D" w:rsidRDefault="001D3F5D" w:rsidP="001D3F5D">
      <w:pPr>
        <w:pStyle w:val="ListParagraph"/>
        <w:numPr>
          <w:ilvl w:val="0"/>
          <w:numId w:val="11"/>
        </w:numPr>
      </w:pPr>
      <w:proofErr w:type="spellStart"/>
      <w:r w:rsidRPr="00821E0C">
        <w:t>Chromoblastomycosis</w:t>
      </w:r>
      <w:proofErr w:type="spellEnd"/>
      <w:r>
        <w:t xml:space="preserve">, and,  </w:t>
      </w:r>
    </w:p>
    <w:p w14:paraId="33B35537" w14:textId="77777777" w:rsidR="001D3F5D" w:rsidRDefault="001D3F5D" w:rsidP="001D3F5D">
      <w:pPr>
        <w:pStyle w:val="ListParagraph"/>
        <w:numPr>
          <w:ilvl w:val="0"/>
          <w:numId w:val="11"/>
        </w:numPr>
      </w:pPr>
      <w:proofErr w:type="spellStart"/>
      <w:r>
        <w:t>M</w:t>
      </w:r>
      <w:r w:rsidRPr="00821E0C">
        <w:t>ycetoma</w:t>
      </w:r>
      <w:proofErr w:type="spellEnd"/>
      <w:r>
        <w:t>.</w:t>
      </w:r>
    </w:p>
    <w:p w14:paraId="01D8ED82" w14:textId="77777777" w:rsidR="001D3F5D" w:rsidRDefault="001D3F5D" w:rsidP="001D3F5D">
      <w:r>
        <w:t>It is also listed for prophylaxis against invasive fungal infections in the following high risk populations:</w:t>
      </w:r>
    </w:p>
    <w:p w14:paraId="7A1C557C" w14:textId="77777777" w:rsidR="001D3F5D" w:rsidRDefault="001D3F5D" w:rsidP="001D3F5D">
      <w:pPr>
        <w:pStyle w:val="ListParagraph"/>
        <w:numPr>
          <w:ilvl w:val="0"/>
          <w:numId w:val="12"/>
        </w:numPr>
      </w:pPr>
      <w:r>
        <w:t xml:space="preserve">Patients receiving chemotherapy for acute myeloid leukaemia (AML) or </w:t>
      </w:r>
      <w:proofErr w:type="spellStart"/>
      <w:r>
        <w:t>myelodysplastic</w:t>
      </w:r>
      <w:proofErr w:type="spellEnd"/>
      <w:r>
        <w:t xml:space="preserve"> syndrome (MDS) where neutropenia</w:t>
      </w:r>
      <w:r w:rsidRPr="000E0F2F">
        <w:t xml:space="preserve"> absolute neutr</w:t>
      </w:r>
      <w:r>
        <w:t>ophil count less than 500 cells/cm</w:t>
      </w:r>
      <w:r w:rsidRPr="000E0F2F">
        <w:rPr>
          <w:vertAlign w:val="superscript"/>
        </w:rPr>
        <w:t>3</w:t>
      </w:r>
      <w:r>
        <w:t xml:space="preserve">) is expected for at least 10 days; and, </w:t>
      </w:r>
    </w:p>
    <w:p w14:paraId="2C087E45" w14:textId="77777777" w:rsidR="001D3F5D" w:rsidRDefault="001D3F5D" w:rsidP="001D3F5D">
      <w:pPr>
        <w:pStyle w:val="ListParagraph"/>
        <w:numPr>
          <w:ilvl w:val="0"/>
          <w:numId w:val="12"/>
        </w:numPr>
      </w:pPr>
      <w:r>
        <w:t>Patients with acute graft versus host disease (GVHD) grade II, III or IV, or extensive chronic GVHD, and receiving intensive immunosuppressive therapy after allogeneic haematopoietic stem cell transplant.</w:t>
      </w:r>
    </w:p>
    <w:p w14:paraId="5CE0F003" w14:textId="070CB71C" w:rsidR="001D3F5D" w:rsidRDefault="001D3F5D" w:rsidP="001D3F5D">
      <w:proofErr w:type="spellStart"/>
      <w:r>
        <w:rPr>
          <w:b/>
        </w:rPr>
        <w:t>Voriconazole</w:t>
      </w:r>
      <w:proofErr w:type="spellEnd"/>
      <w:r>
        <w:rPr>
          <w:b/>
        </w:rPr>
        <w:t xml:space="preserve"> </w:t>
      </w:r>
      <w:r>
        <w:t xml:space="preserve">has an </w:t>
      </w:r>
      <w:r w:rsidR="00061080">
        <w:t>A</w:t>
      </w:r>
      <w:r>
        <w:t xml:space="preserve">uthority </w:t>
      </w:r>
      <w:proofErr w:type="gramStart"/>
      <w:r w:rsidR="00061080">
        <w:t>R</w:t>
      </w:r>
      <w:r>
        <w:t>equired</w:t>
      </w:r>
      <w:proofErr w:type="gramEnd"/>
      <w:r>
        <w:t xml:space="preserve"> (telephone authority) listing for the treatment and maintenance therapy of the following conditions:</w:t>
      </w:r>
    </w:p>
    <w:p w14:paraId="3C647FDA" w14:textId="77777777" w:rsidR="001D3F5D" w:rsidRDefault="001D3F5D" w:rsidP="001D3F5D">
      <w:pPr>
        <w:pStyle w:val="ListParagraph"/>
        <w:numPr>
          <w:ilvl w:val="0"/>
          <w:numId w:val="13"/>
        </w:numPr>
      </w:pPr>
      <w:r>
        <w:t xml:space="preserve">Definite or probable </w:t>
      </w:r>
      <w:proofErr w:type="spellStart"/>
      <w:r>
        <w:t>aspergillosis</w:t>
      </w:r>
      <w:proofErr w:type="spellEnd"/>
      <w:r>
        <w:t xml:space="preserve"> in patients who are </w:t>
      </w:r>
      <w:proofErr w:type="spellStart"/>
      <w:r>
        <w:t>immunocompromised</w:t>
      </w:r>
      <w:proofErr w:type="spellEnd"/>
      <w:r>
        <w:t xml:space="preserve">, </w:t>
      </w:r>
    </w:p>
    <w:p w14:paraId="7689A316" w14:textId="77777777" w:rsidR="001D3F5D" w:rsidRDefault="001D3F5D" w:rsidP="001D3F5D">
      <w:pPr>
        <w:pStyle w:val="ListParagraph"/>
        <w:numPr>
          <w:ilvl w:val="0"/>
          <w:numId w:val="13"/>
        </w:numPr>
      </w:pPr>
      <w:r>
        <w:t xml:space="preserve">Serious fungal infections caused by </w:t>
      </w:r>
      <w:proofErr w:type="spellStart"/>
      <w:r w:rsidRPr="00C4067F">
        <w:t>Scedosporium</w:t>
      </w:r>
      <w:proofErr w:type="spellEnd"/>
      <w:r>
        <w:t xml:space="preserve"> or </w:t>
      </w:r>
      <w:proofErr w:type="spellStart"/>
      <w:r w:rsidRPr="00C4067F">
        <w:t>Fusarium</w:t>
      </w:r>
      <w:proofErr w:type="spellEnd"/>
      <w:r w:rsidRPr="00C4067F">
        <w:t xml:space="preserve"> species</w:t>
      </w:r>
      <w:r>
        <w:t xml:space="preserve">, </w:t>
      </w:r>
    </w:p>
    <w:p w14:paraId="19427B7B" w14:textId="77777777" w:rsidR="001D3F5D" w:rsidRDefault="001D3F5D" w:rsidP="001D3F5D">
      <w:pPr>
        <w:pStyle w:val="ListParagraph"/>
        <w:numPr>
          <w:ilvl w:val="0"/>
          <w:numId w:val="13"/>
        </w:numPr>
      </w:pPr>
      <w:r>
        <w:t xml:space="preserve">Serious Candida infections that are not susceptible or resistant  to fluconazole or for patients unable to tolerate fluconazole, and, </w:t>
      </w:r>
    </w:p>
    <w:p w14:paraId="2687D429" w14:textId="77777777" w:rsidR="001D3F5D" w:rsidRDefault="001D3F5D" w:rsidP="001D3F5D">
      <w:pPr>
        <w:pStyle w:val="ListParagraph"/>
        <w:numPr>
          <w:ilvl w:val="0"/>
          <w:numId w:val="13"/>
        </w:numPr>
      </w:pPr>
      <w:r>
        <w:t xml:space="preserve">Serious invasive mycosis infections (not </w:t>
      </w:r>
      <w:proofErr w:type="spellStart"/>
      <w:r>
        <w:t>aspergillosis</w:t>
      </w:r>
      <w:proofErr w:type="spellEnd"/>
      <w:r>
        <w:t xml:space="preserve">). </w:t>
      </w:r>
    </w:p>
    <w:p w14:paraId="43E2DE65" w14:textId="6874656E" w:rsidR="001D3F5D" w:rsidRDefault="001D3F5D" w:rsidP="001D3F5D">
      <w:proofErr w:type="spellStart"/>
      <w:r>
        <w:t>Voriconazole</w:t>
      </w:r>
      <w:proofErr w:type="spellEnd"/>
      <w:r>
        <w:t xml:space="preserve"> also has an </w:t>
      </w:r>
      <w:r w:rsidR="00061080">
        <w:t>A</w:t>
      </w:r>
      <w:r>
        <w:t xml:space="preserve">uthority </w:t>
      </w:r>
      <w:proofErr w:type="gramStart"/>
      <w:r w:rsidR="00061080">
        <w:t>R</w:t>
      </w:r>
      <w:r>
        <w:t>equired</w:t>
      </w:r>
      <w:proofErr w:type="gramEnd"/>
      <w:r>
        <w:t xml:space="preserve"> listing for prophylaxis against invasive fungal infections for the following high risk patient groups:</w:t>
      </w:r>
    </w:p>
    <w:p w14:paraId="717A96B0" w14:textId="77777777" w:rsidR="001D3F5D" w:rsidRDefault="001D3F5D" w:rsidP="001D3F5D">
      <w:pPr>
        <w:pStyle w:val="ListParagraph"/>
        <w:numPr>
          <w:ilvl w:val="0"/>
          <w:numId w:val="14"/>
        </w:numPr>
      </w:pPr>
      <w:r>
        <w:t>Patients receiving chemotherapy for AML or MDS where neutropenia</w:t>
      </w:r>
      <w:r w:rsidRPr="000E0F2F">
        <w:t xml:space="preserve"> absolute neutr</w:t>
      </w:r>
      <w:r>
        <w:t>ophil count less than 500 cells/cm</w:t>
      </w:r>
      <w:r w:rsidRPr="000E0F2F">
        <w:rPr>
          <w:vertAlign w:val="superscript"/>
        </w:rPr>
        <w:t>3</w:t>
      </w:r>
      <w:r>
        <w:t>) is expected for at least 10 days,</w:t>
      </w:r>
    </w:p>
    <w:p w14:paraId="06F3E184" w14:textId="77777777" w:rsidR="001D3F5D" w:rsidRDefault="001D3F5D" w:rsidP="001D3F5D">
      <w:pPr>
        <w:pStyle w:val="ListParagraph"/>
        <w:numPr>
          <w:ilvl w:val="0"/>
          <w:numId w:val="14"/>
        </w:numPr>
      </w:pPr>
      <w:r>
        <w:t xml:space="preserve">Patients with acute graft versus host disease (GVHD) grade II, III or IV, or extensive chronic GVHD, and receiving intensive immunosuppressive therapy after allogeneic haematopoietic stem cell transplant, and, </w:t>
      </w:r>
    </w:p>
    <w:p w14:paraId="551F36EE" w14:textId="056189E5" w:rsidR="001D3F5D" w:rsidRDefault="001D3F5D" w:rsidP="001D3F5D">
      <w:pPr>
        <w:pStyle w:val="ListParagraph"/>
        <w:numPr>
          <w:ilvl w:val="0"/>
          <w:numId w:val="14"/>
        </w:numPr>
      </w:pPr>
      <w:r>
        <w:t xml:space="preserve">Patients undergoing allogeneic haematopoietic stem cell transplant using either bone marrow from an unrelated donor or umbilical cord blood (related or unrelated), and, are considered to be at high risk of developing an invasive fungal infection during the </w:t>
      </w:r>
      <w:proofErr w:type="spellStart"/>
      <w:r>
        <w:t>neutropenic</w:t>
      </w:r>
      <w:proofErr w:type="spellEnd"/>
      <w:r>
        <w:t xml:space="preserve"> phase prior to engraftment</w:t>
      </w:r>
      <w:r w:rsidR="004610D2">
        <w:t>.</w:t>
      </w:r>
    </w:p>
    <w:p w14:paraId="298B2839" w14:textId="1FAA3283" w:rsidR="001D3F5D" w:rsidRDefault="001D3F5D" w:rsidP="001D3F5D">
      <w:proofErr w:type="spellStart"/>
      <w:r>
        <w:rPr>
          <w:b/>
        </w:rPr>
        <w:lastRenderedPageBreak/>
        <w:t>Terbinafine</w:t>
      </w:r>
      <w:proofErr w:type="spellEnd"/>
      <w:r>
        <w:rPr>
          <w:b/>
        </w:rPr>
        <w:t xml:space="preserve"> </w:t>
      </w:r>
      <w:r>
        <w:t xml:space="preserve">has </w:t>
      </w:r>
      <w:r w:rsidR="00857DF9">
        <w:t>A</w:t>
      </w:r>
      <w:r>
        <w:t xml:space="preserve">uthority </w:t>
      </w:r>
      <w:proofErr w:type="gramStart"/>
      <w:r w:rsidR="00857DF9">
        <w:t>R</w:t>
      </w:r>
      <w:r>
        <w:t>equired</w:t>
      </w:r>
      <w:proofErr w:type="gramEnd"/>
      <w:r>
        <w:t xml:space="preserve"> listings for the treatment of </w:t>
      </w:r>
      <w:proofErr w:type="spellStart"/>
      <w:r>
        <w:t>dermatophyte</w:t>
      </w:r>
      <w:proofErr w:type="spellEnd"/>
      <w:r>
        <w:t xml:space="preserve"> infection in the following groups:</w:t>
      </w:r>
    </w:p>
    <w:p w14:paraId="5A92CB6D" w14:textId="77777777" w:rsidR="001D3F5D" w:rsidRDefault="001D3F5D" w:rsidP="001D3F5D">
      <w:pPr>
        <w:pStyle w:val="ListParagraph"/>
        <w:numPr>
          <w:ilvl w:val="0"/>
          <w:numId w:val="15"/>
        </w:numPr>
      </w:pPr>
      <w:r w:rsidRPr="00927940">
        <w:t>Aboriginal or a Torres Strait Islander person where topical treatment has failed</w:t>
      </w:r>
      <w:r>
        <w:t xml:space="preserve">;  </w:t>
      </w:r>
    </w:p>
    <w:p w14:paraId="4C9301B1" w14:textId="77777777" w:rsidR="001D3F5D" w:rsidRDefault="001D3F5D" w:rsidP="001D3F5D">
      <w:pPr>
        <w:pStyle w:val="ListParagraph"/>
        <w:numPr>
          <w:ilvl w:val="0"/>
          <w:numId w:val="15"/>
        </w:numPr>
      </w:pPr>
      <w:r>
        <w:t xml:space="preserve">Patient aged up to 18 years, inclusive where topical treatment and </w:t>
      </w:r>
      <w:proofErr w:type="spellStart"/>
      <w:r>
        <w:t>griseofulvin</w:t>
      </w:r>
      <w:proofErr w:type="spellEnd"/>
      <w:r>
        <w:t xml:space="preserve"> have failed; and </w:t>
      </w:r>
    </w:p>
    <w:p w14:paraId="3EB4CF1F" w14:textId="77777777" w:rsidR="001D3F5D" w:rsidRDefault="001D3F5D" w:rsidP="001D3F5D">
      <w:pPr>
        <w:pStyle w:val="ListParagraph"/>
        <w:numPr>
          <w:ilvl w:val="0"/>
          <w:numId w:val="15"/>
        </w:numPr>
      </w:pPr>
      <w:r w:rsidRPr="000100E5">
        <w:t xml:space="preserve">Proximal or extensive (greater than 80% nail involvement) </w:t>
      </w:r>
      <w:proofErr w:type="spellStart"/>
      <w:r w:rsidRPr="000100E5">
        <w:t>onychomycosis</w:t>
      </w:r>
      <w:proofErr w:type="spellEnd"/>
      <w:r w:rsidRPr="000100E5">
        <w:t xml:space="preserve"> due to </w:t>
      </w:r>
      <w:proofErr w:type="spellStart"/>
      <w:r w:rsidRPr="000100E5">
        <w:t>dermatophyte</w:t>
      </w:r>
      <w:proofErr w:type="spellEnd"/>
      <w:r w:rsidRPr="000100E5">
        <w:t xml:space="preserve"> infection where topical treatment has failed</w:t>
      </w:r>
      <w:r>
        <w:t xml:space="preserve">. </w:t>
      </w:r>
    </w:p>
    <w:p w14:paraId="397AC0B6" w14:textId="776F899F" w:rsidR="001D3F5D" w:rsidRPr="00927940" w:rsidRDefault="001D3F5D" w:rsidP="001D3F5D">
      <w:proofErr w:type="spellStart"/>
      <w:r>
        <w:rPr>
          <w:b/>
        </w:rPr>
        <w:t>Griseofulvin</w:t>
      </w:r>
      <w:proofErr w:type="spellEnd"/>
      <w:r>
        <w:rPr>
          <w:b/>
        </w:rPr>
        <w:t xml:space="preserve"> </w:t>
      </w:r>
      <w:r>
        <w:t xml:space="preserve">has an unrestricted listing. </w:t>
      </w:r>
    </w:p>
    <w:p w14:paraId="22433632" w14:textId="6ACF6794" w:rsidR="006775F1" w:rsidRPr="006775F1" w:rsidRDefault="006775F1" w:rsidP="00A35800">
      <w:r w:rsidRPr="006775F1">
        <w:t xml:space="preserve">For </w:t>
      </w:r>
      <w:r w:rsidR="00835337">
        <w:t xml:space="preserve">details of the current PBS listing refer to the </w:t>
      </w:r>
      <w:hyperlink r:id="rId12" w:history="1">
        <w:r w:rsidR="00835337" w:rsidRPr="00645D51">
          <w:rPr>
            <w:rStyle w:val="Hyperlink"/>
          </w:rPr>
          <w:t>PBS website</w:t>
        </w:r>
      </w:hyperlink>
      <w:r w:rsidR="00835337">
        <w:rPr>
          <w:rStyle w:val="Hyperlink"/>
        </w:rPr>
        <w:t>.</w:t>
      </w:r>
    </w:p>
    <w:p w14:paraId="509ADFEB" w14:textId="5D8DB94B" w:rsidR="009C35F2" w:rsidRPr="00675BB1" w:rsidRDefault="009C35F2" w:rsidP="00CF5E22">
      <w:pPr>
        <w:pStyle w:val="Heading3"/>
      </w:pPr>
      <w:r w:rsidRPr="00675BB1">
        <w:t>Date of listing on PBS</w:t>
      </w:r>
    </w:p>
    <w:p w14:paraId="39EF75ED" w14:textId="210A5F9B" w:rsidR="00675BB1" w:rsidRPr="00675BB1" w:rsidRDefault="00675BB1" w:rsidP="00CF5E22">
      <w:pPr>
        <w:pStyle w:val="Heading3"/>
      </w:pPr>
      <w:r w:rsidRPr="00675BB1">
        <w:t>Changes to listing</w:t>
      </w:r>
    </w:p>
    <w:p w14:paraId="247E28E0" w14:textId="77777777" w:rsidR="001D3F5D" w:rsidRPr="00701F1C" w:rsidRDefault="001D3F5D" w:rsidP="001D3F5D">
      <w:r>
        <w:t xml:space="preserve">On 1 January 2011, fluconazole, </w:t>
      </w:r>
      <w:proofErr w:type="spellStart"/>
      <w:r>
        <w:t>itraconazole</w:t>
      </w:r>
      <w:proofErr w:type="spellEnd"/>
      <w:r>
        <w:t xml:space="preserve"> and ketoconazole became streamlined authority listings. </w:t>
      </w:r>
    </w:p>
    <w:p w14:paraId="16F2E20F" w14:textId="77777777" w:rsidR="001D3F5D" w:rsidRDefault="001D3F5D" w:rsidP="001D3F5D">
      <w:r>
        <w:t xml:space="preserve">Ketoconazole was delisted from the PBS and removed from the Australian market on 1 December 2013. </w:t>
      </w:r>
    </w:p>
    <w:p w14:paraId="7ED71444" w14:textId="77777777" w:rsidR="001D3F5D" w:rsidRDefault="001D3F5D" w:rsidP="001D3F5D">
      <w:proofErr w:type="spellStart"/>
      <w:r>
        <w:t>Voriconazole</w:t>
      </w:r>
      <w:proofErr w:type="spellEnd"/>
      <w:r>
        <w:t xml:space="preserve"> was listed for prophylaxis against invasive fungal infections on 1 December 2014. It was listed for the high risk groups eligible for </w:t>
      </w:r>
      <w:proofErr w:type="spellStart"/>
      <w:r>
        <w:t>posaconazole</w:t>
      </w:r>
      <w:proofErr w:type="spellEnd"/>
      <w:r>
        <w:t xml:space="preserve"> under its prophylaxis listing as well as certain</w:t>
      </w:r>
      <w:r w:rsidRPr="00006B8D">
        <w:t xml:space="preserve"> high risk patients undergoing </w:t>
      </w:r>
      <w:r>
        <w:t xml:space="preserve">haematopoietic </w:t>
      </w:r>
      <w:proofErr w:type="spellStart"/>
      <w:r w:rsidRPr="00006B8D">
        <w:t>allogenic</w:t>
      </w:r>
      <w:proofErr w:type="spellEnd"/>
      <w:r w:rsidRPr="00006B8D">
        <w:t xml:space="preserve"> stem cell transplant</w:t>
      </w:r>
      <w:r>
        <w:t xml:space="preserve">ation </w:t>
      </w:r>
      <w:r w:rsidRPr="004850AE">
        <w:t>(</w:t>
      </w:r>
      <w:proofErr w:type="spellStart"/>
      <w:r w:rsidRPr="004850AE">
        <w:t>AlloHSCT</w:t>
      </w:r>
      <w:proofErr w:type="spellEnd"/>
      <w:r w:rsidRPr="004850AE">
        <w:t>)</w:t>
      </w:r>
      <w:r>
        <w:t xml:space="preserve">. </w:t>
      </w:r>
    </w:p>
    <w:p w14:paraId="1C316519" w14:textId="77777777" w:rsidR="001D3F5D" w:rsidRDefault="001D3F5D" w:rsidP="001D3F5D">
      <w:proofErr w:type="spellStart"/>
      <w:r>
        <w:t>Posaconazole</w:t>
      </w:r>
      <w:proofErr w:type="spellEnd"/>
      <w:r>
        <w:t xml:space="preserve"> tablets were listed on 1 September 2015 for the same restrictions as the oral liquid.  </w:t>
      </w:r>
    </w:p>
    <w:p w14:paraId="2E00353E" w14:textId="381962B9" w:rsidR="001D3F5D" w:rsidRPr="00B137C3" w:rsidRDefault="001D3F5D" w:rsidP="001D3F5D">
      <w:r>
        <w:t xml:space="preserve">In April 2016, the listings for fluconazole and </w:t>
      </w:r>
      <w:proofErr w:type="spellStart"/>
      <w:r>
        <w:t>itraconazole</w:t>
      </w:r>
      <w:proofErr w:type="spellEnd"/>
      <w:r>
        <w:t xml:space="preserve"> were changed from streamlined authority listings to </w:t>
      </w:r>
      <w:r w:rsidR="00B719E8">
        <w:t>Restricted Benefit</w:t>
      </w:r>
      <w:r>
        <w:t xml:space="preserve"> listings. The wording of the restrictions was not changed.  The fluconazole suspension listing was changed from a telephone Authority listing to a </w:t>
      </w:r>
      <w:r w:rsidR="00B719E8">
        <w:t>Restricted Benefit</w:t>
      </w:r>
      <w:r>
        <w:t xml:space="preserve"> listing. </w:t>
      </w:r>
    </w:p>
    <w:p w14:paraId="64C94A85" w14:textId="11A11212" w:rsidR="00BF544D" w:rsidRPr="002F61CA" w:rsidRDefault="00BF544D" w:rsidP="00BF544D">
      <w:r w:rsidRPr="002F61CA">
        <w:t xml:space="preserve">Current PBS listing details are available from </w:t>
      </w:r>
      <w:r>
        <w:t xml:space="preserve">the </w:t>
      </w:r>
      <w:hyperlink r:id="rId13" w:history="1">
        <w:r w:rsidRPr="00645D51">
          <w:rPr>
            <w:rStyle w:val="Hyperlink"/>
          </w:rPr>
          <w:t>PBS website</w:t>
        </w:r>
      </w:hyperlink>
      <w: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759A9AE4" w14:textId="77777777" w:rsidR="001D3F5D" w:rsidRPr="00916A66" w:rsidRDefault="001D3F5D" w:rsidP="001D3F5D">
      <w:pPr>
        <w:pStyle w:val="Heading3"/>
      </w:pPr>
      <w:proofErr w:type="spellStart"/>
      <w:r>
        <w:t>Voriconazole</w:t>
      </w:r>
      <w:proofErr w:type="spellEnd"/>
      <w:r>
        <w:t xml:space="preserve"> for prophylaxis</w:t>
      </w:r>
    </w:p>
    <w:p w14:paraId="473517A3" w14:textId="77777777" w:rsidR="001D3F5D" w:rsidRDefault="001D3F5D" w:rsidP="001D3F5D">
      <w:r>
        <w:t xml:space="preserve">At its March 2014 meeting, the PBAC recommended listing </w:t>
      </w:r>
      <w:proofErr w:type="spellStart"/>
      <w:r>
        <w:t>voriconazole</w:t>
      </w:r>
      <w:proofErr w:type="spellEnd"/>
      <w:r>
        <w:t xml:space="preserve"> for prophylaxis against invasive fungal infection in high risk patients groups with AML, MDS, GVHD</w:t>
      </w:r>
      <w:r w:rsidRPr="002961FF">
        <w:t xml:space="preserve"> and high risk </w:t>
      </w:r>
      <w:proofErr w:type="spellStart"/>
      <w:r>
        <w:t>AlloHSCT</w:t>
      </w:r>
      <w:proofErr w:type="spellEnd"/>
      <w:r w:rsidRPr="002961FF">
        <w:t xml:space="preserve"> recipients</w:t>
      </w:r>
      <w:r>
        <w:t xml:space="preserve">.  The recommendation was made on a cost </w:t>
      </w:r>
      <w:r w:rsidRPr="002961FF">
        <w:t xml:space="preserve">minimisation basis against a weighted mixed comparator of </w:t>
      </w:r>
      <w:proofErr w:type="spellStart"/>
      <w:r w:rsidRPr="002961FF">
        <w:t>posaconazole</w:t>
      </w:r>
      <w:proofErr w:type="spellEnd"/>
      <w:r w:rsidRPr="002961FF">
        <w:t xml:space="preserve">, fluconazole and </w:t>
      </w:r>
      <w:proofErr w:type="spellStart"/>
      <w:r w:rsidRPr="002961FF">
        <w:t>itraconazole</w:t>
      </w:r>
      <w:proofErr w:type="spellEnd"/>
      <w:r w:rsidRPr="002961FF">
        <w:t xml:space="preserve"> in the GVHD and </w:t>
      </w:r>
      <w:proofErr w:type="spellStart"/>
      <w:r w:rsidRPr="002961FF">
        <w:t>AlloHSCT</w:t>
      </w:r>
      <w:proofErr w:type="spellEnd"/>
      <w:r w:rsidRPr="002961FF">
        <w:t xml:space="preserve"> high risk patient populations.</w:t>
      </w:r>
      <w:r>
        <w:t xml:space="preserve"> </w:t>
      </w:r>
      <w:r w:rsidRPr="002961FF">
        <w:t xml:space="preserve">In the AML/MDS high risk patient </w:t>
      </w:r>
      <w:r w:rsidRPr="002961FF">
        <w:lastRenderedPageBreak/>
        <w:t xml:space="preserve">population, the PBAC recommended listing </w:t>
      </w:r>
      <w:proofErr w:type="spellStart"/>
      <w:r w:rsidRPr="002961FF">
        <w:t>voriconazole</w:t>
      </w:r>
      <w:proofErr w:type="spellEnd"/>
      <w:r w:rsidRPr="002961FF">
        <w:t xml:space="preserve"> on a cost-minimisation basis compared to only fluconazole and </w:t>
      </w:r>
      <w:proofErr w:type="spellStart"/>
      <w:r w:rsidRPr="002961FF">
        <w:t>itraconazole</w:t>
      </w:r>
      <w:proofErr w:type="spellEnd"/>
      <w:r w:rsidRPr="002961FF">
        <w:t>.</w:t>
      </w:r>
    </w:p>
    <w:p w14:paraId="5AD896F7" w14:textId="77777777" w:rsidR="001D3F5D" w:rsidRDefault="001D3F5D" w:rsidP="001D3F5D">
      <w:r>
        <w:t xml:space="preserve">The PBAC noted </w:t>
      </w:r>
      <w:r w:rsidRPr="007F6D71">
        <w:t xml:space="preserve">that the market share of </w:t>
      </w:r>
      <w:proofErr w:type="spellStart"/>
      <w:r w:rsidRPr="007F6D71">
        <w:t>voriconazole</w:t>
      </w:r>
      <w:proofErr w:type="spellEnd"/>
      <w:r w:rsidRPr="007F6D71">
        <w:t xml:space="preserve"> </w:t>
      </w:r>
      <w:r>
        <w:t xml:space="preserve">for the existing population (AML, MDS and GVHD) </w:t>
      </w:r>
      <w:r w:rsidRPr="007F6D71">
        <w:t xml:space="preserve">could possibly be greater than the </w:t>
      </w:r>
      <w:r w:rsidRPr="00E42263">
        <w:t>30% proposed</w:t>
      </w:r>
      <w:r w:rsidRPr="007F6D71">
        <w:t xml:space="preserve"> in the submission as </w:t>
      </w:r>
      <w:proofErr w:type="spellStart"/>
      <w:r w:rsidRPr="007F6D71">
        <w:t>voriconazole</w:t>
      </w:r>
      <w:proofErr w:type="spellEnd"/>
      <w:r w:rsidRPr="007F6D71">
        <w:t xml:space="preserve"> does not require administration with a fatty </w:t>
      </w:r>
      <w:proofErr w:type="gramStart"/>
      <w:r w:rsidRPr="007F6D71">
        <w:t>meal,</w:t>
      </w:r>
      <w:proofErr w:type="gramEnd"/>
      <w:r w:rsidRPr="007F6D71">
        <w:t xml:space="preserve"> can be used in younger children and may be an easier formulation to administer.</w:t>
      </w:r>
      <w:r>
        <w:t xml:space="preserve"> However, this would take market from </w:t>
      </w:r>
      <w:proofErr w:type="spellStart"/>
      <w:r>
        <w:t>posaconazole</w:t>
      </w:r>
      <w:proofErr w:type="spellEnd"/>
      <w:r>
        <w:t xml:space="preserve">. The PBAC considered that the number of true high risk </w:t>
      </w:r>
      <w:proofErr w:type="spellStart"/>
      <w:r>
        <w:t>AlloHSCT</w:t>
      </w:r>
      <w:proofErr w:type="spellEnd"/>
      <w:r>
        <w:t xml:space="preserve"> patients may be overestimated. </w:t>
      </w:r>
      <w:r w:rsidRPr="007F6D71">
        <w:t xml:space="preserve">It is </w:t>
      </w:r>
      <w:r>
        <w:t xml:space="preserve">also </w:t>
      </w:r>
      <w:r w:rsidRPr="007F6D71">
        <w:t xml:space="preserve">possible that a proportion of the medium risk </w:t>
      </w:r>
      <w:proofErr w:type="spellStart"/>
      <w:r w:rsidRPr="007F6D71">
        <w:t>AlloHSCT</w:t>
      </w:r>
      <w:proofErr w:type="spellEnd"/>
      <w:r w:rsidRPr="007F6D71">
        <w:t xml:space="preserve"> population will access treatment and this is use beyond the restriction.</w:t>
      </w:r>
      <w:r>
        <w:t xml:space="preserve"> </w:t>
      </w:r>
      <w:r w:rsidRPr="007F6D71">
        <w:t xml:space="preserve">There is scope for growth of the overall market of eligible patients as </w:t>
      </w:r>
      <w:proofErr w:type="spellStart"/>
      <w:r w:rsidRPr="007F6D71">
        <w:t>posaconazole</w:t>
      </w:r>
      <w:proofErr w:type="spellEnd"/>
      <w:r w:rsidRPr="007F6D71">
        <w:t xml:space="preserve"> may be more difficult to use and there are advantages for </w:t>
      </w:r>
      <w:proofErr w:type="spellStart"/>
      <w:r w:rsidRPr="007F6D71">
        <w:t>voriconazole</w:t>
      </w:r>
      <w:proofErr w:type="spellEnd"/>
      <w:r w:rsidRPr="007F6D71">
        <w:t>. This is likely to be small and may represent cost shifting from hospital budgets to Commonwealth budgets.</w:t>
      </w:r>
      <w:r>
        <w:t xml:space="preserve"> The PBAC </w:t>
      </w:r>
      <w:r w:rsidRPr="00FC6AE7">
        <w:t>recommended a risk sharing agreement between the sponsor and Commonwealth be entered into to limit utilisation in low risk patient populations and for indications other than prophylaxis.</w:t>
      </w:r>
    </w:p>
    <w:p w14:paraId="422457E6" w14:textId="77777777" w:rsidR="001D3F5D" w:rsidRPr="004235D0" w:rsidRDefault="001D3F5D" w:rsidP="001D3F5D">
      <w:r>
        <w:t xml:space="preserve">For further details refer to </w:t>
      </w:r>
      <w:r w:rsidRPr="00F65F0D">
        <w:t xml:space="preserve">the </w:t>
      </w:r>
      <w:hyperlink r:id="rId14" w:history="1">
        <w:r w:rsidRPr="00FC6AE7">
          <w:rPr>
            <w:rStyle w:val="Hyperlink"/>
          </w:rPr>
          <w:t>Public Summary Document</w:t>
        </w:r>
      </w:hyperlink>
      <w:r>
        <w:t xml:space="preserve"> </w:t>
      </w:r>
      <w:r w:rsidRPr="00F65F0D">
        <w:t xml:space="preserve"> from the </w:t>
      </w:r>
      <w:r>
        <w:t>March 2014 PBAC meeting.</w:t>
      </w:r>
    </w:p>
    <w:p w14:paraId="074CE80D" w14:textId="77777777" w:rsidR="001D3F5D" w:rsidRDefault="001D3F5D" w:rsidP="001D3F5D">
      <w:pPr>
        <w:pStyle w:val="Heading3"/>
      </w:pPr>
      <w:proofErr w:type="spellStart"/>
      <w:r>
        <w:t>Posaconazole</w:t>
      </w:r>
      <w:proofErr w:type="spellEnd"/>
      <w:r>
        <w:t xml:space="preserve"> tablets</w:t>
      </w:r>
    </w:p>
    <w:p w14:paraId="2C6EF7DE" w14:textId="77777777" w:rsidR="001D3F5D" w:rsidRDefault="001D3F5D" w:rsidP="001D3F5D">
      <w:r>
        <w:t xml:space="preserve">At its March 2015 meeting, the PBAC recommended the listing of </w:t>
      </w:r>
      <w:proofErr w:type="spellStart"/>
      <w:r>
        <w:t>posaconazole</w:t>
      </w:r>
      <w:proofErr w:type="spellEnd"/>
      <w:r>
        <w:t xml:space="preserve"> tablets for the same treatment and prophylaxis restrictions as the oral liquid. The PBAC noted that there is no conclusive data to support a clinical decision to discontinue treatment or discontinue prophylaxis in chronic graft-versus-host disease. The PBAC considered that there is a risk that patients will persist on treatment in the absence of clear additional clinical benefit.</w:t>
      </w:r>
    </w:p>
    <w:p w14:paraId="3827BB84" w14:textId="7E7B4298" w:rsidR="001D3F5D" w:rsidRPr="004235D0" w:rsidRDefault="001D3F5D" w:rsidP="001D3F5D">
      <w:pPr>
        <w:rPr>
          <w:i/>
        </w:rPr>
      </w:pPr>
      <w:r>
        <w:t xml:space="preserve">The PBAC considered that utilisation of </w:t>
      </w:r>
      <w:proofErr w:type="spellStart"/>
      <w:r>
        <w:t>posaconazole</w:t>
      </w:r>
      <w:proofErr w:type="spellEnd"/>
      <w:r>
        <w:t xml:space="preserve"> tablets should be reviewed by DUSC after listing, noting that usage is likely to increase due to ease of use of tablets over liquid. The Committee considered that it is uncertain whether any additional patient benefit from such increased use will accrue. In the context of a DUSC analysis, the PBAC considered it appropriate to consult experts responsible for the current antifungal treatment guidelines to ascertain the most appropriate duration of therapy for both prophylaxis and treatment in order to form a basis for accurately analysing usage. </w:t>
      </w:r>
    </w:p>
    <w:p w14:paraId="675195CF" w14:textId="77777777" w:rsidR="001D3F5D" w:rsidRPr="00916A66" w:rsidRDefault="001D3F5D" w:rsidP="001D3F5D">
      <w:r>
        <w:t xml:space="preserve">For further details refer to </w:t>
      </w:r>
      <w:r w:rsidRPr="00F65F0D">
        <w:t xml:space="preserve">the </w:t>
      </w:r>
      <w:hyperlink r:id="rId15" w:history="1">
        <w:r w:rsidRPr="00FC6AE7">
          <w:rPr>
            <w:rStyle w:val="Hyperlink"/>
          </w:rPr>
          <w:t>Public Summary Document</w:t>
        </w:r>
      </w:hyperlink>
      <w:r>
        <w:t xml:space="preserve"> </w:t>
      </w:r>
      <w:r w:rsidRPr="00F65F0D">
        <w:t xml:space="preserve"> from the </w:t>
      </w:r>
      <w:r>
        <w:t>March 2015 PBAC meeting.</w:t>
      </w:r>
    </w:p>
    <w:p w14:paraId="3FED24C1" w14:textId="77777777" w:rsidR="001D3F5D" w:rsidRDefault="001D3F5D" w:rsidP="001D3F5D">
      <w:pPr>
        <w:pStyle w:val="Heading3"/>
      </w:pPr>
      <w:r>
        <w:t>Post</w:t>
      </w:r>
      <w:r>
        <w:noBreakHyphen/>
        <w:t xml:space="preserve">market review of authority required PBS listings </w:t>
      </w:r>
    </w:p>
    <w:p w14:paraId="07A7D1F0" w14:textId="77777777" w:rsidR="001D3F5D" w:rsidRPr="00F65F0D" w:rsidRDefault="001D3F5D" w:rsidP="001D3F5D">
      <w:r>
        <w:t xml:space="preserve">Systemic antifungal medicines were considered by the PBAC at its August 2015 meeting. The PBAC considered fluconazole and </w:t>
      </w:r>
      <w:proofErr w:type="spellStart"/>
      <w:r>
        <w:t>itraconazole</w:t>
      </w:r>
      <w:proofErr w:type="spellEnd"/>
      <w:r>
        <w:t xml:space="preserve"> to no longer meet the criteria for an Authority </w:t>
      </w:r>
      <w:proofErr w:type="gramStart"/>
      <w:r>
        <w:t>Required</w:t>
      </w:r>
      <w:proofErr w:type="gramEnd"/>
      <w:r>
        <w:t xml:space="preserve"> listing and recommended they be changed to Restricted Benefit listings. The PBAC considered </w:t>
      </w:r>
      <w:proofErr w:type="spellStart"/>
      <w:r>
        <w:t>voriconazole</w:t>
      </w:r>
      <w:proofErr w:type="spellEnd"/>
      <w:r>
        <w:t xml:space="preserve">, </w:t>
      </w:r>
      <w:proofErr w:type="spellStart"/>
      <w:r>
        <w:t>posaconazole</w:t>
      </w:r>
      <w:proofErr w:type="spellEnd"/>
      <w:r>
        <w:t xml:space="preserve"> and </w:t>
      </w:r>
      <w:proofErr w:type="spellStart"/>
      <w:r>
        <w:t>terbinafine</w:t>
      </w:r>
      <w:proofErr w:type="spellEnd"/>
      <w:r>
        <w:t xml:space="preserve"> remain telephone authority medicines because there is a risk of use in </w:t>
      </w:r>
      <w:r w:rsidRPr="004235D0">
        <w:t>populations in which cost-effectiveness had not been assessed.</w:t>
      </w:r>
    </w:p>
    <w:p w14:paraId="72C2CA24" w14:textId="4A28B89A" w:rsidR="000F2F51" w:rsidRDefault="00ED633B" w:rsidP="00CF5E22">
      <w:pPr>
        <w:pStyle w:val="Heading2"/>
      </w:pPr>
      <w:r>
        <w:lastRenderedPageBreak/>
        <w:t>A</w:t>
      </w:r>
      <w:r w:rsidR="000F2F51">
        <w:t xml:space="preserve">pproach </w:t>
      </w:r>
      <w:r>
        <w:t xml:space="preserve">taken to </w:t>
      </w:r>
      <w:r w:rsidR="000F2F51">
        <w:t>estimat</w:t>
      </w:r>
      <w:r>
        <w:t>e</w:t>
      </w:r>
      <w:r w:rsidR="000F2F51">
        <w:t xml:space="preserve"> utilisation</w:t>
      </w:r>
    </w:p>
    <w:p w14:paraId="2AF24347" w14:textId="77777777" w:rsidR="001D3F5D" w:rsidRPr="00E42263" w:rsidRDefault="001D3F5D" w:rsidP="001D3F5D">
      <w:pPr>
        <w:rPr>
          <w:b/>
        </w:rPr>
      </w:pPr>
      <w:proofErr w:type="spellStart"/>
      <w:r w:rsidRPr="00E42263">
        <w:rPr>
          <w:b/>
        </w:rPr>
        <w:t>Voriconazole</w:t>
      </w:r>
      <w:proofErr w:type="spellEnd"/>
      <w:r w:rsidRPr="00E42263">
        <w:rPr>
          <w:b/>
        </w:rPr>
        <w:t xml:space="preserve"> for prophylaxis</w:t>
      </w:r>
    </w:p>
    <w:p w14:paraId="2B0BC7E5" w14:textId="77777777" w:rsidR="001D3F5D" w:rsidRPr="00E42263" w:rsidRDefault="001D3F5D" w:rsidP="001D3F5D">
      <w:r w:rsidRPr="00E42263">
        <w:t xml:space="preserve">The submission used the following steps to estimate utilisation in the high risk </w:t>
      </w:r>
      <w:proofErr w:type="spellStart"/>
      <w:r w:rsidRPr="00E42263">
        <w:t>allogenic</w:t>
      </w:r>
      <w:proofErr w:type="spellEnd"/>
      <w:r w:rsidRPr="00E42263">
        <w:t xml:space="preserve"> HSCT population:</w:t>
      </w:r>
    </w:p>
    <w:p w14:paraId="7E007281" w14:textId="77777777" w:rsidR="001D3F5D" w:rsidRPr="00E42263" w:rsidRDefault="001D3F5D" w:rsidP="001D3F5D">
      <w:pPr>
        <w:pStyle w:val="ListParagraph"/>
        <w:numPr>
          <w:ilvl w:val="0"/>
          <w:numId w:val="16"/>
        </w:numPr>
      </w:pPr>
      <w:r w:rsidRPr="00E42263">
        <w:t xml:space="preserve">The number of </w:t>
      </w:r>
      <w:proofErr w:type="spellStart"/>
      <w:r w:rsidRPr="00E42263">
        <w:t>allogenic</w:t>
      </w:r>
      <w:proofErr w:type="spellEnd"/>
      <w:r w:rsidRPr="00E42263">
        <w:t xml:space="preserve"> HSCTs performed in Australia in 2009 from the Australian Bone Marrow Transplant Registry Report. </w:t>
      </w:r>
    </w:p>
    <w:p w14:paraId="7235C8A7" w14:textId="77777777" w:rsidR="001D3F5D" w:rsidRPr="00E42263" w:rsidRDefault="001D3F5D" w:rsidP="001D3F5D">
      <w:pPr>
        <w:pStyle w:val="ListParagraph"/>
        <w:numPr>
          <w:ilvl w:val="0"/>
          <w:numId w:val="16"/>
        </w:numPr>
      </w:pPr>
      <w:r w:rsidRPr="00E42263">
        <w:t>It was assumed that the number of transplants would grow at the same rate as the Australian population using Australian Bureau of Statistics data. This was 1.5% per year from 2009 to 2012</w:t>
      </w:r>
      <w:r w:rsidRPr="00E42263">
        <w:noBreakHyphen/>
        <w:t xml:space="preserve">13 and 1.4% per year thereafter. </w:t>
      </w:r>
    </w:p>
    <w:p w14:paraId="145FB05F" w14:textId="77777777" w:rsidR="001D3F5D" w:rsidRPr="00E42263" w:rsidRDefault="001D3F5D" w:rsidP="001D3F5D">
      <w:pPr>
        <w:pStyle w:val="ListParagraph"/>
        <w:numPr>
          <w:ilvl w:val="0"/>
          <w:numId w:val="16"/>
        </w:numPr>
      </w:pPr>
      <w:r w:rsidRPr="00E42263">
        <w:t xml:space="preserve">50% of </w:t>
      </w:r>
      <w:proofErr w:type="spellStart"/>
      <w:r w:rsidRPr="00E42263">
        <w:t>allogenic</w:t>
      </w:r>
      <w:proofErr w:type="spellEnd"/>
      <w:r w:rsidRPr="00E42263">
        <w:t xml:space="preserve"> HSCTs use an unrelated donor. It was assumed all patients receive antifungal prophylaxis. </w:t>
      </w:r>
    </w:p>
    <w:p w14:paraId="35FDF02C" w14:textId="77777777" w:rsidR="001D3F5D" w:rsidRPr="00E42263" w:rsidRDefault="001D3F5D" w:rsidP="001D3F5D">
      <w:pPr>
        <w:pStyle w:val="ListParagraph"/>
        <w:numPr>
          <w:ilvl w:val="0"/>
          <w:numId w:val="16"/>
        </w:numPr>
      </w:pPr>
      <w:r w:rsidRPr="00E42263">
        <w:t xml:space="preserve">Using a clinician survey it was estimated 39% of patients use </w:t>
      </w:r>
      <w:proofErr w:type="spellStart"/>
      <w:r w:rsidRPr="00E42263">
        <w:t>posaconazole</w:t>
      </w:r>
      <w:proofErr w:type="spellEnd"/>
      <w:r w:rsidRPr="00E42263">
        <w:t xml:space="preserve">, 22% use </w:t>
      </w:r>
      <w:proofErr w:type="spellStart"/>
      <w:r w:rsidRPr="00E42263">
        <w:t>voriconazole</w:t>
      </w:r>
      <w:proofErr w:type="spellEnd"/>
      <w:r w:rsidRPr="00E42263">
        <w:t xml:space="preserve"> and 39% use other antifungals such as fluconazole and </w:t>
      </w:r>
      <w:proofErr w:type="spellStart"/>
      <w:r w:rsidRPr="00E42263">
        <w:t>itraconazole</w:t>
      </w:r>
      <w:proofErr w:type="spellEnd"/>
      <w:r w:rsidRPr="00E42263">
        <w:t xml:space="preserve">. </w:t>
      </w:r>
    </w:p>
    <w:p w14:paraId="69F3A2A5" w14:textId="77777777" w:rsidR="001D3F5D" w:rsidRPr="00E42263" w:rsidRDefault="001D3F5D" w:rsidP="001D3F5D">
      <w:pPr>
        <w:pStyle w:val="ListParagraph"/>
        <w:numPr>
          <w:ilvl w:val="0"/>
          <w:numId w:val="16"/>
        </w:numPr>
      </w:pPr>
      <w:proofErr w:type="spellStart"/>
      <w:r w:rsidRPr="00E42263">
        <w:t>Voriconazole</w:t>
      </w:r>
      <w:proofErr w:type="spellEnd"/>
      <w:r w:rsidRPr="00E42263">
        <w:t xml:space="preserve"> market share would increase to 44% in the first year of listing, 54% in the second year of listing and 60% for the third to fifth years of listing. </w:t>
      </w:r>
    </w:p>
    <w:p w14:paraId="42B38BE7" w14:textId="77777777" w:rsidR="001D3F5D" w:rsidRPr="00E42263" w:rsidRDefault="001D3F5D" w:rsidP="001D3F5D">
      <w:pPr>
        <w:pStyle w:val="ListParagraph"/>
        <w:numPr>
          <w:ilvl w:val="0"/>
          <w:numId w:val="16"/>
        </w:numPr>
      </w:pPr>
      <w:r w:rsidRPr="00E42263">
        <w:t xml:space="preserve">It was estimated 3% of </w:t>
      </w:r>
      <w:proofErr w:type="spellStart"/>
      <w:r w:rsidRPr="00E42263">
        <w:t>allogenic</w:t>
      </w:r>
      <w:proofErr w:type="spellEnd"/>
      <w:r w:rsidRPr="00E42263">
        <w:t xml:space="preserve"> HSCTs will be performed in private hospital using AR-DRG data. Private hospital inpatients will receive one IV </w:t>
      </w:r>
      <w:proofErr w:type="spellStart"/>
      <w:r w:rsidRPr="00E42263">
        <w:t>voriconazole</w:t>
      </w:r>
      <w:proofErr w:type="spellEnd"/>
      <w:r w:rsidRPr="00E42263">
        <w:t xml:space="preserve"> loading dose, 4 days of continuing IV </w:t>
      </w:r>
      <w:proofErr w:type="spellStart"/>
      <w:r w:rsidRPr="00E42263">
        <w:t>voriconazole</w:t>
      </w:r>
      <w:proofErr w:type="spellEnd"/>
      <w:r w:rsidRPr="00E42263">
        <w:t xml:space="preserve"> and 28 days of inpatient oral </w:t>
      </w:r>
      <w:proofErr w:type="spellStart"/>
      <w:r w:rsidRPr="00E42263">
        <w:t>voriconazole</w:t>
      </w:r>
      <w:proofErr w:type="spellEnd"/>
      <w:r w:rsidRPr="00E42263">
        <w:t xml:space="preserve"> (one prescription). It was estimated that patients will receive 63 days of </w:t>
      </w:r>
      <w:proofErr w:type="spellStart"/>
      <w:r w:rsidRPr="00E42263">
        <w:t>voriconazole</w:t>
      </w:r>
      <w:proofErr w:type="spellEnd"/>
      <w:r w:rsidRPr="00E42263">
        <w:t xml:space="preserve"> treatment after hospital (three prescriptions). </w:t>
      </w:r>
    </w:p>
    <w:p w14:paraId="7D0AEF56" w14:textId="77777777" w:rsidR="001D3F5D" w:rsidRPr="00E42263" w:rsidRDefault="001D3F5D" w:rsidP="001D3F5D">
      <w:r w:rsidRPr="00E42263">
        <w:t>The submission used a market share approach for the neutropenia and GVHD patient groups. It made the following steps to estimate utilisation:</w:t>
      </w:r>
    </w:p>
    <w:p w14:paraId="278CAEF4" w14:textId="77777777" w:rsidR="001D3F5D" w:rsidRPr="00E42263" w:rsidRDefault="001D3F5D" w:rsidP="001D3F5D">
      <w:pPr>
        <w:pStyle w:val="ListParagraph"/>
        <w:numPr>
          <w:ilvl w:val="0"/>
          <w:numId w:val="17"/>
        </w:numPr>
      </w:pPr>
      <w:r w:rsidRPr="00E42263">
        <w:t xml:space="preserve">Extracted the number of </w:t>
      </w:r>
      <w:proofErr w:type="spellStart"/>
      <w:r w:rsidRPr="00E42263">
        <w:t>posaconazole</w:t>
      </w:r>
      <w:proofErr w:type="spellEnd"/>
      <w:r w:rsidRPr="00E42263">
        <w:t xml:space="preserve"> prescriptions supplied in the 2012</w:t>
      </w:r>
      <w:r w:rsidRPr="00E42263">
        <w:noBreakHyphen/>
        <w:t>13 financial year from Medicare services data. The submission estimated prescriptions supplied would increase 18% to 2013</w:t>
      </w:r>
      <w:r w:rsidRPr="00E42263">
        <w:noBreakHyphen/>
        <w:t>14, then 12% to 2014</w:t>
      </w:r>
      <w:r w:rsidRPr="00E42263">
        <w:noBreakHyphen/>
        <w:t>15 (first year of listing), 7% in 2015</w:t>
      </w:r>
      <w:r w:rsidRPr="00E42263">
        <w:noBreakHyphen/>
        <w:t xml:space="preserve">16 and 5% for each year thereafter. </w:t>
      </w:r>
    </w:p>
    <w:p w14:paraId="5B209218" w14:textId="77777777" w:rsidR="001D3F5D" w:rsidRPr="00E42263" w:rsidRDefault="001D3F5D" w:rsidP="001D3F5D">
      <w:pPr>
        <w:pStyle w:val="ListParagraph"/>
        <w:numPr>
          <w:ilvl w:val="0"/>
          <w:numId w:val="17"/>
        </w:numPr>
      </w:pPr>
      <w:r w:rsidRPr="00E42263">
        <w:t xml:space="preserve">Based on the previous DUSC analysis, it was estimated 75% of </w:t>
      </w:r>
      <w:proofErr w:type="spellStart"/>
      <w:r w:rsidRPr="00E42263">
        <w:t>posaconazole</w:t>
      </w:r>
      <w:proofErr w:type="spellEnd"/>
      <w:r w:rsidRPr="00E42263">
        <w:t xml:space="preserve"> prescriptions were for prophylaxis and there were an average of four packs per prescription. </w:t>
      </w:r>
    </w:p>
    <w:p w14:paraId="0B917931" w14:textId="77777777" w:rsidR="001D3F5D" w:rsidRPr="00E42263" w:rsidRDefault="001D3F5D" w:rsidP="001D3F5D">
      <w:pPr>
        <w:pStyle w:val="ListParagraph"/>
        <w:numPr>
          <w:ilvl w:val="0"/>
          <w:numId w:val="17"/>
        </w:numPr>
      </w:pPr>
      <w:r w:rsidRPr="00E42263">
        <w:t xml:space="preserve">It was estimated four packs of </w:t>
      </w:r>
      <w:proofErr w:type="spellStart"/>
      <w:r w:rsidRPr="00E42263">
        <w:t>posaconazole</w:t>
      </w:r>
      <w:proofErr w:type="spellEnd"/>
      <w:r w:rsidRPr="00E42263">
        <w:t xml:space="preserve"> would provide 28 days treatment. </w:t>
      </w:r>
    </w:p>
    <w:p w14:paraId="66E2F170" w14:textId="77777777" w:rsidR="001D3F5D" w:rsidRPr="00E42263" w:rsidRDefault="001D3F5D" w:rsidP="001D3F5D">
      <w:pPr>
        <w:pStyle w:val="ListParagraph"/>
        <w:numPr>
          <w:ilvl w:val="0"/>
          <w:numId w:val="17"/>
        </w:numPr>
      </w:pPr>
      <w:r w:rsidRPr="00E42263">
        <w:t xml:space="preserve">Using a clinician survey, it was estimated </w:t>
      </w:r>
      <w:proofErr w:type="spellStart"/>
      <w:r w:rsidRPr="00E42263">
        <w:t>posaconazole</w:t>
      </w:r>
      <w:proofErr w:type="spellEnd"/>
      <w:r w:rsidRPr="00E42263">
        <w:t xml:space="preserve"> accounted for 45% of the prophylaxis market. </w:t>
      </w:r>
      <w:proofErr w:type="spellStart"/>
      <w:r w:rsidRPr="00E42263">
        <w:t>Voriconazole</w:t>
      </w:r>
      <w:proofErr w:type="spellEnd"/>
      <w:r w:rsidRPr="00E42263">
        <w:t xml:space="preserve"> was estimated to have 18% and other antifungals 36%. This was used to estimate the total number of months of prophylaxis used each year. </w:t>
      </w:r>
    </w:p>
    <w:p w14:paraId="2B554F13" w14:textId="07E8DA8D" w:rsidR="001D3F5D" w:rsidRPr="00E42263" w:rsidRDefault="001D3F5D" w:rsidP="001D3F5D">
      <w:pPr>
        <w:pStyle w:val="ListParagraph"/>
        <w:numPr>
          <w:ilvl w:val="0"/>
          <w:numId w:val="17"/>
        </w:numPr>
      </w:pPr>
      <w:r w:rsidRPr="00E42263">
        <w:t xml:space="preserve">It was assumed that the </w:t>
      </w:r>
      <w:proofErr w:type="spellStart"/>
      <w:r w:rsidRPr="00E42263">
        <w:t>voriconazole</w:t>
      </w:r>
      <w:proofErr w:type="spellEnd"/>
      <w:r w:rsidRPr="00E42263">
        <w:t xml:space="preserve"> market share would increase to </w:t>
      </w:r>
      <w:r w:rsidR="00B502E1" w:rsidRPr="00B502E1">
        <w:rPr>
          <w:highlight w:val="black"/>
        </w:rPr>
        <w:t>xxx</w:t>
      </w:r>
      <w:r w:rsidRPr="00B502E1">
        <w:t xml:space="preserve"> </w:t>
      </w:r>
      <w:r w:rsidRPr="00E42263">
        <w:t xml:space="preserve">in the first year of listing, </w:t>
      </w:r>
      <w:r w:rsidR="00B502E1" w:rsidRPr="00B502E1">
        <w:rPr>
          <w:highlight w:val="black"/>
        </w:rPr>
        <w:t>xxx</w:t>
      </w:r>
      <w:r w:rsidRPr="00B502E1">
        <w:t xml:space="preserve"> </w:t>
      </w:r>
      <w:r w:rsidRPr="00E42263">
        <w:t xml:space="preserve">in the second year and </w:t>
      </w:r>
      <w:r w:rsidR="00B502E1" w:rsidRPr="00B502E1">
        <w:rPr>
          <w:highlight w:val="black"/>
        </w:rPr>
        <w:t>xxx</w:t>
      </w:r>
      <w:r w:rsidRPr="00B502E1">
        <w:t xml:space="preserve"> </w:t>
      </w:r>
      <w:r w:rsidRPr="00E42263">
        <w:t xml:space="preserve">from the third year onwards. It was assumed </w:t>
      </w:r>
      <w:r w:rsidR="00B502E1" w:rsidRPr="00B502E1">
        <w:rPr>
          <w:highlight w:val="black"/>
        </w:rPr>
        <w:t>xxx</w:t>
      </w:r>
      <w:r w:rsidRPr="00B502E1">
        <w:t xml:space="preserve"> </w:t>
      </w:r>
      <w:r w:rsidRPr="00E42263">
        <w:t xml:space="preserve">would be from existing </w:t>
      </w:r>
      <w:proofErr w:type="spellStart"/>
      <w:r w:rsidRPr="00E42263">
        <w:t>posaconazole</w:t>
      </w:r>
      <w:proofErr w:type="spellEnd"/>
      <w:r w:rsidRPr="00E42263">
        <w:t xml:space="preserve"> market and </w:t>
      </w:r>
      <w:r w:rsidR="00B502E1" w:rsidRPr="00B502E1">
        <w:rPr>
          <w:highlight w:val="black"/>
        </w:rPr>
        <w:t>xxx</w:t>
      </w:r>
      <w:r w:rsidRPr="00B502E1">
        <w:t xml:space="preserve"> </w:t>
      </w:r>
      <w:r w:rsidRPr="00E42263">
        <w:t xml:space="preserve">from other antifungals. It was assumed </w:t>
      </w:r>
      <w:proofErr w:type="spellStart"/>
      <w:r w:rsidRPr="00E42263">
        <w:t>posaconazole’s</w:t>
      </w:r>
      <w:proofErr w:type="spellEnd"/>
      <w:r w:rsidRPr="00E42263">
        <w:t xml:space="preserve"> market share will decline to </w:t>
      </w:r>
      <w:r w:rsidR="00B502E1" w:rsidRPr="00B502E1">
        <w:rPr>
          <w:highlight w:val="black"/>
        </w:rPr>
        <w:t>xxx</w:t>
      </w:r>
      <w:r w:rsidRPr="00B502E1">
        <w:t xml:space="preserve"> </w:t>
      </w:r>
      <w:r w:rsidRPr="00E42263">
        <w:t xml:space="preserve">in the first year of listing to </w:t>
      </w:r>
      <w:r w:rsidR="00B502E1" w:rsidRPr="00B502E1">
        <w:rPr>
          <w:highlight w:val="black"/>
        </w:rPr>
        <w:t>xxx</w:t>
      </w:r>
      <w:r w:rsidRPr="00B502E1">
        <w:t xml:space="preserve"> </w:t>
      </w:r>
      <w:r w:rsidRPr="00E42263">
        <w:t xml:space="preserve">in the third to fifth years of </w:t>
      </w:r>
      <w:proofErr w:type="spellStart"/>
      <w:r w:rsidRPr="00E42263">
        <w:t>voriconazole’s</w:t>
      </w:r>
      <w:proofErr w:type="spellEnd"/>
      <w:r w:rsidRPr="00E42263">
        <w:t xml:space="preserve"> listing.</w:t>
      </w:r>
    </w:p>
    <w:p w14:paraId="02C74946" w14:textId="77777777" w:rsidR="001D3F5D" w:rsidRPr="00E42263" w:rsidRDefault="001D3F5D" w:rsidP="001D3F5D">
      <w:pPr>
        <w:pStyle w:val="ListParagraph"/>
        <w:numPr>
          <w:ilvl w:val="0"/>
          <w:numId w:val="17"/>
        </w:numPr>
      </w:pPr>
      <w:r w:rsidRPr="00E42263">
        <w:t xml:space="preserve">The submission did not estimate the number of patients that would be treated. </w:t>
      </w:r>
    </w:p>
    <w:p w14:paraId="28BD869B" w14:textId="20B85E37" w:rsidR="001D3F5D" w:rsidRPr="00CD700F" w:rsidRDefault="001D3F5D" w:rsidP="001D3F5D">
      <w:pPr>
        <w:rPr>
          <w:highlight w:val="yellow"/>
        </w:rPr>
      </w:pPr>
      <w:r w:rsidRPr="00E42263">
        <w:t xml:space="preserve">A summary of the estimates are presented in Table 2. </w:t>
      </w:r>
      <w:r w:rsidRPr="00CD700F">
        <w:rPr>
          <w:highlight w:val="yellow"/>
        </w:rPr>
        <w:br w:type="page"/>
      </w:r>
    </w:p>
    <w:p w14:paraId="09E1B244" w14:textId="77777777" w:rsidR="001D3F5D" w:rsidRPr="00E42263" w:rsidRDefault="001D3F5D" w:rsidP="001D3F5D">
      <w:pPr>
        <w:pStyle w:val="Tabletitle"/>
      </w:pPr>
      <w:r w:rsidRPr="00E42263">
        <w:lastRenderedPageBreak/>
        <w:t xml:space="preserve">Table 2: </w:t>
      </w:r>
      <w:proofErr w:type="spellStart"/>
      <w:r w:rsidRPr="00E42263">
        <w:t>Voriconazole</w:t>
      </w:r>
      <w:proofErr w:type="spellEnd"/>
      <w:r w:rsidRPr="00E42263">
        <w:t xml:space="preserve"> estimates for prophylaxis</w:t>
      </w:r>
    </w:p>
    <w:tbl>
      <w:tblPr>
        <w:tblStyle w:val="TableGrid"/>
        <w:tblW w:w="0" w:type="auto"/>
        <w:tblLook w:val="04A0" w:firstRow="1" w:lastRow="0" w:firstColumn="1" w:lastColumn="0" w:noHBand="0" w:noVBand="1"/>
      </w:tblPr>
      <w:tblGrid>
        <w:gridCol w:w="3538"/>
        <w:gridCol w:w="1127"/>
        <w:gridCol w:w="1127"/>
        <w:gridCol w:w="1127"/>
        <w:gridCol w:w="1127"/>
        <w:gridCol w:w="1127"/>
      </w:tblGrid>
      <w:tr w:rsidR="001D3F5D" w:rsidRPr="00910C5F" w14:paraId="42ACEAA9" w14:textId="77777777" w:rsidTr="00910C5F">
        <w:trPr>
          <w:tblHeader/>
        </w:trPr>
        <w:tc>
          <w:tcPr>
            <w:tcW w:w="0" w:type="auto"/>
            <w:tcBorders>
              <w:bottom w:val="single" w:sz="4" w:space="0" w:color="auto"/>
            </w:tcBorders>
            <w:shd w:val="clear" w:color="auto" w:fill="BFBFBF" w:themeFill="background1" w:themeFillShade="BF"/>
          </w:tcPr>
          <w:p w14:paraId="328098E5" w14:textId="77777777" w:rsidR="001D3F5D" w:rsidRPr="00910C5F" w:rsidRDefault="001D3F5D" w:rsidP="00F251E9">
            <w:pPr>
              <w:pStyle w:val="Tableheading"/>
              <w:rPr>
                <w:sz w:val="20"/>
                <w:szCs w:val="20"/>
              </w:rPr>
            </w:pPr>
          </w:p>
        </w:tc>
        <w:tc>
          <w:tcPr>
            <w:tcW w:w="0" w:type="auto"/>
            <w:tcBorders>
              <w:bottom w:val="single" w:sz="4" w:space="0" w:color="auto"/>
            </w:tcBorders>
            <w:shd w:val="clear" w:color="auto" w:fill="BFBFBF" w:themeFill="background1" w:themeFillShade="BF"/>
          </w:tcPr>
          <w:p w14:paraId="0A7659E5" w14:textId="77777777" w:rsidR="001D3F5D" w:rsidRPr="00910C5F" w:rsidRDefault="001D3F5D" w:rsidP="00F251E9">
            <w:pPr>
              <w:pStyle w:val="Tableheading"/>
              <w:rPr>
                <w:sz w:val="20"/>
                <w:szCs w:val="20"/>
              </w:rPr>
            </w:pPr>
            <w:r w:rsidRPr="00910C5F">
              <w:rPr>
                <w:sz w:val="20"/>
                <w:szCs w:val="20"/>
              </w:rPr>
              <w:t>Year 1</w:t>
            </w:r>
          </w:p>
        </w:tc>
        <w:tc>
          <w:tcPr>
            <w:tcW w:w="0" w:type="auto"/>
            <w:tcBorders>
              <w:bottom w:val="single" w:sz="4" w:space="0" w:color="auto"/>
            </w:tcBorders>
            <w:shd w:val="clear" w:color="auto" w:fill="BFBFBF" w:themeFill="background1" w:themeFillShade="BF"/>
          </w:tcPr>
          <w:p w14:paraId="79634B5A" w14:textId="77777777" w:rsidR="001D3F5D" w:rsidRPr="00910C5F" w:rsidRDefault="001D3F5D" w:rsidP="00F251E9">
            <w:pPr>
              <w:pStyle w:val="Tableheading"/>
              <w:rPr>
                <w:sz w:val="20"/>
                <w:szCs w:val="20"/>
              </w:rPr>
            </w:pPr>
            <w:r w:rsidRPr="00910C5F">
              <w:rPr>
                <w:sz w:val="20"/>
                <w:szCs w:val="20"/>
              </w:rPr>
              <w:t>Year 2</w:t>
            </w:r>
          </w:p>
        </w:tc>
        <w:tc>
          <w:tcPr>
            <w:tcW w:w="0" w:type="auto"/>
            <w:tcBorders>
              <w:bottom w:val="single" w:sz="4" w:space="0" w:color="auto"/>
            </w:tcBorders>
            <w:shd w:val="clear" w:color="auto" w:fill="BFBFBF" w:themeFill="background1" w:themeFillShade="BF"/>
          </w:tcPr>
          <w:p w14:paraId="714EBF7E" w14:textId="77777777" w:rsidR="001D3F5D" w:rsidRPr="00910C5F" w:rsidRDefault="001D3F5D" w:rsidP="00F251E9">
            <w:pPr>
              <w:pStyle w:val="Tableheading"/>
              <w:rPr>
                <w:sz w:val="20"/>
                <w:szCs w:val="20"/>
              </w:rPr>
            </w:pPr>
            <w:r w:rsidRPr="00910C5F">
              <w:rPr>
                <w:sz w:val="20"/>
                <w:szCs w:val="20"/>
              </w:rPr>
              <w:t>Year 3</w:t>
            </w:r>
          </w:p>
        </w:tc>
        <w:tc>
          <w:tcPr>
            <w:tcW w:w="0" w:type="auto"/>
            <w:tcBorders>
              <w:bottom w:val="single" w:sz="4" w:space="0" w:color="auto"/>
            </w:tcBorders>
            <w:shd w:val="clear" w:color="auto" w:fill="BFBFBF" w:themeFill="background1" w:themeFillShade="BF"/>
          </w:tcPr>
          <w:p w14:paraId="75153217" w14:textId="77777777" w:rsidR="001D3F5D" w:rsidRPr="00910C5F" w:rsidRDefault="001D3F5D" w:rsidP="00F251E9">
            <w:pPr>
              <w:pStyle w:val="Tableheading"/>
              <w:rPr>
                <w:sz w:val="20"/>
                <w:szCs w:val="20"/>
              </w:rPr>
            </w:pPr>
            <w:r w:rsidRPr="00910C5F">
              <w:rPr>
                <w:sz w:val="20"/>
                <w:szCs w:val="20"/>
              </w:rPr>
              <w:t>Year 4</w:t>
            </w:r>
          </w:p>
        </w:tc>
        <w:tc>
          <w:tcPr>
            <w:tcW w:w="0" w:type="auto"/>
            <w:tcBorders>
              <w:bottom w:val="single" w:sz="4" w:space="0" w:color="auto"/>
            </w:tcBorders>
            <w:shd w:val="clear" w:color="auto" w:fill="BFBFBF" w:themeFill="background1" w:themeFillShade="BF"/>
          </w:tcPr>
          <w:p w14:paraId="492F9D28" w14:textId="77777777" w:rsidR="001D3F5D" w:rsidRPr="00910C5F" w:rsidRDefault="001D3F5D" w:rsidP="00F251E9">
            <w:pPr>
              <w:pStyle w:val="Tableheading"/>
              <w:rPr>
                <w:sz w:val="20"/>
                <w:szCs w:val="20"/>
              </w:rPr>
            </w:pPr>
            <w:r w:rsidRPr="00910C5F">
              <w:rPr>
                <w:sz w:val="20"/>
                <w:szCs w:val="20"/>
              </w:rPr>
              <w:t>Year 5</w:t>
            </w:r>
          </w:p>
        </w:tc>
      </w:tr>
      <w:tr w:rsidR="001D3F5D" w:rsidRPr="00E42263" w14:paraId="77D60D54" w14:textId="77777777" w:rsidTr="00910C5F">
        <w:trPr>
          <w:tblHeader/>
        </w:trPr>
        <w:tc>
          <w:tcPr>
            <w:tcW w:w="0" w:type="auto"/>
            <w:tcBorders>
              <w:right w:val="nil"/>
            </w:tcBorders>
            <w:shd w:val="clear" w:color="auto" w:fill="auto"/>
            <w:vAlign w:val="center"/>
          </w:tcPr>
          <w:p w14:paraId="7EB33B25" w14:textId="77777777" w:rsidR="001D3F5D" w:rsidRPr="00E42263" w:rsidRDefault="001D3F5D" w:rsidP="00F251E9">
            <w:pPr>
              <w:pStyle w:val="Tablewriting"/>
              <w:rPr>
                <w:b/>
              </w:rPr>
            </w:pPr>
            <w:r w:rsidRPr="00E42263">
              <w:rPr>
                <w:b/>
              </w:rPr>
              <w:t xml:space="preserve">High risk </w:t>
            </w:r>
            <w:proofErr w:type="spellStart"/>
            <w:r w:rsidRPr="00E42263">
              <w:rPr>
                <w:b/>
              </w:rPr>
              <w:t>allogenic</w:t>
            </w:r>
            <w:proofErr w:type="spellEnd"/>
            <w:r w:rsidRPr="00E42263">
              <w:rPr>
                <w:b/>
              </w:rPr>
              <w:t xml:space="preserve"> HSCT patients</w:t>
            </w:r>
          </w:p>
        </w:tc>
        <w:tc>
          <w:tcPr>
            <w:tcW w:w="0" w:type="auto"/>
            <w:tcBorders>
              <w:left w:val="nil"/>
              <w:right w:val="nil"/>
            </w:tcBorders>
            <w:shd w:val="clear" w:color="auto" w:fill="auto"/>
          </w:tcPr>
          <w:p w14:paraId="3CF0EDE8" w14:textId="77777777" w:rsidR="001D3F5D" w:rsidRPr="00E42263" w:rsidRDefault="001D3F5D" w:rsidP="00F251E9">
            <w:pPr>
              <w:pStyle w:val="Tablewriting"/>
            </w:pPr>
          </w:p>
        </w:tc>
        <w:tc>
          <w:tcPr>
            <w:tcW w:w="0" w:type="auto"/>
            <w:tcBorders>
              <w:left w:val="nil"/>
              <w:right w:val="nil"/>
            </w:tcBorders>
            <w:shd w:val="clear" w:color="auto" w:fill="auto"/>
          </w:tcPr>
          <w:p w14:paraId="01E3B3AD" w14:textId="77777777" w:rsidR="001D3F5D" w:rsidRPr="00E42263" w:rsidRDefault="001D3F5D" w:rsidP="00F251E9">
            <w:pPr>
              <w:pStyle w:val="Tablewriting"/>
            </w:pPr>
          </w:p>
        </w:tc>
        <w:tc>
          <w:tcPr>
            <w:tcW w:w="0" w:type="auto"/>
            <w:tcBorders>
              <w:left w:val="nil"/>
              <w:right w:val="nil"/>
            </w:tcBorders>
            <w:shd w:val="clear" w:color="auto" w:fill="auto"/>
          </w:tcPr>
          <w:p w14:paraId="1770B7E3" w14:textId="77777777" w:rsidR="001D3F5D" w:rsidRPr="00E42263" w:rsidRDefault="001D3F5D" w:rsidP="00F251E9">
            <w:pPr>
              <w:pStyle w:val="Tablewriting"/>
            </w:pPr>
          </w:p>
        </w:tc>
        <w:tc>
          <w:tcPr>
            <w:tcW w:w="0" w:type="auto"/>
            <w:tcBorders>
              <w:left w:val="nil"/>
              <w:right w:val="nil"/>
            </w:tcBorders>
            <w:shd w:val="clear" w:color="auto" w:fill="auto"/>
          </w:tcPr>
          <w:p w14:paraId="5A4B303F" w14:textId="77777777" w:rsidR="001D3F5D" w:rsidRPr="00E42263" w:rsidRDefault="001D3F5D" w:rsidP="00F251E9">
            <w:pPr>
              <w:pStyle w:val="Tablewriting"/>
            </w:pPr>
          </w:p>
        </w:tc>
        <w:tc>
          <w:tcPr>
            <w:tcW w:w="0" w:type="auto"/>
            <w:tcBorders>
              <w:left w:val="nil"/>
            </w:tcBorders>
            <w:shd w:val="clear" w:color="auto" w:fill="auto"/>
          </w:tcPr>
          <w:p w14:paraId="1186B4E2" w14:textId="77777777" w:rsidR="001D3F5D" w:rsidRPr="00E42263" w:rsidRDefault="001D3F5D" w:rsidP="00F251E9">
            <w:pPr>
              <w:pStyle w:val="Tablewriting"/>
            </w:pPr>
          </w:p>
        </w:tc>
      </w:tr>
      <w:tr w:rsidR="001D3F5D" w:rsidRPr="00E42263" w14:paraId="6E156213" w14:textId="77777777" w:rsidTr="00F251E9">
        <w:trPr>
          <w:tblHeader/>
        </w:trPr>
        <w:tc>
          <w:tcPr>
            <w:tcW w:w="0" w:type="auto"/>
            <w:shd w:val="clear" w:color="auto" w:fill="auto"/>
            <w:vAlign w:val="center"/>
          </w:tcPr>
          <w:p w14:paraId="69CA3770" w14:textId="77777777" w:rsidR="001D3F5D" w:rsidRPr="00E42263" w:rsidRDefault="001D3F5D" w:rsidP="00F251E9">
            <w:pPr>
              <w:pStyle w:val="Tablewriting"/>
            </w:pPr>
            <w:r w:rsidRPr="00E42263">
              <w:t xml:space="preserve">High risk </w:t>
            </w:r>
            <w:proofErr w:type="spellStart"/>
            <w:r w:rsidRPr="00E42263">
              <w:t>allogenic</w:t>
            </w:r>
            <w:proofErr w:type="spellEnd"/>
            <w:r w:rsidRPr="00E42263">
              <w:t xml:space="preserve"> HSCTs</w:t>
            </w:r>
          </w:p>
        </w:tc>
        <w:tc>
          <w:tcPr>
            <w:tcW w:w="0" w:type="auto"/>
            <w:shd w:val="clear" w:color="auto" w:fill="auto"/>
            <w:vAlign w:val="center"/>
          </w:tcPr>
          <w:p w14:paraId="0DBDC17F" w14:textId="77777777" w:rsidR="001D3F5D" w:rsidRPr="00E42263" w:rsidRDefault="001D3F5D" w:rsidP="00F251E9">
            <w:pPr>
              <w:pStyle w:val="Tablewriting"/>
              <w:jc w:val="center"/>
            </w:pPr>
            <w:r w:rsidRPr="00E42263">
              <w:t>224</w:t>
            </w:r>
          </w:p>
        </w:tc>
        <w:tc>
          <w:tcPr>
            <w:tcW w:w="0" w:type="auto"/>
            <w:shd w:val="clear" w:color="auto" w:fill="auto"/>
            <w:vAlign w:val="center"/>
          </w:tcPr>
          <w:p w14:paraId="43B4D7A3" w14:textId="77777777" w:rsidR="001D3F5D" w:rsidRPr="00E42263" w:rsidRDefault="001D3F5D" w:rsidP="00F251E9">
            <w:pPr>
              <w:pStyle w:val="Tablewriting"/>
              <w:jc w:val="center"/>
            </w:pPr>
            <w:r w:rsidRPr="00E42263">
              <w:t>228</w:t>
            </w:r>
          </w:p>
        </w:tc>
        <w:tc>
          <w:tcPr>
            <w:tcW w:w="0" w:type="auto"/>
            <w:shd w:val="clear" w:color="auto" w:fill="auto"/>
            <w:vAlign w:val="center"/>
          </w:tcPr>
          <w:p w14:paraId="0BC17264" w14:textId="77777777" w:rsidR="001D3F5D" w:rsidRPr="00E42263" w:rsidRDefault="001D3F5D" w:rsidP="00F251E9">
            <w:pPr>
              <w:pStyle w:val="Tablewriting"/>
              <w:jc w:val="center"/>
            </w:pPr>
            <w:r w:rsidRPr="00E42263">
              <w:t>231</w:t>
            </w:r>
          </w:p>
        </w:tc>
        <w:tc>
          <w:tcPr>
            <w:tcW w:w="0" w:type="auto"/>
            <w:shd w:val="clear" w:color="auto" w:fill="auto"/>
            <w:vAlign w:val="center"/>
          </w:tcPr>
          <w:p w14:paraId="174E2891" w14:textId="77777777" w:rsidR="001D3F5D" w:rsidRPr="00E42263" w:rsidRDefault="001D3F5D" w:rsidP="00F251E9">
            <w:pPr>
              <w:pStyle w:val="Tablewriting"/>
              <w:jc w:val="center"/>
            </w:pPr>
            <w:r w:rsidRPr="00E42263">
              <w:t>235</w:t>
            </w:r>
          </w:p>
        </w:tc>
        <w:tc>
          <w:tcPr>
            <w:tcW w:w="0" w:type="auto"/>
            <w:shd w:val="clear" w:color="auto" w:fill="auto"/>
            <w:vAlign w:val="center"/>
          </w:tcPr>
          <w:p w14:paraId="2C770C08" w14:textId="77777777" w:rsidR="001D3F5D" w:rsidRPr="00E42263" w:rsidRDefault="001D3F5D" w:rsidP="00F251E9">
            <w:pPr>
              <w:pStyle w:val="Tablewriting"/>
              <w:jc w:val="center"/>
            </w:pPr>
            <w:r w:rsidRPr="00E42263">
              <w:t>238</w:t>
            </w:r>
          </w:p>
        </w:tc>
      </w:tr>
      <w:tr w:rsidR="001D3F5D" w:rsidRPr="000A6392" w14:paraId="2377DAD3" w14:textId="77777777" w:rsidTr="00F251E9">
        <w:trPr>
          <w:tblHeader/>
        </w:trPr>
        <w:tc>
          <w:tcPr>
            <w:tcW w:w="0" w:type="auto"/>
            <w:shd w:val="clear" w:color="auto" w:fill="auto"/>
            <w:vAlign w:val="center"/>
          </w:tcPr>
          <w:p w14:paraId="45606492" w14:textId="77777777" w:rsidR="001D3F5D" w:rsidRPr="00B502E1" w:rsidRDefault="001D3F5D" w:rsidP="00F251E9">
            <w:pPr>
              <w:pStyle w:val="Tablewriting"/>
            </w:pPr>
            <w:r w:rsidRPr="000A6392">
              <w:t xml:space="preserve">Patients prescribed </w:t>
            </w:r>
            <w:proofErr w:type="spellStart"/>
            <w:r w:rsidRPr="000A6392">
              <w:t>voriconazole</w:t>
            </w:r>
            <w:proofErr w:type="spellEnd"/>
          </w:p>
        </w:tc>
        <w:tc>
          <w:tcPr>
            <w:tcW w:w="0" w:type="auto"/>
            <w:shd w:val="clear" w:color="auto" w:fill="auto"/>
            <w:vAlign w:val="center"/>
          </w:tcPr>
          <w:p w14:paraId="1DFEFDA6" w14:textId="64D2F29A" w:rsidR="001D3F5D" w:rsidRPr="00B502E1" w:rsidRDefault="00B502E1" w:rsidP="00F251E9">
            <w:pPr>
              <w:pStyle w:val="Tablewriting"/>
              <w:jc w:val="center"/>
              <w:rPr>
                <w:highlight w:val="black"/>
              </w:rPr>
            </w:pPr>
            <w:r w:rsidRPr="00B502E1">
              <w:rPr>
                <w:highlight w:val="black"/>
              </w:rPr>
              <w:t>xx</w:t>
            </w:r>
          </w:p>
        </w:tc>
        <w:tc>
          <w:tcPr>
            <w:tcW w:w="0" w:type="auto"/>
            <w:shd w:val="clear" w:color="auto" w:fill="auto"/>
            <w:vAlign w:val="center"/>
          </w:tcPr>
          <w:p w14:paraId="5A557D27" w14:textId="286235E1" w:rsidR="001D3F5D" w:rsidRPr="00B502E1" w:rsidRDefault="00B502E1" w:rsidP="00F251E9">
            <w:pPr>
              <w:pStyle w:val="Tablewriting"/>
              <w:jc w:val="center"/>
              <w:rPr>
                <w:highlight w:val="black"/>
              </w:rPr>
            </w:pPr>
            <w:r w:rsidRPr="00B502E1">
              <w:rPr>
                <w:highlight w:val="black"/>
              </w:rPr>
              <w:t>xxx</w:t>
            </w:r>
          </w:p>
        </w:tc>
        <w:tc>
          <w:tcPr>
            <w:tcW w:w="0" w:type="auto"/>
            <w:shd w:val="clear" w:color="auto" w:fill="auto"/>
            <w:vAlign w:val="center"/>
          </w:tcPr>
          <w:p w14:paraId="1CAF35AF" w14:textId="64E51DDF" w:rsidR="001D3F5D" w:rsidRPr="00B502E1" w:rsidRDefault="00B502E1" w:rsidP="00F251E9">
            <w:pPr>
              <w:pStyle w:val="Tablewriting"/>
              <w:jc w:val="center"/>
              <w:rPr>
                <w:highlight w:val="black"/>
              </w:rPr>
            </w:pPr>
            <w:r w:rsidRPr="00B502E1">
              <w:rPr>
                <w:highlight w:val="black"/>
              </w:rPr>
              <w:t>xxx</w:t>
            </w:r>
          </w:p>
        </w:tc>
        <w:tc>
          <w:tcPr>
            <w:tcW w:w="0" w:type="auto"/>
            <w:shd w:val="clear" w:color="auto" w:fill="auto"/>
            <w:vAlign w:val="center"/>
          </w:tcPr>
          <w:p w14:paraId="08AB3F5D" w14:textId="7BA8BC0F" w:rsidR="001D3F5D" w:rsidRPr="00B502E1" w:rsidRDefault="00B502E1" w:rsidP="00F251E9">
            <w:pPr>
              <w:pStyle w:val="Tablewriting"/>
              <w:jc w:val="center"/>
              <w:rPr>
                <w:highlight w:val="black"/>
              </w:rPr>
            </w:pPr>
            <w:r w:rsidRPr="00B502E1">
              <w:rPr>
                <w:highlight w:val="black"/>
              </w:rPr>
              <w:t>xxx</w:t>
            </w:r>
          </w:p>
        </w:tc>
        <w:tc>
          <w:tcPr>
            <w:tcW w:w="0" w:type="auto"/>
            <w:shd w:val="clear" w:color="auto" w:fill="auto"/>
            <w:vAlign w:val="center"/>
          </w:tcPr>
          <w:p w14:paraId="2CAA7C86" w14:textId="2CBBC1E7" w:rsidR="001D3F5D" w:rsidRPr="00B502E1" w:rsidRDefault="00B502E1" w:rsidP="00F251E9">
            <w:pPr>
              <w:pStyle w:val="Tablewriting"/>
              <w:jc w:val="center"/>
              <w:rPr>
                <w:highlight w:val="black"/>
              </w:rPr>
            </w:pPr>
            <w:r w:rsidRPr="00B502E1">
              <w:rPr>
                <w:highlight w:val="black"/>
              </w:rPr>
              <w:t>xxx</w:t>
            </w:r>
          </w:p>
        </w:tc>
      </w:tr>
      <w:tr w:rsidR="00B502E1" w:rsidRPr="000A6392" w14:paraId="51B2EAB7" w14:textId="77777777" w:rsidTr="004A123E">
        <w:trPr>
          <w:tblHeader/>
        </w:trPr>
        <w:tc>
          <w:tcPr>
            <w:tcW w:w="0" w:type="auto"/>
            <w:tcBorders>
              <w:bottom w:val="single" w:sz="4" w:space="0" w:color="auto"/>
            </w:tcBorders>
            <w:shd w:val="clear" w:color="auto" w:fill="auto"/>
            <w:vAlign w:val="center"/>
          </w:tcPr>
          <w:p w14:paraId="4812A8B1" w14:textId="77777777" w:rsidR="00B502E1" w:rsidRPr="00B502E1" w:rsidRDefault="00B502E1" w:rsidP="00F251E9">
            <w:pPr>
              <w:pStyle w:val="Tablewriting"/>
            </w:pPr>
            <w:r w:rsidRPr="000A6392">
              <w:t>Prescriptions</w:t>
            </w:r>
          </w:p>
        </w:tc>
        <w:tc>
          <w:tcPr>
            <w:tcW w:w="0" w:type="auto"/>
            <w:tcBorders>
              <w:bottom w:val="single" w:sz="4" w:space="0" w:color="auto"/>
            </w:tcBorders>
            <w:shd w:val="clear" w:color="auto" w:fill="auto"/>
          </w:tcPr>
          <w:p w14:paraId="0EDE788D" w14:textId="19DAC797" w:rsidR="00B502E1" w:rsidRPr="00B502E1" w:rsidRDefault="00B502E1" w:rsidP="00F251E9">
            <w:pPr>
              <w:pStyle w:val="Tablewriting"/>
              <w:jc w:val="center"/>
              <w:rPr>
                <w:highlight w:val="black"/>
              </w:rPr>
            </w:pPr>
            <w:r w:rsidRPr="00B502E1">
              <w:rPr>
                <w:highlight w:val="black"/>
              </w:rPr>
              <w:t>xxx</w:t>
            </w:r>
          </w:p>
        </w:tc>
        <w:tc>
          <w:tcPr>
            <w:tcW w:w="0" w:type="auto"/>
            <w:tcBorders>
              <w:bottom w:val="single" w:sz="4" w:space="0" w:color="auto"/>
            </w:tcBorders>
            <w:shd w:val="clear" w:color="auto" w:fill="auto"/>
          </w:tcPr>
          <w:p w14:paraId="07C3826E" w14:textId="024BB835" w:rsidR="00B502E1" w:rsidRPr="00B502E1" w:rsidRDefault="00B502E1" w:rsidP="00F251E9">
            <w:pPr>
              <w:pStyle w:val="Tablewriting"/>
              <w:jc w:val="center"/>
              <w:rPr>
                <w:highlight w:val="black"/>
              </w:rPr>
            </w:pPr>
            <w:r w:rsidRPr="00B502E1">
              <w:rPr>
                <w:highlight w:val="black"/>
              </w:rPr>
              <w:t>xxx</w:t>
            </w:r>
          </w:p>
        </w:tc>
        <w:tc>
          <w:tcPr>
            <w:tcW w:w="0" w:type="auto"/>
            <w:tcBorders>
              <w:bottom w:val="single" w:sz="4" w:space="0" w:color="auto"/>
            </w:tcBorders>
            <w:shd w:val="clear" w:color="auto" w:fill="auto"/>
          </w:tcPr>
          <w:p w14:paraId="726F7B31" w14:textId="7DEA2800" w:rsidR="00B502E1" w:rsidRPr="00B502E1" w:rsidRDefault="00B502E1" w:rsidP="00F251E9">
            <w:pPr>
              <w:pStyle w:val="Tablewriting"/>
              <w:jc w:val="center"/>
              <w:rPr>
                <w:highlight w:val="black"/>
              </w:rPr>
            </w:pPr>
            <w:r w:rsidRPr="00B502E1">
              <w:rPr>
                <w:highlight w:val="black"/>
              </w:rPr>
              <w:t>xxx</w:t>
            </w:r>
          </w:p>
        </w:tc>
        <w:tc>
          <w:tcPr>
            <w:tcW w:w="0" w:type="auto"/>
            <w:tcBorders>
              <w:bottom w:val="single" w:sz="4" w:space="0" w:color="auto"/>
            </w:tcBorders>
            <w:shd w:val="clear" w:color="auto" w:fill="auto"/>
          </w:tcPr>
          <w:p w14:paraId="39D600B6" w14:textId="729094A7" w:rsidR="00B502E1" w:rsidRPr="00B502E1" w:rsidRDefault="00B502E1" w:rsidP="00F251E9">
            <w:pPr>
              <w:pStyle w:val="Tablewriting"/>
              <w:jc w:val="center"/>
              <w:rPr>
                <w:highlight w:val="black"/>
              </w:rPr>
            </w:pPr>
            <w:r w:rsidRPr="00B502E1">
              <w:rPr>
                <w:highlight w:val="black"/>
              </w:rPr>
              <w:t>xxx</w:t>
            </w:r>
          </w:p>
        </w:tc>
        <w:tc>
          <w:tcPr>
            <w:tcW w:w="0" w:type="auto"/>
            <w:tcBorders>
              <w:bottom w:val="single" w:sz="4" w:space="0" w:color="auto"/>
            </w:tcBorders>
            <w:shd w:val="clear" w:color="auto" w:fill="auto"/>
            <w:vAlign w:val="center"/>
          </w:tcPr>
          <w:p w14:paraId="61E60DF9" w14:textId="0AE23504" w:rsidR="00B502E1" w:rsidRPr="00B502E1" w:rsidRDefault="00B502E1" w:rsidP="00F251E9">
            <w:pPr>
              <w:pStyle w:val="Tablewriting"/>
              <w:jc w:val="center"/>
              <w:rPr>
                <w:highlight w:val="black"/>
              </w:rPr>
            </w:pPr>
            <w:r w:rsidRPr="00B502E1">
              <w:rPr>
                <w:highlight w:val="black"/>
              </w:rPr>
              <w:t>xxx</w:t>
            </w:r>
          </w:p>
        </w:tc>
      </w:tr>
      <w:tr w:rsidR="001D3F5D" w:rsidRPr="00E42263" w14:paraId="1AD12608" w14:textId="77777777" w:rsidTr="00910C5F">
        <w:trPr>
          <w:tblHeader/>
        </w:trPr>
        <w:tc>
          <w:tcPr>
            <w:tcW w:w="0" w:type="auto"/>
            <w:tcBorders>
              <w:right w:val="nil"/>
            </w:tcBorders>
            <w:shd w:val="clear" w:color="auto" w:fill="auto"/>
            <w:vAlign w:val="center"/>
          </w:tcPr>
          <w:p w14:paraId="57E33F7A" w14:textId="77777777" w:rsidR="001D3F5D" w:rsidRPr="00E42263" w:rsidRDefault="001D3F5D" w:rsidP="00F251E9">
            <w:pPr>
              <w:pStyle w:val="Tablewriting"/>
              <w:rPr>
                <w:b/>
              </w:rPr>
            </w:pPr>
            <w:r w:rsidRPr="00E42263">
              <w:rPr>
                <w:b/>
              </w:rPr>
              <w:t>Neutropenia and GVHD patients</w:t>
            </w:r>
          </w:p>
        </w:tc>
        <w:tc>
          <w:tcPr>
            <w:tcW w:w="0" w:type="auto"/>
            <w:tcBorders>
              <w:left w:val="nil"/>
              <w:right w:val="nil"/>
            </w:tcBorders>
            <w:shd w:val="clear" w:color="auto" w:fill="auto"/>
            <w:vAlign w:val="center"/>
          </w:tcPr>
          <w:p w14:paraId="440712B9" w14:textId="77777777" w:rsidR="001D3F5D" w:rsidRPr="00E42263" w:rsidRDefault="001D3F5D" w:rsidP="00F251E9">
            <w:pPr>
              <w:pStyle w:val="Tablewriting"/>
              <w:jc w:val="center"/>
            </w:pPr>
          </w:p>
        </w:tc>
        <w:tc>
          <w:tcPr>
            <w:tcW w:w="0" w:type="auto"/>
            <w:tcBorders>
              <w:left w:val="nil"/>
              <w:right w:val="nil"/>
            </w:tcBorders>
            <w:shd w:val="clear" w:color="auto" w:fill="auto"/>
            <w:vAlign w:val="center"/>
          </w:tcPr>
          <w:p w14:paraId="5E661028" w14:textId="77777777" w:rsidR="001D3F5D" w:rsidRPr="00E42263" w:rsidRDefault="001D3F5D" w:rsidP="00F251E9">
            <w:pPr>
              <w:pStyle w:val="Tablewriting"/>
              <w:jc w:val="center"/>
            </w:pPr>
          </w:p>
        </w:tc>
        <w:tc>
          <w:tcPr>
            <w:tcW w:w="0" w:type="auto"/>
            <w:tcBorders>
              <w:left w:val="nil"/>
              <w:right w:val="nil"/>
            </w:tcBorders>
            <w:shd w:val="clear" w:color="auto" w:fill="auto"/>
            <w:vAlign w:val="center"/>
          </w:tcPr>
          <w:p w14:paraId="0C86BD47" w14:textId="77777777" w:rsidR="001D3F5D" w:rsidRPr="00E42263" w:rsidRDefault="001D3F5D" w:rsidP="00F251E9">
            <w:pPr>
              <w:pStyle w:val="Tablewriting"/>
              <w:jc w:val="center"/>
            </w:pPr>
          </w:p>
        </w:tc>
        <w:tc>
          <w:tcPr>
            <w:tcW w:w="0" w:type="auto"/>
            <w:tcBorders>
              <w:left w:val="nil"/>
              <w:right w:val="nil"/>
            </w:tcBorders>
            <w:shd w:val="clear" w:color="auto" w:fill="auto"/>
            <w:vAlign w:val="center"/>
          </w:tcPr>
          <w:p w14:paraId="2818121A" w14:textId="77777777" w:rsidR="001D3F5D" w:rsidRPr="00E42263" w:rsidRDefault="001D3F5D" w:rsidP="00F251E9">
            <w:pPr>
              <w:pStyle w:val="Tablewriting"/>
              <w:jc w:val="center"/>
            </w:pPr>
          </w:p>
        </w:tc>
        <w:tc>
          <w:tcPr>
            <w:tcW w:w="0" w:type="auto"/>
            <w:tcBorders>
              <w:left w:val="nil"/>
            </w:tcBorders>
            <w:shd w:val="clear" w:color="auto" w:fill="auto"/>
            <w:vAlign w:val="center"/>
          </w:tcPr>
          <w:p w14:paraId="3E7B49F6" w14:textId="77777777" w:rsidR="001D3F5D" w:rsidRPr="00E42263" w:rsidRDefault="001D3F5D" w:rsidP="00F251E9">
            <w:pPr>
              <w:pStyle w:val="Tablewriting"/>
              <w:jc w:val="center"/>
            </w:pPr>
          </w:p>
        </w:tc>
      </w:tr>
      <w:tr w:rsidR="001D3F5D" w:rsidRPr="00E42263" w14:paraId="6C0E8783" w14:textId="77777777" w:rsidTr="00F251E9">
        <w:trPr>
          <w:tblHeader/>
        </w:trPr>
        <w:tc>
          <w:tcPr>
            <w:tcW w:w="0" w:type="auto"/>
            <w:shd w:val="clear" w:color="auto" w:fill="auto"/>
            <w:vAlign w:val="center"/>
          </w:tcPr>
          <w:p w14:paraId="64ACB534" w14:textId="77777777" w:rsidR="001D3F5D" w:rsidRPr="00E42263" w:rsidRDefault="001D3F5D" w:rsidP="00F251E9">
            <w:pPr>
              <w:pStyle w:val="Tablewriting"/>
            </w:pPr>
            <w:r w:rsidRPr="00E42263">
              <w:t xml:space="preserve">PBS </w:t>
            </w:r>
            <w:proofErr w:type="spellStart"/>
            <w:r w:rsidRPr="00E42263">
              <w:t>posaconazole</w:t>
            </w:r>
            <w:proofErr w:type="spellEnd"/>
            <w:r w:rsidRPr="00E42263">
              <w:t xml:space="preserve"> services (prescriptions)</w:t>
            </w:r>
          </w:p>
        </w:tc>
        <w:tc>
          <w:tcPr>
            <w:tcW w:w="0" w:type="auto"/>
            <w:shd w:val="clear" w:color="auto" w:fill="auto"/>
            <w:vAlign w:val="center"/>
          </w:tcPr>
          <w:p w14:paraId="50B083DA" w14:textId="77777777" w:rsidR="001D3F5D" w:rsidRPr="00E42263" w:rsidRDefault="001D3F5D" w:rsidP="00F251E9">
            <w:pPr>
              <w:pStyle w:val="Tablewriting"/>
              <w:jc w:val="center"/>
            </w:pPr>
            <w:r w:rsidRPr="00E42263">
              <w:t>4,735</w:t>
            </w:r>
          </w:p>
        </w:tc>
        <w:tc>
          <w:tcPr>
            <w:tcW w:w="0" w:type="auto"/>
            <w:shd w:val="clear" w:color="auto" w:fill="auto"/>
            <w:vAlign w:val="center"/>
          </w:tcPr>
          <w:p w14:paraId="1EBF149E" w14:textId="77777777" w:rsidR="001D3F5D" w:rsidRPr="00E42263" w:rsidRDefault="001D3F5D" w:rsidP="00F251E9">
            <w:pPr>
              <w:pStyle w:val="Tablewriting"/>
              <w:jc w:val="center"/>
            </w:pPr>
            <w:r w:rsidRPr="00E42263">
              <w:t>5,067</w:t>
            </w:r>
          </w:p>
        </w:tc>
        <w:tc>
          <w:tcPr>
            <w:tcW w:w="0" w:type="auto"/>
            <w:shd w:val="clear" w:color="auto" w:fill="auto"/>
            <w:vAlign w:val="center"/>
          </w:tcPr>
          <w:p w14:paraId="2386C3BF" w14:textId="77777777" w:rsidR="001D3F5D" w:rsidRPr="00E42263" w:rsidRDefault="001D3F5D" w:rsidP="00F251E9">
            <w:pPr>
              <w:pStyle w:val="Tablewriting"/>
              <w:jc w:val="center"/>
            </w:pPr>
            <w:r w:rsidRPr="00E42263">
              <w:t>5,321</w:t>
            </w:r>
          </w:p>
        </w:tc>
        <w:tc>
          <w:tcPr>
            <w:tcW w:w="0" w:type="auto"/>
            <w:shd w:val="clear" w:color="auto" w:fill="auto"/>
            <w:vAlign w:val="center"/>
          </w:tcPr>
          <w:p w14:paraId="041041C5" w14:textId="77777777" w:rsidR="001D3F5D" w:rsidRPr="00E42263" w:rsidRDefault="001D3F5D" w:rsidP="00F251E9">
            <w:pPr>
              <w:pStyle w:val="Tablewriting"/>
              <w:jc w:val="center"/>
            </w:pPr>
            <w:r w:rsidRPr="00E42263">
              <w:t>5,588</w:t>
            </w:r>
          </w:p>
        </w:tc>
        <w:tc>
          <w:tcPr>
            <w:tcW w:w="0" w:type="auto"/>
            <w:shd w:val="clear" w:color="auto" w:fill="auto"/>
            <w:vAlign w:val="center"/>
          </w:tcPr>
          <w:p w14:paraId="7EB7CBB3" w14:textId="77777777" w:rsidR="001D3F5D" w:rsidRPr="00E42263" w:rsidRDefault="001D3F5D" w:rsidP="00F251E9">
            <w:pPr>
              <w:pStyle w:val="Tablewriting"/>
              <w:jc w:val="center"/>
            </w:pPr>
            <w:r w:rsidRPr="00E42263">
              <w:t>5,868</w:t>
            </w:r>
          </w:p>
        </w:tc>
      </w:tr>
      <w:tr w:rsidR="001D3F5D" w:rsidRPr="00E42263" w14:paraId="21670C27" w14:textId="77777777" w:rsidTr="00F251E9">
        <w:trPr>
          <w:tblHeader/>
        </w:trPr>
        <w:tc>
          <w:tcPr>
            <w:tcW w:w="0" w:type="auto"/>
            <w:shd w:val="clear" w:color="auto" w:fill="auto"/>
            <w:vAlign w:val="center"/>
          </w:tcPr>
          <w:p w14:paraId="0471A59A" w14:textId="77777777" w:rsidR="001D3F5D" w:rsidRPr="00E42263" w:rsidRDefault="001D3F5D" w:rsidP="00F251E9">
            <w:pPr>
              <w:pStyle w:val="Tablewriting"/>
            </w:pPr>
            <w:proofErr w:type="spellStart"/>
            <w:r w:rsidRPr="00E42263">
              <w:t>Posaconazole</w:t>
            </w:r>
            <w:proofErr w:type="spellEnd"/>
            <w:r w:rsidRPr="00E42263">
              <w:t xml:space="preserve"> treatment months</w:t>
            </w:r>
          </w:p>
        </w:tc>
        <w:tc>
          <w:tcPr>
            <w:tcW w:w="0" w:type="auto"/>
            <w:shd w:val="clear" w:color="auto" w:fill="auto"/>
            <w:vAlign w:val="center"/>
          </w:tcPr>
          <w:p w14:paraId="16EAC5E9" w14:textId="77777777" w:rsidR="001D3F5D" w:rsidRPr="00E42263" w:rsidRDefault="001D3F5D" w:rsidP="00F251E9">
            <w:pPr>
              <w:pStyle w:val="Tablewriting"/>
              <w:jc w:val="center"/>
            </w:pPr>
            <w:r w:rsidRPr="00E42263">
              <w:t>3,551</w:t>
            </w:r>
          </w:p>
        </w:tc>
        <w:tc>
          <w:tcPr>
            <w:tcW w:w="0" w:type="auto"/>
            <w:shd w:val="clear" w:color="auto" w:fill="auto"/>
            <w:vAlign w:val="center"/>
          </w:tcPr>
          <w:p w14:paraId="47B741A1" w14:textId="77777777" w:rsidR="001D3F5D" w:rsidRPr="00E42263" w:rsidRDefault="001D3F5D" w:rsidP="00F251E9">
            <w:pPr>
              <w:pStyle w:val="Tablewriting"/>
              <w:jc w:val="center"/>
            </w:pPr>
            <w:r w:rsidRPr="00E42263">
              <w:t>3,800</w:t>
            </w:r>
          </w:p>
        </w:tc>
        <w:tc>
          <w:tcPr>
            <w:tcW w:w="0" w:type="auto"/>
            <w:shd w:val="clear" w:color="auto" w:fill="auto"/>
            <w:vAlign w:val="center"/>
          </w:tcPr>
          <w:p w14:paraId="5C5D89FD" w14:textId="77777777" w:rsidR="001D3F5D" w:rsidRPr="00E42263" w:rsidRDefault="001D3F5D" w:rsidP="00F251E9">
            <w:pPr>
              <w:pStyle w:val="Tablewriting"/>
              <w:jc w:val="center"/>
            </w:pPr>
            <w:r w:rsidRPr="00E42263">
              <w:t>3,991</w:t>
            </w:r>
          </w:p>
        </w:tc>
        <w:tc>
          <w:tcPr>
            <w:tcW w:w="0" w:type="auto"/>
            <w:shd w:val="clear" w:color="auto" w:fill="auto"/>
            <w:vAlign w:val="center"/>
          </w:tcPr>
          <w:p w14:paraId="0B839A36" w14:textId="77777777" w:rsidR="001D3F5D" w:rsidRPr="00E42263" w:rsidRDefault="001D3F5D" w:rsidP="00F251E9">
            <w:pPr>
              <w:pStyle w:val="Tablewriting"/>
              <w:jc w:val="center"/>
            </w:pPr>
            <w:r w:rsidRPr="00E42263">
              <w:t>4,191</w:t>
            </w:r>
          </w:p>
        </w:tc>
        <w:tc>
          <w:tcPr>
            <w:tcW w:w="0" w:type="auto"/>
            <w:shd w:val="clear" w:color="auto" w:fill="auto"/>
            <w:vAlign w:val="center"/>
          </w:tcPr>
          <w:p w14:paraId="52BFC14A" w14:textId="77777777" w:rsidR="001D3F5D" w:rsidRPr="00E42263" w:rsidRDefault="001D3F5D" w:rsidP="00F251E9">
            <w:pPr>
              <w:pStyle w:val="Tablewriting"/>
              <w:jc w:val="center"/>
            </w:pPr>
            <w:r w:rsidRPr="00E42263">
              <w:t>4,401</w:t>
            </w:r>
          </w:p>
        </w:tc>
      </w:tr>
      <w:tr w:rsidR="001D3F5D" w:rsidRPr="000A6392" w14:paraId="3D238566" w14:textId="77777777" w:rsidTr="00F251E9">
        <w:trPr>
          <w:tblHeader/>
        </w:trPr>
        <w:tc>
          <w:tcPr>
            <w:tcW w:w="0" w:type="auto"/>
            <w:shd w:val="clear" w:color="auto" w:fill="auto"/>
            <w:vAlign w:val="center"/>
          </w:tcPr>
          <w:p w14:paraId="0949E699" w14:textId="77777777" w:rsidR="001D3F5D" w:rsidRPr="00B502E1" w:rsidRDefault="001D3F5D" w:rsidP="00F251E9">
            <w:pPr>
              <w:pStyle w:val="Tablewriting"/>
            </w:pPr>
            <w:proofErr w:type="spellStart"/>
            <w:r w:rsidRPr="000A6392">
              <w:t>Voriconazole</w:t>
            </w:r>
            <w:proofErr w:type="spellEnd"/>
            <w:r w:rsidRPr="000A6392">
              <w:t xml:space="preserve"> prescriptions for prophylaxis</w:t>
            </w:r>
          </w:p>
        </w:tc>
        <w:tc>
          <w:tcPr>
            <w:tcW w:w="0" w:type="auto"/>
            <w:shd w:val="clear" w:color="auto" w:fill="auto"/>
            <w:vAlign w:val="center"/>
          </w:tcPr>
          <w:p w14:paraId="7320386C" w14:textId="57F4E789" w:rsidR="001D3F5D"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362173F5" w14:textId="7DB52FCF" w:rsidR="001D3F5D"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3C6A470F" w14:textId="0BDB2D03" w:rsidR="001D3F5D"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5434E81C" w14:textId="15470A91" w:rsidR="001D3F5D"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0CB955F6" w14:textId="302878CE" w:rsidR="001D3F5D" w:rsidRPr="00B502E1" w:rsidRDefault="00B502E1" w:rsidP="00F251E9">
            <w:pPr>
              <w:pStyle w:val="Tablewriting"/>
              <w:jc w:val="center"/>
              <w:rPr>
                <w:highlight w:val="black"/>
              </w:rPr>
            </w:pPr>
            <w:proofErr w:type="spellStart"/>
            <w:r w:rsidRPr="00B502E1">
              <w:rPr>
                <w:highlight w:val="black"/>
              </w:rPr>
              <w:t>xxxxx</w:t>
            </w:r>
            <w:proofErr w:type="spellEnd"/>
          </w:p>
        </w:tc>
      </w:tr>
      <w:tr w:rsidR="00B502E1" w:rsidRPr="000A6392" w14:paraId="58F858ED" w14:textId="77777777" w:rsidTr="00F251E9">
        <w:trPr>
          <w:tblHeader/>
        </w:trPr>
        <w:tc>
          <w:tcPr>
            <w:tcW w:w="0" w:type="auto"/>
            <w:shd w:val="clear" w:color="auto" w:fill="auto"/>
            <w:vAlign w:val="center"/>
          </w:tcPr>
          <w:p w14:paraId="16C17B64" w14:textId="77777777" w:rsidR="00B502E1" w:rsidRPr="00B502E1" w:rsidRDefault="00B502E1" w:rsidP="00F251E9">
            <w:pPr>
              <w:pStyle w:val="Tablewriting"/>
              <w:rPr>
                <w:b/>
              </w:rPr>
            </w:pPr>
            <w:r w:rsidRPr="000A6392">
              <w:rPr>
                <w:b/>
              </w:rPr>
              <w:t xml:space="preserve">Total </w:t>
            </w:r>
            <w:proofErr w:type="spellStart"/>
            <w:r w:rsidRPr="000A6392">
              <w:rPr>
                <w:b/>
              </w:rPr>
              <w:t>voriconazole</w:t>
            </w:r>
            <w:proofErr w:type="spellEnd"/>
            <w:r w:rsidRPr="000A6392">
              <w:rPr>
                <w:b/>
              </w:rPr>
              <w:t xml:space="preserve"> prophylaxis prescriptions</w:t>
            </w:r>
          </w:p>
        </w:tc>
        <w:tc>
          <w:tcPr>
            <w:tcW w:w="0" w:type="auto"/>
            <w:shd w:val="clear" w:color="auto" w:fill="auto"/>
            <w:vAlign w:val="center"/>
          </w:tcPr>
          <w:p w14:paraId="17A75CEF" w14:textId="32C0D5C6" w:rsidR="00B502E1"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0AA4F9BF" w14:textId="68EF1D29" w:rsidR="00B502E1"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760DBB59" w14:textId="56DDAFEF" w:rsidR="00B502E1"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07D9308F" w14:textId="27DAEBB2" w:rsidR="00B502E1" w:rsidRPr="00B502E1" w:rsidRDefault="00B502E1" w:rsidP="00F251E9">
            <w:pPr>
              <w:pStyle w:val="Tablewriting"/>
              <w:jc w:val="center"/>
              <w:rPr>
                <w:highlight w:val="black"/>
              </w:rPr>
            </w:pPr>
            <w:proofErr w:type="spellStart"/>
            <w:r w:rsidRPr="00B502E1">
              <w:rPr>
                <w:highlight w:val="black"/>
              </w:rPr>
              <w:t>xxxxx</w:t>
            </w:r>
            <w:proofErr w:type="spellEnd"/>
          </w:p>
        </w:tc>
        <w:tc>
          <w:tcPr>
            <w:tcW w:w="0" w:type="auto"/>
            <w:shd w:val="clear" w:color="auto" w:fill="auto"/>
            <w:vAlign w:val="center"/>
          </w:tcPr>
          <w:p w14:paraId="32288EBB" w14:textId="10DEEFCC" w:rsidR="00B502E1" w:rsidRPr="00B502E1" w:rsidRDefault="00B502E1" w:rsidP="00F251E9">
            <w:pPr>
              <w:pStyle w:val="Tablewriting"/>
              <w:jc w:val="center"/>
              <w:rPr>
                <w:highlight w:val="black"/>
              </w:rPr>
            </w:pPr>
            <w:proofErr w:type="spellStart"/>
            <w:r w:rsidRPr="00B502E1">
              <w:rPr>
                <w:highlight w:val="black"/>
              </w:rPr>
              <w:t>xxxxx</w:t>
            </w:r>
            <w:proofErr w:type="spellEnd"/>
          </w:p>
        </w:tc>
      </w:tr>
      <w:tr w:rsidR="001D3F5D" w:rsidRPr="00E42263" w14:paraId="0919C121" w14:textId="77777777" w:rsidTr="00F251E9">
        <w:trPr>
          <w:trHeight w:val="460"/>
          <w:tblHeader/>
        </w:trPr>
        <w:tc>
          <w:tcPr>
            <w:tcW w:w="0" w:type="auto"/>
            <w:shd w:val="clear" w:color="auto" w:fill="auto"/>
            <w:vAlign w:val="center"/>
          </w:tcPr>
          <w:p w14:paraId="4A785064" w14:textId="77777777" w:rsidR="001D3F5D" w:rsidRPr="00E42263" w:rsidRDefault="001D3F5D" w:rsidP="00F251E9">
            <w:pPr>
              <w:pStyle w:val="Tablewriting"/>
            </w:pPr>
            <w:r w:rsidRPr="00E42263">
              <w:t>Total cost (DPMQ)</w:t>
            </w:r>
          </w:p>
        </w:tc>
        <w:tc>
          <w:tcPr>
            <w:tcW w:w="0" w:type="auto"/>
            <w:shd w:val="clear" w:color="auto" w:fill="auto"/>
            <w:vAlign w:val="center"/>
          </w:tcPr>
          <w:p w14:paraId="04B0F36F" w14:textId="77777777" w:rsidR="001D3F5D" w:rsidRPr="00E42263" w:rsidRDefault="001D3F5D" w:rsidP="00F251E9">
            <w:pPr>
              <w:pStyle w:val="Tablewriting"/>
              <w:jc w:val="right"/>
            </w:pPr>
            <w:r w:rsidRPr="00E42263">
              <w:t xml:space="preserve">$5,236,308 </w:t>
            </w:r>
          </w:p>
        </w:tc>
        <w:tc>
          <w:tcPr>
            <w:tcW w:w="0" w:type="auto"/>
            <w:shd w:val="clear" w:color="auto" w:fill="auto"/>
            <w:vAlign w:val="center"/>
          </w:tcPr>
          <w:p w14:paraId="13779A68" w14:textId="77777777" w:rsidR="001D3F5D" w:rsidRPr="00E42263" w:rsidRDefault="001D3F5D" w:rsidP="00F251E9">
            <w:pPr>
              <w:pStyle w:val="Tablewriting"/>
              <w:jc w:val="right"/>
            </w:pPr>
            <w:r w:rsidRPr="00E42263">
              <w:t xml:space="preserve">$6,422,840 </w:t>
            </w:r>
          </w:p>
        </w:tc>
        <w:tc>
          <w:tcPr>
            <w:tcW w:w="0" w:type="auto"/>
            <w:shd w:val="clear" w:color="auto" w:fill="auto"/>
            <w:vAlign w:val="center"/>
          </w:tcPr>
          <w:p w14:paraId="6E6B3A48" w14:textId="77777777" w:rsidR="001D3F5D" w:rsidRPr="00E42263" w:rsidRDefault="001D3F5D" w:rsidP="00F251E9">
            <w:pPr>
              <w:pStyle w:val="Tablewriting"/>
              <w:jc w:val="center"/>
            </w:pPr>
            <w:r w:rsidRPr="00E42263">
              <w:t xml:space="preserve">$7,356,919 </w:t>
            </w:r>
          </w:p>
        </w:tc>
        <w:tc>
          <w:tcPr>
            <w:tcW w:w="0" w:type="auto"/>
            <w:shd w:val="clear" w:color="auto" w:fill="auto"/>
            <w:vAlign w:val="center"/>
          </w:tcPr>
          <w:p w14:paraId="22A7C655" w14:textId="77777777" w:rsidR="001D3F5D" w:rsidRPr="00E42263" w:rsidRDefault="001D3F5D" w:rsidP="00F251E9">
            <w:pPr>
              <w:pStyle w:val="Tablewriting"/>
              <w:jc w:val="center"/>
            </w:pPr>
            <w:r w:rsidRPr="00E42263">
              <w:t xml:space="preserve">$7,693,523 </w:t>
            </w:r>
          </w:p>
        </w:tc>
        <w:tc>
          <w:tcPr>
            <w:tcW w:w="0" w:type="auto"/>
            <w:shd w:val="clear" w:color="auto" w:fill="auto"/>
            <w:vAlign w:val="center"/>
          </w:tcPr>
          <w:p w14:paraId="19706D31" w14:textId="77777777" w:rsidR="001D3F5D" w:rsidRPr="00E42263" w:rsidRDefault="001D3F5D" w:rsidP="00F251E9">
            <w:pPr>
              <w:pStyle w:val="Tablewriting"/>
              <w:jc w:val="center"/>
            </w:pPr>
            <w:r w:rsidRPr="00E42263">
              <w:t xml:space="preserve">$8,046,959 </w:t>
            </w:r>
          </w:p>
        </w:tc>
      </w:tr>
      <w:tr w:rsidR="001D3F5D" w:rsidRPr="00E42263" w14:paraId="67CF9F9F" w14:textId="77777777" w:rsidTr="00F251E9">
        <w:trPr>
          <w:tblHeader/>
        </w:trPr>
        <w:tc>
          <w:tcPr>
            <w:tcW w:w="0" w:type="auto"/>
            <w:shd w:val="clear" w:color="auto" w:fill="auto"/>
            <w:vAlign w:val="center"/>
          </w:tcPr>
          <w:p w14:paraId="3C12B7AD" w14:textId="77777777" w:rsidR="001D3F5D" w:rsidRPr="00E42263" w:rsidRDefault="001D3F5D" w:rsidP="00F251E9">
            <w:pPr>
              <w:pStyle w:val="Tablewriting"/>
            </w:pPr>
            <w:r w:rsidRPr="00E42263">
              <w:t>Patient co</w:t>
            </w:r>
            <w:r w:rsidRPr="00E42263">
              <w:noBreakHyphen/>
              <w:t>payments</w:t>
            </w:r>
          </w:p>
        </w:tc>
        <w:tc>
          <w:tcPr>
            <w:tcW w:w="0" w:type="auto"/>
            <w:shd w:val="clear" w:color="auto" w:fill="auto"/>
            <w:vAlign w:val="center"/>
          </w:tcPr>
          <w:p w14:paraId="351D3387" w14:textId="77777777" w:rsidR="001D3F5D" w:rsidRPr="00E42263" w:rsidRDefault="001D3F5D" w:rsidP="00F251E9">
            <w:pPr>
              <w:pStyle w:val="Tablewriting"/>
              <w:jc w:val="right"/>
            </w:pPr>
            <w:r w:rsidRPr="00E42263">
              <w:t xml:space="preserve"> $35,766 </w:t>
            </w:r>
          </w:p>
        </w:tc>
        <w:tc>
          <w:tcPr>
            <w:tcW w:w="0" w:type="auto"/>
            <w:shd w:val="clear" w:color="auto" w:fill="auto"/>
            <w:vAlign w:val="center"/>
          </w:tcPr>
          <w:p w14:paraId="3C4E870D" w14:textId="77777777" w:rsidR="001D3F5D" w:rsidRPr="00E42263" w:rsidRDefault="001D3F5D" w:rsidP="00F251E9">
            <w:pPr>
              <w:pStyle w:val="Tablewriting"/>
              <w:jc w:val="right"/>
            </w:pPr>
            <w:r w:rsidRPr="00E42263">
              <w:t xml:space="preserve"> $43,870 </w:t>
            </w:r>
          </w:p>
        </w:tc>
        <w:tc>
          <w:tcPr>
            <w:tcW w:w="0" w:type="auto"/>
            <w:shd w:val="clear" w:color="auto" w:fill="auto"/>
            <w:vAlign w:val="center"/>
          </w:tcPr>
          <w:p w14:paraId="2B9FE2BA" w14:textId="77777777" w:rsidR="001D3F5D" w:rsidRPr="00E42263" w:rsidRDefault="001D3F5D" w:rsidP="00F251E9">
            <w:pPr>
              <w:pStyle w:val="Tablewriting"/>
              <w:jc w:val="right"/>
            </w:pPr>
            <w:r w:rsidRPr="00E42263">
              <w:t xml:space="preserve"> $50,250 </w:t>
            </w:r>
          </w:p>
        </w:tc>
        <w:tc>
          <w:tcPr>
            <w:tcW w:w="0" w:type="auto"/>
            <w:shd w:val="clear" w:color="auto" w:fill="auto"/>
            <w:vAlign w:val="center"/>
          </w:tcPr>
          <w:p w14:paraId="2FC9CDB7" w14:textId="77777777" w:rsidR="001D3F5D" w:rsidRPr="00E42263" w:rsidRDefault="001D3F5D" w:rsidP="00F251E9">
            <w:pPr>
              <w:pStyle w:val="Tablewriting"/>
              <w:jc w:val="right"/>
            </w:pPr>
            <w:r w:rsidRPr="00E42263">
              <w:t xml:space="preserve"> $52,549 </w:t>
            </w:r>
          </w:p>
        </w:tc>
        <w:tc>
          <w:tcPr>
            <w:tcW w:w="0" w:type="auto"/>
            <w:shd w:val="clear" w:color="auto" w:fill="auto"/>
            <w:vAlign w:val="center"/>
          </w:tcPr>
          <w:p w14:paraId="6BE5BEA5" w14:textId="77777777" w:rsidR="001D3F5D" w:rsidRPr="00E42263" w:rsidRDefault="001D3F5D" w:rsidP="00F251E9">
            <w:pPr>
              <w:pStyle w:val="Tablewriting"/>
              <w:jc w:val="right"/>
            </w:pPr>
            <w:r w:rsidRPr="00E42263">
              <w:t xml:space="preserve"> $54,963 </w:t>
            </w:r>
          </w:p>
        </w:tc>
      </w:tr>
      <w:tr w:rsidR="001D3F5D" w:rsidRPr="00E42263" w14:paraId="3447F2F8" w14:textId="77777777" w:rsidTr="00F251E9">
        <w:trPr>
          <w:trHeight w:val="305"/>
          <w:tblHeader/>
        </w:trPr>
        <w:tc>
          <w:tcPr>
            <w:tcW w:w="0" w:type="auto"/>
            <w:shd w:val="clear" w:color="auto" w:fill="auto"/>
            <w:vAlign w:val="center"/>
          </w:tcPr>
          <w:p w14:paraId="232B9551" w14:textId="77777777" w:rsidR="001D3F5D" w:rsidRPr="00E42263" w:rsidRDefault="001D3F5D" w:rsidP="00F251E9">
            <w:pPr>
              <w:pStyle w:val="Tablewriting"/>
            </w:pPr>
            <w:r w:rsidRPr="00E42263">
              <w:t>Net cost to government</w:t>
            </w:r>
          </w:p>
        </w:tc>
        <w:tc>
          <w:tcPr>
            <w:tcW w:w="0" w:type="auto"/>
            <w:shd w:val="clear" w:color="auto" w:fill="auto"/>
            <w:vAlign w:val="center"/>
          </w:tcPr>
          <w:p w14:paraId="5A0C163F" w14:textId="77777777" w:rsidR="001D3F5D" w:rsidRPr="00E42263" w:rsidRDefault="001D3F5D" w:rsidP="00F251E9">
            <w:pPr>
              <w:pStyle w:val="Tablewriting"/>
              <w:jc w:val="center"/>
            </w:pPr>
            <w:r w:rsidRPr="00E42263">
              <w:t xml:space="preserve">$5,200,543 </w:t>
            </w:r>
          </w:p>
        </w:tc>
        <w:tc>
          <w:tcPr>
            <w:tcW w:w="0" w:type="auto"/>
            <w:shd w:val="clear" w:color="auto" w:fill="auto"/>
            <w:vAlign w:val="center"/>
          </w:tcPr>
          <w:p w14:paraId="1CBE5637" w14:textId="77777777" w:rsidR="001D3F5D" w:rsidRPr="00E42263" w:rsidRDefault="001D3F5D" w:rsidP="00F251E9">
            <w:pPr>
              <w:pStyle w:val="Tablewriting"/>
              <w:jc w:val="center"/>
            </w:pPr>
            <w:r w:rsidRPr="00E42263">
              <w:t xml:space="preserve">$6,378,970 </w:t>
            </w:r>
          </w:p>
        </w:tc>
        <w:tc>
          <w:tcPr>
            <w:tcW w:w="0" w:type="auto"/>
            <w:shd w:val="clear" w:color="auto" w:fill="auto"/>
            <w:vAlign w:val="center"/>
          </w:tcPr>
          <w:p w14:paraId="4CFE41F7" w14:textId="77777777" w:rsidR="001D3F5D" w:rsidRPr="00E42263" w:rsidRDefault="001D3F5D" w:rsidP="00F251E9">
            <w:pPr>
              <w:pStyle w:val="Tablewriting"/>
              <w:jc w:val="center"/>
            </w:pPr>
            <w:r w:rsidRPr="00E42263">
              <w:t xml:space="preserve">$7,306,669 </w:t>
            </w:r>
          </w:p>
        </w:tc>
        <w:tc>
          <w:tcPr>
            <w:tcW w:w="0" w:type="auto"/>
            <w:shd w:val="clear" w:color="auto" w:fill="auto"/>
            <w:vAlign w:val="center"/>
          </w:tcPr>
          <w:p w14:paraId="51356D3B" w14:textId="77777777" w:rsidR="001D3F5D" w:rsidRPr="00E42263" w:rsidRDefault="001D3F5D" w:rsidP="00F251E9">
            <w:pPr>
              <w:pStyle w:val="Tablewriting"/>
              <w:jc w:val="center"/>
            </w:pPr>
            <w:r w:rsidRPr="00E42263">
              <w:t xml:space="preserve">$7,640,974 </w:t>
            </w:r>
          </w:p>
        </w:tc>
        <w:tc>
          <w:tcPr>
            <w:tcW w:w="0" w:type="auto"/>
            <w:shd w:val="clear" w:color="auto" w:fill="auto"/>
            <w:vAlign w:val="center"/>
          </w:tcPr>
          <w:p w14:paraId="09AC5BBC" w14:textId="77777777" w:rsidR="001D3F5D" w:rsidRPr="00E42263" w:rsidRDefault="001D3F5D" w:rsidP="00F251E9">
            <w:pPr>
              <w:pStyle w:val="Tablewriting"/>
              <w:jc w:val="center"/>
            </w:pPr>
            <w:r w:rsidRPr="00E42263">
              <w:t xml:space="preserve">$7,991,995 </w:t>
            </w:r>
          </w:p>
        </w:tc>
      </w:tr>
    </w:tbl>
    <w:p w14:paraId="4740EC5C" w14:textId="77777777" w:rsidR="001D3F5D" w:rsidRPr="00726C7D" w:rsidRDefault="001D3F5D" w:rsidP="001D3F5D">
      <w:pPr>
        <w:pStyle w:val="Notes"/>
      </w:pPr>
      <w:r w:rsidRPr="00E42263">
        <w:t xml:space="preserve">Source: </w:t>
      </w:r>
      <w:proofErr w:type="spellStart"/>
      <w:r w:rsidRPr="00E42263">
        <w:t>Voriconazole</w:t>
      </w:r>
      <w:proofErr w:type="spellEnd"/>
      <w:r w:rsidRPr="00E42263">
        <w:t xml:space="preserve"> submission</w:t>
      </w:r>
    </w:p>
    <w:p w14:paraId="0DEBD50F" w14:textId="69B931E7" w:rsidR="00094DCF" w:rsidRDefault="00ED633B" w:rsidP="00CF5E22">
      <w:pPr>
        <w:pStyle w:val="Heading2"/>
      </w:pPr>
      <w:r>
        <w:t xml:space="preserve">Previous reviews by </w:t>
      </w:r>
      <w:r w:rsidR="00177B86">
        <w:t xml:space="preserve">the </w:t>
      </w:r>
      <w:r>
        <w:t>DUSC</w:t>
      </w:r>
    </w:p>
    <w:p w14:paraId="36AD08A8" w14:textId="77777777" w:rsidR="00E66A36" w:rsidRPr="00D038FF" w:rsidRDefault="00E66A36" w:rsidP="00E66A36">
      <w:r>
        <w:t>DUSC previously reviewed the utilisation of systemic antifungal medicines at its October 2013 meeting. It</w:t>
      </w:r>
      <w:r w:rsidRPr="00F0646F">
        <w:t xml:space="preserve"> considered that the increasing utilisation of antifungal medicines reflect</w:t>
      </w:r>
      <w:r>
        <w:t>ed</w:t>
      </w:r>
      <w:r w:rsidRPr="00F0646F">
        <w:t xml:space="preserve"> a larger number of immunosuppressed patients in the community; such as patients with cancer, haematopoietic and solid organ transplants, and cystic fibrosis. The committee noted the increasing prevalence of HIV would also be a contributing factor to higher antifungal utilisation.</w:t>
      </w:r>
      <w:r>
        <w:t xml:space="preserve"> </w:t>
      </w:r>
      <w:r w:rsidRPr="00F0646F">
        <w:t>DUSC noted</w:t>
      </w:r>
      <w:r>
        <w:t xml:space="preserve"> </w:t>
      </w:r>
      <w:r w:rsidRPr="00F0646F">
        <w:t xml:space="preserve">that there may be </w:t>
      </w:r>
      <w:r>
        <w:t xml:space="preserve">an </w:t>
      </w:r>
      <w:r w:rsidRPr="00F0646F">
        <w:t xml:space="preserve">increasing number of patients undergoing </w:t>
      </w:r>
      <w:proofErr w:type="spellStart"/>
      <w:r w:rsidRPr="00F56D14">
        <w:t>myelosuppressive</w:t>
      </w:r>
      <w:proofErr w:type="spellEnd"/>
      <w:r w:rsidRPr="00F0646F">
        <w:t xml:space="preserve"> chemotherapy regimens and bone marrow transplants, particularly in older age groups. </w:t>
      </w:r>
      <w:r>
        <w:t xml:space="preserve">The committee noted the removal of ketoconazole from the Australian market may have an impact on the utilisation of other antifungal medicines. </w:t>
      </w:r>
    </w:p>
    <w:p w14:paraId="0312FFEC" w14:textId="5C6A9662" w:rsidR="00E677DD" w:rsidRPr="005E22C2" w:rsidRDefault="00E677DD" w:rsidP="00CF5E22">
      <w:pPr>
        <w:pStyle w:val="Heading1"/>
      </w:pPr>
      <w:r w:rsidRPr="005E22C2">
        <w:t>Method</w:t>
      </w:r>
      <w:r w:rsidR="001B5D37" w:rsidRPr="005E22C2">
        <w:t>s</w:t>
      </w:r>
    </w:p>
    <w:p w14:paraId="6CD048D4" w14:textId="77777777" w:rsidR="00E66A36" w:rsidRDefault="00E66A36" w:rsidP="00E66A36">
      <w:r>
        <w:t xml:space="preserve">This analysis used data from the DUSC database, the Department of Human Services (DHS) Medicare Supplied prescriptions database and the DHS Authority approvals database. The DUSC database was used for the majority of analyses presenting aggregate prescription data. </w:t>
      </w:r>
      <w:r w:rsidRPr="00CF7365">
        <w:t>The DUSC database combines data on PBS prescriptions submitted to the Department of Human Services (DHS) for payment of a PBS/RPBS subsidy by the Govern</w:t>
      </w:r>
      <w:r>
        <w:t>ment with an estimate of under</w:t>
      </w:r>
      <w:r w:rsidRPr="00CF7365">
        <w:t xml:space="preserve"> </w:t>
      </w:r>
      <w:r>
        <w:t xml:space="preserve">patient </w:t>
      </w:r>
      <w:r w:rsidRPr="00CF7365">
        <w:t>co-payment prescriptions based on dispensing data from a sample of pharmacies to the end of August 2012</w:t>
      </w:r>
      <w:r>
        <w:t>.  This was</w:t>
      </w:r>
      <w:r w:rsidRPr="00CF7365">
        <w:t xml:space="preserve"> replaced by actual under </w:t>
      </w:r>
      <w:r>
        <w:t xml:space="preserve">patient </w:t>
      </w:r>
      <w:r w:rsidRPr="00CF7365">
        <w:t xml:space="preserve">co-payment </w:t>
      </w:r>
      <w:r>
        <w:t xml:space="preserve">prescription </w:t>
      </w:r>
      <w:r w:rsidRPr="00CF7365">
        <w:t xml:space="preserve">data from 1 April 2012.  The DUSC database includes an estimate </w:t>
      </w:r>
      <w:r w:rsidRPr="00CF7365">
        <w:lastRenderedPageBreak/>
        <w:t>of private prescriptions to the end of August 2012</w:t>
      </w:r>
      <w:r>
        <w:t xml:space="preserve">. This data was not included in the analyses. </w:t>
      </w:r>
    </w:p>
    <w:p w14:paraId="0D86D53F" w14:textId="12CE6095" w:rsidR="00E66A36" w:rsidRDefault="00E66A36" w:rsidP="00E66A36">
      <w:r>
        <w:t>The DHS Supplied prescriptions database is used for analyses presenting patient counts, authority indications, practitioner speciality, patient age and government expenditure. The data includes under co-payment prescriptions from 1 April 2012.</w:t>
      </w:r>
      <w:r w:rsidRPr="00CF79A7">
        <w:t xml:space="preserve"> </w:t>
      </w:r>
      <w:r>
        <w:t xml:space="preserve">Authority indications for streamlined authority prescriptions are extracted from this database.  Prescribers prescribing streamlined authority medicines are required to write the four digit authority code on the prescription that corresponds to the indication for which it is being prescribed. The dispensing pharmacist is required to include the code on the claim for PBS dispensing. </w:t>
      </w:r>
      <w:r w:rsidRPr="00701F1C">
        <w:t xml:space="preserve">Until December 2011, pharmacists were not required to record </w:t>
      </w:r>
      <w:r>
        <w:t xml:space="preserve">streamlined </w:t>
      </w:r>
      <w:r w:rsidRPr="00701F1C">
        <w:t>codes at the time of dispensing. Since 1 July 2012, DHS-Medicare is able to reject pharmacy claims for reimbursement for Authority Required (</w:t>
      </w:r>
      <w:r w:rsidR="00B719E8">
        <w:t>STREAMLINED</w:t>
      </w:r>
      <w:r w:rsidRPr="00701F1C">
        <w:t>) medicines with an invalid streamlined authority code or without a streamlined authority code.</w:t>
      </w:r>
      <w:r>
        <w:t xml:space="preserve"> </w:t>
      </w:r>
    </w:p>
    <w:p w14:paraId="08AF787A" w14:textId="77777777" w:rsidR="00E66A36" w:rsidRDefault="00E66A36" w:rsidP="00E66A36">
      <w:r>
        <w:t xml:space="preserve">The Authority approvals database was used to extract authority approval restriction codes for authority required medicines and streamlined authority medicines where a larger quantity or more repeats are required than stated on the PBS listing. Telephone authority approvals have a restriction code recorded in the Authority approvals database. Prescribers requesting approval state the eligible authority restriction to the DHS officer making the approval. This is then recorded on the database. </w:t>
      </w:r>
    </w:p>
    <w:p w14:paraId="4EADA8B3" w14:textId="77777777" w:rsidR="00E66A36" w:rsidRDefault="00E66A36" w:rsidP="00E66A36">
      <w:r>
        <w:t xml:space="preserve">Medicines with authority listings were matched to an authority restriction code. Where a streamlined authority code was listed on the supplied prescriptions database, this code was considered to be the authority restriction code. Where there was no streamlined authority code attached to a supplied prescription, the corresponding authority approval was sought in the Authority approvals database. Prescriptions were matched to an approval if the </w:t>
      </w:r>
      <w:proofErr w:type="spellStart"/>
      <w:r>
        <w:t>deidentified</w:t>
      </w:r>
      <w:proofErr w:type="spellEnd"/>
      <w:r>
        <w:t xml:space="preserve"> patient identification number (PIN) and item codes matched for both the approval and supplied prescription.  </w:t>
      </w:r>
      <w:r w:rsidRPr="00E32057">
        <w:t>The date of authority approval must be before the supply date for it to be assigned as the corresponding approval.</w:t>
      </w:r>
      <w:r>
        <w:t xml:space="preserve"> </w:t>
      </w:r>
    </w:p>
    <w:p w14:paraId="772DC6B2" w14:textId="77777777" w:rsidR="00E66A36" w:rsidRDefault="00E66A36" w:rsidP="00E66A36">
      <w:r w:rsidRPr="00D84D54">
        <w:t>As this analysis uses date of supply prescription data, there may be small differences compared with publicly available Department of Human Services (DHS) Medicare date of processing data.</w:t>
      </w:r>
      <w:r w:rsidRPr="00D84D54">
        <w:rPr>
          <w:vertAlign w:val="superscript"/>
        </w:rPr>
        <w:footnoteReference w:id="1"/>
      </w:r>
      <w:r w:rsidRPr="00D84D54">
        <w:t xml:space="preserve">  The publicly available DHS Medicare data only includes subsidised R/PBS prescriptions with prescriptions under the patient co-payment not included.  </w:t>
      </w:r>
    </w:p>
    <w:p w14:paraId="5622EF51" w14:textId="77777777" w:rsidR="000A6392" w:rsidRDefault="000A6392">
      <w:pPr>
        <w:spacing w:line="276" w:lineRule="auto"/>
        <w:rPr>
          <w:rFonts w:eastAsiaTheme="majorEastAsia" w:cstheme="majorBidi"/>
          <w:b/>
          <w:bCs/>
          <w:sz w:val="32"/>
          <w:szCs w:val="32"/>
        </w:rPr>
      </w:pPr>
      <w:r>
        <w:br w:type="page"/>
      </w:r>
    </w:p>
    <w:p w14:paraId="4F91A98A" w14:textId="0DB43A08"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54B283C3" w14:textId="77777777" w:rsidR="00E66A36" w:rsidRDefault="00E66A36" w:rsidP="00E66A36">
      <w:r>
        <w:t xml:space="preserve">Table 3 presents the number of patients who were supplied an antifungal on the R/PBS by financial year. </w:t>
      </w:r>
    </w:p>
    <w:p w14:paraId="3DF9DB00" w14:textId="77777777" w:rsidR="00E66A36" w:rsidRDefault="00E66A36" w:rsidP="00E66A36">
      <w:pPr>
        <w:pStyle w:val="Tabletitle"/>
      </w:pPr>
      <w:r>
        <w:t>Table 3: Patients supplied systemic antifungals on the R/PBS</w:t>
      </w:r>
    </w:p>
    <w:tbl>
      <w:tblPr>
        <w:tblStyle w:val="TableGrid"/>
        <w:tblW w:w="0" w:type="auto"/>
        <w:tblLook w:val="04A0" w:firstRow="1" w:lastRow="0" w:firstColumn="1" w:lastColumn="0" w:noHBand="0" w:noVBand="1"/>
      </w:tblPr>
      <w:tblGrid>
        <w:gridCol w:w="2028"/>
        <w:gridCol w:w="1835"/>
        <w:gridCol w:w="1747"/>
        <w:gridCol w:w="1740"/>
        <w:gridCol w:w="1823"/>
      </w:tblGrid>
      <w:tr w:rsidR="00E66A36" w:rsidRPr="00F40D7C" w14:paraId="436F9D10" w14:textId="77777777" w:rsidTr="0096115E">
        <w:trPr>
          <w:trHeight w:val="324"/>
          <w:tblHeader/>
        </w:trPr>
        <w:tc>
          <w:tcPr>
            <w:tcW w:w="0" w:type="auto"/>
            <w:shd w:val="clear" w:color="auto" w:fill="BFBFBF" w:themeFill="background1" w:themeFillShade="BF"/>
          </w:tcPr>
          <w:p w14:paraId="35535668" w14:textId="77777777" w:rsidR="00E66A36" w:rsidRPr="00F40D7C" w:rsidRDefault="00E66A36" w:rsidP="0096115E">
            <w:pPr>
              <w:pStyle w:val="Tableheading"/>
              <w:rPr>
                <w:sz w:val="20"/>
                <w:szCs w:val="20"/>
              </w:rPr>
            </w:pPr>
            <w:r w:rsidRPr="00F40D7C">
              <w:rPr>
                <w:sz w:val="20"/>
                <w:szCs w:val="20"/>
              </w:rPr>
              <w:t>Year</w:t>
            </w:r>
          </w:p>
        </w:tc>
        <w:tc>
          <w:tcPr>
            <w:tcW w:w="0" w:type="auto"/>
            <w:shd w:val="clear" w:color="auto" w:fill="BFBFBF" w:themeFill="background1" w:themeFillShade="BF"/>
          </w:tcPr>
          <w:p w14:paraId="5926B197" w14:textId="77777777" w:rsidR="00E66A36" w:rsidRPr="00F40D7C" w:rsidRDefault="00E66A36" w:rsidP="0096115E">
            <w:pPr>
              <w:pStyle w:val="Tableheading"/>
              <w:rPr>
                <w:sz w:val="20"/>
                <w:szCs w:val="20"/>
              </w:rPr>
            </w:pPr>
            <w:r w:rsidRPr="00F40D7C">
              <w:rPr>
                <w:sz w:val="20"/>
                <w:szCs w:val="20"/>
              </w:rPr>
              <w:t>July 2012 - June 2013</w:t>
            </w:r>
          </w:p>
        </w:tc>
        <w:tc>
          <w:tcPr>
            <w:tcW w:w="0" w:type="auto"/>
            <w:shd w:val="clear" w:color="auto" w:fill="BFBFBF" w:themeFill="background1" w:themeFillShade="BF"/>
          </w:tcPr>
          <w:p w14:paraId="3C77D794" w14:textId="77777777" w:rsidR="00E66A36" w:rsidRPr="00F40D7C" w:rsidRDefault="00E66A36" w:rsidP="0096115E">
            <w:pPr>
              <w:pStyle w:val="Tableheading"/>
              <w:rPr>
                <w:sz w:val="20"/>
                <w:szCs w:val="20"/>
              </w:rPr>
            </w:pPr>
            <w:r w:rsidRPr="00F40D7C">
              <w:rPr>
                <w:sz w:val="20"/>
                <w:szCs w:val="20"/>
              </w:rPr>
              <w:t>July 2013 - Jun 2014</w:t>
            </w:r>
          </w:p>
        </w:tc>
        <w:tc>
          <w:tcPr>
            <w:tcW w:w="0" w:type="auto"/>
            <w:shd w:val="clear" w:color="auto" w:fill="BFBFBF" w:themeFill="background1" w:themeFillShade="BF"/>
          </w:tcPr>
          <w:p w14:paraId="5C962DEB" w14:textId="77777777" w:rsidR="00E66A36" w:rsidRPr="00F40D7C" w:rsidRDefault="00E66A36" w:rsidP="0096115E">
            <w:pPr>
              <w:pStyle w:val="Tableheading"/>
              <w:rPr>
                <w:sz w:val="20"/>
                <w:szCs w:val="20"/>
              </w:rPr>
            </w:pPr>
            <w:r w:rsidRPr="00F40D7C">
              <w:rPr>
                <w:sz w:val="20"/>
                <w:szCs w:val="20"/>
              </w:rPr>
              <w:t>Jul 2014 - June 2015</w:t>
            </w:r>
          </w:p>
        </w:tc>
        <w:tc>
          <w:tcPr>
            <w:tcW w:w="0" w:type="auto"/>
            <w:shd w:val="clear" w:color="auto" w:fill="BFBFBF" w:themeFill="background1" w:themeFillShade="BF"/>
          </w:tcPr>
          <w:p w14:paraId="086C7275" w14:textId="77777777" w:rsidR="00E66A36" w:rsidRPr="00F40D7C" w:rsidRDefault="00E66A36" w:rsidP="0096115E">
            <w:pPr>
              <w:pStyle w:val="Tableheading"/>
              <w:rPr>
                <w:sz w:val="20"/>
                <w:szCs w:val="20"/>
              </w:rPr>
            </w:pPr>
            <w:r w:rsidRPr="00F40D7C">
              <w:rPr>
                <w:sz w:val="20"/>
                <w:szCs w:val="20"/>
              </w:rPr>
              <w:t>July 2015 - June 2016</w:t>
            </w:r>
          </w:p>
        </w:tc>
      </w:tr>
      <w:tr w:rsidR="00E66A36" w:rsidRPr="00871861" w14:paraId="0157DB62" w14:textId="77777777" w:rsidTr="0096115E">
        <w:trPr>
          <w:trHeight w:val="373"/>
        </w:trPr>
        <w:tc>
          <w:tcPr>
            <w:tcW w:w="0" w:type="auto"/>
          </w:tcPr>
          <w:p w14:paraId="2BE94F3F" w14:textId="77777777" w:rsidR="00E66A36" w:rsidRPr="00F40D7C" w:rsidRDefault="00E66A36" w:rsidP="0096115E">
            <w:pPr>
              <w:pStyle w:val="Tableheading"/>
              <w:rPr>
                <w:b w:val="0"/>
                <w:sz w:val="20"/>
                <w:szCs w:val="20"/>
              </w:rPr>
            </w:pPr>
            <w:r w:rsidRPr="00F40D7C">
              <w:rPr>
                <w:b w:val="0"/>
                <w:sz w:val="20"/>
                <w:szCs w:val="20"/>
              </w:rPr>
              <w:t>All systemic antifungals</w:t>
            </w:r>
          </w:p>
        </w:tc>
        <w:tc>
          <w:tcPr>
            <w:tcW w:w="0" w:type="auto"/>
            <w:vAlign w:val="center"/>
          </w:tcPr>
          <w:p w14:paraId="3091F4F6" w14:textId="77777777" w:rsidR="00E66A36" w:rsidRPr="00F40D7C" w:rsidRDefault="00E66A36" w:rsidP="0096115E">
            <w:pPr>
              <w:pStyle w:val="Tablewriting"/>
              <w:jc w:val="center"/>
              <w:rPr>
                <w:b/>
              </w:rPr>
            </w:pPr>
            <w:r w:rsidRPr="00F40D7C">
              <w:t>117,989</w:t>
            </w:r>
          </w:p>
        </w:tc>
        <w:tc>
          <w:tcPr>
            <w:tcW w:w="0" w:type="auto"/>
            <w:vAlign w:val="center"/>
          </w:tcPr>
          <w:p w14:paraId="6A6F495F" w14:textId="77777777" w:rsidR="00E66A36" w:rsidRPr="00F40D7C" w:rsidRDefault="00E66A36" w:rsidP="0096115E">
            <w:pPr>
              <w:pStyle w:val="Tablewriting"/>
              <w:jc w:val="center"/>
              <w:rPr>
                <w:b/>
              </w:rPr>
            </w:pPr>
            <w:r w:rsidRPr="00F40D7C">
              <w:t>100,410</w:t>
            </w:r>
          </w:p>
        </w:tc>
        <w:tc>
          <w:tcPr>
            <w:tcW w:w="0" w:type="auto"/>
            <w:vAlign w:val="center"/>
          </w:tcPr>
          <w:p w14:paraId="4A5EB0B4" w14:textId="77777777" w:rsidR="00E66A36" w:rsidRPr="00F40D7C" w:rsidRDefault="00E66A36" w:rsidP="0096115E">
            <w:pPr>
              <w:pStyle w:val="Tablewriting"/>
              <w:jc w:val="center"/>
              <w:rPr>
                <w:b/>
              </w:rPr>
            </w:pPr>
            <w:r w:rsidRPr="00F40D7C">
              <w:t>88,672</w:t>
            </w:r>
          </w:p>
        </w:tc>
        <w:tc>
          <w:tcPr>
            <w:tcW w:w="0" w:type="auto"/>
            <w:vAlign w:val="center"/>
          </w:tcPr>
          <w:p w14:paraId="2DADD883" w14:textId="77777777" w:rsidR="00E66A36" w:rsidRPr="00F40D7C" w:rsidRDefault="00E66A36" w:rsidP="0096115E">
            <w:pPr>
              <w:pStyle w:val="Tablewriting"/>
              <w:jc w:val="center"/>
              <w:rPr>
                <w:b/>
              </w:rPr>
            </w:pPr>
            <w:r w:rsidRPr="00F40D7C">
              <w:t>91,874</w:t>
            </w:r>
          </w:p>
        </w:tc>
      </w:tr>
      <w:tr w:rsidR="00E66A36" w:rsidRPr="00871861" w14:paraId="7FB98879" w14:textId="77777777" w:rsidTr="0096115E">
        <w:trPr>
          <w:trHeight w:val="373"/>
        </w:trPr>
        <w:tc>
          <w:tcPr>
            <w:tcW w:w="0" w:type="auto"/>
          </w:tcPr>
          <w:p w14:paraId="2287DE26" w14:textId="77777777" w:rsidR="00E66A36" w:rsidRPr="00871861" w:rsidRDefault="00E66A36" w:rsidP="0096115E">
            <w:pPr>
              <w:pStyle w:val="Tableheading"/>
              <w:rPr>
                <w:b w:val="0"/>
                <w:sz w:val="20"/>
                <w:szCs w:val="20"/>
              </w:rPr>
            </w:pPr>
            <w:r w:rsidRPr="00871861">
              <w:rPr>
                <w:b w:val="0"/>
                <w:sz w:val="20"/>
                <w:szCs w:val="20"/>
              </w:rPr>
              <w:t>Fluconazole</w:t>
            </w:r>
          </w:p>
        </w:tc>
        <w:tc>
          <w:tcPr>
            <w:tcW w:w="0" w:type="auto"/>
          </w:tcPr>
          <w:p w14:paraId="51621D57" w14:textId="77777777" w:rsidR="00E66A36" w:rsidRPr="00871861" w:rsidRDefault="00E66A36" w:rsidP="0096115E">
            <w:pPr>
              <w:pStyle w:val="Tableheading"/>
              <w:rPr>
                <w:b w:val="0"/>
                <w:sz w:val="20"/>
                <w:szCs w:val="20"/>
              </w:rPr>
            </w:pPr>
            <w:r w:rsidRPr="00871861">
              <w:rPr>
                <w:b w:val="0"/>
                <w:sz w:val="20"/>
                <w:szCs w:val="20"/>
              </w:rPr>
              <w:t>13,323</w:t>
            </w:r>
          </w:p>
        </w:tc>
        <w:tc>
          <w:tcPr>
            <w:tcW w:w="0" w:type="auto"/>
          </w:tcPr>
          <w:p w14:paraId="3C0C672A" w14:textId="77777777" w:rsidR="00E66A36" w:rsidRPr="00871861" w:rsidRDefault="00E66A36" w:rsidP="0096115E">
            <w:pPr>
              <w:pStyle w:val="Tableheading"/>
              <w:rPr>
                <w:b w:val="0"/>
                <w:sz w:val="20"/>
                <w:szCs w:val="20"/>
              </w:rPr>
            </w:pPr>
            <w:r w:rsidRPr="00871861">
              <w:rPr>
                <w:b w:val="0"/>
                <w:sz w:val="20"/>
                <w:szCs w:val="20"/>
              </w:rPr>
              <w:t>15,155</w:t>
            </w:r>
          </w:p>
        </w:tc>
        <w:tc>
          <w:tcPr>
            <w:tcW w:w="0" w:type="auto"/>
          </w:tcPr>
          <w:p w14:paraId="42DE7C3E" w14:textId="77777777" w:rsidR="00E66A36" w:rsidRPr="00871861" w:rsidRDefault="00E66A36" w:rsidP="0096115E">
            <w:pPr>
              <w:pStyle w:val="Tableheading"/>
              <w:rPr>
                <w:b w:val="0"/>
                <w:sz w:val="20"/>
                <w:szCs w:val="20"/>
              </w:rPr>
            </w:pPr>
            <w:r w:rsidRPr="00871861">
              <w:rPr>
                <w:b w:val="0"/>
                <w:sz w:val="20"/>
                <w:szCs w:val="20"/>
              </w:rPr>
              <w:t>16,414</w:t>
            </w:r>
          </w:p>
        </w:tc>
        <w:tc>
          <w:tcPr>
            <w:tcW w:w="0" w:type="auto"/>
          </w:tcPr>
          <w:p w14:paraId="6C512306" w14:textId="77777777" w:rsidR="00E66A36" w:rsidRPr="00871861" w:rsidRDefault="00E66A36" w:rsidP="0096115E">
            <w:pPr>
              <w:pStyle w:val="Tableheading"/>
              <w:rPr>
                <w:b w:val="0"/>
                <w:sz w:val="20"/>
                <w:szCs w:val="20"/>
              </w:rPr>
            </w:pPr>
            <w:r w:rsidRPr="00871861">
              <w:rPr>
                <w:b w:val="0"/>
                <w:sz w:val="20"/>
                <w:szCs w:val="20"/>
              </w:rPr>
              <w:t>22,013</w:t>
            </w:r>
          </w:p>
        </w:tc>
      </w:tr>
      <w:tr w:rsidR="00E66A36" w:rsidRPr="00871861" w14:paraId="33C07318" w14:textId="77777777" w:rsidTr="0096115E">
        <w:trPr>
          <w:trHeight w:val="373"/>
        </w:trPr>
        <w:tc>
          <w:tcPr>
            <w:tcW w:w="0" w:type="auto"/>
          </w:tcPr>
          <w:p w14:paraId="0BB58E5C" w14:textId="77777777" w:rsidR="00E66A36" w:rsidRPr="00871861" w:rsidRDefault="00E66A36" w:rsidP="0096115E">
            <w:pPr>
              <w:pStyle w:val="Tableheading"/>
              <w:rPr>
                <w:b w:val="0"/>
                <w:sz w:val="20"/>
                <w:szCs w:val="20"/>
              </w:rPr>
            </w:pPr>
            <w:proofErr w:type="spellStart"/>
            <w:r w:rsidRPr="00871861">
              <w:rPr>
                <w:b w:val="0"/>
                <w:sz w:val="20"/>
                <w:szCs w:val="20"/>
              </w:rPr>
              <w:t>Griseofulvin</w:t>
            </w:r>
            <w:proofErr w:type="spellEnd"/>
          </w:p>
        </w:tc>
        <w:tc>
          <w:tcPr>
            <w:tcW w:w="0" w:type="auto"/>
          </w:tcPr>
          <w:p w14:paraId="4F231166" w14:textId="77777777" w:rsidR="00E66A36" w:rsidRPr="00871861" w:rsidRDefault="00E66A36" w:rsidP="0096115E">
            <w:pPr>
              <w:pStyle w:val="Tableheading"/>
              <w:rPr>
                <w:b w:val="0"/>
                <w:sz w:val="20"/>
                <w:szCs w:val="20"/>
              </w:rPr>
            </w:pPr>
            <w:r w:rsidRPr="00871861">
              <w:rPr>
                <w:b w:val="0"/>
                <w:sz w:val="20"/>
                <w:szCs w:val="20"/>
              </w:rPr>
              <w:t>30,934</w:t>
            </w:r>
          </w:p>
        </w:tc>
        <w:tc>
          <w:tcPr>
            <w:tcW w:w="0" w:type="auto"/>
          </w:tcPr>
          <w:p w14:paraId="0F5F55D1" w14:textId="77777777" w:rsidR="00E66A36" w:rsidRPr="00871861" w:rsidRDefault="00E66A36" w:rsidP="0096115E">
            <w:pPr>
              <w:pStyle w:val="Tableheading"/>
              <w:rPr>
                <w:b w:val="0"/>
                <w:sz w:val="20"/>
                <w:szCs w:val="20"/>
              </w:rPr>
            </w:pPr>
            <w:r w:rsidRPr="00871861">
              <w:rPr>
                <w:b w:val="0"/>
                <w:sz w:val="20"/>
                <w:szCs w:val="20"/>
              </w:rPr>
              <w:t>31,370</w:t>
            </w:r>
          </w:p>
        </w:tc>
        <w:tc>
          <w:tcPr>
            <w:tcW w:w="0" w:type="auto"/>
          </w:tcPr>
          <w:p w14:paraId="576BEBA5" w14:textId="77777777" w:rsidR="00E66A36" w:rsidRPr="00871861" w:rsidRDefault="00E66A36" w:rsidP="0096115E">
            <w:pPr>
              <w:pStyle w:val="Tableheading"/>
              <w:rPr>
                <w:b w:val="0"/>
                <w:sz w:val="20"/>
                <w:szCs w:val="20"/>
              </w:rPr>
            </w:pPr>
            <w:r w:rsidRPr="00871861">
              <w:rPr>
                <w:b w:val="0"/>
                <w:sz w:val="20"/>
                <w:szCs w:val="20"/>
              </w:rPr>
              <w:t>31,195</w:t>
            </w:r>
          </w:p>
        </w:tc>
        <w:tc>
          <w:tcPr>
            <w:tcW w:w="0" w:type="auto"/>
          </w:tcPr>
          <w:p w14:paraId="623C0609" w14:textId="77777777" w:rsidR="00E66A36" w:rsidRPr="00871861" w:rsidRDefault="00E66A36" w:rsidP="0096115E">
            <w:pPr>
              <w:pStyle w:val="Tableheading"/>
              <w:rPr>
                <w:b w:val="0"/>
                <w:sz w:val="20"/>
                <w:szCs w:val="20"/>
              </w:rPr>
            </w:pPr>
            <w:r w:rsidRPr="00871861">
              <w:rPr>
                <w:b w:val="0"/>
                <w:sz w:val="20"/>
                <w:szCs w:val="20"/>
              </w:rPr>
              <w:t>30,078</w:t>
            </w:r>
          </w:p>
        </w:tc>
      </w:tr>
      <w:tr w:rsidR="00E66A36" w:rsidRPr="00871861" w14:paraId="32CFB941" w14:textId="77777777" w:rsidTr="0096115E">
        <w:trPr>
          <w:trHeight w:val="373"/>
        </w:trPr>
        <w:tc>
          <w:tcPr>
            <w:tcW w:w="0" w:type="auto"/>
          </w:tcPr>
          <w:p w14:paraId="790C21CD" w14:textId="77777777" w:rsidR="00E66A36" w:rsidRPr="00871861" w:rsidRDefault="00E66A36" w:rsidP="0096115E">
            <w:pPr>
              <w:pStyle w:val="Tableheading"/>
              <w:rPr>
                <w:b w:val="0"/>
                <w:sz w:val="20"/>
                <w:szCs w:val="20"/>
              </w:rPr>
            </w:pPr>
            <w:proofErr w:type="spellStart"/>
            <w:r w:rsidRPr="00871861">
              <w:rPr>
                <w:b w:val="0"/>
                <w:sz w:val="20"/>
                <w:szCs w:val="20"/>
              </w:rPr>
              <w:t>Itraconazole</w:t>
            </w:r>
            <w:proofErr w:type="spellEnd"/>
          </w:p>
        </w:tc>
        <w:tc>
          <w:tcPr>
            <w:tcW w:w="0" w:type="auto"/>
          </w:tcPr>
          <w:p w14:paraId="6179BD9E" w14:textId="77777777" w:rsidR="00E66A36" w:rsidRPr="00871861" w:rsidRDefault="00E66A36" w:rsidP="0096115E">
            <w:pPr>
              <w:pStyle w:val="Tableheading"/>
              <w:rPr>
                <w:b w:val="0"/>
                <w:sz w:val="20"/>
                <w:szCs w:val="20"/>
              </w:rPr>
            </w:pPr>
            <w:r w:rsidRPr="00871861">
              <w:rPr>
                <w:b w:val="0"/>
                <w:sz w:val="20"/>
                <w:szCs w:val="20"/>
              </w:rPr>
              <w:t>1,757</w:t>
            </w:r>
          </w:p>
        </w:tc>
        <w:tc>
          <w:tcPr>
            <w:tcW w:w="0" w:type="auto"/>
          </w:tcPr>
          <w:p w14:paraId="166C31E4" w14:textId="77777777" w:rsidR="00E66A36" w:rsidRPr="00871861" w:rsidRDefault="00E66A36" w:rsidP="0096115E">
            <w:pPr>
              <w:pStyle w:val="Tableheading"/>
              <w:rPr>
                <w:b w:val="0"/>
                <w:sz w:val="20"/>
                <w:szCs w:val="20"/>
              </w:rPr>
            </w:pPr>
            <w:r w:rsidRPr="00871861">
              <w:rPr>
                <w:b w:val="0"/>
                <w:sz w:val="20"/>
                <w:szCs w:val="20"/>
              </w:rPr>
              <w:t>1,963</w:t>
            </w:r>
          </w:p>
        </w:tc>
        <w:tc>
          <w:tcPr>
            <w:tcW w:w="0" w:type="auto"/>
          </w:tcPr>
          <w:p w14:paraId="4FC2A2FC" w14:textId="77777777" w:rsidR="00E66A36" w:rsidRPr="00871861" w:rsidRDefault="00E66A36" w:rsidP="0096115E">
            <w:pPr>
              <w:pStyle w:val="Tableheading"/>
              <w:rPr>
                <w:b w:val="0"/>
                <w:sz w:val="20"/>
                <w:szCs w:val="20"/>
              </w:rPr>
            </w:pPr>
            <w:r w:rsidRPr="00871861">
              <w:rPr>
                <w:b w:val="0"/>
                <w:sz w:val="20"/>
                <w:szCs w:val="20"/>
              </w:rPr>
              <w:t>2,137</w:t>
            </w:r>
          </w:p>
        </w:tc>
        <w:tc>
          <w:tcPr>
            <w:tcW w:w="0" w:type="auto"/>
          </w:tcPr>
          <w:p w14:paraId="78F38F5C" w14:textId="77777777" w:rsidR="00E66A36" w:rsidRPr="00871861" w:rsidRDefault="00E66A36" w:rsidP="0096115E">
            <w:pPr>
              <w:pStyle w:val="Tableheading"/>
              <w:rPr>
                <w:b w:val="0"/>
                <w:sz w:val="20"/>
                <w:szCs w:val="20"/>
              </w:rPr>
            </w:pPr>
            <w:r w:rsidRPr="00871861">
              <w:rPr>
                <w:b w:val="0"/>
                <w:sz w:val="20"/>
                <w:szCs w:val="20"/>
              </w:rPr>
              <w:t>2,586</w:t>
            </w:r>
          </w:p>
        </w:tc>
      </w:tr>
      <w:tr w:rsidR="00E66A36" w:rsidRPr="00871861" w14:paraId="47D8C3EC" w14:textId="77777777" w:rsidTr="0096115E">
        <w:trPr>
          <w:trHeight w:val="373"/>
        </w:trPr>
        <w:tc>
          <w:tcPr>
            <w:tcW w:w="0" w:type="auto"/>
          </w:tcPr>
          <w:p w14:paraId="6602BD9D" w14:textId="77777777" w:rsidR="00E66A36" w:rsidRPr="00871861" w:rsidRDefault="00E66A36" w:rsidP="0096115E">
            <w:pPr>
              <w:pStyle w:val="Tableheading"/>
              <w:rPr>
                <w:b w:val="0"/>
                <w:sz w:val="20"/>
                <w:szCs w:val="20"/>
              </w:rPr>
            </w:pPr>
            <w:proofErr w:type="spellStart"/>
            <w:r w:rsidRPr="00871861">
              <w:rPr>
                <w:b w:val="0"/>
                <w:sz w:val="20"/>
                <w:szCs w:val="20"/>
              </w:rPr>
              <w:t>Ketoconazole</w:t>
            </w:r>
            <w:r w:rsidRPr="00871861">
              <w:rPr>
                <w:b w:val="0"/>
                <w:sz w:val="20"/>
                <w:szCs w:val="20"/>
                <w:vertAlign w:val="superscript"/>
              </w:rPr>
              <w:t>a</w:t>
            </w:r>
            <w:proofErr w:type="spellEnd"/>
          </w:p>
        </w:tc>
        <w:tc>
          <w:tcPr>
            <w:tcW w:w="0" w:type="auto"/>
          </w:tcPr>
          <w:p w14:paraId="1231296C" w14:textId="77777777" w:rsidR="00E66A36" w:rsidRPr="00871861" w:rsidRDefault="00E66A36" w:rsidP="0096115E">
            <w:pPr>
              <w:pStyle w:val="Tableheading"/>
              <w:rPr>
                <w:b w:val="0"/>
                <w:sz w:val="20"/>
                <w:szCs w:val="20"/>
              </w:rPr>
            </w:pPr>
            <w:r w:rsidRPr="00871861">
              <w:rPr>
                <w:b w:val="0"/>
                <w:sz w:val="20"/>
                <w:szCs w:val="20"/>
              </w:rPr>
              <w:t>29,069</w:t>
            </w:r>
          </w:p>
        </w:tc>
        <w:tc>
          <w:tcPr>
            <w:tcW w:w="0" w:type="auto"/>
          </w:tcPr>
          <w:p w14:paraId="030ED19B" w14:textId="77777777" w:rsidR="00E66A36" w:rsidRPr="00871861" w:rsidRDefault="00E66A36" w:rsidP="0096115E">
            <w:pPr>
              <w:pStyle w:val="Tableheading"/>
              <w:rPr>
                <w:b w:val="0"/>
                <w:sz w:val="20"/>
                <w:szCs w:val="20"/>
              </w:rPr>
            </w:pPr>
            <w:r w:rsidRPr="00871861">
              <w:rPr>
                <w:b w:val="0"/>
                <w:sz w:val="20"/>
                <w:szCs w:val="20"/>
              </w:rPr>
              <w:t>11,934</w:t>
            </w:r>
          </w:p>
        </w:tc>
        <w:tc>
          <w:tcPr>
            <w:tcW w:w="0" w:type="auto"/>
          </w:tcPr>
          <w:p w14:paraId="6A8BD1B7" w14:textId="77777777" w:rsidR="00E66A36" w:rsidRPr="00871861" w:rsidRDefault="00E66A36" w:rsidP="0096115E">
            <w:pPr>
              <w:pStyle w:val="Tableheading"/>
              <w:rPr>
                <w:b w:val="0"/>
                <w:sz w:val="20"/>
                <w:szCs w:val="20"/>
              </w:rPr>
            </w:pPr>
            <w:r w:rsidRPr="00871861">
              <w:rPr>
                <w:b w:val="0"/>
                <w:sz w:val="20"/>
                <w:szCs w:val="20"/>
              </w:rPr>
              <w:t>-</w:t>
            </w:r>
          </w:p>
        </w:tc>
        <w:tc>
          <w:tcPr>
            <w:tcW w:w="0" w:type="auto"/>
          </w:tcPr>
          <w:p w14:paraId="10F95258" w14:textId="77777777" w:rsidR="00E66A36" w:rsidRPr="00871861" w:rsidRDefault="00E66A36" w:rsidP="0096115E">
            <w:pPr>
              <w:pStyle w:val="Tableheading"/>
              <w:rPr>
                <w:b w:val="0"/>
                <w:sz w:val="20"/>
                <w:szCs w:val="20"/>
              </w:rPr>
            </w:pPr>
            <w:r w:rsidRPr="00871861">
              <w:rPr>
                <w:b w:val="0"/>
                <w:sz w:val="20"/>
                <w:szCs w:val="20"/>
              </w:rPr>
              <w:t>-</w:t>
            </w:r>
          </w:p>
        </w:tc>
      </w:tr>
      <w:tr w:rsidR="00E66A36" w:rsidRPr="00871861" w14:paraId="6D73C6B7" w14:textId="77777777" w:rsidTr="0096115E">
        <w:trPr>
          <w:trHeight w:val="373"/>
        </w:trPr>
        <w:tc>
          <w:tcPr>
            <w:tcW w:w="0" w:type="auto"/>
          </w:tcPr>
          <w:p w14:paraId="61E11949" w14:textId="77777777" w:rsidR="00E66A36" w:rsidRPr="00871861" w:rsidRDefault="00E66A36" w:rsidP="0096115E">
            <w:pPr>
              <w:pStyle w:val="Tableheading"/>
              <w:rPr>
                <w:b w:val="0"/>
                <w:sz w:val="20"/>
                <w:szCs w:val="20"/>
              </w:rPr>
            </w:pPr>
            <w:proofErr w:type="spellStart"/>
            <w:r w:rsidRPr="00871861">
              <w:rPr>
                <w:b w:val="0"/>
                <w:sz w:val="20"/>
                <w:szCs w:val="20"/>
              </w:rPr>
              <w:t>Posaconazole</w:t>
            </w:r>
            <w:proofErr w:type="spellEnd"/>
          </w:p>
        </w:tc>
        <w:tc>
          <w:tcPr>
            <w:tcW w:w="0" w:type="auto"/>
          </w:tcPr>
          <w:p w14:paraId="1393FC95" w14:textId="77777777" w:rsidR="00E66A36" w:rsidRPr="00871861" w:rsidRDefault="00E66A36" w:rsidP="0096115E">
            <w:pPr>
              <w:pStyle w:val="Tableheading"/>
              <w:rPr>
                <w:b w:val="0"/>
                <w:sz w:val="20"/>
                <w:szCs w:val="20"/>
              </w:rPr>
            </w:pPr>
            <w:r w:rsidRPr="00871861">
              <w:rPr>
                <w:b w:val="0"/>
                <w:sz w:val="20"/>
                <w:szCs w:val="20"/>
              </w:rPr>
              <w:t>1,148</w:t>
            </w:r>
          </w:p>
        </w:tc>
        <w:tc>
          <w:tcPr>
            <w:tcW w:w="0" w:type="auto"/>
          </w:tcPr>
          <w:p w14:paraId="2F4DABA8" w14:textId="77777777" w:rsidR="00E66A36" w:rsidRPr="00871861" w:rsidRDefault="00E66A36" w:rsidP="0096115E">
            <w:pPr>
              <w:pStyle w:val="Tableheading"/>
              <w:rPr>
                <w:b w:val="0"/>
                <w:sz w:val="20"/>
                <w:szCs w:val="20"/>
              </w:rPr>
            </w:pPr>
            <w:r w:rsidRPr="00871861">
              <w:rPr>
                <w:b w:val="0"/>
                <w:sz w:val="20"/>
                <w:szCs w:val="20"/>
              </w:rPr>
              <w:t>1,170</w:t>
            </w:r>
          </w:p>
        </w:tc>
        <w:tc>
          <w:tcPr>
            <w:tcW w:w="0" w:type="auto"/>
          </w:tcPr>
          <w:p w14:paraId="51BF2977" w14:textId="77777777" w:rsidR="00E66A36" w:rsidRPr="00871861" w:rsidRDefault="00E66A36" w:rsidP="0096115E">
            <w:pPr>
              <w:pStyle w:val="Tableheading"/>
              <w:rPr>
                <w:b w:val="0"/>
                <w:sz w:val="20"/>
                <w:szCs w:val="20"/>
              </w:rPr>
            </w:pPr>
            <w:r w:rsidRPr="00871861">
              <w:rPr>
                <w:b w:val="0"/>
                <w:sz w:val="20"/>
                <w:szCs w:val="20"/>
              </w:rPr>
              <w:t>1,304</w:t>
            </w:r>
          </w:p>
        </w:tc>
        <w:tc>
          <w:tcPr>
            <w:tcW w:w="0" w:type="auto"/>
          </w:tcPr>
          <w:p w14:paraId="2DA6A77A" w14:textId="77777777" w:rsidR="00E66A36" w:rsidRPr="00871861" w:rsidRDefault="00E66A36" w:rsidP="0096115E">
            <w:pPr>
              <w:pStyle w:val="Tableheading"/>
              <w:rPr>
                <w:b w:val="0"/>
                <w:sz w:val="20"/>
                <w:szCs w:val="20"/>
              </w:rPr>
            </w:pPr>
            <w:r w:rsidRPr="00871861">
              <w:rPr>
                <w:b w:val="0"/>
                <w:sz w:val="20"/>
                <w:szCs w:val="20"/>
              </w:rPr>
              <w:t>1,801</w:t>
            </w:r>
          </w:p>
        </w:tc>
      </w:tr>
      <w:tr w:rsidR="00E66A36" w:rsidRPr="00871861" w14:paraId="5C27D3F7" w14:textId="77777777" w:rsidTr="0096115E">
        <w:trPr>
          <w:trHeight w:val="373"/>
        </w:trPr>
        <w:tc>
          <w:tcPr>
            <w:tcW w:w="0" w:type="auto"/>
          </w:tcPr>
          <w:p w14:paraId="0D9B3AB1" w14:textId="77777777" w:rsidR="00E66A36" w:rsidRPr="00871861" w:rsidRDefault="00E66A36" w:rsidP="0096115E">
            <w:pPr>
              <w:pStyle w:val="Tableheading"/>
              <w:rPr>
                <w:b w:val="0"/>
                <w:sz w:val="20"/>
                <w:szCs w:val="20"/>
              </w:rPr>
            </w:pPr>
            <w:proofErr w:type="spellStart"/>
            <w:r w:rsidRPr="00871861">
              <w:rPr>
                <w:b w:val="0"/>
                <w:sz w:val="20"/>
                <w:szCs w:val="20"/>
              </w:rPr>
              <w:t>Terbinafine</w:t>
            </w:r>
            <w:proofErr w:type="spellEnd"/>
          </w:p>
        </w:tc>
        <w:tc>
          <w:tcPr>
            <w:tcW w:w="0" w:type="auto"/>
          </w:tcPr>
          <w:p w14:paraId="17275479" w14:textId="77777777" w:rsidR="00E66A36" w:rsidRPr="00871861" w:rsidRDefault="00E66A36" w:rsidP="0096115E">
            <w:pPr>
              <w:pStyle w:val="Tableheading"/>
              <w:rPr>
                <w:b w:val="0"/>
                <w:sz w:val="20"/>
                <w:szCs w:val="20"/>
              </w:rPr>
            </w:pPr>
            <w:r w:rsidRPr="00871861">
              <w:rPr>
                <w:b w:val="0"/>
                <w:sz w:val="20"/>
                <w:szCs w:val="20"/>
              </w:rPr>
              <w:t>42,929</w:t>
            </w:r>
          </w:p>
        </w:tc>
        <w:tc>
          <w:tcPr>
            <w:tcW w:w="0" w:type="auto"/>
          </w:tcPr>
          <w:p w14:paraId="5AE053F6" w14:textId="77777777" w:rsidR="00E66A36" w:rsidRPr="00871861" w:rsidRDefault="00E66A36" w:rsidP="0096115E">
            <w:pPr>
              <w:pStyle w:val="Tableheading"/>
              <w:rPr>
                <w:b w:val="0"/>
                <w:sz w:val="20"/>
                <w:szCs w:val="20"/>
              </w:rPr>
            </w:pPr>
            <w:r w:rsidRPr="00871861">
              <w:rPr>
                <w:b w:val="0"/>
                <w:sz w:val="20"/>
                <w:szCs w:val="20"/>
              </w:rPr>
              <w:t>39,578</w:t>
            </w:r>
          </w:p>
        </w:tc>
        <w:tc>
          <w:tcPr>
            <w:tcW w:w="0" w:type="auto"/>
          </w:tcPr>
          <w:p w14:paraId="6B01F26F" w14:textId="77777777" w:rsidR="00E66A36" w:rsidRPr="00871861" w:rsidRDefault="00E66A36" w:rsidP="0096115E">
            <w:pPr>
              <w:pStyle w:val="Tableheading"/>
              <w:rPr>
                <w:b w:val="0"/>
                <w:sz w:val="20"/>
                <w:szCs w:val="20"/>
              </w:rPr>
            </w:pPr>
            <w:r w:rsidRPr="00871861">
              <w:rPr>
                <w:b w:val="0"/>
                <w:sz w:val="20"/>
                <w:szCs w:val="20"/>
              </w:rPr>
              <w:t>37,860</w:t>
            </w:r>
          </w:p>
        </w:tc>
        <w:tc>
          <w:tcPr>
            <w:tcW w:w="0" w:type="auto"/>
          </w:tcPr>
          <w:p w14:paraId="44BE8602" w14:textId="77777777" w:rsidR="00E66A36" w:rsidRPr="00871861" w:rsidRDefault="00E66A36" w:rsidP="0096115E">
            <w:pPr>
              <w:pStyle w:val="Tableheading"/>
              <w:rPr>
                <w:b w:val="0"/>
                <w:sz w:val="20"/>
                <w:szCs w:val="20"/>
              </w:rPr>
            </w:pPr>
            <w:r w:rsidRPr="00871861">
              <w:rPr>
                <w:b w:val="0"/>
                <w:sz w:val="20"/>
                <w:szCs w:val="20"/>
              </w:rPr>
              <w:t>35,940</w:t>
            </w:r>
          </w:p>
        </w:tc>
      </w:tr>
      <w:tr w:rsidR="00E66A36" w:rsidRPr="00871861" w14:paraId="2E67E960" w14:textId="77777777" w:rsidTr="0096115E">
        <w:trPr>
          <w:trHeight w:val="373"/>
        </w:trPr>
        <w:tc>
          <w:tcPr>
            <w:tcW w:w="0" w:type="auto"/>
          </w:tcPr>
          <w:p w14:paraId="7EFB9161" w14:textId="77777777" w:rsidR="00E66A36" w:rsidRPr="00871861" w:rsidRDefault="00E66A36" w:rsidP="0096115E">
            <w:pPr>
              <w:pStyle w:val="Tableheading"/>
              <w:rPr>
                <w:b w:val="0"/>
                <w:sz w:val="20"/>
                <w:szCs w:val="20"/>
              </w:rPr>
            </w:pPr>
            <w:proofErr w:type="spellStart"/>
            <w:r w:rsidRPr="00871861">
              <w:rPr>
                <w:b w:val="0"/>
                <w:sz w:val="20"/>
                <w:szCs w:val="20"/>
              </w:rPr>
              <w:t>Voriconazole</w:t>
            </w:r>
            <w:proofErr w:type="spellEnd"/>
          </w:p>
        </w:tc>
        <w:tc>
          <w:tcPr>
            <w:tcW w:w="0" w:type="auto"/>
          </w:tcPr>
          <w:p w14:paraId="14053099" w14:textId="77777777" w:rsidR="00E66A36" w:rsidRPr="00871861" w:rsidRDefault="00E66A36" w:rsidP="0096115E">
            <w:pPr>
              <w:pStyle w:val="Tableheading"/>
              <w:rPr>
                <w:b w:val="0"/>
                <w:sz w:val="20"/>
                <w:szCs w:val="20"/>
              </w:rPr>
            </w:pPr>
            <w:r w:rsidRPr="00871861">
              <w:rPr>
                <w:b w:val="0"/>
                <w:sz w:val="20"/>
                <w:szCs w:val="20"/>
              </w:rPr>
              <w:t>1,426</w:t>
            </w:r>
          </w:p>
        </w:tc>
        <w:tc>
          <w:tcPr>
            <w:tcW w:w="0" w:type="auto"/>
          </w:tcPr>
          <w:p w14:paraId="262628E3" w14:textId="77777777" w:rsidR="00E66A36" w:rsidRPr="00871861" w:rsidRDefault="00E66A36" w:rsidP="0096115E">
            <w:pPr>
              <w:pStyle w:val="Tableheading"/>
              <w:rPr>
                <w:b w:val="0"/>
                <w:sz w:val="20"/>
                <w:szCs w:val="20"/>
              </w:rPr>
            </w:pPr>
            <w:r w:rsidRPr="00871861">
              <w:rPr>
                <w:b w:val="0"/>
                <w:sz w:val="20"/>
                <w:szCs w:val="20"/>
              </w:rPr>
              <w:t>1,629</w:t>
            </w:r>
          </w:p>
        </w:tc>
        <w:tc>
          <w:tcPr>
            <w:tcW w:w="0" w:type="auto"/>
          </w:tcPr>
          <w:p w14:paraId="20FB54FF" w14:textId="77777777" w:rsidR="00E66A36" w:rsidRPr="00871861" w:rsidRDefault="00E66A36" w:rsidP="0096115E">
            <w:pPr>
              <w:pStyle w:val="Tableheading"/>
              <w:rPr>
                <w:b w:val="0"/>
                <w:sz w:val="20"/>
                <w:szCs w:val="20"/>
              </w:rPr>
            </w:pPr>
            <w:r w:rsidRPr="00871861">
              <w:rPr>
                <w:b w:val="0"/>
                <w:sz w:val="20"/>
                <w:szCs w:val="20"/>
              </w:rPr>
              <w:t>1,581</w:t>
            </w:r>
          </w:p>
        </w:tc>
        <w:tc>
          <w:tcPr>
            <w:tcW w:w="0" w:type="auto"/>
          </w:tcPr>
          <w:p w14:paraId="64F88DE1" w14:textId="77777777" w:rsidR="00E66A36" w:rsidRPr="00871861" w:rsidRDefault="00E66A36" w:rsidP="0096115E">
            <w:pPr>
              <w:pStyle w:val="Tableheading"/>
              <w:rPr>
                <w:b w:val="0"/>
                <w:sz w:val="20"/>
                <w:szCs w:val="20"/>
              </w:rPr>
            </w:pPr>
            <w:r w:rsidRPr="00871861">
              <w:rPr>
                <w:b w:val="0"/>
                <w:sz w:val="20"/>
                <w:szCs w:val="20"/>
              </w:rPr>
              <w:t>1,414</w:t>
            </w:r>
          </w:p>
        </w:tc>
      </w:tr>
    </w:tbl>
    <w:p w14:paraId="6370CC48" w14:textId="77777777" w:rsidR="00E66A36" w:rsidRDefault="00E66A36" w:rsidP="00E66A36">
      <w:pPr>
        <w:pStyle w:val="Notes"/>
      </w:pPr>
      <w:r>
        <w:t xml:space="preserve">Source: DHS Supplied Prescriptions database, extracted August 2016 </w:t>
      </w:r>
      <w:r>
        <w:br/>
      </w:r>
      <w:r>
        <w:rPr>
          <w:vertAlign w:val="superscript"/>
        </w:rPr>
        <w:t>a</w:t>
      </w:r>
      <w:r>
        <w:t xml:space="preserve"> Ketoconazole was removed from the R/PBS and Australian market in December 2013. </w:t>
      </w:r>
    </w:p>
    <w:p w14:paraId="7959E023" w14:textId="77777777" w:rsidR="00E66A36" w:rsidRDefault="00E66A36" w:rsidP="00E66A36">
      <w:r>
        <w:t>The number of patients supplied antifungals on the R/PBS decreased between the 2012</w:t>
      </w:r>
      <w:r>
        <w:noBreakHyphen/>
        <w:t>13 and 2014</w:t>
      </w:r>
      <w:r>
        <w:noBreakHyphen/>
        <w:t>15 financial years but has increased 3.6% in the 2015</w:t>
      </w:r>
      <w:r>
        <w:noBreakHyphen/>
        <w:t xml:space="preserve">16 year. The number of patients supplied fluconazole, </w:t>
      </w:r>
      <w:proofErr w:type="spellStart"/>
      <w:r>
        <w:t>itraconazole</w:t>
      </w:r>
      <w:proofErr w:type="spellEnd"/>
      <w:r>
        <w:t xml:space="preserve">, and </w:t>
      </w:r>
      <w:proofErr w:type="spellStart"/>
      <w:r>
        <w:t>posaconazole</w:t>
      </w:r>
      <w:proofErr w:type="spellEnd"/>
      <w:r>
        <w:t xml:space="preserve"> has increased. The number of patients supplied </w:t>
      </w:r>
      <w:proofErr w:type="spellStart"/>
      <w:r>
        <w:t>terbinafine</w:t>
      </w:r>
      <w:proofErr w:type="spellEnd"/>
      <w:r>
        <w:t xml:space="preserve"> has decreased steadily over the four years. The number of patients receiving </w:t>
      </w:r>
      <w:proofErr w:type="spellStart"/>
      <w:r>
        <w:t>voriconazole</w:t>
      </w:r>
      <w:proofErr w:type="spellEnd"/>
      <w:r>
        <w:t xml:space="preserve"> increased until the 2013</w:t>
      </w:r>
      <w:r>
        <w:noBreakHyphen/>
        <w:t xml:space="preserve">14 financial year and has decreased thereafter. The number of patients supplied </w:t>
      </w:r>
      <w:proofErr w:type="spellStart"/>
      <w:r>
        <w:t>griseofulvin</w:t>
      </w:r>
      <w:proofErr w:type="spellEnd"/>
      <w:r>
        <w:t xml:space="preserve"> has been stable during this period. Figure 1 presents the number of prescriptions for systemic antifungal medicines supplied on the R/PBS.</w:t>
      </w:r>
    </w:p>
    <w:p w14:paraId="07F893D5" w14:textId="77777777" w:rsidR="00E66A36" w:rsidRDefault="00E66A36" w:rsidP="00E66A36">
      <w:r>
        <w:t xml:space="preserve">Table 4 presents total systemic antifungal prescriptions supplied on the R/PBS by financial year. </w:t>
      </w:r>
    </w:p>
    <w:p w14:paraId="664C0242" w14:textId="77777777" w:rsidR="00E66A36" w:rsidRDefault="00E66A36" w:rsidP="00E66A36">
      <w:pPr>
        <w:pStyle w:val="Tabletitle"/>
      </w:pPr>
      <w:r>
        <w:t>Table 4: Prescriptions for systemic antifungals on the R/PBS</w:t>
      </w:r>
    </w:p>
    <w:tbl>
      <w:tblPr>
        <w:tblStyle w:val="TableGrid"/>
        <w:tblW w:w="0" w:type="auto"/>
        <w:tblLook w:val="04A0" w:firstRow="1" w:lastRow="0" w:firstColumn="1" w:lastColumn="0" w:noHBand="0" w:noVBand="1"/>
      </w:tblPr>
      <w:tblGrid>
        <w:gridCol w:w="1996"/>
        <w:gridCol w:w="1837"/>
        <w:gridCol w:w="1749"/>
        <w:gridCol w:w="1754"/>
        <w:gridCol w:w="1837"/>
      </w:tblGrid>
      <w:tr w:rsidR="00E66A36" w:rsidRPr="00F40D7C" w14:paraId="68E48337" w14:textId="77777777" w:rsidTr="0096115E">
        <w:trPr>
          <w:trHeight w:val="324"/>
          <w:tblHeader/>
        </w:trPr>
        <w:tc>
          <w:tcPr>
            <w:tcW w:w="0" w:type="auto"/>
            <w:shd w:val="clear" w:color="auto" w:fill="BFBFBF" w:themeFill="background1" w:themeFillShade="BF"/>
          </w:tcPr>
          <w:p w14:paraId="0CFF7A71" w14:textId="77777777" w:rsidR="00E66A36" w:rsidRPr="00F40D7C" w:rsidRDefault="00E66A36" w:rsidP="0096115E">
            <w:pPr>
              <w:pStyle w:val="Tableheading"/>
              <w:rPr>
                <w:sz w:val="20"/>
                <w:szCs w:val="20"/>
              </w:rPr>
            </w:pPr>
            <w:r w:rsidRPr="00F40D7C">
              <w:rPr>
                <w:sz w:val="20"/>
                <w:szCs w:val="20"/>
              </w:rPr>
              <w:t>Year</w:t>
            </w:r>
          </w:p>
        </w:tc>
        <w:tc>
          <w:tcPr>
            <w:tcW w:w="0" w:type="auto"/>
            <w:shd w:val="clear" w:color="auto" w:fill="BFBFBF" w:themeFill="background1" w:themeFillShade="BF"/>
          </w:tcPr>
          <w:p w14:paraId="4008FA12" w14:textId="77777777" w:rsidR="00E66A36" w:rsidRPr="00F40D7C" w:rsidRDefault="00E66A36" w:rsidP="0096115E">
            <w:pPr>
              <w:pStyle w:val="Tableheading"/>
              <w:rPr>
                <w:sz w:val="20"/>
                <w:szCs w:val="20"/>
              </w:rPr>
            </w:pPr>
            <w:r w:rsidRPr="00F40D7C">
              <w:rPr>
                <w:sz w:val="20"/>
                <w:szCs w:val="20"/>
              </w:rPr>
              <w:t>July 2012 - June 2013</w:t>
            </w:r>
          </w:p>
        </w:tc>
        <w:tc>
          <w:tcPr>
            <w:tcW w:w="0" w:type="auto"/>
            <w:shd w:val="clear" w:color="auto" w:fill="BFBFBF" w:themeFill="background1" w:themeFillShade="BF"/>
          </w:tcPr>
          <w:p w14:paraId="336E6725" w14:textId="77777777" w:rsidR="00E66A36" w:rsidRPr="00F40D7C" w:rsidRDefault="00E66A36" w:rsidP="0096115E">
            <w:pPr>
              <w:pStyle w:val="Tableheading"/>
              <w:rPr>
                <w:sz w:val="20"/>
                <w:szCs w:val="20"/>
              </w:rPr>
            </w:pPr>
            <w:r w:rsidRPr="00F40D7C">
              <w:rPr>
                <w:sz w:val="20"/>
                <w:szCs w:val="20"/>
              </w:rPr>
              <w:t>July 2013 - Jun 2014</w:t>
            </w:r>
          </w:p>
        </w:tc>
        <w:tc>
          <w:tcPr>
            <w:tcW w:w="0" w:type="auto"/>
            <w:shd w:val="clear" w:color="auto" w:fill="BFBFBF" w:themeFill="background1" w:themeFillShade="BF"/>
          </w:tcPr>
          <w:p w14:paraId="2D77D1C8" w14:textId="77777777" w:rsidR="00E66A36" w:rsidRPr="00F40D7C" w:rsidRDefault="00E66A36" w:rsidP="0096115E">
            <w:pPr>
              <w:pStyle w:val="Tableheading"/>
              <w:rPr>
                <w:sz w:val="20"/>
                <w:szCs w:val="20"/>
              </w:rPr>
            </w:pPr>
            <w:r w:rsidRPr="00F40D7C">
              <w:rPr>
                <w:sz w:val="20"/>
                <w:szCs w:val="20"/>
              </w:rPr>
              <w:t>Jul 2014 - June 2015</w:t>
            </w:r>
          </w:p>
        </w:tc>
        <w:tc>
          <w:tcPr>
            <w:tcW w:w="0" w:type="auto"/>
            <w:shd w:val="clear" w:color="auto" w:fill="BFBFBF" w:themeFill="background1" w:themeFillShade="BF"/>
          </w:tcPr>
          <w:p w14:paraId="68B7A93D" w14:textId="77777777" w:rsidR="00E66A36" w:rsidRPr="00F40D7C" w:rsidRDefault="00E66A36" w:rsidP="0096115E">
            <w:pPr>
              <w:pStyle w:val="Tableheading"/>
              <w:rPr>
                <w:sz w:val="20"/>
                <w:szCs w:val="20"/>
              </w:rPr>
            </w:pPr>
            <w:r w:rsidRPr="00F40D7C">
              <w:rPr>
                <w:sz w:val="20"/>
                <w:szCs w:val="20"/>
              </w:rPr>
              <w:t>July 2015 - June 2016</w:t>
            </w:r>
          </w:p>
        </w:tc>
      </w:tr>
      <w:tr w:rsidR="00E66A36" w:rsidRPr="00F40D7C" w14:paraId="266E5589" w14:textId="77777777" w:rsidTr="0096115E">
        <w:trPr>
          <w:trHeight w:val="373"/>
        </w:trPr>
        <w:tc>
          <w:tcPr>
            <w:tcW w:w="0" w:type="auto"/>
          </w:tcPr>
          <w:p w14:paraId="218AD110" w14:textId="77777777" w:rsidR="00E66A36" w:rsidRPr="00F40D7C" w:rsidRDefault="00E66A36" w:rsidP="0096115E">
            <w:pPr>
              <w:pStyle w:val="Tableheading"/>
              <w:rPr>
                <w:b w:val="0"/>
                <w:sz w:val="20"/>
                <w:szCs w:val="20"/>
              </w:rPr>
            </w:pPr>
            <w:r w:rsidRPr="00F40D7C">
              <w:rPr>
                <w:b w:val="0"/>
                <w:sz w:val="20"/>
                <w:szCs w:val="20"/>
              </w:rPr>
              <w:t>All systemic antifungals</w:t>
            </w:r>
          </w:p>
        </w:tc>
        <w:tc>
          <w:tcPr>
            <w:tcW w:w="0" w:type="auto"/>
            <w:vAlign w:val="center"/>
          </w:tcPr>
          <w:p w14:paraId="658324DB" w14:textId="77777777" w:rsidR="00E66A36" w:rsidRPr="00F40D7C" w:rsidRDefault="00E66A36" w:rsidP="0096115E">
            <w:pPr>
              <w:pStyle w:val="Tablewriting"/>
              <w:jc w:val="center"/>
              <w:rPr>
                <w:b/>
              </w:rPr>
            </w:pPr>
            <w:r w:rsidRPr="00F40D7C">
              <w:t>241,907</w:t>
            </w:r>
          </w:p>
        </w:tc>
        <w:tc>
          <w:tcPr>
            <w:tcW w:w="0" w:type="auto"/>
            <w:vAlign w:val="center"/>
          </w:tcPr>
          <w:p w14:paraId="7329E1C9" w14:textId="77777777" w:rsidR="00E66A36" w:rsidRPr="00F40D7C" w:rsidRDefault="00E66A36" w:rsidP="0096115E">
            <w:pPr>
              <w:pStyle w:val="Tablewriting"/>
              <w:jc w:val="center"/>
              <w:rPr>
                <w:b/>
              </w:rPr>
            </w:pPr>
            <w:r w:rsidRPr="00F40D7C">
              <w:t>213,182</w:t>
            </w:r>
          </w:p>
        </w:tc>
        <w:tc>
          <w:tcPr>
            <w:tcW w:w="0" w:type="auto"/>
            <w:vAlign w:val="center"/>
          </w:tcPr>
          <w:p w14:paraId="28C7E25E" w14:textId="77777777" w:rsidR="00E66A36" w:rsidRPr="00F40D7C" w:rsidRDefault="00E66A36" w:rsidP="0096115E">
            <w:pPr>
              <w:pStyle w:val="Tablewriting"/>
              <w:jc w:val="center"/>
              <w:rPr>
                <w:b/>
              </w:rPr>
            </w:pPr>
            <w:r w:rsidRPr="00F40D7C">
              <w:t>198,148</w:t>
            </w:r>
          </w:p>
        </w:tc>
        <w:tc>
          <w:tcPr>
            <w:tcW w:w="0" w:type="auto"/>
            <w:vAlign w:val="center"/>
          </w:tcPr>
          <w:p w14:paraId="1743FDDA" w14:textId="77777777" w:rsidR="00E66A36" w:rsidRPr="00F40D7C" w:rsidRDefault="00E66A36" w:rsidP="0096115E">
            <w:pPr>
              <w:pStyle w:val="Tablewriting"/>
              <w:jc w:val="center"/>
              <w:rPr>
                <w:b/>
              </w:rPr>
            </w:pPr>
            <w:r w:rsidRPr="00F40D7C">
              <w:t>203,228</w:t>
            </w:r>
          </w:p>
        </w:tc>
      </w:tr>
    </w:tbl>
    <w:p w14:paraId="71D42B3A" w14:textId="77777777" w:rsidR="00E66A36" w:rsidRPr="00F0300A" w:rsidRDefault="00E66A36" w:rsidP="00E66A36">
      <w:pPr>
        <w:pStyle w:val="Notes"/>
      </w:pPr>
      <w:r>
        <w:t>Source: DHS Supplied Prescriptions database, extracted August 2016</w:t>
      </w:r>
    </w:p>
    <w:p w14:paraId="14EEA976" w14:textId="77777777" w:rsidR="00E66A36" w:rsidRDefault="00E66A36" w:rsidP="00E66A36">
      <w:pPr>
        <w:sectPr w:rsidR="00E66A36" w:rsidSect="00DD188C">
          <w:footerReference w:type="even" r:id="rId16"/>
          <w:footerReference w:type="default" r:id="rId17"/>
          <w:footerReference w:type="first" r:id="rId18"/>
          <w:pgSz w:w="11906" w:h="16838"/>
          <w:pgMar w:top="1644" w:right="1361" w:bottom="1644" w:left="1588" w:header="709" w:footer="709" w:gutter="0"/>
          <w:cols w:space="708"/>
          <w:docGrid w:linePitch="360"/>
        </w:sectPr>
      </w:pPr>
      <w:r>
        <w:t>The number of systemic antifungal prescriptions supplied decreased between the 2012</w:t>
      </w:r>
      <w:r>
        <w:noBreakHyphen/>
        <w:t>13 and 2014</w:t>
      </w:r>
      <w:r>
        <w:noBreakHyphen/>
        <w:t>15 financial years but has increased in the 2015</w:t>
      </w:r>
      <w:r>
        <w:noBreakHyphen/>
        <w:t>16 financial year.</w:t>
      </w:r>
    </w:p>
    <w:p w14:paraId="26AEECBC" w14:textId="77777777" w:rsidR="00E66A36" w:rsidRPr="00FE645A" w:rsidRDefault="00E66A36" w:rsidP="00E66A36">
      <w:pPr>
        <w:pStyle w:val="Figuretitle"/>
      </w:pPr>
      <w:r>
        <w:rPr>
          <w:noProof/>
          <w:lang w:val="en-AU"/>
        </w:rPr>
        <w:lastRenderedPageBreak/>
        <w:drawing>
          <wp:inline distT="0" distB="0" distL="0" distR="0" wp14:anchorId="7C1BC763" wp14:editId="50BD2390">
            <wp:extent cx="8410575" cy="3543300"/>
            <wp:effectExtent l="0" t="0" r="9525"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br/>
      </w:r>
      <w:r w:rsidRPr="00FE645A">
        <w:t xml:space="preserve">Figure 1: </w:t>
      </w:r>
      <w:proofErr w:type="spellStart"/>
      <w:r>
        <w:t>Utilisation</w:t>
      </w:r>
      <w:proofErr w:type="spellEnd"/>
      <w:r>
        <w:t xml:space="preserve"> of systemic antifungal medicines - prescriptions</w:t>
      </w:r>
    </w:p>
    <w:p w14:paraId="1FBCADC3" w14:textId="77777777" w:rsidR="00E66A36" w:rsidRPr="00FE645A" w:rsidRDefault="00E66A36" w:rsidP="00E66A36">
      <w:pPr>
        <w:pStyle w:val="Figurecaption"/>
      </w:pPr>
      <w:r>
        <w:t>Source: DUSC database, extracted August 2016</w:t>
      </w:r>
    </w:p>
    <w:p w14:paraId="2462C491" w14:textId="4D7CE902" w:rsidR="00E66A36" w:rsidRPr="009A100F" w:rsidRDefault="00E66A36" w:rsidP="00E66A36">
      <w:pPr>
        <w:sectPr w:rsidR="00E66A36" w:rsidRPr="009A100F" w:rsidSect="0096115E">
          <w:pgSz w:w="16838" w:h="11906" w:orient="landscape"/>
          <w:pgMar w:top="1588" w:right="1644" w:bottom="1361" w:left="1644" w:header="709" w:footer="709" w:gutter="0"/>
          <w:cols w:space="708"/>
          <w:docGrid w:linePitch="360"/>
        </w:sectPr>
      </w:pPr>
      <w:r>
        <w:t>In the 2015</w:t>
      </w:r>
      <w:r>
        <w:noBreakHyphen/>
        <w:t>16 financial year, there were 203,22</w:t>
      </w:r>
      <w:r w:rsidRPr="00C67B83">
        <w:t>8</w:t>
      </w:r>
      <w:r>
        <w:t xml:space="preserve"> prescriptions for systemic antifungals supplied on the R/PBS. </w:t>
      </w:r>
      <w:proofErr w:type="spellStart"/>
      <w:r>
        <w:t>Terbinafine</w:t>
      </w:r>
      <w:proofErr w:type="spellEnd"/>
      <w:r>
        <w:t xml:space="preserve"> has remained the most utilised antifungal in terms of the prescriptions supplied, with </w:t>
      </w:r>
      <w:r w:rsidRPr="00C67B83">
        <w:t>67,001</w:t>
      </w:r>
      <w:r>
        <w:t> prescriptions supplied in 2015</w:t>
      </w:r>
      <w:r>
        <w:noBreakHyphen/>
        <w:t xml:space="preserve">16. The number of </w:t>
      </w:r>
      <w:proofErr w:type="spellStart"/>
      <w:r>
        <w:t>terbinafine</w:t>
      </w:r>
      <w:proofErr w:type="spellEnd"/>
      <w:r>
        <w:t xml:space="preserve"> prescriptions supplied has decreased in 2012. The number of </w:t>
      </w:r>
      <w:proofErr w:type="spellStart"/>
      <w:r>
        <w:t>griseofulvin</w:t>
      </w:r>
      <w:proofErr w:type="spellEnd"/>
      <w:r>
        <w:t xml:space="preserve"> prescriptions supplied has remained relatively stable since 2012. The number of fluconazole, </w:t>
      </w:r>
      <w:proofErr w:type="spellStart"/>
      <w:r>
        <w:t>itraconazole</w:t>
      </w:r>
      <w:proofErr w:type="spellEnd"/>
      <w:r>
        <w:t xml:space="preserve"> and </w:t>
      </w:r>
      <w:proofErr w:type="spellStart"/>
      <w:r>
        <w:t>posaconazole</w:t>
      </w:r>
      <w:proofErr w:type="spellEnd"/>
      <w:r>
        <w:t xml:space="preserve"> prescriptions supplied has continued to increase. There is a sudden increase in fluconazole prescriptions in the second quarter of 2016 after the listing changed to a </w:t>
      </w:r>
      <w:r w:rsidR="00B719E8">
        <w:t>Restricted Benefit</w:t>
      </w:r>
      <w:r>
        <w:t xml:space="preserve">. The number of </w:t>
      </w:r>
      <w:proofErr w:type="spellStart"/>
      <w:r>
        <w:t>voriconazole</w:t>
      </w:r>
      <w:proofErr w:type="spellEnd"/>
      <w:r>
        <w:t xml:space="preserve"> prescriptions supplied has decreased after peaking in 2012. </w:t>
      </w:r>
    </w:p>
    <w:p w14:paraId="5F325971" w14:textId="77777777" w:rsidR="00A1650F" w:rsidRPr="005E22C2" w:rsidRDefault="00A1650F" w:rsidP="00D764A4">
      <w:pPr>
        <w:pStyle w:val="Heading3"/>
      </w:pPr>
      <w:r>
        <w:lastRenderedPageBreak/>
        <w:t xml:space="preserve">Fluconazole </w:t>
      </w:r>
    </w:p>
    <w:p w14:paraId="299E2037" w14:textId="77777777" w:rsidR="00A1650F" w:rsidRDefault="00A1650F" w:rsidP="00A1650F">
      <w:r>
        <w:t xml:space="preserve">Figure 2 presents the number of fluconazole capsule prescriptions supplied on the R/PBS. </w:t>
      </w:r>
    </w:p>
    <w:p w14:paraId="5AD62681" w14:textId="06D7E949" w:rsidR="00D764A4" w:rsidRDefault="00A1650F" w:rsidP="00D764A4">
      <w:r>
        <w:rPr>
          <w:noProof/>
        </w:rPr>
        <w:drawing>
          <wp:inline distT="0" distB="0" distL="0" distR="0" wp14:anchorId="1C07EDBA" wp14:editId="7737C48B">
            <wp:extent cx="5543550" cy="2733675"/>
            <wp:effectExtent l="0" t="0" r="1905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46A17E" w14:textId="6490173A" w:rsidR="00A1650F" w:rsidRPr="00FE645A" w:rsidRDefault="00A1650F" w:rsidP="00A1650F">
      <w:pPr>
        <w:pStyle w:val="Figuretitle"/>
      </w:pPr>
      <w:r w:rsidRPr="00FE645A">
        <w:t xml:space="preserve">Figure </w:t>
      </w:r>
      <w:r>
        <w:t>2</w:t>
      </w:r>
      <w:r w:rsidRPr="00FE645A">
        <w:t xml:space="preserve">: </w:t>
      </w:r>
      <w:r>
        <w:t xml:space="preserve">Fluconazole capsule prescriptions </w:t>
      </w:r>
    </w:p>
    <w:p w14:paraId="5AAE2B80" w14:textId="77777777" w:rsidR="00A1650F" w:rsidRPr="00FE645A" w:rsidRDefault="00A1650F" w:rsidP="00A1650F">
      <w:pPr>
        <w:pStyle w:val="Figurecaption"/>
      </w:pPr>
      <w:r>
        <w:t xml:space="preserve">Source: DUSC database, extracted August 2016. </w:t>
      </w:r>
    </w:p>
    <w:p w14:paraId="66C7A756" w14:textId="77777777" w:rsidR="00A1650F" w:rsidRPr="00A35800" w:rsidRDefault="00A1650F" w:rsidP="00A1650F">
      <w:r>
        <w:t>The number of fluconazole capsule prescriptions supplied on the R/PBS has increased. The utilisation of all three strengths has increased but utilisation of the 200 mg capsules has increased more rapidly than the other strengths up to the first quarter of 2016. Utilisation of the 50 mg strength has rapidly increased three</w:t>
      </w:r>
      <w:r>
        <w:noBreakHyphen/>
        <w:t xml:space="preserve">fold in 2016.  Utilisation of the 100 mg strength has also increased sharply but not to the same extent as the 50 mg strength. </w:t>
      </w:r>
    </w:p>
    <w:p w14:paraId="146B8648" w14:textId="77777777" w:rsidR="00A1650F" w:rsidRDefault="00A1650F" w:rsidP="00A1650F">
      <w:r>
        <w:t xml:space="preserve">Figure 3 presents the utilisation of fluconazole oral suspension and parenteral formulation. </w:t>
      </w:r>
    </w:p>
    <w:p w14:paraId="7C0B2B2E" w14:textId="77777777" w:rsidR="00A1650F" w:rsidRPr="00FE645A" w:rsidRDefault="00A1650F" w:rsidP="00A1650F">
      <w:pPr>
        <w:pStyle w:val="Figuretitle"/>
      </w:pPr>
      <w:r>
        <w:rPr>
          <w:noProof/>
          <w:lang w:val="en-AU"/>
        </w:rPr>
        <w:drawing>
          <wp:inline distT="0" distB="0" distL="0" distR="0" wp14:anchorId="317C0FBE" wp14:editId="7F74C09D">
            <wp:extent cx="5687695" cy="2834125"/>
            <wp:effectExtent l="0" t="0" r="27305" b="2349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FE645A">
        <w:t xml:space="preserve">Figure </w:t>
      </w:r>
      <w:r>
        <w:t>3</w:t>
      </w:r>
      <w:r w:rsidRPr="00FE645A">
        <w:t xml:space="preserve">: </w:t>
      </w:r>
      <w:r>
        <w:t>Fluconazole prescriptions for suspension and IV solution formulations</w:t>
      </w:r>
    </w:p>
    <w:p w14:paraId="5384784C" w14:textId="77777777" w:rsidR="00A1650F" w:rsidRPr="00FE645A" w:rsidRDefault="00A1650F" w:rsidP="00A1650F">
      <w:pPr>
        <w:pStyle w:val="Figurecaption"/>
      </w:pPr>
      <w:r>
        <w:t xml:space="preserve">Source: DUSC database, extracted August 2016. </w:t>
      </w:r>
    </w:p>
    <w:p w14:paraId="3C6ADF4B" w14:textId="77777777" w:rsidR="00A1650F" w:rsidRDefault="00A1650F" w:rsidP="00A1650F">
      <w:r>
        <w:lastRenderedPageBreak/>
        <w:t xml:space="preserve">The utilisation of fluconazole products for IV administration decreased since 2014 to the second quarter of 2016 when utilisation of the 200 mg solution for IV infusion increased substantially. Data on quantity supplied confirmed an increase in utilisation of the 200 mg strength. The 400 mg solution of IV infusion is infrequently supplied on the R/PBS. The utilisation of the fluconazole suspension appears to have stabilised in 2014. </w:t>
      </w:r>
    </w:p>
    <w:p w14:paraId="6B052326" w14:textId="77777777" w:rsidR="00A1650F" w:rsidRDefault="00A1650F" w:rsidP="00A1650F">
      <w:pPr>
        <w:sectPr w:rsidR="00A1650F" w:rsidSect="0096115E">
          <w:pgSz w:w="11906" w:h="16838"/>
          <w:pgMar w:top="1644" w:right="1361" w:bottom="1644" w:left="1588" w:header="709" w:footer="709" w:gutter="0"/>
          <w:cols w:space="708"/>
          <w:docGrid w:linePitch="360"/>
        </w:sectPr>
      </w:pPr>
      <w:r>
        <w:t xml:space="preserve">Figure 4 presents the authority restrictions for fluconazole prescriptions between 2008 and first quarter of 2016. </w:t>
      </w:r>
    </w:p>
    <w:p w14:paraId="36904785" w14:textId="77777777" w:rsidR="00A1650F" w:rsidRPr="00FE645A" w:rsidRDefault="00A1650F" w:rsidP="00A1650F">
      <w:pPr>
        <w:pStyle w:val="Figuretitle"/>
      </w:pPr>
      <w:r>
        <w:rPr>
          <w:noProof/>
          <w:lang w:val="en-AU"/>
        </w:rPr>
        <w:lastRenderedPageBreak/>
        <w:drawing>
          <wp:inline distT="0" distB="0" distL="0" distR="0" wp14:anchorId="7AEF9E29" wp14:editId="559384A7">
            <wp:extent cx="8682990" cy="4333875"/>
            <wp:effectExtent l="0" t="0" r="2286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FE645A">
        <w:t xml:space="preserve">Figure </w:t>
      </w:r>
      <w:r>
        <w:t>4</w:t>
      </w:r>
      <w:r w:rsidRPr="00FE645A">
        <w:t xml:space="preserve">: </w:t>
      </w:r>
      <w:r>
        <w:t>Fluconazole indications from authority codes – January 2008 to March 2016</w:t>
      </w:r>
    </w:p>
    <w:p w14:paraId="581484D8" w14:textId="77777777" w:rsidR="00A1650F" w:rsidRPr="00FE645A" w:rsidRDefault="00A1650F" w:rsidP="00A1650F">
      <w:pPr>
        <w:pStyle w:val="Figurecaption"/>
      </w:pPr>
      <w:r>
        <w:t xml:space="preserve">Source: DHS supplied prescriptions database, DHS Authority approvals database, extracted July 2016. </w:t>
      </w:r>
      <w:r>
        <w:br/>
        <w:t xml:space="preserve">Note: There were 168 prescriptions with special DVA authority approvals that are not included in the figure due to small number per quarter. </w:t>
      </w:r>
    </w:p>
    <w:p w14:paraId="26392FE8" w14:textId="77777777" w:rsidR="00A1650F" w:rsidRDefault="00A1650F" w:rsidP="00A1650F">
      <w:pPr>
        <w:sectPr w:rsidR="00A1650F" w:rsidSect="0096115E">
          <w:pgSz w:w="16838" w:h="11906" w:orient="landscape"/>
          <w:pgMar w:top="1588" w:right="1644" w:bottom="1361" w:left="1644" w:header="709" w:footer="709" w:gutter="0"/>
          <w:cols w:space="708"/>
          <w:docGrid w:linePitch="360"/>
        </w:sectPr>
      </w:pPr>
      <w:r>
        <w:t xml:space="preserve">Treatment and prophylaxis against </w:t>
      </w:r>
      <w:proofErr w:type="spellStart"/>
      <w:r>
        <w:t>oropharyngeal</w:t>
      </w:r>
      <w:proofErr w:type="spellEnd"/>
      <w:r>
        <w:t xml:space="preserve"> candidiasis were the most common indications for fluconazole supply. Prescriptions for serious and life</w:t>
      </w:r>
      <w:r>
        <w:noBreakHyphen/>
        <w:t>threatening candida infections has increased five</w:t>
      </w:r>
      <w:r>
        <w:noBreakHyphen/>
        <w:t>fold from around 500 prescriptions per quarter to mid</w:t>
      </w:r>
      <w:r>
        <w:noBreakHyphen/>
        <w:t xml:space="preserve">2011 to 2,500 prescriptions per quarter in late 2015. There has also been an increase in number of prescriptions for treatment of </w:t>
      </w:r>
      <w:proofErr w:type="spellStart"/>
      <w:r>
        <w:t>cryptococcal</w:t>
      </w:r>
      <w:proofErr w:type="spellEnd"/>
      <w:r>
        <w:t xml:space="preserve"> </w:t>
      </w:r>
    </w:p>
    <w:p w14:paraId="570C1196" w14:textId="4E019153" w:rsidR="00574E7D" w:rsidRDefault="00574E7D" w:rsidP="00574E7D">
      <w:proofErr w:type="gramStart"/>
      <w:r>
        <w:lastRenderedPageBreak/>
        <w:t>meningitis</w:t>
      </w:r>
      <w:proofErr w:type="gramEnd"/>
      <w:r>
        <w:t xml:space="preserve"> in late 2015. Following the introduction of the streamlined authority listing, there was a transient increase in in the number of prescriptions where an indication could not be matched. The proportion of prescriptions without an indication decreased to less than 1% of prescription in the third quarter of 2012. In 2015, 0.7% of prescriptions did not have an indication code. Since April 2016, fluconazole has had a </w:t>
      </w:r>
      <w:r w:rsidR="00B719E8">
        <w:t>Restricted Benefit</w:t>
      </w:r>
      <w:r>
        <w:t xml:space="preserve"> listing. Restriction codes will only be captured for telephone authority prescriptions for higher quantities or repeats. </w:t>
      </w:r>
    </w:p>
    <w:p w14:paraId="050B9185" w14:textId="77777777" w:rsidR="00574E7D" w:rsidRDefault="00574E7D" w:rsidP="00574E7D">
      <w:r>
        <w:t xml:space="preserve">Due to the large increase in the number of fluconazole prescriptions supplied in the second quarter of 2016, analyses were undertaken to investigate possible reasons for the increase. Figure 5 presents the number of 50 mg and 100 mg capsule prescriptions by patient sex. </w:t>
      </w:r>
    </w:p>
    <w:p w14:paraId="27DA4F9E" w14:textId="77777777" w:rsidR="00574E7D" w:rsidRPr="00FE645A" w:rsidRDefault="00574E7D" w:rsidP="00574E7D">
      <w:pPr>
        <w:pStyle w:val="Figuretitle"/>
      </w:pPr>
      <w:r>
        <w:rPr>
          <w:noProof/>
          <w:lang w:val="en-AU"/>
        </w:rPr>
        <w:drawing>
          <wp:inline distT="0" distB="0" distL="0" distR="0" wp14:anchorId="0F0B907E" wp14:editId="49B2DAE9">
            <wp:extent cx="5686425" cy="24288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FE645A">
        <w:t xml:space="preserve">Figure </w:t>
      </w:r>
      <w:r>
        <w:t>5</w:t>
      </w:r>
      <w:r w:rsidRPr="00FE645A">
        <w:t xml:space="preserve">: </w:t>
      </w:r>
      <w:r>
        <w:t>Fluconazole prescriptions for 50 mg and 100 mg capsules by sex</w:t>
      </w:r>
    </w:p>
    <w:p w14:paraId="7D2D31FE" w14:textId="77777777" w:rsidR="00574E7D" w:rsidRPr="00FE645A" w:rsidRDefault="00574E7D" w:rsidP="00574E7D">
      <w:pPr>
        <w:pStyle w:val="Figurecaption"/>
      </w:pPr>
      <w:r>
        <w:t xml:space="preserve">Source: </w:t>
      </w:r>
      <w:r w:rsidRPr="00DD68C4">
        <w:t>DHS supplied prescriptions database,</w:t>
      </w:r>
      <w:r>
        <w:t xml:space="preserve"> extracted August 2016. </w:t>
      </w:r>
    </w:p>
    <w:p w14:paraId="49E3D60F" w14:textId="77777777" w:rsidR="00574E7D" w:rsidRDefault="00574E7D" w:rsidP="00574E7D">
      <w:r>
        <w:t xml:space="preserve">A larger proportion of prescriptions supplied in the second quarter of 2016 were for female patients than earlier quarters. 72% of prescriptions were for females in the second quarter of 2016, compared to 64% of prescriptions in 2015. </w:t>
      </w:r>
    </w:p>
    <w:p w14:paraId="6B4BC431" w14:textId="4497CFCC" w:rsidR="00E66A36" w:rsidRDefault="00574E7D" w:rsidP="00574E7D">
      <w:r>
        <w:t>Figure 6 compares the increase in fluconazole prescriptions for 50 mg or 100 mg capsules from the first to second quarters of 2016 compared to the corresponding period a year earlier by prescriber speciality.</w:t>
      </w:r>
    </w:p>
    <w:p w14:paraId="6890D39B" w14:textId="77777777" w:rsidR="00CC024A" w:rsidRPr="00464B12" w:rsidRDefault="00CC024A" w:rsidP="00CC024A">
      <w:pPr>
        <w:pStyle w:val="Figuretitle"/>
      </w:pPr>
      <w:r>
        <w:rPr>
          <w:noProof/>
          <w:lang w:val="en-AU"/>
        </w:rPr>
        <w:lastRenderedPageBreak/>
        <w:drawing>
          <wp:inline distT="0" distB="0" distL="0" distR="0" wp14:anchorId="46FB67A8" wp14:editId="35C46FEC">
            <wp:extent cx="5687695" cy="2974494"/>
            <wp:effectExtent l="0" t="0" r="27305" b="165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FE645A">
        <w:t xml:space="preserve">Figure </w:t>
      </w:r>
      <w:r>
        <w:t>6</w:t>
      </w:r>
      <w:r w:rsidRPr="00FE645A">
        <w:t xml:space="preserve">: </w:t>
      </w:r>
      <w:r>
        <w:t>Changes in fluconazole prescribing by prescriber specialty – 50 mg and 200mg capsules</w:t>
      </w:r>
    </w:p>
    <w:p w14:paraId="1712CE7B" w14:textId="77777777" w:rsidR="00CC024A" w:rsidRPr="00FE645A" w:rsidRDefault="00CC024A" w:rsidP="00CC024A">
      <w:pPr>
        <w:pStyle w:val="Figurecaption"/>
      </w:pPr>
      <w:r>
        <w:t xml:space="preserve">Source: </w:t>
      </w:r>
      <w:r w:rsidRPr="00DD68C4">
        <w:t>DHS supplied prescriptions database,</w:t>
      </w:r>
      <w:r>
        <w:t xml:space="preserve"> extracted August 2016. </w:t>
      </w:r>
      <w:r>
        <w:br/>
        <w:t xml:space="preserve">Note: The graph only includes prescriber specialities with a large change in prescribing. </w:t>
      </w:r>
      <w:r>
        <w:br/>
        <w:t>GP = general practitioner, VR = vocationally registered</w:t>
      </w:r>
    </w:p>
    <w:p w14:paraId="4788111C" w14:textId="77777777" w:rsidR="00CC024A" w:rsidRDefault="00CC024A" w:rsidP="00CC024A">
      <w:r>
        <w:br/>
        <w:t xml:space="preserve">The largest numerical increase in fluconazole prescriptions has been due to more prescriptions by general practitioners (all groups) followed by obstetricians and gynaecologists and dermatologists. Many of prescriber specialities listed on the figure have had large increases in fluconazole prescribing compared to the corresponding quarters in 2015. </w:t>
      </w:r>
    </w:p>
    <w:p w14:paraId="4A054380" w14:textId="77777777" w:rsidR="00CC024A" w:rsidRDefault="00CC024A" w:rsidP="00CC024A">
      <w:r>
        <w:t xml:space="preserve">Figure 7 presents the numerical increase in 200 mg fluconazole vial prescriptions by prescriber speciality from </w:t>
      </w:r>
      <w:r w:rsidRPr="003D10A6">
        <w:t>first to second quarter of 2016</w:t>
      </w:r>
      <w:r>
        <w:t xml:space="preserve"> compared to the corresponding quarter in 2016. </w:t>
      </w:r>
    </w:p>
    <w:p w14:paraId="07F87079" w14:textId="77777777" w:rsidR="0096115E" w:rsidRDefault="0096115E" w:rsidP="00D764A4">
      <w:r>
        <w:rPr>
          <w:noProof/>
        </w:rPr>
        <w:lastRenderedPageBreak/>
        <w:drawing>
          <wp:inline distT="0" distB="0" distL="0" distR="0" wp14:anchorId="433EC9F4" wp14:editId="5AD66570">
            <wp:extent cx="5372098" cy="2762250"/>
            <wp:effectExtent l="0" t="0" r="19685"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FF7878" w14:textId="77777777" w:rsidR="0096115E" w:rsidRPr="00FE645A" w:rsidRDefault="0096115E" w:rsidP="0096115E">
      <w:pPr>
        <w:pStyle w:val="Figuretitle"/>
      </w:pPr>
      <w:r w:rsidRPr="00FE645A">
        <w:t xml:space="preserve">Figure </w:t>
      </w:r>
      <w:r>
        <w:t>7</w:t>
      </w:r>
      <w:r w:rsidRPr="00FE645A">
        <w:t xml:space="preserve">: </w:t>
      </w:r>
      <w:r>
        <w:t>Changes in fluconazole prescribing by prescriber specialty – 200 mg IV</w:t>
      </w:r>
    </w:p>
    <w:p w14:paraId="43BD7B5F" w14:textId="77777777" w:rsidR="0096115E" w:rsidRPr="00FE645A" w:rsidRDefault="0096115E" w:rsidP="0096115E">
      <w:pPr>
        <w:pStyle w:val="Figurecaption"/>
      </w:pPr>
      <w:r>
        <w:t xml:space="preserve">Source: </w:t>
      </w:r>
      <w:r w:rsidRPr="00DD68C4">
        <w:t>DHS supplied prescriptions database,</w:t>
      </w:r>
      <w:r>
        <w:t xml:space="preserve"> extracted August 2016. </w:t>
      </w:r>
      <w:r>
        <w:br/>
        <w:t xml:space="preserve">Note: The graph only includes prescriber specialities with a large change in prescribing. </w:t>
      </w:r>
      <w:r>
        <w:br/>
        <w:t>GP = general practitioner, VR = vocationally registered</w:t>
      </w:r>
    </w:p>
    <w:p w14:paraId="5732B4F1" w14:textId="77777777" w:rsidR="0096115E" w:rsidRDefault="0096115E" w:rsidP="0096115E">
      <w:r>
        <w:t>Surgeons and non</w:t>
      </w:r>
      <w:r>
        <w:noBreakHyphen/>
        <w:t xml:space="preserve">vocationally registered general practitioners have had the largest increase in the number of 200 mg IV prescriptions supplied. There have also been smaller increases across a range of prescribers. The magnitude of the changes in prescribing that occurred from the first to second quarters of 2016 were larger than the changes that occurred in the corresponding period in 2015. </w:t>
      </w:r>
    </w:p>
    <w:p w14:paraId="4F545BB0" w14:textId="77777777" w:rsidR="0096115E" w:rsidRDefault="0096115E" w:rsidP="0096115E">
      <w:r>
        <w:t xml:space="preserve">Figure 8 presents the number of repeats prescribed with each original fluconazole prescription. </w:t>
      </w:r>
    </w:p>
    <w:p w14:paraId="724E5C7B" w14:textId="77777777" w:rsidR="0096115E" w:rsidRDefault="0096115E" w:rsidP="0096115E">
      <w:r>
        <w:br w:type="page"/>
      </w:r>
    </w:p>
    <w:p w14:paraId="0BC9E4D9" w14:textId="77777777" w:rsidR="00D764A4" w:rsidRPr="00D764A4" w:rsidRDefault="0096115E" w:rsidP="00D764A4">
      <w:pPr>
        <w:pStyle w:val="Notes"/>
        <w:spacing w:before="60" w:after="60"/>
        <w:rPr>
          <w:rStyle w:val="FiguretitleChar"/>
          <w:rFonts w:asciiTheme="minorHAnsi" w:hAnsiTheme="minorHAnsi"/>
        </w:rPr>
      </w:pPr>
      <w:r>
        <w:rPr>
          <w:noProof/>
        </w:rPr>
        <w:lastRenderedPageBreak/>
        <w:drawing>
          <wp:inline distT="0" distB="0" distL="0" distR="0" wp14:anchorId="439685A7" wp14:editId="00923854">
            <wp:extent cx="5162550" cy="3067049"/>
            <wp:effectExtent l="0" t="0" r="19050" b="1968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br/>
      </w:r>
      <w:r w:rsidR="00D764A4" w:rsidRPr="00D764A4">
        <w:rPr>
          <w:rStyle w:val="FiguretitleChar"/>
          <w:rFonts w:asciiTheme="minorHAnsi" w:hAnsiTheme="minorHAnsi"/>
        </w:rPr>
        <w:t>Figure 8: Fluconazole original prescriptions by repeats ordered</w:t>
      </w:r>
      <w:r w:rsidR="00D764A4" w:rsidRPr="00D764A4">
        <w:t xml:space="preserve"> </w:t>
      </w:r>
      <w:r w:rsidR="00D764A4" w:rsidRPr="00D764A4">
        <w:rPr>
          <w:rStyle w:val="FiguretitleChar"/>
          <w:rFonts w:asciiTheme="minorHAnsi" w:hAnsiTheme="minorHAnsi"/>
        </w:rPr>
        <w:t>– 50 mg and 200 mg capsules</w:t>
      </w:r>
    </w:p>
    <w:p w14:paraId="0CA89B81" w14:textId="4779193C" w:rsidR="0096115E" w:rsidRDefault="0096115E" w:rsidP="0096115E">
      <w:pPr>
        <w:pStyle w:val="Notes"/>
      </w:pPr>
      <w:r>
        <w:t xml:space="preserve">Source: </w:t>
      </w:r>
      <w:r w:rsidRPr="00DD68C4">
        <w:t>DHS supplied prescriptions database,</w:t>
      </w:r>
      <w:r>
        <w:t xml:space="preserve"> extracted August 2016.</w:t>
      </w:r>
      <w:r>
        <w:br/>
        <w:t xml:space="preserve">Note: Data excludes a small number of prescriptions with more than five repeats. </w:t>
      </w:r>
    </w:p>
    <w:p w14:paraId="3B626354" w14:textId="77777777" w:rsidR="0096115E" w:rsidRDefault="0096115E" w:rsidP="0096115E">
      <w:r>
        <w:t xml:space="preserve">The number of original prescriptions with no repeats has increased over time to exceed the number of prescriptions with five repeats. The increase from 1 April 2016 in original prescriptions with no repeats </w:t>
      </w:r>
      <w:r w:rsidRPr="006226ED">
        <w:t xml:space="preserve">in the second quarter of 2016 </w:t>
      </w:r>
      <w:r>
        <w:t xml:space="preserve">has been greater than other groups. </w:t>
      </w:r>
    </w:p>
    <w:p w14:paraId="48896196" w14:textId="77777777" w:rsidR="0096115E" w:rsidRPr="005E22C2" w:rsidRDefault="0096115E" w:rsidP="00D764A4">
      <w:pPr>
        <w:pStyle w:val="Heading3"/>
      </w:pPr>
      <w:proofErr w:type="spellStart"/>
      <w:r>
        <w:t>Itraconazole</w:t>
      </w:r>
      <w:proofErr w:type="spellEnd"/>
      <w:r>
        <w:t xml:space="preserve"> </w:t>
      </w:r>
    </w:p>
    <w:p w14:paraId="597189B0" w14:textId="77777777" w:rsidR="0096115E" w:rsidRDefault="0096115E" w:rsidP="0096115E">
      <w:r>
        <w:t xml:space="preserve">Figure 9 presents the number of prescriptions for </w:t>
      </w:r>
      <w:proofErr w:type="spellStart"/>
      <w:r>
        <w:t>itraconazole</w:t>
      </w:r>
      <w:proofErr w:type="spellEnd"/>
      <w:r>
        <w:t xml:space="preserve"> capsules. </w:t>
      </w:r>
    </w:p>
    <w:p w14:paraId="73BC08BD" w14:textId="77777777" w:rsidR="0096115E" w:rsidRPr="00D764A4" w:rsidRDefault="0096115E" w:rsidP="0096115E">
      <w:pPr>
        <w:pStyle w:val="Figuretitle"/>
      </w:pPr>
      <w:r>
        <w:rPr>
          <w:noProof/>
          <w:lang w:val="en-AU"/>
        </w:rPr>
        <w:drawing>
          <wp:inline distT="0" distB="0" distL="0" distR="0" wp14:anchorId="0487AE22" wp14:editId="2B2041EE">
            <wp:extent cx="5610225" cy="26289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D764A4">
        <w:t xml:space="preserve">Figure 9: </w:t>
      </w:r>
      <w:proofErr w:type="spellStart"/>
      <w:r w:rsidRPr="00D764A4">
        <w:t>Itraconazole</w:t>
      </w:r>
      <w:proofErr w:type="spellEnd"/>
      <w:r w:rsidRPr="00D764A4">
        <w:t xml:space="preserve"> prescriptions</w:t>
      </w:r>
    </w:p>
    <w:p w14:paraId="0FA838C5" w14:textId="77777777" w:rsidR="0096115E" w:rsidRPr="00FE645A" w:rsidRDefault="0096115E" w:rsidP="0096115E">
      <w:pPr>
        <w:pStyle w:val="Figurecaption"/>
      </w:pPr>
      <w:r>
        <w:t xml:space="preserve">Source: DUSC database, extracted July 2016. </w:t>
      </w:r>
    </w:p>
    <w:p w14:paraId="407687AF" w14:textId="77777777" w:rsidR="00D764A4" w:rsidRDefault="00D764A4" w:rsidP="00D764A4">
      <w:r>
        <w:lastRenderedPageBreak/>
        <w:t xml:space="preserve">The number of </w:t>
      </w:r>
      <w:proofErr w:type="spellStart"/>
      <w:r>
        <w:t>itraconazole</w:t>
      </w:r>
      <w:proofErr w:type="spellEnd"/>
      <w:r>
        <w:t xml:space="preserve"> prescriptions supplied has increased steadily since 2011. Prior to 2011, the number of prescriptions supplied per quarter was relatively stable. There have been a small number of 50 mg capsules supplied since they were listed on 1 April 2016. The 50 mg </w:t>
      </w:r>
      <w:proofErr w:type="spellStart"/>
      <w:r>
        <w:t>Lozanoc</w:t>
      </w:r>
      <w:proofErr w:type="spellEnd"/>
      <w:r>
        <w:t xml:space="preserve"> brand capsules are therapeutically equivalent to the 100 mg </w:t>
      </w:r>
      <w:proofErr w:type="spellStart"/>
      <w:r>
        <w:t>Sporanox</w:t>
      </w:r>
      <w:proofErr w:type="spellEnd"/>
      <w:r>
        <w:t xml:space="preserve"> capsules. </w:t>
      </w:r>
    </w:p>
    <w:p w14:paraId="1E400E28" w14:textId="77777777" w:rsidR="00D764A4" w:rsidRDefault="00D764A4" w:rsidP="00D764A4">
      <w:r>
        <w:t xml:space="preserve">Figure 10 presents </w:t>
      </w:r>
      <w:proofErr w:type="spellStart"/>
      <w:r>
        <w:t>itraconazole</w:t>
      </w:r>
      <w:proofErr w:type="spellEnd"/>
      <w:r>
        <w:t xml:space="preserve"> prescriptions by authority restriction codes. </w:t>
      </w:r>
    </w:p>
    <w:p w14:paraId="1A6BD63F" w14:textId="77777777" w:rsidR="00D764A4" w:rsidRPr="00FE645A" w:rsidRDefault="00D764A4" w:rsidP="00D764A4">
      <w:pPr>
        <w:pStyle w:val="Figuretitle"/>
      </w:pPr>
      <w:r>
        <w:rPr>
          <w:noProof/>
          <w:lang w:val="en-AU"/>
        </w:rPr>
        <w:drawing>
          <wp:inline distT="0" distB="0" distL="0" distR="0" wp14:anchorId="29473F28" wp14:editId="2D4EADA9">
            <wp:extent cx="5687695" cy="2930499"/>
            <wp:effectExtent l="0" t="0" r="27305" b="228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FE645A">
        <w:t xml:space="preserve">Figure </w:t>
      </w:r>
      <w:r>
        <w:t>10</w:t>
      </w:r>
      <w:r w:rsidRPr="00FE645A">
        <w:t xml:space="preserve">: </w:t>
      </w:r>
      <w:proofErr w:type="spellStart"/>
      <w:r>
        <w:t>Itraconazole</w:t>
      </w:r>
      <w:proofErr w:type="spellEnd"/>
      <w:r>
        <w:t xml:space="preserve"> prescriptions by authority indication – January 2008 to March 2016</w:t>
      </w:r>
    </w:p>
    <w:p w14:paraId="3606EDD4" w14:textId="77777777" w:rsidR="00D764A4" w:rsidRPr="00FE645A" w:rsidRDefault="00D764A4" w:rsidP="00D764A4">
      <w:pPr>
        <w:pStyle w:val="Figurecaption"/>
      </w:pPr>
      <w:r>
        <w:t>Source: DUSC database,</w:t>
      </w:r>
      <w:r w:rsidRPr="00A43DBC">
        <w:t xml:space="preserve"> DHS Authority approvals database, </w:t>
      </w:r>
      <w:r>
        <w:t xml:space="preserve">extracted July 2016. </w:t>
      </w:r>
      <w:r>
        <w:br/>
      </w:r>
      <w:r w:rsidRPr="00A91110">
        <w:t>Note: There were 1</w:t>
      </w:r>
      <w:r>
        <w:t>30</w:t>
      </w:r>
      <w:r w:rsidRPr="00A91110">
        <w:t xml:space="preserve"> prescriptions with special DVA authority approvals that are not included in the figure due to small number per quarter.</w:t>
      </w:r>
    </w:p>
    <w:p w14:paraId="42DEA7AC" w14:textId="41C6C1CC" w:rsidR="00D764A4" w:rsidRDefault="00D764A4" w:rsidP="00D764A4">
      <w:r>
        <w:t xml:space="preserve">Systemic </w:t>
      </w:r>
      <w:proofErr w:type="spellStart"/>
      <w:r>
        <w:t>aspergillosis</w:t>
      </w:r>
      <w:proofErr w:type="spellEnd"/>
      <w:r>
        <w:t xml:space="preserve"> is the most common indication for </w:t>
      </w:r>
      <w:proofErr w:type="spellStart"/>
      <w:r>
        <w:t>itraconazole</w:t>
      </w:r>
      <w:proofErr w:type="spellEnd"/>
      <w:r>
        <w:t xml:space="preserve"> supply. The number of prescriptions supplied for this indication has almost doubled since 2011. The increase in utilisation for systemic </w:t>
      </w:r>
      <w:proofErr w:type="spellStart"/>
      <w:r>
        <w:t>aspergillosis</w:t>
      </w:r>
      <w:proofErr w:type="spellEnd"/>
      <w:r>
        <w:t xml:space="preserve"> appears to be responsible for most of the increase in </w:t>
      </w:r>
      <w:proofErr w:type="spellStart"/>
      <w:r>
        <w:t>itraconazole</w:t>
      </w:r>
      <w:proofErr w:type="spellEnd"/>
      <w:r>
        <w:t xml:space="preserve"> supply on the R/PBS. Since April 2016, </w:t>
      </w:r>
      <w:proofErr w:type="spellStart"/>
      <w:r>
        <w:t>itraconazole</w:t>
      </w:r>
      <w:proofErr w:type="spellEnd"/>
      <w:r>
        <w:t xml:space="preserve"> has had a </w:t>
      </w:r>
      <w:r w:rsidR="00B719E8">
        <w:t>Restricted Benefit</w:t>
      </w:r>
      <w:r>
        <w:t xml:space="preserve"> listing. Restriction codes will only be captured for telephone authority prescriptions for higher quantities or repeats.</w:t>
      </w:r>
    </w:p>
    <w:p w14:paraId="72D33A29" w14:textId="77777777" w:rsidR="00D764A4" w:rsidRPr="00D764A4" w:rsidRDefault="00D764A4" w:rsidP="00D764A4">
      <w:pPr>
        <w:pStyle w:val="Heading3"/>
      </w:pPr>
      <w:proofErr w:type="spellStart"/>
      <w:r w:rsidRPr="00D764A4">
        <w:t>Posaconazole</w:t>
      </w:r>
      <w:proofErr w:type="spellEnd"/>
      <w:r w:rsidRPr="00D764A4">
        <w:t xml:space="preserve"> </w:t>
      </w:r>
    </w:p>
    <w:p w14:paraId="2C6B3E71" w14:textId="77777777" w:rsidR="00D764A4" w:rsidRDefault="00D764A4" w:rsidP="00D764A4">
      <w:r>
        <w:t xml:space="preserve">Figure 11 presents the number of </w:t>
      </w:r>
      <w:proofErr w:type="spellStart"/>
      <w:r>
        <w:t>posaconazole</w:t>
      </w:r>
      <w:proofErr w:type="spellEnd"/>
      <w:r>
        <w:t xml:space="preserve"> prescriptions supplied on the R/PBS.</w:t>
      </w:r>
    </w:p>
    <w:p w14:paraId="686D98F8" w14:textId="77777777" w:rsidR="00896A44" w:rsidRPr="00FE645A" w:rsidRDefault="00896A44" w:rsidP="00896A44">
      <w:pPr>
        <w:pStyle w:val="Figuretitle"/>
      </w:pPr>
      <w:r>
        <w:rPr>
          <w:noProof/>
          <w:lang w:val="en-AU"/>
        </w:rPr>
        <w:lastRenderedPageBreak/>
        <w:drawing>
          <wp:inline distT="0" distB="0" distL="0" distR="0" wp14:anchorId="0FD05746" wp14:editId="46B0C769">
            <wp:extent cx="5687695" cy="2797175"/>
            <wp:effectExtent l="0" t="0" r="8255"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br/>
      </w:r>
      <w:r w:rsidRPr="00FE645A">
        <w:t xml:space="preserve">Figure </w:t>
      </w:r>
      <w:r>
        <w:t>11</w:t>
      </w:r>
      <w:r w:rsidRPr="00FE645A">
        <w:t xml:space="preserve">: </w:t>
      </w:r>
      <w:proofErr w:type="spellStart"/>
      <w:r>
        <w:t>Posaconazole</w:t>
      </w:r>
      <w:proofErr w:type="spellEnd"/>
      <w:r>
        <w:t xml:space="preserve"> prescriptions</w:t>
      </w:r>
    </w:p>
    <w:p w14:paraId="4F92558F" w14:textId="77777777" w:rsidR="00896A44" w:rsidRPr="00FE645A" w:rsidRDefault="00896A44" w:rsidP="00896A44">
      <w:pPr>
        <w:pStyle w:val="Figurecaption"/>
      </w:pPr>
      <w:r>
        <w:t xml:space="preserve">Source: DUSC database, extracted July 2016. </w:t>
      </w:r>
    </w:p>
    <w:p w14:paraId="3BE92544" w14:textId="77777777" w:rsidR="00896A44" w:rsidRDefault="00896A44" w:rsidP="00896A44">
      <w:r>
        <w:t xml:space="preserve">The number of </w:t>
      </w:r>
      <w:proofErr w:type="spellStart"/>
      <w:r>
        <w:t>posaconazole</w:t>
      </w:r>
      <w:proofErr w:type="spellEnd"/>
      <w:r>
        <w:t xml:space="preserve"> prescriptions supplied on the PBS has increased steadily since 2009. The number of prescriptions supplied somewhat plateaued from 2012 to 2014 before increasing in the second half of 2015 coinciding with the availability of the tablet form. </w:t>
      </w:r>
    </w:p>
    <w:p w14:paraId="7A478521" w14:textId="77777777" w:rsidR="00896A44" w:rsidRDefault="00896A44" w:rsidP="00896A44">
      <w:r>
        <w:t xml:space="preserve">Figure 12 presents </w:t>
      </w:r>
      <w:proofErr w:type="spellStart"/>
      <w:r>
        <w:t>posaconazole</w:t>
      </w:r>
      <w:proofErr w:type="spellEnd"/>
      <w:r>
        <w:t xml:space="preserve"> prescription by authority restriction codes. </w:t>
      </w:r>
    </w:p>
    <w:p w14:paraId="24CB449E" w14:textId="77777777" w:rsidR="00896A44" w:rsidRPr="00896A44" w:rsidRDefault="00896A44" w:rsidP="00896A44">
      <w:pPr>
        <w:pStyle w:val="Figurecaption"/>
        <w:rPr>
          <w:rStyle w:val="FiguretitleChar"/>
          <w:rFonts w:asciiTheme="minorHAnsi" w:hAnsiTheme="minorHAnsi"/>
        </w:rPr>
      </w:pPr>
      <w:r>
        <w:rPr>
          <w:noProof/>
          <w:lang w:eastAsia="en-AU"/>
        </w:rPr>
        <w:drawing>
          <wp:inline distT="0" distB="0" distL="0" distR="0" wp14:anchorId="06DEDCB7" wp14:editId="2EC61C97">
            <wp:extent cx="5687695" cy="2684780"/>
            <wp:effectExtent l="0" t="0" r="8255"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96A44">
        <w:rPr>
          <w:rStyle w:val="FiguretitleChar"/>
          <w:rFonts w:asciiTheme="minorHAnsi" w:hAnsiTheme="minorHAnsi"/>
        </w:rPr>
        <w:t xml:space="preserve">Figure 12: </w:t>
      </w:r>
      <w:proofErr w:type="spellStart"/>
      <w:r w:rsidRPr="00896A44">
        <w:rPr>
          <w:rStyle w:val="FiguretitleChar"/>
          <w:rFonts w:asciiTheme="minorHAnsi" w:hAnsiTheme="minorHAnsi"/>
        </w:rPr>
        <w:t>Posaconazole</w:t>
      </w:r>
      <w:proofErr w:type="spellEnd"/>
      <w:r w:rsidRPr="00896A44">
        <w:rPr>
          <w:rStyle w:val="FiguretitleChar"/>
          <w:rFonts w:asciiTheme="minorHAnsi" w:hAnsiTheme="minorHAnsi"/>
        </w:rPr>
        <w:t xml:space="preserve"> prescriptions by authority indication</w:t>
      </w:r>
    </w:p>
    <w:p w14:paraId="25141E04" w14:textId="77777777" w:rsidR="00896A44" w:rsidRPr="00FE645A" w:rsidRDefault="00896A44" w:rsidP="00896A44">
      <w:pPr>
        <w:pStyle w:val="Figurecaption"/>
      </w:pPr>
      <w:r>
        <w:t>Source: DHS supplied prescriptions database,</w:t>
      </w:r>
      <w:r w:rsidRPr="00A43DBC">
        <w:t xml:space="preserve"> DHS Authority approvals database, </w:t>
      </w:r>
      <w:r>
        <w:t xml:space="preserve">extracted July 2016. </w:t>
      </w:r>
      <w:r>
        <w:br/>
      </w:r>
      <w:r w:rsidRPr="00A91110">
        <w:t xml:space="preserve">Note: There were </w:t>
      </w:r>
      <w:r>
        <w:t>17</w:t>
      </w:r>
      <w:r w:rsidRPr="00A91110">
        <w:t xml:space="preserve"> prescriptions with special DVA authority approvals that are not included in the figure due to </w:t>
      </w:r>
      <w:r>
        <w:t xml:space="preserve">the </w:t>
      </w:r>
      <w:r w:rsidRPr="00A91110">
        <w:t>small number per quarter.</w:t>
      </w:r>
      <w:r>
        <w:t xml:space="preserve"> Approximately 1% of </w:t>
      </w:r>
      <w:proofErr w:type="spellStart"/>
      <w:r>
        <w:t>posaconazole</w:t>
      </w:r>
      <w:proofErr w:type="spellEnd"/>
      <w:r>
        <w:t xml:space="preserve"> prescriptions did not have an indication code and are not included in the above figure. </w:t>
      </w:r>
      <w:r>
        <w:br/>
        <w:t xml:space="preserve">Note: Treatment (other) is for the treatment of the following fungal infections </w:t>
      </w:r>
      <w:proofErr w:type="spellStart"/>
      <w:r>
        <w:t>fusariosis</w:t>
      </w:r>
      <w:proofErr w:type="spellEnd"/>
      <w:r>
        <w:t xml:space="preserve">, </w:t>
      </w:r>
      <w:proofErr w:type="spellStart"/>
      <w:r>
        <w:t>zygomycosis</w:t>
      </w:r>
      <w:proofErr w:type="spellEnd"/>
      <w:r>
        <w:t xml:space="preserve">, </w:t>
      </w:r>
      <w:proofErr w:type="spellStart"/>
      <w:r w:rsidRPr="00776688">
        <w:t>coccidioidomycosis</w:t>
      </w:r>
      <w:proofErr w:type="spellEnd"/>
      <w:r>
        <w:t xml:space="preserve">, </w:t>
      </w:r>
      <w:proofErr w:type="spellStart"/>
      <w:r>
        <w:t>chromoblastomycosis</w:t>
      </w:r>
      <w:proofErr w:type="spellEnd"/>
      <w:r>
        <w:t xml:space="preserve"> or </w:t>
      </w:r>
      <w:proofErr w:type="spellStart"/>
      <w:r>
        <w:t>mycetoma</w:t>
      </w:r>
      <w:proofErr w:type="spellEnd"/>
      <w:r>
        <w:t xml:space="preserve">. </w:t>
      </w:r>
    </w:p>
    <w:p w14:paraId="31B316E6" w14:textId="77777777" w:rsidR="00896A44" w:rsidRPr="00487358" w:rsidRDefault="00896A44" w:rsidP="00896A44">
      <w:pPr>
        <w:rPr>
          <w:i/>
        </w:rPr>
      </w:pPr>
      <w:r>
        <w:lastRenderedPageBreak/>
        <w:t xml:space="preserve">Prophylaxis against invasive fungal infections remains the most common indication for the </w:t>
      </w:r>
      <w:proofErr w:type="spellStart"/>
      <w:r>
        <w:t>posaconazole</w:t>
      </w:r>
      <w:proofErr w:type="spellEnd"/>
      <w:r>
        <w:t xml:space="preserve"> supply. The number of prescriptions supplied for prophylaxis was relatively stable between 2012 and 2014.  The number of prescriptions for the treatment of </w:t>
      </w:r>
      <w:proofErr w:type="spellStart"/>
      <w:r>
        <w:t>aspergillosis</w:t>
      </w:r>
      <w:proofErr w:type="spellEnd"/>
      <w:r>
        <w:t xml:space="preserve"> steadily increased while prescriptions for the treatment of other fungal infections were low and variable.  The number of prescriptions for prophylaxis began to increase in mid-2015. The number of prescriptions for both treatment authority codes increased in late 2015, around the time of listing of the tablet formulation. There was a decrease in the number of prescriptions for prophylaxis in the first quarter of 2016 that is not seen for the treatment indications. </w:t>
      </w:r>
      <w:r w:rsidRPr="00F40D7C">
        <w:t>This may be due to patients using prophylaxis who have reached the PBS safety net having more prescriptions dispensed at the end of the year. This seasonal supply pattern would be much less likely in patients diagnosed with a fungal infection.</w:t>
      </w:r>
      <w:r>
        <w:rPr>
          <w:i/>
        </w:rPr>
        <w:t xml:space="preserve"> </w:t>
      </w:r>
    </w:p>
    <w:p w14:paraId="3E82377E" w14:textId="77777777" w:rsidR="00896A44" w:rsidRDefault="00896A44" w:rsidP="00896A44">
      <w:r>
        <w:t xml:space="preserve">Figure 13 presents the number of </w:t>
      </w:r>
      <w:proofErr w:type="spellStart"/>
      <w:r>
        <w:t>posaconazole</w:t>
      </w:r>
      <w:proofErr w:type="spellEnd"/>
      <w:r>
        <w:t xml:space="preserve"> doses that were supplied on the R/PBS for prophylaxis. </w:t>
      </w:r>
      <w:proofErr w:type="spellStart"/>
      <w:r>
        <w:t>Posaconazole</w:t>
      </w:r>
      <w:proofErr w:type="spellEnd"/>
      <w:r>
        <w:t xml:space="preserve"> suspension is administered at a dose of 200 mg three times daily for prophylaxis (600 mg daily). </w:t>
      </w:r>
      <w:proofErr w:type="spellStart"/>
      <w:r>
        <w:t>Posaconazole</w:t>
      </w:r>
      <w:proofErr w:type="spellEnd"/>
      <w:r>
        <w:t xml:space="preserve"> tablets are used at a dose of 300 mg daily for prophylaxis. Only prescriptions matched to an authority approval for prophylaxis are included. </w:t>
      </w:r>
    </w:p>
    <w:p w14:paraId="2497B09F" w14:textId="77777777" w:rsidR="00896A44" w:rsidRDefault="00896A44" w:rsidP="00896A44">
      <w:pPr>
        <w:pStyle w:val="Notes"/>
      </w:pPr>
      <w:r>
        <w:rPr>
          <w:noProof/>
        </w:rPr>
        <w:drawing>
          <wp:inline distT="0" distB="0" distL="0" distR="0" wp14:anchorId="5286425A" wp14:editId="03AC67EA">
            <wp:extent cx="5687695" cy="2882738"/>
            <wp:effectExtent l="0" t="0" r="27305" b="133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F40D7C">
        <w:rPr>
          <w:rStyle w:val="FiguretitleChar"/>
          <w:rFonts w:asciiTheme="minorHAnsi" w:hAnsiTheme="minorHAnsi"/>
          <w:lang w:eastAsia="en-US"/>
        </w:rPr>
        <w:t xml:space="preserve">Figure 13: </w:t>
      </w:r>
      <w:proofErr w:type="spellStart"/>
      <w:r w:rsidRPr="00F40D7C">
        <w:rPr>
          <w:rStyle w:val="FiguretitleChar"/>
          <w:rFonts w:asciiTheme="minorHAnsi" w:hAnsiTheme="minorHAnsi"/>
          <w:lang w:eastAsia="en-US"/>
        </w:rPr>
        <w:t>Posaconazole</w:t>
      </w:r>
      <w:proofErr w:type="spellEnd"/>
      <w:r w:rsidRPr="00F40D7C">
        <w:rPr>
          <w:rStyle w:val="FiguretitleChar"/>
          <w:rFonts w:asciiTheme="minorHAnsi" w:hAnsiTheme="minorHAnsi"/>
          <w:lang w:eastAsia="en-US"/>
        </w:rPr>
        <w:t xml:space="preserve"> doses for prophylaxis</w:t>
      </w:r>
      <w:r w:rsidRPr="00F40D7C">
        <w:rPr>
          <w:rStyle w:val="FiguretitleChar"/>
          <w:rFonts w:asciiTheme="minorHAnsi" w:hAnsiTheme="minorHAnsi"/>
          <w:lang w:eastAsia="en-US"/>
        </w:rPr>
        <w:br/>
      </w:r>
      <w:r w:rsidRPr="00863A06">
        <w:rPr>
          <w:rStyle w:val="FigurecaptionChar"/>
        </w:rPr>
        <w:t>Source: DHS supplied prescriptions database,</w:t>
      </w:r>
      <w:r>
        <w:rPr>
          <w:rStyle w:val="FigurecaptionChar"/>
        </w:rPr>
        <w:t xml:space="preserve"> extracted August 2016</w:t>
      </w:r>
    </w:p>
    <w:p w14:paraId="6A5F810D" w14:textId="77777777" w:rsidR="00896A44" w:rsidRDefault="00896A44" w:rsidP="00896A44">
      <w:r>
        <w:t xml:space="preserve">The number of </w:t>
      </w:r>
      <w:proofErr w:type="spellStart"/>
      <w:r>
        <w:t>posaconazole</w:t>
      </w:r>
      <w:proofErr w:type="spellEnd"/>
      <w:r>
        <w:t xml:space="preserve"> doses supplied on the PBS for prophylaxis has increased since the listing of the tablet formulation.  Before the tablet listing, the number of prophylaxis doses appears to be increasing slowly. The number of daily doses supplied increased at a faster rate following the listing of the tablets. </w:t>
      </w:r>
    </w:p>
    <w:p w14:paraId="6CE6BFE3" w14:textId="77777777" w:rsidR="00896A44" w:rsidRPr="005E22C2" w:rsidRDefault="00896A44" w:rsidP="00896A44">
      <w:pPr>
        <w:pStyle w:val="Heading3"/>
      </w:pPr>
      <w:proofErr w:type="spellStart"/>
      <w:r>
        <w:t>Voriconazole</w:t>
      </w:r>
      <w:proofErr w:type="spellEnd"/>
      <w:r>
        <w:t xml:space="preserve"> </w:t>
      </w:r>
    </w:p>
    <w:p w14:paraId="6B5C6471" w14:textId="77777777" w:rsidR="00896A44" w:rsidRDefault="00896A44" w:rsidP="00896A44">
      <w:r>
        <w:t xml:space="preserve">Figure 14 presents prescriptions for </w:t>
      </w:r>
      <w:proofErr w:type="spellStart"/>
      <w:r>
        <w:t>voriconazole</w:t>
      </w:r>
      <w:proofErr w:type="spellEnd"/>
      <w:r>
        <w:t xml:space="preserve"> by dosage form. </w:t>
      </w:r>
    </w:p>
    <w:p w14:paraId="13310B28" w14:textId="77777777" w:rsidR="00896A44" w:rsidRPr="00FE645A" w:rsidRDefault="00896A44" w:rsidP="00896A44">
      <w:pPr>
        <w:pStyle w:val="Figuretitle"/>
      </w:pPr>
      <w:r>
        <w:rPr>
          <w:noProof/>
          <w:lang w:val="en-AU"/>
        </w:rPr>
        <w:lastRenderedPageBreak/>
        <w:drawing>
          <wp:inline distT="0" distB="0" distL="0" distR="0" wp14:anchorId="1551E10C" wp14:editId="01334E13">
            <wp:extent cx="5687695" cy="2919730"/>
            <wp:effectExtent l="0" t="0" r="27305"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FE645A">
        <w:t xml:space="preserve">Figure </w:t>
      </w:r>
      <w:r>
        <w:t>14</w:t>
      </w:r>
      <w:r w:rsidRPr="00FE645A">
        <w:t xml:space="preserve">: </w:t>
      </w:r>
      <w:proofErr w:type="spellStart"/>
      <w:r>
        <w:t>Voriconazole</w:t>
      </w:r>
      <w:proofErr w:type="spellEnd"/>
      <w:r>
        <w:t xml:space="preserve"> prescriptions by dosage form</w:t>
      </w:r>
    </w:p>
    <w:p w14:paraId="5B85B128" w14:textId="77777777" w:rsidR="00896A44" w:rsidRPr="00FE645A" w:rsidRDefault="00896A44" w:rsidP="00896A44">
      <w:pPr>
        <w:pStyle w:val="Figurecaption"/>
      </w:pPr>
      <w:r>
        <w:t xml:space="preserve">Source: DUSC database, extracted August 2016. </w:t>
      </w:r>
    </w:p>
    <w:p w14:paraId="32EA2B24" w14:textId="77777777" w:rsidR="00896A44" w:rsidRDefault="00896A44" w:rsidP="00896A44">
      <w:r>
        <w:br/>
        <w:t xml:space="preserve">The 200 mg </w:t>
      </w:r>
      <w:proofErr w:type="spellStart"/>
      <w:r>
        <w:t>voriconazole</w:t>
      </w:r>
      <w:proofErr w:type="spellEnd"/>
      <w:r>
        <w:t xml:space="preserve"> tablet remains the most utilised form of </w:t>
      </w:r>
      <w:proofErr w:type="spellStart"/>
      <w:r>
        <w:t>posaconazole</w:t>
      </w:r>
      <w:proofErr w:type="spellEnd"/>
      <w:r>
        <w:t xml:space="preserve">. Utilisation of the 200 mg tablet appears to have peaked in early 2014 and decreased since. The utilisation of the 50 mg tablet and oral suspension appear to be stable since the end of 2012. The 50 mg tablet would typically be used in children who weigh less than 40 kg. Standard adult doses of </w:t>
      </w:r>
      <w:proofErr w:type="spellStart"/>
      <w:r>
        <w:t>voriconazole</w:t>
      </w:r>
      <w:proofErr w:type="spellEnd"/>
      <w:r>
        <w:t xml:space="preserve"> are 200 mg or higher. Refer to Dosing and Administration in Appendix 1 for further information. </w:t>
      </w:r>
    </w:p>
    <w:p w14:paraId="5C85D539" w14:textId="77777777" w:rsidR="00896A44" w:rsidRDefault="00896A44" w:rsidP="00896A44">
      <w:r>
        <w:t xml:space="preserve">Figure 15 presents </w:t>
      </w:r>
      <w:proofErr w:type="spellStart"/>
      <w:r>
        <w:t>voriconazole</w:t>
      </w:r>
      <w:proofErr w:type="spellEnd"/>
      <w:r>
        <w:t xml:space="preserve"> prescriptions supplied on the R/PBS by authority code. </w:t>
      </w:r>
    </w:p>
    <w:p w14:paraId="37CDCED0" w14:textId="77777777" w:rsidR="00896A44" w:rsidRDefault="00896A44" w:rsidP="00764A74">
      <w:pPr>
        <w:pStyle w:val="Notes"/>
        <w:spacing w:before="60" w:after="60"/>
      </w:pPr>
      <w:r>
        <w:rPr>
          <w:noProof/>
        </w:rPr>
        <w:drawing>
          <wp:inline distT="0" distB="0" distL="0" distR="0" wp14:anchorId="1AD50864" wp14:editId="79AFB420">
            <wp:extent cx="5687695" cy="3153754"/>
            <wp:effectExtent l="0" t="0" r="27305" b="279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764A74">
        <w:rPr>
          <w:rStyle w:val="FiguretitleChar"/>
          <w:rFonts w:asciiTheme="minorHAnsi" w:hAnsiTheme="minorHAnsi"/>
        </w:rPr>
        <w:t xml:space="preserve">Figure 15: </w:t>
      </w:r>
      <w:proofErr w:type="spellStart"/>
      <w:r w:rsidRPr="00764A74">
        <w:rPr>
          <w:rStyle w:val="FiguretitleChar"/>
          <w:rFonts w:asciiTheme="minorHAnsi" w:hAnsiTheme="minorHAnsi"/>
        </w:rPr>
        <w:t>Voriconazole</w:t>
      </w:r>
      <w:proofErr w:type="spellEnd"/>
      <w:r w:rsidRPr="00764A74">
        <w:rPr>
          <w:rStyle w:val="FiguretitleChar"/>
          <w:rFonts w:asciiTheme="minorHAnsi" w:hAnsiTheme="minorHAnsi"/>
        </w:rPr>
        <w:t xml:space="preserve"> prescriptions</w:t>
      </w:r>
      <w:r w:rsidRPr="00764A74">
        <w:t xml:space="preserve"> </w:t>
      </w:r>
      <w:r w:rsidRPr="00764A74">
        <w:rPr>
          <w:rStyle w:val="FiguretitleChar"/>
          <w:rFonts w:asciiTheme="minorHAnsi" w:hAnsiTheme="minorHAnsi"/>
        </w:rPr>
        <w:t>by authority indication</w:t>
      </w:r>
      <w:r w:rsidRPr="00764A74">
        <w:br/>
      </w:r>
      <w:r w:rsidRPr="00116B4F">
        <w:rPr>
          <w:rStyle w:val="FigurecaptionChar"/>
        </w:rPr>
        <w:lastRenderedPageBreak/>
        <w:t xml:space="preserve">Source: DUSC database, DHS Authority approvals database, extracted July 2016. </w:t>
      </w:r>
      <w:r w:rsidRPr="00116B4F">
        <w:rPr>
          <w:rStyle w:val="FigurecaptionChar"/>
        </w:rPr>
        <w:br/>
        <w:t>Note: There were 16 prescriptions with special DVA authority approvals that are not included in the figure due to small number per quarter.</w:t>
      </w:r>
    </w:p>
    <w:p w14:paraId="6D83E211" w14:textId="77777777" w:rsidR="00896A44" w:rsidRDefault="00896A44" w:rsidP="00896A44">
      <w:r>
        <w:t xml:space="preserve">The utilisation of </w:t>
      </w:r>
      <w:proofErr w:type="spellStart"/>
      <w:r>
        <w:t>voriconazole</w:t>
      </w:r>
      <w:proofErr w:type="spellEnd"/>
      <w:r>
        <w:t xml:space="preserve"> for the treatment of </w:t>
      </w:r>
      <w:proofErr w:type="spellStart"/>
      <w:r>
        <w:t>aspergillosis</w:t>
      </w:r>
      <w:proofErr w:type="spellEnd"/>
      <w:r>
        <w:t xml:space="preserve"> has almost halved since late 2014. Utilisation for all other treatment related indications increased during the same time period. Utilisation for prophylaxis has also added to </w:t>
      </w:r>
      <w:proofErr w:type="spellStart"/>
      <w:r>
        <w:t>voriconazole</w:t>
      </w:r>
      <w:proofErr w:type="spellEnd"/>
      <w:r>
        <w:t xml:space="preserve"> utilisation. However, the reduction is utilisation for </w:t>
      </w:r>
      <w:proofErr w:type="spellStart"/>
      <w:r>
        <w:t>aspergillosis</w:t>
      </w:r>
      <w:proofErr w:type="spellEnd"/>
      <w:r>
        <w:t xml:space="preserve"> has been larger than increased utilisation for treatment of other infections and utilisation for prophylaxis. </w:t>
      </w:r>
    </w:p>
    <w:p w14:paraId="7784A494" w14:textId="77777777" w:rsidR="00896A44" w:rsidRDefault="00896A44" w:rsidP="00896A44">
      <w:r>
        <w:t xml:space="preserve">A substantial proportion of </w:t>
      </w:r>
      <w:proofErr w:type="spellStart"/>
      <w:r>
        <w:t>voriconazole</w:t>
      </w:r>
      <w:proofErr w:type="spellEnd"/>
      <w:r>
        <w:t xml:space="preserve"> prescriptions were not matched to an authority restriction code. In 2015, 8% of prescriptions could not be matched to an authority approval. In every single quarter, at least 5% of </w:t>
      </w:r>
      <w:proofErr w:type="spellStart"/>
      <w:r>
        <w:t>voriconazole</w:t>
      </w:r>
      <w:proofErr w:type="spellEnd"/>
      <w:r>
        <w:t xml:space="preserve"> prescriptions could not be matched to an authority approval.  </w:t>
      </w:r>
    </w:p>
    <w:p w14:paraId="36AAAC17" w14:textId="77777777" w:rsidR="00896A44" w:rsidRPr="005E22C2" w:rsidRDefault="00896A44" w:rsidP="00764A74">
      <w:pPr>
        <w:pStyle w:val="Heading3"/>
      </w:pPr>
      <w:proofErr w:type="spellStart"/>
      <w:r>
        <w:t>Terbinafine</w:t>
      </w:r>
      <w:proofErr w:type="spellEnd"/>
      <w:r>
        <w:t xml:space="preserve"> </w:t>
      </w:r>
    </w:p>
    <w:p w14:paraId="4C98BE9A" w14:textId="77777777" w:rsidR="00896A44" w:rsidRDefault="00896A44" w:rsidP="00896A44">
      <w:r>
        <w:t xml:space="preserve">Figure 16 presents R/PBS prescriptions for </w:t>
      </w:r>
      <w:proofErr w:type="spellStart"/>
      <w:r>
        <w:t>terbinafine</w:t>
      </w:r>
      <w:proofErr w:type="spellEnd"/>
      <w:r>
        <w:t xml:space="preserve">. </w:t>
      </w:r>
    </w:p>
    <w:p w14:paraId="037B3E43" w14:textId="77777777" w:rsidR="00764A74" w:rsidRPr="00FE645A" w:rsidRDefault="00764A74" w:rsidP="00764A74">
      <w:pPr>
        <w:pStyle w:val="Figuretitle"/>
      </w:pPr>
      <w:r>
        <w:rPr>
          <w:noProof/>
          <w:lang w:val="en-AU"/>
        </w:rPr>
        <w:drawing>
          <wp:inline distT="0" distB="0" distL="0" distR="0" wp14:anchorId="20285FF1" wp14:editId="47F56962">
            <wp:extent cx="5724525" cy="24288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FE645A">
        <w:t xml:space="preserve">Figure </w:t>
      </w:r>
      <w:r>
        <w:t>16</w:t>
      </w:r>
      <w:r w:rsidRPr="00FE645A">
        <w:t xml:space="preserve">: </w:t>
      </w:r>
      <w:proofErr w:type="spellStart"/>
      <w:r>
        <w:t>Terbinafine</w:t>
      </w:r>
      <w:proofErr w:type="spellEnd"/>
      <w:r>
        <w:t xml:space="preserve"> prescriptions </w:t>
      </w:r>
    </w:p>
    <w:p w14:paraId="2A1041A5" w14:textId="77777777" w:rsidR="00764A74" w:rsidRPr="00FE645A" w:rsidRDefault="00764A74" w:rsidP="00764A74">
      <w:pPr>
        <w:pStyle w:val="Figurecaption"/>
      </w:pPr>
      <w:r>
        <w:t xml:space="preserve">Source: DUSC database, extracted August 2016. </w:t>
      </w:r>
    </w:p>
    <w:p w14:paraId="4CB31E59" w14:textId="77777777" w:rsidR="00764A74" w:rsidRDefault="00764A74" w:rsidP="00764A74">
      <w:r>
        <w:t xml:space="preserve">The number of </w:t>
      </w:r>
      <w:proofErr w:type="spellStart"/>
      <w:r>
        <w:t>terbinafine</w:t>
      </w:r>
      <w:proofErr w:type="spellEnd"/>
      <w:r>
        <w:t xml:space="preserve"> prescription supplied on the R/PBS was relatively stable from 2008 to 2013 and has since slowly declined. </w:t>
      </w:r>
    </w:p>
    <w:p w14:paraId="0EA01A25" w14:textId="77777777" w:rsidR="00764A74" w:rsidRDefault="00764A74" w:rsidP="00764A74">
      <w:pPr>
        <w:pStyle w:val="Heading3"/>
      </w:pPr>
      <w:proofErr w:type="spellStart"/>
      <w:r>
        <w:t>Griseofulvin</w:t>
      </w:r>
      <w:proofErr w:type="spellEnd"/>
      <w:r>
        <w:t xml:space="preserve"> </w:t>
      </w:r>
    </w:p>
    <w:p w14:paraId="2F17C0CE" w14:textId="77777777" w:rsidR="00764A74" w:rsidRDefault="00764A74" w:rsidP="00764A74">
      <w:r>
        <w:t xml:space="preserve">Figure 17 presents </w:t>
      </w:r>
      <w:proofErr w:type="spellStart"/>
      <w:r>
        <w:t>griseofulvin</w:t>
      </w:r>
      <w:proofErr w:type="spellEnd"/>
      <w:r>
        <w:t xml:space="preserve"> prescriptions by strength. </w:t>
      </w:r>
    </w:p>
    <w:p w14:paraId="3D4C5DA0" w14:textId="77777777" w:rsidR="00764A74" w:rsidRPr="00FE645A" w:rsidRDefault="00764A74" w:rsidP="00764A74">
      <w:pPr>
        <w:pStyle w:val="Figuretitle"/>
      </w:pPr>
      <w:r>
        <w:rPr>
          <w:noProof/>
          <w:lang w:val="en-AU"/>
        </w:rPr>
        <w:lastRenderedPageBreak/>
        <w:drawing>
          <wp:inline distT="0" distB="0" distL="0" distR="0" wp14:anchorId="2CD89D5C" wp14:editId="0D199436">
            <wp:extent cx="5687695" cy="2700499"/>
            <wp:effectExtent l="0" t="0" r="27305" b="241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FE645A">
        <w:t xml:space="preserve">Figure </w:t>
      </w:r>
      <w:r>
        <w:t>17</w:t>
      </w:r>
      <w:r w:rsidRPr="00FE645A">
        <w:t xml:space="preserve">: </w:t>
      </w:r>
      <w:proofErr w:type="spellStart"/>
      <w:r>
        <w:t>Griseofulvin</w:t>
      </w:r>
      <w:proofErr w:type="spellEnd"/>
      <w:r>
        <w:t xml:space="preserve"> prescriptions </w:t>
      </w:r>
    </w:p>
    <w:p w14:paraId="35B0A535" w14:textId="77777777" w:rsidR="00764A74" w:rsidRPr="00FE645A" w:rsidRDefault="00764A74" w:rsidP="00764A74">
      <w:pPr>
        <w:pStyle w:val="Figurecaption"/>
      </w:pPr>
      <w:r>
        <w:t xml:space="preserve">Source: DUSC database, extracted August 2016. </w:t>
      </w:r>
    </w:p>
    <w:p w14:paraId="54BEB32D" w14:textId="77777777" w:rsidR="00764A74" w:rsidRDefault="00764A74" w:rsidP="00764A74">
      <w:r>
        <w:br/>
        <w:t xml:space="preserve">Utilisation of </w:t>
      </w:r>
      <w:proofErr w:type="spellStart"/>
      <w:r>
        <w:t>griseofulvin</w:t>
      </w:r>
      <w:proofErr w:type="spellEnd"/>
      <w:r>
        <w:t xml:space="preserve"> has been relatively stable since 2013 with the 500 mg tablets continuing to be the most utilised strength. </w:t>
      </w:r>
    </w:p>
    <w:p w14:paraId="4F8723A6" w14:textId="3B792516" w:rsidR="00736041" w:rsidRPr="005E22C2" w:rsidRDefault="001B5D37" w:rsidP="00F73113">
      <w:pPr>
        <w:pStyle w:val="Heading2"/>
      </w:pPr>
      <w:r w:rsidRPr="005E22C2">
        <w:t xml:space="preserve">Analysis </w:t>
      </w:r>
      <w:r w:rsidR="00481108" w:rsidRPr="005E22C2">
        <w:t xml:space="preserve">of </w:t>
      </w:r>
      <w:r w:rsidR="0063631C">
        <w:t>e</w:t>
      </w:r>
      <w:r w:rsidR="00736041" w:rsidRPr="005E22C2">
        <w:t>xpenditure</w:t>
      </w:r>
    </w:p>
    <w:p w14:paraId="26A8BA09" w14:textId="77777777" w:rsidR="00764A74" w:rsidRDefault="00764A74" w:rsidP="00764A74">
      <w:pPr>
        <w:sectPr w:rsidR="00764A74" w:rsidSect="00642567">
          <w:pgSz w:w="11906" w:h="16838"/>
          <w:pgMar w:top="1644" w:right="1361" w:bottom="1644" w:left="1588" w:header="709" w:footer="709" w:gutter="0"/>
          <w:cols w:space="708"/>
          <w:docGrid w:linePitch="360"/>
        </w:sectPr>
      </w:pPr>
      <w:r>
        <w:t xml:space="preserve">Table 5 presents R/PBS expenditure on systemic antifungals by year. </w:t>
      </w:r>
    </w:p>
    <w:p w14:paraId="29EC95CE" w14:textId="77777777" w:rsidR="00764A74" w:rsidRDefault="00764A74" w:rsidP="00764A74">
      <w:pPr>
        <w:pStyle w:val="Tabletitle"/>
      </w:pPr>
      <w:r>
        <w:lastRenderedPageBreak/>
        <w:t>Table 5: R/PBS expenditure on systemic antifungal medicines</w:t>
      </w:r>
    </w:p>
    <w:tbl>
      <w:tblPr>
        <w:tblStyle w:val="TableGrid"/>
        <w:tblW w:w="5000" w:type="pct"/>
        <w:tblLook w:val="04A0" w:firstRow="1" w:lastRow="0" w:firstColumn="1" w:lastColumn="0" w:noHBand="0" w:noVBand="1"/>
      </w:tblPr>
      <w:tblGrid>
        <w:gridCol w:w="1934"/>
        <w:gridCol w:w="1479"/>
        <w:gridCol w:w="1479"/>
        <w:gridCol w:w="1479"/>
        <w:gridCol w:w="1479"/>
        <w:gridCol w:w="1479"/>
        <w:gridCol w:w="1479"/>
        <w:gridCol w:w="1479"/>
        <w:gridCol w:w="1479"/>
      </w:tblGrid>
      <w:tr w:rsidR="00764A74" w:rsidRPr="00872129" w14:paraId="06AC076B" w14:textId="77777777" w:rsidTr="00642567">
        <w:trPr>
          <w:trHeight w:val="300"/>
        </w:trPr>
        <w:tc>
          <w:tcPr>
            <w:tcW w:w="702" w:type="pct"/>
            <w:shd w:val="clear" w:color="auto" w:fill="BFBFBF" w:themeFill="background1" w:themeFillShade="BF"/>
            <w:noWrap/>
            <w:hideMark/>
          </w:tcPr>
          <w:p w14:paraId="743BD866" w14:textId="77777777" w:rsidR="00764A74" w:rsidRPr="00872129" w:rsidRDefault="00764A74" w:rsidP="00642567">
            <w:pPr>
              <w:pStyle w:val="Tableheading"/>
              <w:rPr>
                <w:sz w:val="22"/>
                <w:szCs w:val="22"/>
              </w:rPr>
            </w:pPr>
          </w:p>
        </w:tc>
        <w:tc>
          <w:tcPr>
            <w:tcW w:w="537" w:type="pct"/>
            <w:shd w:val="clear" w:color="auto" w:fill="BFBFBF" w:themeFill="background1" w:themeFillShade="BF"/>
            <w:noWrap/>
            <w:hideMark/>
          </w:tcPr>
          <w:p w14:paraId="36E9B5B8" w14:textId="77777777" w:rsidR="00764A74" w:rsidRPr="00872129" w:rsidRDefault="00764A74" w:rsidP="00642567">
            <w:pPr>
              <w:pStyle w:val="Tableheading"/>
              <w:rPr>
                <w:sz w:val="22"/>
                <w:szCs w:val="22"/>
              </w:rPr>
            </w:pPr>
            <w:r>
              <w:rPr>
                <w:sz w:val="22"/>
                <w:szCs w:val="22"/>
              </w:rPr>
              <w:t>2008-09</w:t>
            </w:r>
          </w:p>
        </w:tc>
        <w:tc>
          <w:tcPr>
            <w:tcW w:w="537" w:type="pct"/>
            <w:shd w:val="clear" w:color="auto" w:fill="BFBFBF" w:themeFill="background1" w:themeFillShade="BF"/>
            <w:noWrap/>
            <w:hideMark/>
          </w:tcPr>
          <w:p w14:paraId="3EED26A4" w14:textId="77777777" w:rsidR="00764A74" w:rsidRPr="00872129" w:rsidRDefault="00764A74" w:rsidP="00642567">
            <w:pPr>
              <w:pStyle w:val="Tableheading"/>
              <w:rPr>
                <w:sz w:val="22"/>
                <w:szCs w:val="22"/>
              </w:rPr>
            </w:pPr>
            <w:r>
              <w:rPr>
                <w:sz w:val="22"/>
                <w:szCs w:val="22"/>
              </w:rPr>
              <w:t>2009-10</w:t>
            </w:r>
          </w:p>
        </w:tc>
        <w:tc>
          <w:tcPr>
            <w:tcW w:w="537" w:type="pct"/>
            <w:shd w:val="clear" w:color="auto" w:fill="BFBFBF" w:themeFill="background1" w:themeFillShade="BF"/>
            <w:noWrap/>
            <w:hideMark/>
          </w:tcPr>
          <w:p w14:paraId="2AF03068" w14:textId="77777777" w:rsidR="00764A74" w:rsidRPr="00872129" w:rsidRDefault="00764A74" w:rsidP="00642567">
            <w:pPr>
              <w:pStyle w:val="Tableheading"/>
              <w:rPr>
                <w:sz w:val="22"/>
                <w:szCs w:val="22"/>
              </w:rPr>
            </w:pPr>
            <w:r>
              <w:rPr>
                <w:sz w:val="22"/>
                <w:szCs w:val="22"/>
              </w:rPr>
              <w:t>2010-11</w:t>
            </w:r>
          </w:p>
        </w:tc>
        <w:tc>
          <w:tcPr>
            <w:tcW w:w="537" w:type="pct"/>
            <w:shd w:val="clear" w:color="auto" w:fill="BFBFBF" w:themeFill="background1" w:themeFillShade="BF"/>
            <w:noWrap/>
            <w:hideMark/>
          </w:tcPr>
          <w:p w14:paraId="5B7DBC8D" w14:textId="77777777" w:rsidR="00764A74" w:rsidRPr="00872129" w:rsidRDefault="00764A74" w:rsidP="00642567">
            <w:pPr>
              <w:pStyle w:val="Tableheading"/>
              <w:rPr>
                <w:sz w:val="22"/>
                <w:szCs w:val="22"/>
              </w:rPr>
            </w:pPr>
            <w:r>
              <w:rPr>
                <w:sz w:val="22"/>
                <w:szCs w:val="22"/>
              </w:rPr>
              <w:t>2011-12</w:t>
            </w:r>
          </w:p>
        </w:tc>
        <w:tc>
          <w:tcPr>
            <w:tcW w:w="537" w:type="pct"/>
            <w:shd w:val="clear" w:color="auto" w:fill="BFBFBF" w:themeFill="background1" w:themeFillShade="BF"/>
            <w:noWrap/>
            <w:hideMark/>
          </w:tcPr>
          <w:p w14:paraId="01B764F6" w14:textId="77777777" w:rsidR="00764A74" w:rsidRPr="00872129" w:rsidRDefault="00764A74" w:rsidP="00642567">
            <w:pPr>
              <w:pStyle w:val="Tableheading"/>
              <w:rPr>
                <w:sz w:val="22"/>
                <w:szCs w:val="22"/>
              </w:rPr>
            </w:pPr>
            <w:r>
              <w:rPr>
                <w:sz w:val="22"/>
                <w:szCs w:val="22"/>
              </w:rPr>
              <w:t>2012-13</w:t>
            </w:r>
          </w:p>
        </w:tc>
        <w:tc>
          <w:tcPr>
            <w:tcW w:w="537" w:type="pct"/>
            <w:shd w:val="clear" w:color="auto" w:fill="BFBFBF" w:themeFill="background1" w:themeFillShade="BF"/>
            <w:noWrap/>
            <w:hideMark/>
          </w:tcPr>
          <w:p w14:paraId="73A8EEE1" w14:textId="77777777" w:rsidR="00764A74" w:rsidRPr="00872129" w:rsidRDefault="00764A74" w:rsidP="00642567">
            <w:pPr>
              <w:pStyle w:val="Tableheading"/>
              <w:rPr>
                <w:sz w:val="22"/>
                <w:szCs w:val="22"/>
              </w:rPr>
            </w:pPr>
            <w:r>
              <w:rPr>
                <w:sz w:val="22"/>
                <w:szCs w:val="22"/>
              </w:rPr>
              <w:t>2013-14</w:t>
            </w:r>
          </w:p>
        </w:tc>
        <w:tc>
          <w:tcPr>
            <w:tcW w:w="537" w:type="pct"/>
            <w:shd w:val="clear" w:color="auto" w:fill="BFBFBF" w:themeFill="background1" w:themeFillShade="BF"/>
            <w:noWrap/>
            <w:hideMark/>
          </w:tcPr>
          <w:p w14:paraId="32E132D0" w14:textId="77777777" w:rsidR="00764A74" w:rsidRPr="00872129" w:rsidRDefault="00764A74" w:rsidP="00642567">
            <w:pPr>
              <w:pStyle w:val="Tableheading"/>
              <w:rPr>
                <w:sz w:val="22"/>
                <w:szCs w:val="22"/>
              </w:rPr>
            </w:pPr>
            <w:r>
              <w:rPr>
                <w:sz w:val="22"/>
                <w:szCs w:val="22"/>
              </w:rPr>
              <w:t>2014-15</w:t>
            </w:r>
          </w:p>
        </w:tc>
        <w:tc>
          <w:tcPr>
            <w:tcW w:w="537" w:type="pct"/>
            <w:shd w:val="clear" w:color="auto" w:fill="BFBFBF" w:themeFill="background1" w:themeFillShade="BF"/>
            <w:noWrap/>
            <w:hideMark/>
          </w:tcPr>
          <w:p w14:paraId="046736C0" w14:textId="77777777" w:rsidR="00764A74" w:rsidRPr="00872129" w:rsidRDefault="00764A74" w:rsidP="00642567">
            <w:pPr>
              <w:pStyle w:val="Tableheading"/>
              <w:rPr>
                <w:sz w:val="22"/>
                <w:szCs w:val="22"/>
              </w:rPr>
            </w:pPr>
            <w:r>
              <w:rPr>
                <w:sz w:val="22"/>
                <w:szCs w:val="22"/>
              </w:rPr>
              <w:t>2015-16</w:t>
            </w:r>
          </w:p>
        </w:tc>
      </w:tr>
      <w:tr w:rsidR="00764A74" w:rsidRPr="00872129" w14:paraId="52A8ED38" w14:textId="77777777" w:rsidTr="00642567">
        <w:trPr>
          <w:trHeight w:val="300"/>
        </w:trPr>
        <w:tc>
          <w:tcPr>
            <w:tcW w:w="702" w:type="pct"/>
            <w:noWrap/>
            <w:hideMark/>
          </w:tcPr>
          <w:p w14:paraId="10A55908" w14:textId="77777777" w:rsidR="00764A74" w:rsidRPr="00872129" w:rsidRDefault="00764A74" w:rsidP="00642567">
            <w:pPr>
              <w:pStyle w:val="Tablewriting"/>
            </w:pPr>
            <w:r w:rsidRPr="00872129">
              <w:t>Amphotericin B</w:t>
            </w:r>
          </w:p>
        </w:tc>
        <w:tc>
          <w:tcPr>
            <w:tcW w:w="537" w:type="pct"/>
            <w:noWrap/>
            <w:hideMark/>
          </w:tcPr>
          <w:p w14:paraId="3255547C" w14:textId="77777777" w:rsidR="00764A74" w:rsidRPr="00872129" w:rsidRDefault="00764A74" w:rsidP="00642567">
            <w:pPr>
              <w:pStyle w:val="Tablewriting"/>
              <w:jc w:val="right"/>
            </w:pPr>
            <w:r>
              <w:t>$13,628</w:t>
            </w:r>
          </w:p>
        </w:tc>
        <w:tc>
          <w:tcPr>
            <w:tcW w:w="537" w:type="pct"/>
            <w:noWrap/>
            <w:hideMark/>
          </w:tcPr>
          <w:p w14:paraId="0E96E4F4" w14:textId="77777777" w:rsidR="00764A74" w:rsidRPr="00872129" w:rsidRDefault="00764A74" w:rsidP="00642567">
            <w:pPr>
              <w:pStyle w:val="Tablewriting"/>
              <w:jc w:val="right"/>
            </w:pPr>
            <w:r>
              <w:t>$5,376</w:t>
            </w:r>
          </w:p>
        </w:tc>
        <w:tc>
          <w:tcPr>
            <w:tcW w:w="537" w:type="pct"/>
            <w:noWrap/>
            <w:hideMark/>
          </w:tcPr>
          <w:p w14:paraId="4DDA1831" w14:textId="77777777" w:rsidR="00764A74" w:rsidRPr="00872129" w:rsidRDefault="00764A74" w:rsidP="00642567">
            <w:pPr>
              <w:pStyle w:val="Tablewriting"/>
              <w:jc w:val="right"/>
            </w:pPr>
            <w:r>
              <w:t>$59</w:t>
            </w:r>
          </w:p>
        </w:tc>
        <w:tc>
          <w:tcPr>
            <w:tcW w:w="537" w:type="pct"/>
            <w:noWrap/>
            <w:hideMark/>
          </w:tcPr>
          <w:p w14:paraId="42DEE871" w14:textId="77777777" w:rsidR="00764A74" w:rsidRPr="00872129" w:rsidRDefault="00764A74" w:rsidP="00642567">
            <w:pPr>
              <w:pStyle w:val="Tablewriting"/>
              <w:jc w:val="center"/>
            </w:pPr>
            <w:r>
              <w:t>-</w:t>
            </w:r>
          </w:p>
        </w:tc>
        <w:tc>
          <w:tcPr>
            <w:tcW w:w="537" w:type="pct"/>
            <w:noWrap/>
            <w:hideMark/>
          </w:tcPr>
          <w:p w14:paraId="7C880C51" w14:textId="77777777" w:rsidR="00764A74" w:rsidRPr="00872129" w:rsidRDefault="00764A74" w:rsidP="00642567">
            <w:pPr>
              <w:pStyle w:val="Tablewriting"/>
              <w:jc w:val="center"/>
            </w:pPr>
            <w:r>
              <w:t>-</w:t>
            </w:r>
          </w:p>
        </w:tc>
        <w:tc>
          <w:tcPr>
            <w:tcW w:w="537" w:type="pct"/>
            <w:noWrap/>
          </w:tcPr>
          <w:p w14:paraId="0A4D7464" w14:textId="77777777" w:rsidR="00764A74" w:rsidRPr="00872129" w:rsidRDefault="00764A74" w:rsidP="00642567">
            <w:pPr>
              <w:pStyle w:val="Tablewriting"/>
              <w:jc w:val="center"/>
            </w:pPr>
            <w:r>
              <w:t>-</w:t>
            </w:r>
          </w:p>
        </w:tc>
        <w:tc>
          <w:tcPr>
            <w:tcW w:w="537" w:type="pct"/>
            <w:noWrap/>
          </w:tcPr>
          <w:p w14:paraId="5876E8A2" w14:textId="77777777" w:rsidR="00764A74" w:rsidRPr="00872129" w:rsidRDefault="00764A74" w:rsidP="00642567">
            <w:pPr>
              <w:pStyle w:val="Tablewriting"/>
              <w:jc w:val="center"/>
            </w:pPr>
            <w:r>
              <w:t>-</w:t>
            </w:r>
          </w:p>
        </w:tc>
        <w:tc>
          <w:tcPr>
            <w:tcW w:w="537" w:type="pct"/>
            <w:noWrap/>
          </w:tcPr>
          <w:p w14:paraId="64C7738E" w14:textId="77777777" w:rsidR="00764A74" w:rsidRPr="00872129" w:rsidRDefault="00764A74" w:rsidP="00642567">
            <w:pPr>
              <w:pStyle w:val="Tablewriting"/>
              <w:jc w:val="center"/>
            </w:pPr>
            <w:r>
              <w:t>-</w:t>
            </w:r>
          </w:p>
        </w:tc>
      </w:tr>
      <w:tr w:rsidR="00764A74" w:rsidRPr="00872129" w14:paraId="511856F0" w14:textId="77777777" w:rsidTr="00642567">
        <w:trPr>
          <w:trHeight w:val="300"/>
        </w:trPr>
        <w:tc>
          <w:tcPr>
            <w:tcW w:w="702" w:type="pct"/>
            <w:noWrap/>
            <w:hideMark/>
          </w:tcPr>
          <w:p w14:paraId="35A166FE" w14:textId="77777777" w:rsidR="00764A74" w:rsidRPr="00872129" w:rsidRDefault="00764A74" w:rsidP="00642567">
            <w:pPr>
              <w:pStyle w:val="Tablewriting"/>
            </w:pPr>
            <w:r w:rsidRPr="00872129">
              <w:t>Fluconazole</w:t>
            </w:r>
          </w:p>
        </w:tc>
        <w:tc>
          <w:tcPr>
            <w:tcW w:w="537" w:type="pct"/>
            <w:noWrap/>
            <w:vAlign w:val="bottom"/>
            <w:hideMark/>
          </w:tcPr>
          <w:p w14:paraId="0BF8FC76" w14:textId="77777777" w:rsidR="00764A74" w:rsidRPr="00872129" w:rsidRDefault="00764A74" w:rsidP="00642567">
            <w:pPr>
              <w:pStyle w:val="Tablewriting"/>
              <w:jc w:val="right"/>
            </w:pPr>
            <w:r>
              <w:t>$8,855,603</w:t>
            </w:r>
          </w:p>
        </w:tc>
        <w:tc>
          <w:tcPr>
            <w:tcW w:w="537" w:type="pct"/>
            <w:noWrap/>
            <w:vAlign w:val="bottom"/>
            <w:hideMark/>
          </w:tcPr>
          <w:p w14:paraId="69F9FAB4" w14:textId="77777777" w:rsidR="00764A74" w:rsidRPr="00872129" w:rsidRDefault="00764A74" w:rsidP="00642567">
            <w:pPr>
              <w:pStyle w:val="Tablewriting"/>
              <w:jc w:val="right"/>
            </w:pPr>
            <w:r>
              <w:t>$8,187,808</w:t>
            </w:r>
          </w:p>
        </w:tc>
        <w:tc>
          <w:tcPr>
            <w:tcW w:w="537" w:type="pct"/>
            <w:noWrap/>
            <w:vAlign w:val="bottom"/>
            <w:hideMark/>
          </w:tcPr>
          <w:p w14:paraId="3613C24E" w14:textId="77777777" w:rsidR="00764A74" w:rsidRPr="00872129" w:rsidRDefault="00764A74" w:rsidP="00642567">
            <w:pPr>
              <w:pStyle w:val="Tablewriting"/>
              <w:jc w:val="right"/>
            </w:pPr>
            <w:r>
              <w:t>$4,622,593</w:t>
            </w:r>
          </w:p>
        </w:tc>
        <w:tc>
          <w:tcPr>
            <w:tcW w:w="537" w:type="pct"/>
            <w:noWrap/>
            <w:vAlign w:val="bottom"/>
            <w:hideMark/>
          </w:tcPr>
          <w:p w14:paraId="2F11E7EE" w14:textId="77777777" w:rsidR="00764A74" w:rsidRPr="00872129" w:rsidRDefault="00764A74" w:rsidP="00642567">
            <w:pPr>
              <w:pStyle w:val="Tablewriting"/>
              <w:jc w:val="right"/>
            </w:pPr>
            <w:r>
              <w:t>$3,469,023</w:t>
            </w:r>
          </w:p>
        </w:tc>
        <w:tc>
          <w:tcPr>
            <w:tcW w:w="537" w:type="pct"/>
            <w:noWrap/>
            <w:vAlign w:val="bottom"/>
            <w:hideMark/>
          </w:tcPr>
          <w:p w14:paraId="5CFB54C6" w14:textId="77777777" w:rsidR="00764A74" w:rsidRPr="00872129" w:rsidRDefault="00764A74" w:rsidP="00642567">
            <w:pPr>
              <w:pStyle w:val="Tablewriting"/>
              <w:jc w:val="right"/>
            </w:pPr>
            <w:r>
              <w:t>$3,345,826</w:t>
            </w:r>
          </w:p>
        </w:tc>
        <w:tc>
          <w:tcPr>
            <w:tcW w:w="537" w:type="pct"/>
            <w:noWrap/>
            <w:vAlign w:val="bottom"/>
            <w:hideMark/>
          </w:tcPr>
          <w:p w14:paraId="30F01C6D" w14:textId="77777777" w:rsidR="00764A74" w:rsidRPr="00872129" w:rsidRDefault="00764A74" w:rsidP="00642567">
            <w:pPr>
              <w:pStyle w:val="Tablewriting"/>
              <w:jc w:val="right"/>
            </w:pPr>
            <w:r>
              <w:t>$2,766,223</w:t>
            </w:r>
          </w:p>
        </w:tc>
        <w:tc>
          <w:tcPr>
            <w:tcW w:w="537" w:type="pct"/>
            <w:noWrap/>
            <w:vAlign w:val="bottom"/>
            <w:hideMark/>
          </w:tcPr>
          <w:p w14:paraId="067F5C0A" w14:textId="77777777" w:rsidR="00764A74" w:rsidRPr="00872129" w:rsidRDefault="00764A74" w:rsidP="00642567">
            <w:pPr>
              <w:pStyle w:val="Tablewriting"/>
              <w:jc w:val="right"/>
            </w:pPr>
            <w:r>
              <w:t>$2,242,762</w:t>
            </w:r>
          </w:p>
        </w:tc>
        <w:tc>
          <w:tcPr>
            <w:tcW w:w="537" w:type="pct"/>
            <w:noWrap/>
            <w:vAlign w:val="bottom"/>
            <w:hideMark/>
          </w:tcPr>
          <w:p w14:paraId="5EFAA853" w14:textId="77777777" w:rsidR="00764A74" w:rsidRPr="00872129" w:rsidRDefault="00764A74" w:rsidP="00642567">
            <w:pPr>
              <w:pStyle w:val="Tablewriting"/>
              <w:jc w:val="right"/>
            </w:pPr>
            <w:r>
              <w:t>$1,954,429</w:t>
            </w:r>
          </w:p>
        </w:tc>
      </w:tr>
      <w:tr w:rsidR="00764A74" w:rsidRPr="00872129" w14:paraId="117DF86D" w14:textId="77777777" w:rsidTr="00642567">
        <w:trPr>
          <w:trHeight w:val="300"/>
        </w:trPr>
        <w:tc>
          <w:tcPr>
            <w:tcW w:w="702" w:type="pct"/>
            <w:noWrap/>
            <w:hideMark/>
          </w:tcPr>
          <w:p w14:paraId="2DCC0669" w14:textId="77777777" w:rsidR="00764A74" w:rsidRPr="00872129" w:rsidRDefault="00764A74" w:rsidP="00642567">
            <w:pPr>
              <w:pStyle w:val="Tablewriting"/>
            </w:pPr>
            <w:proofErr w:type="spellStart"/>
            <w:r w:rsidRPr="00872129">
              <w:t>Griseofulvin</w:t>
            </w:r>
            <w:proofErr w:type="spellEnd"/>
          </w:p>
        </w:tc>
        <w:tc>
          <w:tcPr>
            <w:tcW w:w="537" w:type="pct"/>
            <w:noWrap/>
            <w:vAlign w:val="bottom"/>
            <w:hideMark/>
          </w:tcPr>
          <w:p w14:paraId="071EC017" w14:textId="77777777" w:rsidR="00764A74" w:rsidRPr="00872129" w:rsidRDefault="00764A74" w:rsidP="00642567">
            <w:pPr>
              <w:pStyle w:val="Tablewriting"/>
              <w:jc w:val="right"/>
            </w:pPr>
            <w:r>
              <w:t>$402,064</w:t>
            </w:r>
          </w:p>
        </w:tc>
        <w:tc>
          <w:tcPr>
            <w:tcW w:w="537" w:type="pct"/>
            <w:noWrap/>
            <w:vAlign w:val="bottom"/>
            <w:hideMark/>
          </w:tcPr>
          <w:p w14:paraId="41BBF2F2" w14:textId="77777777" w:rsidR="00764A74" w:rsidRPr="00872129" w:rsidRDefault="00764A74" w:rsidP="00642567">
            <w:pPr>
              <w:pStyle w:val="Tablewriting"/>
              <w:jc w:val="right"/>
            </w:pPr>
            <w:r>
              <w:t>$594,860</w:t>
            </w:r>
          </w:p>
        </w:tc>
        <w:tc>
          <w:tcPr>
            <w:tcW w:w="537" w:type="pct"/>
            <w:noWrap/>
            <w:vAlign w:val="bottom"/>
            <w:hideMark/>
          </w:tcPr>
          <w:p w14:paraId="6263F76B" w14:textId="77777777" w:rsidR="00764A74" w:rsidRPr="00872129" w:rsidRDefault="00764A74" w:rsidP="00642567">
            <w:pPr>
              <w:pStyle w:val="Tablewriting"/>
              <w:jc w:val="right"/>
            </w:pPr>
            <w:r>
              <w:t>$722,336</w:t>
            </w:r>
          </w:p>
        </w:tc>
        <w:tc>
          <w:tcPr>
            <w:tcW w:w="537" w:type="pct"/>
            <w:noWrap/>
            <w:vAlign w:val="bottom"/>
            <w:hideMark/>
          </w:tcPr>
          <w:p w14:paraId="3017A4FB" w14:textId="77777777" w:rsidR="00764A74" w:rsidRPr="00872129" w:rsidRDefault="00764A74" w:rsidP="00642567">
            <w:pPr>
              <w:pStyle w:val="Tablewriting"/>
              <w:jc w:val="right"/>
            </w:pPr>
            <w:r>
              <w:t>$764,327</w:t>
            </w:r>
          </w:p>
        </w:tc>
        <w:tc>
          <w:tcPr>
            <w:tcW w:w="537" w:type="pct"/>
            <w:noWrap/>
            <w:vAlign w:val="bottom"/>
            <w:hideMark/>
          </w:tcPr>
          <w:p w14:paraId="1620F43F" w14:textId="77777777" w:rsidR="00764A74" w:rsidRPr="00872129" w:rsidRDefault="00764A74" w:rsidP="00642567">
            <w:pPr>
              <w:pStyle w:val="Tablewriting"/>
              <w:jc w:val="right"/>
            </w:pPr>
            <w:r>
              <w:t>$790,135</w:t>
            </w:r>
          </w:p>
        </w:tc>
        <w:tc>
          <w:tcPr>
            <w:tcW w:w="537" w:type="pct"/>
            <w:noWrap/>
            <w:vAlign w:val="bottom"/>
            <w:hideMark/>
          </w:tcPr>
          <w:p w14:paraId="0946DE2C" w14:textId="77777777" w:rsidR="00764A74" w:rsidRPr="00872129" w:rsidRDefault="00764A74" w:rsidP="00642567">
            <w:pPr>
              <w:pStyle w:val="Tablewriting"/>
              <w:jc w:val="right"/>
            </w:pPr>
            <w:r>
              <w:t>$800,695</w:t>
            </w:r>
          </w:p>
        </w:tc>
        <w:tc>
          <w:tcPr>
            <w:tcW w:w="537" w:type="pct"/>
            <w:noWrap/>
            <w:vAlign w:val="bottom"/>
            <w:hideMark/>
          </w:tcPr>
          <w:p w14:paraId="7EC5E3D2" w14:textId="77777777" w:rsidR="00764A74" w:rsidRPr="00872129" w:rsidRDefault="00764A74" w:rsidP="00642567">
            <w:pPr>
              <w:pStyle w:val="Tablewriting"/>
              <w:jc w:val="right"/>
            </w:pPr>
            <w:r>
              <w:t>$787,859</w:t>
            </w:r>
          </w:p>
        </w:tc>
        <w:tc>
          <w:tcPr>
            <w:tcW w:w="537" w:type="pct"/>
            <w:noWrap/>
            <w:vAlign w:val="bottom"/>
            <w:hideMark/>
          </w:tcPr>
          <w:p w14:paraId="08C1E514" w14:textId="77777777" w:rsidR="00764A74" w:rsidRPr="00872129" w:rsidRDefault="00764A74" w:rsidP="00642567">
            <w:pPr>
              <w:pStyle w:val="Tablewriting"/>
              <w:jc w:val="right"/>
            </w:pPr>
            <w:r>
              <w:t>$786,756</w:t>
            </w:r>
          </w:p>
        </w:tc>
      </w:tr>
      <w:tr w:rsidR="00764A74" w:rsidRPr="00872129" w14:paraId="569F0376" w14:textId="77777777" w:rsidTr="00642567">
        <w:trPr>
          <w:trHeight w:val="300"/>
        </w:trPr>
        <w:tc>
          <w:tcPr>
            <w:tcW w:w="702" w:type="pct"/>
            <w:noWrap/>
            <w:hideMark/>
          </w:tcPr>
          <w:p w14:paraId="28B01E01" w14:textId="77777777" w:rsidR="00764A74" w:rsidRPr="00872129" w:rsidRDefault="00764A74" w:rsidP="00642567">
            <w:pPr>
              <w:pStyle w:val="Tablewriting"/>
            </w:pPr>
            <w:proofErr w:type="spellStart"/>
            <w:r w:rsidRPr="00872129">
              <w:t>Itraconazole</w:t>
            </w:r>
            <w:proofErr w:type="spellEnd"/>
          </w:p>
        </w:tc>
        <w:tc>
          <w:tcPr>
            <w:tcW w:w="537" w:type="pct"/>
            <w:noWrap/>
            <w:vAlign w:val="bottom"/>
            <w:hideMark/>
          </w:tcPr>
          <w:p w14:paraId="077BCCE1" w14:textId="77777777" w:rsidR="00764A74" w:rsidRPr="00872129" w:rsidRDefault="00764A74" w:rsidP="00642567">
            <w:pPr>
              <w:pStyle w:val="Tablewriting"/>
              <w:jc w:val="right"/>
            </w:pPr>
            <w:r>
              <w:t>$1,730,637</w:t>
            </w:r>
          </w:p>
        </w:tc>
        <w:tc>
          <w:tcPr>
            <w:tcW w:w="537" w:type="pct"/>
            <w:noWrap/>
            <w:vAlign w:val="bottom"/>
            <w:hideMark/>
          </w:tcPr>
          <w:p w14:paraId="336F9647" w14:textId="77777777" w:rsidR="00764A74" w:rsidRPr="00872129" w:rsidRDefault="00764A74" w:rsidP="00642567">
            <w:pPr>
              <w:pStyle w:val="Tablewriting"/>
              <w:jc w:val="right"/>
            </w:pPr>
            <w:r>
              <w:t>$1,744,580</w:t>
            </w:r>
          </w:p>
        </w:tc>
        <w:tc>
          <w:tcPr>
            <w:tcW w:w="537" w:type="pct"/>
            <w:noWrap/>
            <w:vAlign w:val="bottom"/>
            <w:hideMark/>
          </w:tcPr>
          <w:p w14:paraId="5AE4E0A8" w14:textId="77777777" w:rsidR="00764A74" w:rsidRPr="00872129" w:rsidRDefault="00764A74" w:rsidP="00642567">
            <w:pPr>
              <w:pStyle w:val="Tablewriting"/>
              <w:jc w:val="right"/>
            </w:pPr>
            <w:r>
              <w:t>$1,868,454</w:t>
            </w:r>
          </w:p>
        </w:tc>
        <w:tc>
          <w:tcPr>
            <w:tcW w:w="537" w:type="pct"/>
            <w:noWrap/>
            <w:vAlign w:val="bottom"/>
            <w:hideMark/>
          </w:tcPr>
          <w:p w14:paraId="198B7615" w14:textId="77777777" w:rsidR="00764A74" w:rsidRPr="00872129" w:rsidRDefault="00764A74" w:rsidP="00642567">
            <w:pPr>
              <w:pStyle w:val="Tablewriting"/>
              <w:jc w:val="right"/>
            </w:pPr>
            <w:r>
              <w:t>$2,061,139</w:t>
            </w:r>
          </w:p>
        </w:tc>
        <w:tc>
          <w:tcPr>
            <w:tcW w:w="537" w:type="pct"/>
            <w:noWrap/>
            <w:vAlign w:val="bottom"/>
            <w:hideMark/>
          </w:tcPr>
          <w:p w14:paraId="163DD06F" w14:textId="77777777" w:rsidR="00764A74" w:rsidRPr="00872129" w:rsidRDefault="00764A74" w:rsidP="00642567">
            <w:pPr>
              <w:pStyle w:val="Tablewriting"/>
              <w:jc w:val="right"/>
            </w:pPr>
            <w:r>
              <w:t>$2,367,412</w:t>
            </w:r>
          </w:p>
        </w:tc>
        <w:tc>
          <w:tcPr>
            <w:tcW w:w="537" w:type="pct"/>
            <w:noWrap/>
            <w:vAlign w:val="bottom"/>
            <w:hideMark/>
          </w:tcPr>
          <w:p w14:paraId="5C71ECC4" w14:textId="77777777" w:rsidR="00764A74" w:rsidRPr="00872129" w:rsidRDefault="00764A74" w:rsidP="00642567">
            <w:pPr>
              <w:pStyle w:val="Tablewriting"/>
              <w:jc w:val="right"/>
            </w:pPr>
            <w:r>
              <w:t>$2,588,335</w:t>
            </w:r>
          </w:p>
        </w:tc>
        <w:tc>
          <w:tcPr>
            <w:tcW w:w="537" w:type="pct"/>
            <w:noWrap/>
            <w:vAlign w:val="bottom"/>
            <w:hideMark/>
          </w:tcPr>
          <w:p w14:paraId="19950F1F" w14:textId="77777777" w:rsidR="00764A74" w:rsidRPr="00872129" w:rsidRDefault="00764A74" w:rsidP="00642567">
            <w:pPr>
              <w:pStyle w:val="Tablewriting"/>
              <w:jc w:val="right"/>
            </w:pPr>
            <w:r>
              <w:t>$2,829,234</w:t>
            </w:r>
          </w:p>
        </w:tc>
        <w:tc>
          <w:tcPr>
            <w:tcW w:w="537" w:type="pct"/>
            <w:noWrap/>
            <w:vAlign w:val="bottom"/>
            <w:hideMark/>
          </w:tcPr>
          <w:p w14:paraId="0671CBAB" w14:textId="77777777" w:rsidR="00764A74" w:rsidRPr="00872129" w:rsidRDefault="00764A74" w:rsidP="00642567">
            <w:pPr>
              <w:pStyle w:val="Tablewriting"/>
              <w:jc w:val="right"/>
            </w:pPr>
            <w:r>
              <w:t>$2,810,165</w:t>
            </w:r>
          </w:p>
        </w:tc>
      </w:tr>
      <w:tr w:rsidR="00764A74" w:rsidRPr="00872129" w14:paraId="5DDCEB59" w14:textId="77777777" w:rsidTr="00642567">
        <w:trPr>
          <w:trHeight w:val="300"/>
        </w:trPr>
        <w:tc>
          <w:tcPr>
            <w:tcW w:w="702" w:type="pct"/>
            <w:noWrap/>
            <w:hideMark/>
          </w:tcPr>
          <w:p w14:paraId="2D54A361" w14:textId="77777777" w:rsidR="00764A74" w:rsidRPr="00872129" w:rsidRDefault="00764A74" w:rsidP="00642567">
            <w:pPr>
              <w:pStyle w:val="Tablewriting"/>
            </w:pPr>
            <w:r w:rsidRPr="00872129">
              <w:t>Ketoconazole</w:t>
            </w:r>
          </w:p>
        </w:tc>
        <w:tc>
          <w:tcPr>
            <w:tcW w:w="537" w:type="pct"/>
            <w:noWrap/>
            <w:vAlign w:val="bottom"/>
            <w:hideMark/>
          </w:tcPr>
          <w:p w14:paraId="230C8E17" w14:textId="77777777" w:rsidR="00764A74" w:rsidRPr="00872129" w:rsidRDefault="00764A74" w:rsidP="00642567">
            <w:pPr>
              <w:pStyle w:val="Tablewriting"/>
              <w:jc w:val="right"/>
            </w:pPr>
            <w:r>
              <w:t>$581,608</w:t>
            </w:r>
          </w:p>
        </w:tc>
        <w:tc>
          <w:tcPr>
            <w:tcW w:w="537" w:type="pct"/>
            <w:noWrap/>
            <w:vAlign w:val="bottom"/>
            <w:hideMark/>
          </w:tcPr>
          <w:p w14:paraId="33B3D7A1" w14:textId="77777777" w:rsidR="00764A74" w:rsidRPr="00872129" w:rsidRDefault="00764A74" w:rsidP="00642567">
            <w:pPr>
              <w:pStyle w:val="Tablewriting"/>
              <w:jc w:val="right"/>
            </w:pPr>
            <w:r>
              <w:t>$555,233</w:t>
            </w:r>
          </w:p>
        </w:tc>
        <w:tc>
          <w:tcPr>
            <w:tcW w:w="537" w:type="pct"/>
            <w:noWrap/>
            <w:vAlign w:val="bottom"/>
            <w:hideMark/>
          </w:tcPr>
          <w:p w14:paraId="15641C13" w14:textId="77777777" w:rsidR="00764A74" w:rsidRPr="00872129" w:rsidRDefault="00764A74" w:rsidP="00642567">
            <w:pPr>
              <w:pStyle w:val="Tablewriting"/>
              <w:jc w:val="right"/>
            </w:pPr>
            <w:r>
              <w:t>$557,888</w:t>
            </w:r>
          </w:p>
        </w:tc>
        <w:tc>
          <w:tcPr>
            <w:tcW w:w="537" w:type="pct"/>
            <w:noWrap/>
            <w:vAlign w:val="bottom"/>
            <w:hideMark/>
          </w:tcPr>
          <w:p w14:paraId="3C95BD8C" w14:textId="77777777" w:rsidR="00764A74" w:rsidRPr="00872129" w:rsidRDefault="00764A74" w:rsidP="00642567">
            <w:pPr>
              <w:pStyle w:val="Tablewriting"/>
              <w:jc w:val="right"/>
            </w:pPr>
            <w:r>
              <w:t>$605,749</w:t>
            </w:r>
          </w:p>
        </w:tc>
        <w:tc>
          <w:tcPr>
            <w:tcW w:w="537" w:type="pct"/>
            <w:noWrap/>
            <w:vAlign w:val="bottom"/>
            <w:hideMark/>
          </w:tcPr>
          <w:p w14:paraId="579589FC" w14:textId="77777777" w:rsidR="00764A74" w:rsidRPr="00872129" w:rsidRDefault="00764A74" w:rsidP="00642567">
            <w:pPr>
              <w:pStyle w:val="Tablewriting"/>
              <w:jc w:val="right"/>
            </w:pPr>
            <w:r>
              <w:t>$627,407</w:t>
            </w:r>
          </w:p>
        </w:tc>
        <w:tc>
          <w:tcPr>
            <w:tcW w:w="537" w:type="pct"/>
            <w:noWrap/>
            <w:vAlign w:val="bottom"/>
            <w:hideMark/>
          </w:tcPr>
          <w:p w14:paraId="1EDB787E" w14:textId="77777777" w:rsidR="00764A74" w:rsidRPr="00872129" w:rsidRDefault="00764A74" w:rsidP="00642567">
            <w:pPr>
              <w:pStyle w:val="Tablewriting"/>
              <w:jc w:val="right"/>
            </w:pPr>
            <w:r>
              <w:t>$243,273</w:t>
            </w:r>
          </w:p>
        </w:tc>
        <w:tc>
          <w:tcPr>
            <w:tcW w:w="537" w:type="pct"/>
            <w:noWrap/>
          </w:tcPr>
          <w:p w14:paraId="64AA3B7C" w14:textId="77777777" w:rsidR="00764A74" w:rsidRPr="00872129" w:rsidRDefault="00764A74" w:rsidP="00642567">
            <w:pPr>
              <w:pStyle w:val="Tablewriting"/>
              <w:jc w:val="center"/>
            </w:pPr>
            <w:r>
              <w:t>-</w:t>
            </w:r>
          </w:p>
        </w:tc>
        <w:tc>
          <w:tcPr>
            <w:tcW w:w="537" w:type="pct"/>
            <w:noWrap/>
          </w:tcPr>
          <w:p w14:paraId="71B8E959" w14:textId="77777777" w:rsidR="00764A74" w:rsidRPr="00872129" w:rsidRDefault="00764A74" w:rsidP="00642567">
            <w:pPr>
              <w:pStyle w:val="Tablewriting"/>
              <w:jc w:val="center"/>
            </w:pPr>
            <w:r>
              <w:t>-</w:t>
            </w:r>
          </w:p>
        </w:tc>
      </w:tr>
      <w:tr w:rsidR="00764A74" w:rsidRPr="00872129" w14:paraId="72FEF454" w14:textId="77777777" w:rsidTr="00642567">
        <w:trPr>
          <w:trHeight w:val="300"/>
        </w:trPr>
        <w:tc>
          <w:tcPr>
            <w:tcW w:w="702" w:type="pct"/>
            <w:noWrap/>
            <w:hideMark/>
          </w:tcPr>
          <w:p w14:paraId="7F3DA472" w14:textId="77777777" w:rsidR="00764A74" w:rsidRPr="00872129" w:rsidRDefault="00764A74" w:rsidP="00642567">
            <w:pPr>
              <w:pStyle w:val="Tablewriting"/>
            </w:pPr>
            <w:proofErr w:type="spellStart"/>
            <w:r w:rsidRPr="00872129">
              <w:t>Posaconazole</w:t>
            </w:r>
            <w:proofErr w:type="spellEnd"/>
          </w:p>
        </w:tc>
        <w:tc>
          <w:tcPr>
            <w:tcW w:w="537" w:type="pct"/>
            <w:noWrap/>
            <w:vAlign w:val="bottom"/>
            <w:hideMark/>
          </w:tcPr>
          <w:p w14:paraId="7ADAB7ED" w14:textId="77777777" w:rsidR="00764A74" w:rsidRPr="00872129" w:rsidRDefault="00764A74" w:rsidP="00642567">
            <w:pPr>
              <w:pStyle w:val="Tablewriting"/>
              <w:jc w:val="right"/>
            </w:pPr>
            <w:r>
              <w:t>$1,220,770</w:t>
            </w:r>
          </w:p>
        </w:tc>
        <w:tc>
          <w:tcPr>
            <w:tcW w:w="537" w:type="pct"/>
            <w:noWrap/>
            <w:vAlign w:val="bottom"/>
            <w:hideMark/>
          </w:tcPr>
          <w:p w14:paraId="33CEEB5F" w14:textId="77777777" w:rsidR="00764A74" w:rsidRPr="00872129" w:rsidRDefault="00764A74" w:rsidP="00642567">
            <w:pPr>
              <w:pStyle w:val="Tablewriting"/>
              <w:jc w:val="right"/>
            </w:pPr>
            <w:r>
              <w:t>$3,786,719</w:t>
            </w:r>
          </w:p>
        </w:tc>
        <w:tc>
          <w:tcPr>
            <w:tcW w:w="537" w:type="pct"/>
            <w:noWrap/>
            <w:vAlign w:val="bottom"/>
            <w:hideMark/>
          </w:tcPr>
          <w:p w14:paraId="2428611F" w14:textId="77777777" w:rsidR="00764A74" w:rsidRPr="00872129" w:rsidRDefault="00764A74" w:rsidP="00642567">
            <w:pPr>
              <w:pStyle w:val="Tablewriting"/>
              <w:jc w:val="right"/>
            </w:pPr>
            <w:r>
              <w:t>$5,672,064</w:t>
            </w:r>
          </w:p>
        </w:tc>
        <w:tc>
          <w:tcPr>
            <w:tcW w:w="537" w:type="pct"/>
            <w:noWrap/>
            <w:vAlign w:val="bottom"/>
            <w:hideMark/>
          </w:tcPr>
          <w:p w14:paraId="3C22B249" w14:textId="77777777" w:rsidR="00764A74" w:rsidRPr="00872129" w:rsidRDefault="00764A74" w:rsidP="00642567">
            <w:pPr>
              <w:pStyle w:val="Tablewriting"/>
              <w:jc w:val="right"/>
            </w:pPr>
            <w:r>
              <w:t>$8,059,467</w:t>
            </w:r>
          </w:p>
        </w:tc>
        <w:tc>
          <w:tcPr>
            <w:tcW w:w="537" w:type="pct"/>
            <w:noWrap/>
            <w:vAlign w:val="bottom"/>
            <w:hideMark/>
          </w:tcPr>
          <w:p w14:paraId="1A1E7410" w14:textId="77777777" w:rsidR="00764A74" w:rsidRPr="00872129" w:rsidRDefault="00764A74" w:rsidP="00642567">
            <w:pPr>
              <w:pStyle w:val="Tablewriting"/>
              <w:jc w:val="right"/>
            </w:pPr>
            <w:r>
              <w:t>$10,699,996</w:t>
            </w:r>
          </w:p>
        </w:tc>
        <w:tc>
          <w:tcPr>
            <w:tcW w:w="537" w:type="pct"/>
            <w:noWrap/>
            <w:vAlign w:val="bottom"/>
            <w:hideMark/>
          </w:tcPr>
          <w:p w14:paraId="1D573F9D" w14:textId="77777777" w:rsidR="00764A74" w:rsidRPr="00872129" w:rsidRDefault="00764A74" w:rsidP="00642567">
            <w:pPr>
              <w:pStyle w:val="Tablewriting"/>
              <w:jc w:val="right"/>
            </w:pPr>
            <w:r>
              <w:t>$11,097,710</w:t>
            </w:r>
          </w:p>
        </w:tc>
        <w:tc>
          <w:tcPr>
            <w:tcW w:w="537" w:type="pct"/>
            <w:noWrap/>
            <w:vAlign w:val="bottom"/>
            <w:hideMark/>
          </w:tcPr>
          <w:p w14:paraId="37302D8C" w14:textId="77777777" w:rsidR="00764A74" w:rsidRPr="00872129" w:rsidRDefault="00764A74" w:rsidP="00642567">
            <w:pPr>
              <w:pStyle w:val="Tablewriting"/>
              <w:jc w:val="right"/>
            </w:pPr>
            <w:r>
              <w:t>$12,607,984</w:t>
            </w:r>
          </w:p>
        </w:tc>
        <w:tc>
          <w:tcPr>
            <w:tcW w:w="537" w:type="pct"/>
            <w:noWrap/>
            <w:vAlign w:val="bottom"/>
            <w:hideMark/>
          </w:tcPr>
          <w:p w14:paraId="4E502096" w14:textId="77777777" w:rsidR="00764A74" w:rsidRPr="00872129" w:rsidRDefault="00764A74" w:rsidP="00642567">
            <w:pPr>
              <w:pStyle w:val="Tablewriting"/>
              <w:jc w:val="right"/>
            </w:pPr>
            <w:r>
              <w:t>$18,291,012</w:t>
            </w:r>
          </w:p>
        </w:tc>
      </w:tr>
      <w:tr w:rsidR="00764A74" w:rsidRPr="00872129" w14:paraId="5E9A30B3" w14:textId="77777777" w:rsidTr="00642567">
        <w:trPr>
          <w:trHeight w:val="300"/>
        </w:trPr>
        <w:tc>
          <w:tcPr>
            <w:tcW w:w="702" w:type="pct"/>
            <w:noWrap/>
            <w:hideMark/>
          </w:tcPr>
          <w:p w14:paraId="39F0328D" w14:textId="77777777" w:rsidR="00764A74" w:rsidRPr="00872129" w:rsidRDefault="00764A74" w:rsidP="00642567">
            <w:pPr>
              <w:pStyle w:val="Tablewriting"/>
            </w:pPr>
            <w:proofErr w:type="spellStart"/>
            <w:r w:rsidRPr="00872129">
              <w:t>Terbinafine</w:t>
            </w:r>
            <w:proofErr w:type="spellEnd"/>
          </w:p>
        </w:tc>
        <w:tc>
          <w:tcPr>
            <w:tcW w:w="537" w:type="pct"/>
            <w:noWrap/>
            <w:vAlign w:val="bottom"/>
            <w:hideMark/>
          </w:tcPr>
          <w:p w14:paraId="4ED0249D" w14:textId="77777777" w:rsidR="00764A74" w:rsidRPr="00872129" w:rsidRDefault="00764A74" w:rsidP="00642567">
            <w:pPr>
              <w:pStyle w:val="Tablewriting"/>
              <w:jc w:val="right"/>
            </w:pPr>
            <w:r>
              <w:t>$7,361,147</w:t>
            </w:r>
          </w:p>
        </w:tc>
        <w:tc>
          <w:tcPr>
            <w:tcW w:w="537" w:type="pct"/>
            <w:noWrap/>
            <w:vAlign w:val="bottom"/>
            <w:hideMark/>
          </w:tcPr>
          <w:p w14:paraId="22196943" w14:textId="77777777" w:rsidR="00764A74" w:rsidRPr="00872129" w:rsidRDefault="00764A74" w:rsidP="00642567">
            <w:pPr>
              <w:pStyle w:val="Tablewriting"/>
              <w:jc w:val="right"/>
            </w:pPr>
            <w:r>
              <w:t>$7,036,579</w:t>
            </w:r>
          </w:p>
        </w:tc>
        <w:tc>
          <w:tcPr>
            <w:tcW w:w="537" w:type="pct"/>
            <w:noWrap/>
            <w:vAlign w:val="bottom"/>
            <w:hideMark/>
          </w:tcPr>
          <w:p w14:paraId="43E7FB18" w14:textId="77777777" w:rsidR="00764A74" w:rsidRPr="00872129" w:rsidRDefault="00764A74" w:rsidP="00642567">
            <w:pPr>
              <w:pStyle w:val="Tablewriting"/>
              <w:jc w:val="right"/>
            </w:pPr>
            <w:r>
              <w:t>$6,742,756</w:t>
            </w:r>
          </w:p>
        </w:tc>
        <w:tc>
          <w:tcPr>
            <w:tcW w:w="537" w:type="pct"/>
            <w:noWrap/>
            <w:vAlign w:val="bottom"/>
            <w:hideMark/>
          </w:tcPr>
          <w:p w14:paraId="359893B2" w14:textId="77777777" w:rsidR="00764A74" w:rsidRPr="00872129" w:rsidRDefault="00764A74" w:rsidP="00642567">
            <w:pPr>
              <w:pStyle w:val="Tablewriting"/>
              <w:jc w:val="right"/>
            </w:pPr>
            <w:r>
              <w:t>$6,001,831</w:t>
            </w:r>
          </w:p>
        </w:tc>
        <w:tc>
          <w:tcPr>
            <w:tcW w:w="537" w:type="pct"/>
            <w:noWrap/>
            <w:vAlign w:val="bottom"/>
            <w:hideMark/>
          </w:tcPr>
          <w:p w14:paraId="3966F48C" w14:textId="77777777" w:rsidR="00764A74" w:rsidRPr="00872129" w:rsidRDefault="00764A74" w:rsidP="00642567">
            <w:pPr>
              <w:pStyle w:val="Tablewriting"/>
              <w:jc w:val="right"/>
            </w:pPr>
            <w:r>
              <w:t>$3,656,012</w:t>
            </w:r>
          </w:p>
        </w:tc>
        <w:tc>
          <w:tcPr>
            <w:tcW w:w="537" w:type="pct"/>
            <w:noWrap/>
            <w:vAlign w:val="bottom"/>
            <w:hideMark/>
          </w:tcPr>
          <w:p w14:paraId="3DC07361" w14:textId="77777777" w:rsidR="00764A74" w:rsidRPr="00872129" w:rsidRDefault="00764A74" w:rsidP="00642567">
            <w:pPr>
              <w:pStyle w:val="Tablewriting"/>
              <w:jc w:val="right"/>
            </w:pPr>
            <w:r>
              <w:t>$2,247,584</w:t>
            </w:r>
          </w:p>
        </w:tc>
        <w:tc>
          <w:tcPr>
            <w:tcW w:w="537" w:type="pct"/>
            <w:noWrap/>
            <w:vAlign w:val="bottom"/>
            <w:hideMark/>
          </w:tcPr>
          <w:p w14:paraId="1B1725E2" w14:textId="77777777" w:rsidR="00764A74" w:rsidRPr="00872129" w:rsidRDefault="00764A74" w:rsidP="00642567">
            <w:pPr>
              <w:pStyle w:val="Tablewriting"/>
              <w:jc w:val="right"/>
            </w:pPr>
            <w:r>
              <w:t>$1,583,211</w:t>
            </w:r>
          </w:p>
        </w:tc>
        <w:tc>
          <w:tcPr>
            <w:tcW w:w="537" w:type="pct"/>
            <w:noWrap/>
            <w:vAlign w:val="bottom"/>
            <w:hideMark/>
          </w:tcPr>
          <w:p w14:paraId="62151A2E" w14:textId="77777777" w:rsidR="00764A74" w:rsidRPr="00872129" w:rsidRDefault="00764A74" w:rsidP="00642567">
            <w:pPr>
              <w:pStyle w:val="Tablewriting"/>
              <w:jc w:val="right"/>
            </w:pPr>
            <w:r>
              <w:t>$1,050,616</w:t>
            </w:r>
          </w:p>
        </w:tc>
      </w:tr>
      <w:tr w:rsidR="00764A74" w:rsidRPr="00872129" w14:paraId="6DD5FA31" w14:textId="77777777" w:rsidTr="00642567">
        <w:trPr>
          <w:trHeight w:val="300"/>
        </w:trPr>
        <w:tc>
          <w:tcPr>
            <w:tcW w:w="702" w:type="pct"/>
            <w:noWrap/>
            <w:hideMark/>
          </w:tcPr>
          <w:p w14:paraId="5C4B22A2" w14:textId="77777777" w:rsidR="00764A74" w:rsidRPr="00872129" w:rsidRDefault="00764A74" w:rsidP="00642567">
            <w:pPr>
              <w:pStyle w:val="Tablewriting"/>
            </w:pPr>
            <w:proofErr w:type="spellStart"/>
            <w:r w:rsidRPr="00872129">
              <w:t>Voriconazole</w:t>
            </w:r>
            <w:proofErr w:type="spellEnd"/>
          </w:p>
        </w:tc>
        <w:tc>
          <w:tcPr>
            <w:tcW w:w="537" w:type="pct"/>
            <w:noWrap/>
            <w:vAlign w:val="bottom"/>
            <w:hideMark/>
          </w:tcPr>
          <w:p w14:paraId="497C985D" w14:textId="77777777" w:rsidR="00764A74" w:rsidRPr="00872129" w:rsidRDefault="00764A74" w:rsidP="00642567">
            <w:pPr>
              <w:pStyle w:val="Tablewriting"/>
              <w:jc w:val="right"/>
            </w:pPr>
            <w:r>
              <w:t>$1,494,187</w:t>
            </w:r>
          </w:p>
        </w:tc>
        <w:tc>
          <w:tcPr>
            <w:tcW w:w="537" w:type="pct"/>
            <w:noWrap/>
            <w:vAlign w:val="bottom"/>
            <w:hideMark/>
          </w:tcPr>
          <w:p w14:paraId="4BEDF6C2" w14:textId="77777777" w:rsidR="00764A74" w:rsidRPr="00872129" w:rsidRDefault="00764A74" w:rsidP="00642567">
            <w:pPr>
              <w:pStyle w:val="Tablewriting"/>
              <w:jc w:val="right"/>
            </w:pPr>
            <w:r>
              <w:t>$6,619,003</w:t>
            </w:r>
          </w:p>
        </w:tc>
        <w:tc>
          <w:tcPr>
            <w:tcW w:w="537" w:type="pct"/>
            <w:noWrap/>
            <w:vAlign w:val="bottom"/>
            <w:hideMark/>
          </w:tcPr>
          <w:p w14:paraId="03205B8E" w14:textId="77777777" w:rsidR="00764A74" w:rsidRPr="00872129" w:rsidRDefault="00764A74" w:rsidP="00642567">
            <w:pPr>
              <w:pStyle w:val="Tablewriting"/>
              <w:jc w:val="right"/>
            </w:pPr>
            <w:r>
              <w:t>$9,057,652</w:t>
            </w:r>
          </w:p>
        </w:tc>
        <w:tc>
          <w:tcPr>
            <w:tcW w:w="537" w:type="pct"/>
            <w:noWrap/>
            <w:vAlign w:val="bottom"/>
            <w:hideMark/>
          </w:tcPr>
          <w:p w14:paraId="0B64F95B" w14:textId="77777777" w:rsidR="00764A74" w:rsidRPr="00872129" w:rsidRDefault="00764A74" w:rsidP="00642567">
            <w:pPr>
              <w:pStyle w:val="Tablewriting"/>
              <w:jc w:val="right"/>
            </w:pPr>
            <w:r>
              <w:t>$10,676,455</w:t>
            </w:r>
          </w:p>
        </w:tc>
        <w:tc>
          <w:tcPr>
            <w:tcW w:w="537" w:type="pct"/>
            <w:noWrap/>
            <w:vAlign w:val="bottom"/>
            <w:hideMark/>
          </w:tcPr>
          <w:p w14:paraId="3BBED654" w14:textId="77777777" w:rsidR="00764A74" w:rsidRPr="00872129" w:rsidRDefault="00764A74" w:rsidP="00642567">
            <w:pPr>
              <w:pStyle w:val="Tablewriting"/>
              <w:jc w:val="right"/>
            </w:pPr>
            <w:r>
              <w:t>$13,847,688</w:t>
            </w:r>
          </w:p>
        </w:tc>
        <w:tc>
          <w:tcPr>
            <w:tcW w:w="537" w:type="pct"/>
            <w:noWrap/>
            <w:vAlign w:val="bottom"/>
            <w:hideMark/>
          </w:tcPr>
          <w:p w14:paraId="23311CD0" w14:textId="77777777" w:rsidR="00764A74" w:rsidRPr="00872129" w:rsidRDefault="00764A74" w:rsidP="00642567">
            <w:pPr>
              <w:pStyle w:val="Tablewriting"/>
              <w:jc w:val="right"/>
            </w:pPr>
            <w:r>
              <w:t>$16,250,777</w:t>
            </w:r>
          </w:p>
        </w:tc>
        <w:tc>
          <w:tcPr>
            <w:tcW w:w="537" w:type="pct"/>
            <w:noWrap/>
            <w:vAlign w:val="bottom"/>
            <w:hideMark/>
          </w:tcPr>
          <w:p w14:paraId="2E2B2CFB" w14:textId="77777777" w:rsidR="00764A74" w:rsidRPr="00872129" w:rsidRDefault="00764A74" w:rsidP="00642567">
            <w:pPr>
              <w:pStyle w:val="Tablewriting"/>
              <w:jc w:val="right"/>
            </w:pPr>
            <w:r>
              <w:t>$13,658,024</w:t>
            </w:r>
          </w:p>
        </w:tc>
        <w:tc>
          <w:tcPr>
            <w:tcW w:w="537" w:type="pct"/>
            <w:noWrap/>
            <w:vAlign w:val="bottom"/>
            <w:hideMark/>
          </w:tcPr>
          <w:p w14:paraId="496975B8" w14:textId="77777777" w:rsidR="00764A74" w:rsidRPr="00872129" w:rsidRDefault="00764A74" w:rsidP="00642567">
            <w:pPr>
              <w:pStyle w:val="Tablewriting"/>
              <w:jc w:val="right"/>
            </w:pPr>
            <w:r>
              <w:t>$10,626,034</w:t>
            </w:r>
          </w:p>
        </w:tc>
      </w:tr>
      <w:tr w:rsidR="00764A74" w:rsidRPr="00872129" w14:paraId="5DC5BA4E" w14:textId="77777777" w:rsidTr="00642567">
        <w:trPr>
          <w:trHeight w:val="300"/>
        </w:trPr>
        <w:tc>
          <w:tcPr>
            <w:tcW w:w="702" w:type="pct"/>
            <w:noWrap/>
            <w:hideMark/>
          </w:tcPr>
          <w:p w14:paraId="44EC2EA6" w14:textId="77777777" w:rsidR="00764A74" w:rsidRPr="00872129" w:rsidRDefault="00764A74" w:rsidP="00642567">
            <w:pPr>
              <w:pStyle w:val="Tablewriting"/>
            </w:pPr>
            <w:r w:rsidRPr="00872129">
              <w:t>Total</w:t>
            </w:r>
          </w:p>
        </w:tc>
        <w:tc>
          <w:tcPr>
            <w:tcW w:w="537" w:type="pct"/>
            <w:noWrap/>
            <w:vAlign w:val="bottom"/>
            <w:hideMark/>
          </w:tcPr>
          <w:p w14:paraId="33C67218" w14:textId="77777777" w:rsidR="00764A74" w:rsidRPr="00872129" w:rsidRDefault="00764A74" w:rsidP="00642567">
            <w:pPr>
              <w:pStyle w:val="Tablewriting"/>
              <w:jc w:val="right"/>
              <w:rPr>
                <w:b/>
              </w:rPr>
            </w:pPr>
            <w:r>
              <w:rPr>
                <w:b/>
              </w:rPr>
              <w:t>$21,659,645</w:t>
            </w:r>
          </w:p>
        </w:tc>
        <w:tc>
          <w:tcPr>
            <w:tcW w:w="537" w:type="pct"/>
            <w:noWrap/>
            <w:vAlign w:val="bottom"/>
            <w:hideMark/>
          </w:tcPr>
          <w:p w14:paraId="5F13C9C0" w14:textId="77777777" w:rsidR="00764A74" w:rsidRPr="00872129" w:rsidRDefault="00764A74" w:rsidP="00642567">
            <w:pPr>
              <w:pStyle w:val="Tablewriting"/>
              <w:jc w:val="right"/>
              <w:rPr>
                <w:b/>
              </w:rPr>
            </w:pPr>
            <w:r>
              <w:rPr>
                <w:b/>
              </w:rPr>
              <w:t>$28,530,159</w:t>
            </w:r>
          </w:p>
        </w:tc>
        <w:tc>
          <w:tcPr>
            <w:tcW w:w="537" w:type="pct"/>
            <w:noWrap/>
            <w:vAlign w:val="bottom"/>
            <w:hideMark/>
          </w:tcPr>
          <w:p w14:paraId="152FAC16" w14:textId="77777777" w:rsidR="00764A74" w:rsidRPr="00872129" w:rsidRDefault="00764A74" w:rsidP="00642567">
            <w:pPr>
              <w:pStyle w:val="Tablewriting"/>
              <w:jc w:val="right"/>
              <w:rPr>
                <w:b/>
              </w:rPr>
            </w:pPr>
            <w:r>
              <w:rPr>
                <w:b/>
              </w:rPr>
              <w:t>$29,243,801</w:t>
            </w:r>
          </w:p>
        </w:tc>
        <w:tc>
          <w:tcPr>
            <w:tcW w:w="537" w:type="pct"/>
            <w:noWrap/>
            <w:vAlign w:val="bottom"/>
            <w:hideMark/>
          </w:tcPr>
          <w:p w14:paraId="60E97998" w14:textId="77777777" w:rsidR="00764A74" w:rsidRPr="00872129" w:rsidRDefault="00764A74" w:rsidP="00642567">
            <w:pPr>
              <w:pStyle w:val="Tablewriting"/>
              <w:jc w:val="right"/>
              <w:rPr>
                <w:b/>
              </w:rPr>
            </w:pPr>
            <w:r>
              <w:rPr>
                <w:b/>
              </w:rPr>
              <w:t>$31,637,991</w:t>
            </w:r>
          </w:p>
        </w:tc>
        <w:tc>
          <w:tcPr>
            <w:tcW w:w="537" w:type="pct"/>
            <w:noWrap/>
            <w:vAlign w:val="bottom"/>
            <w:hideMark/>
          </w:tcPr>
          <w:p w14:paraId="77EA9F7F" w14:textId="77777777" w:rsidR="00764A74" w:rsidRPr="00872129" w:rsidRDefault="00764A74" w:rsidP="00642567">
            <w:pPr>
              <w:pStyle w:val="Tablewriting"/>
              <w:jc w:val="right"/>
              <w:rPr>
                <w:b/>
              </w:rPr>
            </w:pPr>
            <w:r>
              <w:rPr>
                <w:b/>
              </w:rPr>
              <w:t>$35,334,476</w:t>
            </w:r>
          </w:p>
        </w:tc>
        <w:tc>
          <w:tcPr>
            <w:tcW w:w="537" w:type="pct"/>
            <w:noWrap/>
            <w:vAlign w:val="bottom"/>
            <w:hideMark/>
          </w:tcPr>
          <w:p w14:paraId="7EF5BED3" w14:textId="77777777" w:rsidR="00764A74" w:rsidRPr="00872129" w:rsidRDefault="00764A74" w:rsidP="00642567">
            <w:pPr>
              <w:pStyle w:val="Tablewriting"/>
              <w:jc w:val="right"/>
              <w:rPr>
                <w:b/>
              </w:rPr>
            </w:pPr>
            <w:r>
              <w:rPr>
                <w:b/>
              </w:rPr>
              <w:t>$35,994,598</w:t>
            </w:r>
          </w:p>
        </w:tc>
        <w:tc>
          <w:tcPr>
            <w:tcW w:w="537" w:type="pct"/>
            <w:noWrap/>
            <w:vAlign w:val="bottom"/>
            <w:hideMark/>
          </w:tcPr>
          <w:p w14:paraId="34A68FE0" w14:textId="77777777" w:rsidR="00764A74" w:rsidRPr="00872129" w:rsidRDefault="00764A74" w:rsidP="00642567">
            <w:pPr>
              <w:pStyle w:val="Tablewriting"/>
              <w:jc w:val="right"/>
              <w:rPr>
                <w:b/>
              </w:rPr>
            </w:pPr>
            <w:r>
              <w:rPr>
                <w:b/>
              </w:rPr>
              <w:t>$33,709,074</w:t>
            </w:r>
          </w:p>
        </w:tc>
        <w:tc>
          <w:tcPr>
            <w:tcW w:w="537" w:type="pct"/>
            <w:noWrap/>
            <w:vAlign w:val="bottom"/>
            <w:hideMark/>
          </w:tcPr>
          <w:p w14:paraId="74EA5B84" w14:textId="77777777" w:rsidR="00764A74" w:rsidRPr="00872129" w:rsidRDefault="00764A74" w:rsidP="00642567">
            <w:pPr>
              <w:pStyle w:val="Tablewriting"/>
              <w:jc w:val="right"/>
              <w:rPr>
                <w:b/>
              </w:rPr>
            </w:pPr>
            <w:r>
              <w:rPr>
                <w:b/>
              </w:rPr>
              <w:t>$35,519,012</w:t>
            </w:r>
          </w:p>
        </w:tc>
      </w:tr>
    </w:tbl>
    <w:p w14:paraId="05893CFF" w14:textId="77777777" w:rsidR="00764A74" w:rsidRDefault="00764A74" w:rsidP="00764A74">
      <w:pPr>
        <w:pStyle w:val="Notes"/>
      </w:pPr>
      <w:r>
        <w:t>Source: DHS Supplied Prescriptions Database, extracted August 2016</w:t>
      </w:r>
    </w:p>
    <w:p w14:paraId="7CF5C35F" w14:textId="77777777" w:rsidR="00764A74" w:rsidRPr="00500DC0" w:rsidRDefault="00764A74" w:rsidP="00764A74">
      <w:pPr>
        <w:rPr>
          <w:rFonts w:ascii="Calibri" w:eastAsia="MS Mincho" w:hAnsi="Calibri" w:cs="Times New Roman"/>
        </w:rPr>
      </w:pPr>
      <w:r w:rsidRPr="00500DC0">
        <w:rPr>
          <w:rFonts w:ascii="Calibri" w:eastAsia="MS Mincho" w:hAnsi="Calibri" w:cs="Times New Roman"/>
        </w:rPr>
        <w:t>R/PBS expenditure on systemic antifungal medicines increased until the 2013</w:t>
      </w:r>
      <w:r w:rsidRPr="00500DC0">
        <w:rPr>
          <w:rFonts w:ascii="Calibri" w:eastAsia="MS Mincho" w:hAnsi="Calibri" w:cs="Times New Roman"/>
        </w:rPr>
        <w:noBreakHyphen/>
        <w:t>14 financial year. Expenditure decreased in 2014</w:t>
      </w:r>
      <w:r w:rsidRPr="00500DC0">
        <w:rPr>
          <w:rFonts w:ascii="Calibri" w:eastAsia="MS Mincho" w:hAnsi="Calibri" w:cs="Times New Roman"/>
        </w:rPr>
        <w:noBreakHyphen/>
        <w:t>15 but has increased in 2015</w:t>
      </w:r>
      <w:r w:rsidRPr="00500DC0">
        <w:rPr>
          <w:rFonts w:ascii="Calibri" w:eastAsia="MS Mincho" w:hAnsi="Calibri" w:cs="Times New Roman"/>
        </w:rPr>
        <w:noBreakHyphen/>
        <w:t xml:space="preserve">16. This is due to increasing expenditure on </w:t>
      </w:r>
      <w:proofErr w:type="spellStart"/>
      <w:r w:rsidRPr="00500DC0">
        <w:rPr>
          <w:rFonts w:ascii="Calibri" w:eastAsia="MS Mincho" w:hAnsi="Calibri" w:cs="Times New Roman"/>
        </w:rPr>
        <w:t>posaconazole</w:t>
      </w:r>
      <w:proofErr w:type="spellEnd"/>
      <w:r w:rsidRPr="00500DC0">
        <w:rPr>
          <w:rFonts w:ascii="Calibri" w:eastAsia="MS Mincho" w:hAnsi="Calibri" w:cs="Times New Roman"/>
        </w:rPr>
        <w:t xml:space="preserve"> which increased by over $5.5 million in the 2015</w:t>
      </w:r>
      <w:r w:rsidRPr="00500DC0">
        <w:rPr>
          <w:rFonts w:ascii="Calibri" w:eastAsia="MS Mincho" w:hAnsi="Calibri" w:cs="Times New Roman"/>
        </w:rPr>
        <w:noBreakHyphen/>
        <w:t xml:space="preserve">16 financial year.  The cost of fluconazole, </w:t>
      </w:r>
      <w:proofErr w:type="spellStart"/>
      <w:r w:rsidRPr="00500DC0">
        <w:rPr>
          <w:rFonts w:ascii="Calibri" w:eastAsia="MS Mincho" w:hAnsi="Calibri" w:cs="Times New Roman"/>
        </w:rPr>
        <w:t>terbinafine</w:t>
      </w:r>
      <w:proofErr w:type="spellEnd"/>
      <w:r w:rsidRPr="00500DC0">
        <w:rPr>
          <w:rFonts w:ascii="Calibri" w:eastAsia="MS Mincho" w:hAnsi="Calibri" w:cs="Times New Roman"/>
        </w:rPr>
        <w:t xml:space="preserve"> and </w:t>
      </w:r>
      <w:proofErr w:type="spellStart"/>
      <w:r w:rsidRPr="00500DC0">
        <w:rPr>
          <w:rFonts w:ascii="Calibri" w:eastAsia="MS Mincho" w:hAnsi="Calibri" w:cs="Times New Roman"/>
        </w:rPr>
        <w:t>voriconazole</w:t>
      </w:r>
      <w:proofErr w:type="spellEnd"/>
      <w:r w:rsidRPr="00500DC0">
        <w:rPr>
          <w:rFonts w:ascii="Calibri" w:eastAsia="MS Mincho" w:hAnsi="Calibri" w:cs="Times New Roman"/>
        </w:rPr>
        <w:t xml:space="preserve"> are decreasing. </w:t>
      </w:r>
    </w:p>
    <w:p w14:paraId="7B551150" w14:textId="77777777" w:rsidR="00764A74" w:rsidRDefault="00764A74" w:rsidP="00764A74">
      <w:r>
        <w:t xml:space="preserve">Figure 18 presents R/PBS expenditure for systemic antifungals. </w:t>
      </w:r>
    </w:p>
    <w:p w14:paraId="313997FC" w14:textId="77777777" w:rsidR="00C93890" w:rsidRPr="00FE645A" w:rsidRDefault="00C93890" w:rsidP="00C93890">
      <w:pPr>
        <w:pStyle w:val="Figuretitle"/>
      </w:pPr>
      <w:r>
        <w:rPr>
          <w:noProof/>
          <w:lang w:val="en-AU"/>
        </w:rPr>
        <w:lastRenderedPageBreak/>
        <w:drawing>
          <wp:inline distT="0" distB="0" distL="0" distR="0" wp14:anchorId="003D7DB9" wp14:editId="520CCDBD">
            <wp:extent cx="8258175" cy="3505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br/>
      </w:r>
      <w:r w:rsidRPr="00FE645A">
        <w:t xml:space="preserve">Figure </w:t>
      </w:r>
      <w:r>
        <w:t>18</w:t>
      </w:r>
      <w:r w:rsidRPr="00FE645A">
        <w:t xml:space="preserve">: </w:t>
      </w:r>
      <w:r>
        <w:t>R/PBS expenditure on systemic antifungal medicines</w:t>
      </w:r>
    </w:p>
    <w:p w14:paraId="0988728C" w14:textId="77777777" w:rsidR="00C93890" w:rsidRDefault="00C93890" w:rsidP="00C93890">
      <w:pPr>
        <w:pStyle w:val="Figurecaption"/>
      </w:pPr>
      <w:r>
        <w:t xml:space="preserve">Source: DUSC database, extracted August2016. </w:t>
      </w:r>
    </w:p>
    <w:p w14:paraId="529F09B9" w14:textId="77777777" w:rsidR="00C93890" w:rsidRDefault="00C93890" w:rsidP="00C93890">
      <w:proofErr w:type="spellStart"/>
      <w:r>
        <w:t>Voriconazole</w:t>
      </w:r>
      <w:proofErr w:type="spellEnd"/>
      <w:r>
        <w:t xml:space="preserve"> expenditure has decreased due to decreased utilisation and price reductions. Generic brands of </w:t>
      </w:r>
      <w:proofErr w:type="spellStart"/>
      <w:r>
        <w:t>voriconazole</w:t>
      </w:r>
      <w:proofErr w:type="spellEnd"/>
      <w:r>
        <w:t xml:space="preserve"> tablets were PBS listed on 1 February 2016. </w:t>
      </w:r>
      <w:proofErr w:type="spellStart"/>
      <w:r>
        <w:t>Voriconazole</w:t>
      </w:r>
      <w:proofErr w:type="spellEnd"/>
      <w:r>
        <w:t xml:space="preserve"> had a price reduction on 1 February 2016. The DPMQ for 200 mg </w:t>
      </w:r>
      <w:proofErr w:type="spellStart"/>
      <w:r>
        <w:t>voriconazole</w:t>
      </w:r>
      <w:proofErr w:type="spellEnd"/>
      <w:r>
        <w:t xml:space="preserve"> tablets has decreased from $</w:t>
      </w:r>
      <w:r w:rsidRPr="00A928A4">
        <w:t>2</w:t>
      </w:r>
      <w:r>
        <w:t>,</w:t>
      </w:r>
      <w:r w:rsidRPr="00A928A4">
        <w:t xml:space="preserve">631.18 </w:t>
      </w:r>
      <w:r>
        <w:t>in June 2013 to $</w:t>
      </w:r>
      <w:r w:rsidRPr="00A928A4">
        <w:t>2</w:t>
      </w:r>
      <w:r>
        <w:t>,</w:t>
      </w:r>
      <w:r w:rsidRPr="00A928A4">
        <w:t>237.86</w:t>
      </w:r>
      <w:r>
        <w:t xml:space="preserve"> in June 2015. The current DPMQ is </w:t>
      </w:r>
      <w:r w:rsidRPr="00A928A4">
        <w:t>$1</w:t>
      </w:r>
      <w:r>
        <w:t>,</w:t>
      </w:r>
      <w:r w:rsidRPr="00A928A4">
        <w:t>894.70</w:t>
      </w:r>
      <w:r>
        <w:t>.</w:t>
      </w:r>
    </w:p>
    <w:p w14:paraId="3C60F74D" w14:textId="26B3A0C4" w:rsidR="00764A74" w:rsidRDefault="00C93890" w:rsidP="00764A74">
      <w:r w:rsidRPr="00021B59">
        <w:t xml:space="preserve">As DUSC analyses are usually based on date of supply, this should be noted as there may be small differences between publicly available Medicare Australia </w:t>
      </w:r>
      <w:proofErr w:type="gramStart"/>
      <w:r w:rsidRPr="00021B59">
        <w:t>date</w:t>
      </w:r>
      <w:proofErr w:type="gramEnd"/>
      <w:r w:rsidRPr="00021B59">
        <w:t xml:space="preserve"> of processing data.</w:t>
      </w:r>
      <w:r w:rsidRPr="002F61CA">
        <w:t xml:space="preserve">  </w:t>
      </w:r>
    </w:p>
    <w:p w14:paraId="0ED1D973" w14:textId="77777777" w:rsidR="00764A74" w:rsidRDefault="00764A74" w:rsidP="00764A74">
      <w:pPr>
        <w:sectPr w:rsidR="00764A74" w:rsidSect="00764A74">
          <w:pgSz w:w="16838" w:h="11906" w:orient="landscape"/>
          <w:pgMar w:top="1588" w:right="1644" w:bottom="1361" w:left="1644" w:header="709" w:footer="709" w:gutter="0"/>
          <w:cols w:space="708"/>
          <w:docGrid w:linePitch="360"/>
        </w:sectPr>
      </w:pPr>
    </w:p>
    <w:p w14:paraId="5F22B4D8" w14:textId="319090EA" w:rsidR="00736041" w:rsidRPr="005E22C2"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00388D2C" w14:textId="77777777" w:rsidR="00C93890" w:rsidRDefault="00C93890" w:rsidP="00C93890">
      <w:r w:rsidRPr="00E04522">
        <w:t xml:space="preserve">Table </w:t>
      </w:r>
      <w:r>
        <w:t>6</w:t>
      </w:r>
      <w:r w:rsidRPr="00E04522">
        <w:t xml:space="preserve"> presents the predicted and actual utilisation of </w:t>
      </w:r>
      <w:proofErr w:type="spellStart"/>
      <w:r w:rsidRPr="00E04522">
        <w:t>voriconazole</w:t>
      </w:r>
      <w:proofErr w:type="spellEnd"/>
      <w:r w:rsidRPr="00E04522">
        <w:t xml:space="preserve"> for prophylaxis against invasive fungal infections. </w:t>
      </w:r>
      <w:r>
        <w:t xml:space="preserve">Utilisation was measured by two methods: one using the item codes for prophylaxis and the other using matched authority approval codes where the approval was for prophylaxis. There is a single authority code for all </w:t>
      </w:r>
      <w:proofErr w:type="spellStart"/>
      <w:r>
        <w:t>voriconazole</w:t>
      </w:r>
      <w:proofErr w:type="spellEnd"/>
      <w:r>
        <w:t xml:space="preserve"> prophylaxis indications, limiting the possibility of assessing utilisation by each high risk group. </w:t>
      </w:r>
    </w:p>
    <w:p w14:paraId="148C76AD" w14:textId="77777777" w:rsidR="00C93890" w:rsidRDefault="00C93890" w:rsidP="00C93890">
      <w:pPr>
        <w:pStyle w:val="Tabletitle"/>
        <w:keepLines/>
      </w:pPr>
      <w:r>
        <w:t xml:space="preserve">Table 6: Predicted </w:t>
      </w:r>
      <w:proofErr w:type="spellStart"/>
      <w:r>
        <w:t>vs</w:t>
      </w:r>
      <w:proofErr w:type="spellEnd"/>
      <w:r>
        <w:t xml:space="preserve"> actual utilisation of </w:t>
      </w:r>
      <w:proofErr w:type="spellStart"/>
      <w:r>
        <w:t>voriconazole</w:t>
      </w:r>
      <w:proofErr w:type="spellEnd"/>
      <w:r>
        <w:t xml:space="preserve"> for prophylaxis </w:t>
      </w:r>
    </w:p>
    <w:tbl>
      <w:tblPr>
        <w:tblStyle w:val="TableGrid"/>
        <w:tblW w:w="5000" w:type="pct"/>
        <w:tblLook w:val="04A0" w:firstRow="1" w:lastRow="0" w:firstColumn="1" w:lastColumn="0" w:noHBand="0" w:noVBand="1"/>
      </w:tblPr>
      <w:tblGrid>
        <w:gridCol w:w="2150"/>
        <w:gridCol w:w="2763"/>
        <w:gridCol w:w="2130"/>
        <w:gridCol w:w="2130"/>
      </w:tblGrid>
      <w:tr w:rsidR="00C93890" w:rsidRPr="00F40D7C" w14:paraId="7D67D4D0" w14:textId="77777777" w:rsidTr="00F40D7C">
        <w:trPr>
          <w:cantSplit/>
          <w:trHeight w:val="300"/>
          <w:tblHeader/>
        </w:trPr>
        <w:tc>
          <w:tcPr>
            <w:tcW w:w="1172" w:type="pct"/>
            <w:tcBorders>
              <w:bottom w:val="single" w:sz="4" w:space="0" w:color="auto"/>
            </w:tcBorders>
            <w:shd w:val="clear" w:color="auto" w:fill="BFBFBF" w:themeFill="background1" w:themeFillShade="BF"/>
            <w:noWrap/>
            <w:hideMark/>
          </w:tcPr>
          <w:p w14:paraId="6BB18C56" w14:textId="77777777" w:rsidR="00C93890" w:rsidRPr="00F40D7C" w:rsidRDefault="00C93890" w:rsidP="00642567">
            <w:pPr>
              <w:pStyle w:val="Tableheading"/>
              <w:keepLines/>
              <w:rPr>
                <w:sz w:val="20"/>
                <w:szCs w:val="20"/>
              </w:rPr>
            </w:pPr>
          </w:p>
        </w:tc>
        <w:tc>
          <w:tcPr>
            <w:tcW w:w="1506" w:type="pct"/>
            <w:tcBorders>
              <w:bottom w:val="single" w:sz="4" w:space="0" w:color="auto"/>
            </w:tcBorders>
            <w:shd w:val="clear" w:color="auto" w:fill="BFBFBF" w:themeFill="background1" w:themeFillShade="BF"/>
            <w:noWrap/>
          </w:tcPr>
          <w:p w14:paraId="15619E03" w14:textId="77777777" w:rsidR="00C93890" w:rsidRPr="00F40D7C" w:rsidRDefault="00C93890" w:rsidP="00642567">
            <w:pPr>
              <w:pStyle w:val="Tableheading"/>
              <w:keepLines/>
              <w:rPr>
                <w:sz w:val="20"/>
                <w:szCs w:val="20"/>
              </w:rPr>
            </w:pPr>
            <w:r w:rsidRPr="00F40D7C">
              <w:rPr>
                <w:sz w:val="20"/>
                <w:szCs w:val="20"/>
              </w:rPr>
              <w:t xml:space="preserve">Predicted </w:t>
            </w:r>
          </w:p>
        </w:tc>
        <w:tc>
          <w:tcPr>
            <w:tcW w:w="1161" w:type="pct"/>
            <w:tcBorders>
              <w:bottom w:val="single" w:sz="4" w:space="0" w:color="auto"/>
            </w:tcBorders>
            <w:shd w:val="clear" w:color="auto" w:fill="BFBFBF" w:themeFill="background1" w:themeFillShade="BF"/>
            <w:noWrap/>
          </w:tcPr>
          <w:p w14:paraId="5CF78BD1" w14:textId="77777777" w:rsidR="00C93890" w:rsidRPr="00F40D7C" w:rsidRDefault="00C93890" w:rsidP="00642567">
            <w:pPr>
              <w:pStyle w:val="Tableheading"/>
              <w:keepLines/>
              <w:rPr>
                <w:sz w:val="20"/>
                <w:szCs w:val="20"/>
              </w:rPr>
            </w:pPr>
            <w:r w:rsidRPr="00F40D7C">
              <w:rPr>
                <w:sz w:val="20"/>
                <w:szCs w:val="20"/>
              </w:rPr>
              <w:t>Actual</w:t>
            </w:r>
          </w:p>
        </w:tc>
        <w:tc>
          <w:tcPr>
            <w:tcW w:w="1161" w:type="pct"/>
            <w:tcBorders>
              <w:bottom w:val="single" w:sz="4" w:space="0" w:color="auto"/>
            </w:tcBorders>
            <w:shd w:val="clear" w:color="auto" w:fill="BFBFBF" w:themeFill="background1" w:themeFillShade="BF"/>
          </w:tcPr>
          <w:p w14:paraId="1FBBA9A5" w14:textId="77777777" w:rsidR="00C93890" w:rsidRPr="00F40D7C" w:rsidRDefault="00C93890" w:rsidP="00642567">
            <w:pPr>
              <w:pStyle w:val="Tableheading"/>
              <w:keepLines/>
              <w:rPr>
                <w:sz w:val="20"/>
                <w:szCs w:val="20"/>
              </w:rPr>
            </w:pPr>
            <w:r w:rsidRPr="00F40D7C">
              <w:rPr>
                <w:sz w:val="20"/>
                <w:szCs w:val="20"/>
              </w:rPr>
              <w:t>Percentage of predicted</w:t>
            </w:r>
          </w:p>
        </w:tc>
      </w:tr>
      <w:tr w:rsidR="00BB16C4" w:rsidRPr="00F40D7C" w14:paraId="7655D101" w14:textId="77777777" w:rsidTr="00F40D7C">
        <w:trPr>
          <w:cantSplit/>
          <w:trHeight w:val="300"/>
          <w:tblHeader/>
        </w:trPr>
        <w:tc>
          <w:tcPr>
            <w:tcW w:w="1172" w:type="pct"/>
            <w:tcBorders>
              <w:right w:val="nil"/>
            </w:tcBorders>
            <w:noWrap/>
          </w:tcPr>
          <w:p w14:paraId="1CF95007" w14:textId="2EFBB158" w:rsidR="00BB16C4" w:rsidRPr="00F40D7C" w:rsidRDefault="00BB16C4" w:rsidP="00642567">
            <w:pPr>
              <w:pStyle w:val="Tablewriting"/>
            </w:pPr>
            <w:r w:rsidRPr="00F40D7C">
              <w:rPr>
                <w:b/>
              </w:rPr>
              <w:t>Item Code</w:t>
            </w:r>
          </w:p>
        </w:tc>
        <w:tc>
          <w:tcPr>
            <w:tcW w:w="1506" w:type="pct"/>
            <w:tcBorders>
              <w:left w:val="nil"/>
              <w:right w:val="nil"/>
            </w:tcBorders>
            <w:noWrap/>
          </w:tcPr>
          <w:p w14:paraId="237FE6A6" w14:textId="77777777" w:rsidR="00BB16C4" w:rsidRPr="00F40D7C" w:rsidRDefault="00BB16C4" w:rsidP="00642567">
            <w:pPr>
              <w:pStyle w:val="Tablewriting"/>
              <w:jc w:val="center"/>
            </w:pPr>
          </w:p>
        </w:tc>
        <w:tc>
          <w:tcPr>
            <w:tcW w:w="1161" w:type="pct"/>
            <w:tcBorders>
              <w:left w:val="nil"/>
              <w:right w:val="nil"/>
            </w:tcBorders>
            <w:noWrap/>
            <w:vAlign w:val="center"/>
          </w:tcPr>
          <w:p w14:paraId="7CC03A6E" w14:textId="77777777" w:rsidR="00BB16C4" w:rsidRPr="00F40D7C" w:rsidRDefault="00BB16C4" w:rsidP="00642567">
            <w:pPr>
              <w:pStyle w:val="Tablewriting"/>
              <w:jc w:val="center"/>
            </w:pPr>
          </w:p>
        </w:tc>
        <w:tc>
          <w:tcPr>
            <w:tcW w:w="1161" w:type="pct"/>
            <w:tcBorders>
              <w:left w:val="nil"/>
            </w:tcBorders>
          </w:tcPr>
          <w:p w14:paraId="758E7CC7" w14:textId="77777777" w:rsidR="00BB16C4" w:rsidRPr="00F40D7C" w:rsidRDefault="00BB16C4" w:rsidP="00642567">
            <w:pPr>
              <w:pStyle w:val="Tablewriting"/>
              <w:jc w:val="center"/>
            </w:pPr>
          </w:p>
        </w:tc>
      </w:tr>
      <w:tr w:rsidR="00C93890" w:rsidRPr="00F40D7C" w14:paraId="2F339A20" w14:textId="77777777" w:rsidTr="00642567">
        <w:trPr>
          <w:cantSplit/>
          <w:trHeight w:val="300"/>
          <w:tblHeader/>
        </w:trPr>
        <w:tc>
          <w:tcPr>
            <w:tcW w:w="1172" w:type="pct"/>
            <w:noWrap/>
          </w:tcPr>
          <w:p w14:paraId="3E1C89A3" w14:textId="77777777" w:rsidR="00C93890" w:rsidRPr="00F40D7C" w:rsidRDefault="00C93890" w:rsidP="00642567">
            <w:pPr>
              <w:pStyle w:val="Tablewriting"/>
            </w:pPr>
            <w:r w:rsidRPr="00F40D7C">
              <w:t>Patients</w:t>
            </w:r>
          </w:p>
        </w:tc>
        <w:tc>
          <w:tcPr>
            <w:tcW w:w="1506" w:type="pct"/>
            <w:noWrap/>
          </w:tcPr>
          <w:p w14:paraId="67D912CC" w14:textId="77777777" w:rsidR="00C93890" w:rsidRPr="00F40D7C" w:rsidRDefault="00C93890" w:rsidP="00642567">
            <w:pPr>
              <w:pStyle w:val="Tablewriting"/>
              <w:jc w:val="center"/>
            </w:pPr>
            <w:r w:rsidRPr="00F40D7C">
              <w:t>-</w:t>
            </w:r>
          </w:p>
        </w:tc>
        <w:tc>
          <w:tcPr>
            <w:tcW w:w="1161" w:type="pct"/>
            <w:noWrap/>
            <w:vAlign w:val="center"/>
          </w:tcPr>
          <w:p w14:paraId="0DB2FB1F" w14:textId="77777777" w:rsidR="00C93890" w:rsidRPr="00F40D7C" w:rsidRDefault="00C93890" w:rsidP="00642567">
            <w:pPr>
              <w:pStyle w:val="Tablewriting"/>
              <w:jc w:val="center"/>
            </w:pPr>
            <w:r w:rsidRPr="00F40D7C">
              <w:t>357</w:t>
            </w:r>
          </w:p>
        </w:tc>
        <w:tc>
          <w:tcPr>
            <w:tcW w:w="1161" w:type="pct"/>
          </w:tcPr>
          <w:p w14:paraId="26589407" w14:textId="77777777" w:rsidR="00C93890" w:rsidRPr="00F40D7C" w:rsidRDefault="00C93890" w:rsidP="00642567">
            <w:pPr>
              <w:pStyle w:val="Tablewriting"/>
              <w:jc w:val="center"/>
            </w:pPr>
            <w:r w:rsidRPr="00F40D7C">
              <w:t>-</w:t>
            </w:r>
          </w:p>
        </w:tc>
      </w:tr>
      <w:tr w:rsidR="00C93890" w:rsidRPr="00F40D7C" w14:paraId="533DF308" w14:textId="77777777" w:rsidTr="00642567">
        <w:trPr>
          <w:cantSplit/>
          <w:trHeight w:val="300"/>
          <w:tblHeader/>
        </w:trPr>
        <w:tc>
          <w:tcPr>
            <w:tcW w:w="1172" w:type="pct"/>
            <w:noWrap/>
          </w:tcPr>
          <w:p w14:paraId="69AC7F56" w14:textId="77777777" w:rsidR="00C93890" w:rsidRPr="00F40D7C" w:rsidRDefault="00C93890" w:rsidP="00642567">
            <w:pPr>
              <w:pStyle w:val="Tablewriting"/>
            </w:pPr>
            <w:r w:rsidRPr="00F40D7C">
              <w:t>Prescriptions</w:t>
            </w:r>
          </w:p>
        </w:tc>
        <w:tc>
          <w:tcPr>
            <w:tcW w:w="1506" w:type="pct"/>
            <w:noWrap/>
            <w:vAlign w:val="center"/>
          </w:tcPr>
          <w:p w14:paraId="199DEB8C" w14:textId="4C34BEBB" w:rsidR="00C93890" w:rsidRPr="00B502E1" w:rsidRDefault="00B502E1" w:rsidP="00642567">
            <w:pPr>
              <w:pStyle w:val="Tablewriting"/>
              <w:jc w:val="center"/>
              <w:rPr>
                <w:highlight w:val="black"/>
              </w:rPr>
            </w:pPr>
            <w:proofErr w:type="spellStart"/>
            <w:r w:rsidRPr="00B502E1">
              <w:rPr>
                <w:highlight w:val="black"/>
              </w:rPr>
              <w:t>xxxxx</w:t>
            </w:r>
            <w:proofErr w:type="spellEnd"/>
          </w:p>
        </w:tc>
        <w:tc>
          <w:tcPr>
            <w:tcW w:w="1161" w:type="pct"/>
            <w:noWrap/>
            <w:vAlign w:val="center"/>
          </w:tcPr>
          <w:p w14:paraId="5A622383" w14:textId="77777777" w:rsidR="00C93890" w:rsidRPr="00F40D7C" w:rsidRDefault="00C93890" w:rsidP="00642567">
            <w:pPr>
              <w:pStyle w:val="Tablewriting"/>
              <w:jc w:val="center"/>
            </w:pPr>
            <w:r w:rsidRPr="00F40D7C">
              <w:t>899</w:t>
            </w:r>
          </w:p>
        </w:tc>
        <w:tc>
          <w:tcPr>
            <w:tcW w:w="1161" w:type="pct"/>
          </w:tcPr>
          <w:p w14:paraId="01F947A3" w14:textId="218518A0" w:rsidR="00C93890" w:rsidRPr="00B502E1" w:rsidRDefault="00B502E1" w:rsidP="00642567">
            <w:pPr>
              <w:pStyle w:val="Tablewriting"/>
              <w:jc w:val="center"/>
              <w:rPr>
                <w:highlight w:val="black"/>
              </w:rPr>
            </w:pPr>
            <w:r w:rsidRPr="00B502E1">
              <w:rPr>
                <w:highlight w:val="black"/>
              </w:rPr>
              <w:t>xxx</w:t>
            </w:r>
          </w:p>
        </w:tc>
      </w:tr>
      <w:tr w:rsidR="00C93890" w:rsidRPr="00F40D7C" w14:paraId="35BFCED2" w14:textId="77777777" w:rsidTr="00F40D7C">
        <w:trPr>
          <w:cantSplit/>
          <w:trHeight w:val="300"/>
          <w:tblHeader/>
        </w:trPr>
        <w:tc>
          <w:tcPr>
            <w:tcW w:w="1172" w:type="pct"/>
            <w:tcBorders>
              <w:bottom w:val="single" w:sz="4" w:space="0" w:color="auto"/>
            </w:tcBorders>
            <w:noWrap/>
          </w:tcPr>
          <w:p w14:paraId="0AA16A4E" w14:textId="77777777" w:rsidR="00C93890" w:rsidRPr="00F40D7C" w:rsidRDefault="00C93890" w:rsidP="00642567">
            <w:pPr>
              <w:pStyle w:val="Tablewriting"/>
            </w:pPr>
            <w:r w:rsidRPr="00F40D7C">
              <w:t>Expenditure</w:t>
            </w:r>
          </w:p>
        </w:tc>
        <w:tc>
          <w:tcPr>
            <w:tcW w:w="1506" w:type="pct"/>
            <w:tcBorders>
              <w:bottom w:val="single" w:sz="4" w:space="0" w:color="auto"/>
            </w:tcBorders>
            <w:noWrap/>
            <w:vAlign w:val="center"/>
          </w:tcPr>
          <w:p w14:paraId="6D77E822" w14:textId="0C3DDA11" w:rsidR="00C93890" w:rsidRPr="00B502E1" w:rsidRDefault="00B502E1" w:rsidP="00642567">
            <w:pPr>
              <w:pStyle w:val="Tablewriting"/>
              <w:jc w:val="center"/>
              <w:rPr>
                <w:highlight w:val="black"/>
              </w:rPr>
            </w:pPr>
            <w:proofErr w:type="spellStart"/>
            <w:r w:rsidRPr="00B502E1">
              <w:rPr>
                <w:highlight w:val="black"/>
              </w:rPr>
              <w:t>xxxxxxxxxx</w:t>
            </w:r>
            <w:proofErr w:type="spellEnd"/>
          </w:p>
        </w:tc>
        <w:tc>
          <w:tcPr>
            <w:tcW w:w="1161" w:type="pct"/>
            <w:tcBorders>
              <w:bottom w:val="single" w:sz="4" w:space="0" w:color="auto"/>
            </w:tcBorders>
            <w:noWrap/>
            <w:vAlign w:val="center"/>
          </w:tcPr>
          <w:p w14:paraId="2C114A3A" w14:textId="77777777" w:rsidR="00C93890" w:rsidRPr="00F40D7C" w:rsidRDefault="00C93890" w:rsidP="00642567">
            <w:pPr>
              <w:pStyle w:val="Tablewriting"/>
              <w:jc w:val="center"/>
            </w:pPr>
            <w:r w:rsidRPr="00F40D7C">
              <w:t>$1,802,472</w:t>
            </w:r>
          </w:p>
        </w:tc>
        <w:tc>
          <w:tcPr>
            <w:tcW w:w="1161" w:type="pct"/>
            <w:tcBorders>
              <w:bottom w:val="single" w:sz="4" w:space="0" w:color="auto"/>
            </w:tcBorders>
          </w:tcPr>
          <w:p w14:paraId="2E595FE0" w14:textId="666FFEE1" w:rsidR="00C93890" w:rsidRPr="00B502E1" w:rsidRDefault="00B502E1" w:rsidP="00642567">
            <w:pPr>
              <w:pStyle w:val="Tablewriting"/>
              <w:jc w:val="center"/>
              <w:rPr>
                <w:highlight w:val="black"/>
              </w:rPr>
            </w:pPr>
            <w:r w:rsidRPr="00B502E1">
              <w:rPr>
                <w:highlight w:val="black"/>
              </w:rPr>
              <w:t>xxx</w:t>
            </w:r>
          </w:p>
        </w:tc>
      </w:tr>
      <w:tr w:rsidR="00BB16C4" w:rsidRPr="00F40D7C" w14:paraId="6B5BD3C9" w14:textId="77777777" w:rsidTr="00F40D7C">
        <w:trPr>
          <w:cantSplit/>
          <w:trHeight w:val="300"/>
          <w:tblHeader/>
        </w:trPr>
        <w:tc>
          <w:tcPr>
            <w:tcW w:w="1172" w:type="pct"/>
            <w:tcBorders>
              <w:right w:val="nil"/>
            </w:tcBorders>
            <w:noWrap/>
          </w:tcPr>
          <w:p w14:paraId="69127114" w14:textId="1EA5EA65" w:rsidR="00BB16C4" w:rsidRPr="00F40D7C" w:rsidRDefault="00BB16C4" w:rsidP="00642567">
            <w:pPr>
              <w:pStyle w:val="Tablewriting"/>
            </w:pPr>
            <w:r w:rsidRPr="00F40D7C">
              <w:rPr>
                <w:b/>
              </w:rPr>
              <w:t>Authority Code</w:t>
            </w:r>
          </w:p>
        </w:tc>
        <w:tc>
          <w:tcPr>
            <w:tcW w:w="1506" w:type="pct"/>
            <w:tcBorders>
              <w:left w:val="nil"/>
              <w:right w:val="nil"/>
            </w:tcBorders>
            <w:noWrap/>
          </w:tcPr>
          <w:p w14:paraId="0388F28C" w14:textId="77777777" w:rsidR="00BB16C4" w:rsidRPr="00F40D7C" w:rsidRDefault="00BB16C4" w:rsidP="00642567">
            <w:pPr>
              <w:pStyle w:val="Tablewriting"/>
              <w:jc w:val="center"/>
            </w:pPr>
          </w:p>
        </w:tc>
        <w:tc>
          <w:tcPr>
            <w:tcW w:w="1161" w:type="pct"/>
            <w:tcBorders>
              <w:left w:val="nil"/>
              <w:right w:val="nil"/>
            </w:tcBorders>
            <w:noWrap/>
            <w:vAlign w:val="center"/>
          </w:tcPr>
          <w:p w14:paraId="37CD9603" w14:textId="77777777" w:rsidR="00BB16C4" w:rsidRPr="00F40D7C" w:rsidRDefault="00BB16C4" w:rsidP="00642567">
            <w:pPr>
              <w:pStyle w:val="Tablewriting"/>
              <w:jc w:val="center"/>
            </w:pPr>
          </w:p>
        </w:tc>
        <w:tc>
          <w:tcPr>
            <w:tcW w:w="1161" w:type="pct"/>
            <w:tcBorders>
              <w:left w:val="nil"/>
            </w:tcBorders>
          </w:tcPr>
          <w:p w14:paraId="6500D0EC" w14:textId="77777777" w:rsidR="00BB16C4" w:rsidRPr="00F40D7C" w:rsidRDefault="00BB16C4" w:rsidP="00642567">
            <w:pPr>
              <w:pStyle w:val="Tablewriting"/>
              <w:jc w:val="center"/>
            </w:pPr>
          </w:p>
        </w:tc>
      </w:tr>
      <w:tr w:rsidR="00C93890" w:rsidRPr="00F40D7C" w14:paraId="3BBDEA8B" w14:textId="77777777" w:rsidTr="00642567">
        <w:trPr>
          <w:cantSplit/>
          <w:trHeight w:val="300"/>
          <w:tblHeader/>
        </w:trPr>
        <w:tc>
          <w:tcPr>
            <w:tcW w:w="1172" w:type="pct"/>
            <w:noWrap/>
          </w:tcPr>
          <w:p w14:paraId="00BA7AFA" w14:textId="77777777" w:rsidR="00C93890" w:rsidRPr="00F40D7C" w:rsidRDefault="00C93890" w:rsidP="00642567">
            <w:pPr>
              <w:pStyle w:val="Tablewriting"/>
            </w:pPr>
            <w:r w:rsidRPr="00F40D7C">
              <w:t>Patients</w:t>
            </w:r>
          </w:p>
        </w:tc>
        <w:tc>
          <w:tcPr>
            <w:tcW w:w="1506" w:type="pct"/>
            <w:noWrap/>
          </w:tcPr>
          <w:p w14:paraId="0D0C8A16" w14:textId="77777777" w:rsidR="00C93890" w:rsidRPr="00F40D7C" w:rsidRDefault="00C93890" w:rsidP="00642567">
            <w:pPr>
              <w:pStyle w:val="Tablewriting"/>
              <w:jc w:val="center"/>
            </w:pPr>
            <w:r w:rsidRPr="00F40D7C">
              <w:t>-</w:t>
            </w:r>
          </w:p>
        </w:tc>
        <w:tc>
          <w:tcPr>
            <w:tcW w:w="1161" w:type="pct"/>
            <w:noWrap/>
            <w:vAlign w:val="center"/>
          </w:tcPr>
          <w:p w14:paraId="351A297D" w14:textId="77777777" w:rsidR="00C93890" w:rsidRPr="00F40D7C" w:rsidRDefault="00C93890" w:rsidP="00642567">
            <w:pPr>
              <w:pStyle w:val="Tablewriting"/>
              <w:jc w:val="center"/>
            </w:pPr>
            <w:r w:rsidRPr="00F40D7C">
              <w:t>336</w:t>
            </w:r>
          </w:p>
        </w:tc>
        <w:tc>
          <w:tcPr>
            <w:tcW w:w="1161" w:type="pct"/>
          </w:tcPr>
          <w:p w14:paraId="47B667EE" w14:textId="77777777" w:rsidR="00C93890" w:rsidRPr="00F40D7C" w:rsidRDefault="00C93890" w:rsidP="00642567">
            <w:pPr>
              <w:pStyle w:val="Tablewriting"/>
              <w:jc w:val="center"/>
            </w:pPr>
            <w:r w:rsidRPr="00F40D7C">
              <w:t>-</w:t>
            </w:r>
          </w:p>
        </w:tc>
      </w:tr>
      <w:tr w:rsidR="00B502E1" w:rsidRPr="00F40D7C" w14:paraId="6937DE6A" w14:textId="77777777" w:rsidTr="00642567">
        <w:trPr>
          <w:cantSplit/>
          <w:trHeight w:val="300"/>
          <w:tblHeader/>
        </w:trPr>
        <w:tc>
          <w:tcPr>
            <w:tcW w:w="1172" w:type="pct"/>
            <w:noWrap/>
          </w:tcPr>
          <w:p w14:paraId="7FDBA6E4" w14:textId="77777777" w:rsidR="00B502E1" w:rsidRPr="00F40D7C" w:rsidRDefault="00B502E1" w:rsidP="00642567">
            <w:pPr>
              <w:pStyle w:val="Tablewriting"/>
            </w:pPr>
            <w:r w:rsidRPr="00F40D7C">
              <w:t>Prescriptions</w:t>
            </w:r>
          </w:p>
        </w:tc>
        <w:tc>
          <w:tcPr>
            <w:tcW w:w="1506" w:type="pct"/>
            <w:noWrap/>
            <w:vAlign w:val="center"/>
          </w:tcPr>
          <w:p w14:paraId="289E7536" w14:textId="6E814E89" w:rsidR="00B502E1" w:rsidRPr="00B502E1" w:rsidRDefault="00B502E1" w:rsidP="00642567">
            <w:pPr>
              <w:pStyle w:val="Tablewriting"/>
              <w:jc w:val="center"/>
              <w:rPr>
                <w:highlight w:val="black"/>
              </w:rPr>
            </w:pPr>
            <w:proofErr w:type="spellStart"/>
            <w:r w:rsidRPr="00B502E1">
              <w:rPr>
                <w:highlight w:val="black"/>
              </w:rPr>
              <w:t>xxxxx</w:t>
            </w:r>
            <w:proofErr w:type="spellEnd"/>
          </w:p>
        </w:tc>
        <w:tc>
          <w:tcPr>
            <w:tcW w:w="1161" w:type="pct"/>
            <w:noWrap/>
            <w:vAlign w:val="center"/>
          </w:tcPr>
          <w:p w14:paraId="6203602C" w14:textId="77777777" w:rsidR="00B502E1" w:rsidRPr="00F40D7C" w:rsidRDefault="00B502E1" w:rsidP="00642567">
            <w:pPr>
              <w:pStyle w:val="Tablewriting"/>
              <w:jc w:val="center"/>
            </w:pPr>
            <w:r w:rsidRPr="00F40D7C">
              <w:t>764</w:t>
            </w:r>
          </w:p>
        </w:tc>
        <w:tc>
          <w:tcPr>
            <w:tcW w:w="1161" w:type="pct"/>
          </w:tcPr>
          <w:p w14:paraId="368D63BB" w14:textId="21C6816E" w:rsidR="00B502E1" w:rsidRPr="00B502E1" w:rsidRDefault="00B502E1" w:rsidP="00642567">
            <w:pPr>
              <w:pStyle w:val="Tablewriting"/>
              <w:jc w:val="center"/>
              <w:rPr>
                <w:highlight w:val="black"/>
              </w:rPr>
            </w:pPr>
            <w:r w:rsidRPr="00B502E1">
              <w:rPr>
                <w:highlight w:val="black"/>
              </w:rPr>
              <w:t>xxx</w:t>
            </w:r>
          </w:p>
        </w:tc>
      </w:tr>
      <w:tr w:rsidR="00B502E1" w:rsidRPr="00F40D7C" w14:paraId="6119DAC4" w14:textId="77777777" w:rsidTr="00642567">
        <w:trPr>
          <w:cantSplit/>
          <w:trHeight w:val="300"/>
          <w:tblHeader/>
        </w:trPr>
        <w:tc>
          <w:tcPr>
            <w:tcW w:w="1172" w:type="pct"/>
            <w:noWrap/>
          </w:tcPr>
          <w:p w14:paraId="1F5C6E6A" w14:textId="77777777" w:rsidR="00B502E1" w:rsidRPr="00F40D7C" w:rsidRDefault="00B502E1" w:rsidP="00642567">
            <w:pPr>
              <w:pStyle w:val="Tablewriting"/>
            </w:pPr>
            <w:r w:rsidRPr="00F40D7C">
              <w:t>Expenditure</w:t>
            </w:r>
          </w:p>
        </w:tc>
        <w:tc>
          <w:tcPr>
            <w:tcW w:w="1506" w:type="pct"/>
            <w:noWrap/>
            <w:vAlign w:val="center"/>
          </w:tcPr>
          <w:p w14:paraId="38048D2F" w14:textId="5D35C33D" w:rsidR="00B502E1" w:rsidRPr="00B502E1" w:rsidRDefault="00B502E1" w:rsidP="00642567">
            <w:pPr>
              <w:pStyle w:val="Tablewriting"/>
              <w:jc w:val="center"/>
              <w:rPr>
                <w:highlight w:val="black"/>
              </w:rPr>
            </w:pPr>
            <w:proofErr w:type="spellStart"/>
            <w:r w:rsidRPr="00B502E1">
              <w:rPr>
                <w:highlight w:val="black"/>
              </w:rPr>
              <w:t>xxxxxxxxxx</w:t>
            </w:r>
            <w:proofErr w:type="spellEnd"/>
          </w:p>
        </w:tc>
        <w:tc>
          <w:tcPr>
            <w:tcW w:w="1161" w:type="pct"/>
            <w:noWrap/>
            <w:vAlign w:val="center"/>
          </w:tcPr>
          <w:p w14:paraId="21A91227" w14:textId="77777777" w:rsidR="00B502E1" w:rsidRPr="00F40D7C" w:rsidRDefault="00B502E1" w:rsidP="00642567">
            <w:pPr>
              <w:pStyle w:val="Tablewriting"/>
              <w:jc w:val="center"/>
            </w:pPr>
            <w:r w:rsidRPr="00F40D7C">
              <w:t>$1,570,222</w:t>
            </w:r>
          </w:p>
        </w:tc>
        <w:tc>
          <w:tcPr>
            <w:tcW w:w="1161" w:type="pct"/>
          </w:tcPr>
          <w:p w14:paraId="6E2A1FFB" w14:textId="1BD03E7C" w:rsidR="00B502E1" w:rsidRPr="00B502E1" w:rsidRDefault="00B502E1" w:rsidP="00642567">
            <w:pPr>
              <w:pStyle w:val="Tablewriting"/>
              <w:jc w:val="center"/>
              <w:rPr>
                <w:highlight w:val="black"/>
              </w:rPr>
            </w:pPr>
            <w:r w:rsidRPr="00B502E1">
              <w:rPr>
                <w:highlight w:val="black"/>
              </w:rPr>
              <w:t>xxx</w:t>
            </w:r>
          </w:p>
        </w:tc>
      </w:tr>
    </w:tbl>
    <w:p w14:paraId="37EA7156" w14:textId="77777777" w:rsidR="00C93890" w:rsidRPr="00E42263" w:rsidRDefault="00C93890" w:rsidP="00C93890">
      <w:pPr>
        <w:rPr>
          <w:rStyle w:val="FigurecaptionChar"/>
        </w:rPr>
      </w:pPr>
      <w:r w:rsidRPr="00E42263">
        <w:rPr>
          <w:rStyle w:val="FigurecaptionChar"/>
        </w:rPr>
        <w:t>Source: DUSC database, DHS Authority approvals database, extracted August 2016</w:t>
      </w:r>
    </w:p>
    <w:p w14:paraId="380ACBCE" w14:textId="77777777" w:rsidR="00C93890" w:rsidRDefault="00C93890" w:rsidP="00C93890">
      <w:r w:rsidRPr="00E42263">
        <w:t xml:space="preserve">Utilisation of </w:t>
      </w:r>
      <w:proofErr w:type="spellStart"/>
      <w:r w:rsidRPr="00E42263">
        <w:t>voriconazole</w:t>
      </w:r>
      <w:proofErr w:type="spellEnd"/>
      <w:r w:rsidRPr="00E42263">
        <w:t xml:space="preserve"> for prophylaxis has been substantially lower than predicted.</w:t>
      </w:r>
      <w:r>
        <w:t xml:space="preserve"> The utilisation of </w:t>
      </w:r>
      <w:proofErr w:type="spellStart"/>
      <w:r>
        <w:t>voriconazole</w:t>
      </w:r>
      <w:proofErr w:type="spellEnd"/>
      <w:r>
        <w:t xml:space="preserve"> for prophylaxis appears lower when authority codes are used to determine utilisation. This is because a proportion of supplied prescriptions could not be matched to an authority approval.</w:t>
      </w:r>
    </w:p>
    <w:p w14:paraId="11397654" w14:textId="77777777" w:rsidR="00C93890" w:rsidRDefault="00C93890" w:rsidP="00C93890">
      <w:r>
        <w:t xml:space="preserve">Figure 19 presents the utilisation of </w:t>
      </w:r>
      <w:proofErr w:type="spellStart"/>
      <w:r>
        <w:t>voriconazole</w:t>
      </w:r>
      <w:proofErr w:type="spellEnd"/>
      <w:r>
        <w:t xml:space="preserve"> items listed for prophylaxis. </w:t>
      </w:r>
    </w:p>
    <w:p w14:paraId="647D3BD8" w14:textId="77777777" w:rsidR="00C93890" w:rsidRDefault="00C93890" w:rsidP="00C93890">
      <w:r>
        <w:br w:type="page"/>
      </w:r>
    </w:p>
    <w:p w14:paraId="336DCAAD" w14:textId="77777777" w:rsidR="00C93890" w:rsidRDefault="00C93890" w:rsidP="00C93890"/>
    <w:p w14:paraId="16051655" w14:textId="77777777" w:rsidR="00C93890" w:rsidRPr="00FE645A" w:rsidRDefault="00C93890" w:rsidP="00C93890">
      <w:pPr>
        <w:pStyle w:val="Figuretitle"/>
      </w:pPr>
      <w:r>
        <w:rPr>
          <w:noProof/>
          <w:lang w:val="en-AU"/>
        </w:rPr>
        <w:drawing>
          <wp:inline distT="0" distB="0" distL="0" distR="0" wp14:anchorId="30D817DA" wp14:editId="6D17C55C">
            <wp:extent cx="5724525" cy="27432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FE645A">
        <w:t xml:space="preserve">Figure </w:t>
      </w:r>
      <w:r>
        <w:t>19</w:t>
      </w:r>
      <w:r w:rsidRPr="00FE645A">
        <w:t xml:space="preserve">: </w:t>
      </w:r>
      <w:proofErr w:type="spellStart"/>
      <w:r>
        <w:t>Voriconazole</w:t>
      </w:r>
      <w:proofErr w:type="spellEnd"/>
      <w:r>
        <w:t xml:space="preserve"> prescriptions for prophylaxis</w:t>
      </w:r>
    </w:p>
    <w:p w14:paraId="5C36794B" w14:textId="77777777" w:rsidR="00C93890" w:rsidRPr="006F6973" w:rsidRDefault="00C93890" w:rsidP="00C93890">
      <w:pPr>
        <w:rPr>
          <w:sz w:val="20"/>
          <w:szCs w:val="20"/>
          <w:lang w:eastAsia="en-US"/>
        </w:rPr>
      </w:pPr>
      <w:r w:rsidRPr="007815AB">
        <w:rPr>
          <w:sz w:val="20"/>
          <w:szCs w:val="20"/>
          <w:lang w:eastAsia="en-US"/>
        </w:rPr>
        <w:t>Source: DHS Supplied Prescriptions Database, extracted July 2016</w:t>
      </w:r>
      <w:r>
        <w:rPr>
          <w:sz w:val="20"/>
          <w:szCs w:val="20"/>
          <w:lang w:eastAsia="en-US"/>
        </w:rPr>
        <w:br/>
      </w:r>
      <w:r>
        <w:br/>
        <w:t xml:space="preserve">The number of </w:t>
      </w:r>
      <w:proofErr w:type="spellStart"/>
      <w:r>
        <w:t>voriconazole</w:t>
      </w:r>
      <w:proofErr w:type="spellEnd"/>
      <w:r>
        <w:t xml:space="preserve"> prescriptions for prophylaxis increased until December 2015 and decreased thereafter. </w:t>
      </w:r>
    </w:p>
    <w:p w14:paraId="3555DFBA" w14:textId="60E8E761" w:rsidR="00591512" w:rsidRDefault="00AB3733" w:rsidP="00F73113">
      <w:pPr>
        <w:pStyle w:val="Heading1"/>
      </w:pPr>
      <w:r>
        <w:t>D</w:t>
      </w:r>
      <w:r w:rsidR="007346C7" w:rsidRPr="005E22C2">
        <w:t>iscussion</w:t>
      </w:r>
    </w:p>
    <w:p w14:paraId="79771BD3" w14:textId="061F3F2F" w:rsidR="00C93890" w:rsidRPr="00D65C62" w:rsidRDefault="00C93890" w:rsidP="00C93890">
      <w:r w:rsidRPr="00500DC0">
        <w:t xml:space="preserve">Overall </w:t>
      </w:r>
      <w:r>
        <w:t xml:space="preserve">the </w:t>
      </w:r>
      <w:r w:rsidRPr="00500DC0">
        <w:t xml:space="preserve">utilisation of systemic antifungals listed on R/PBS </w:t>
      </w:r>
      <w:r>
        <w:t xml:space="preserve">decreased </w:t>
      </w:r>
      <w:r w:rsidRPr="008B72CA">
        <w:t>between the 2012</w:t>
      </w:r>
      <w:r>
        <w:t>/</w:t>
      </w:r>
      <w:r w:rsidRPr="008B72CA">
        <w:t>13 and 2014</w:t>
      </w:r>
      <w:r>
        <w:t>/</w:t>
      </w:r>
      <w:r w:rsidRPr="008B72CA">
        <w:t xml:space="preserve">15 financial </w:t>
      </w:r>
      <w:r>
        <w:t>years</w:t>
      </w:r>
      <w:r w:rsidRPr="008B72CA">
        <w:t>.</w:t>
      </w:r>
      <w:r>
        <w:t xml:space="preserve"> This trend was seen in both prescription and patient data for this period (Table 3 and Table 4). In the </w:t>
      </w:r>
      <w:r w:rsidRPr="008B72CA">
        <w:t>2015</w:t>
      </w:r>
      <w:r>
        <w:t>/</w:t>
      </w:r>
      <w:r w:rsidRPr="008B72CA">
        <w:t xml:space="preserve">16 financial year </w:t>
      </w:r>
      <w:r>
        <w:t>there was an increase in the number of patients treated</w:t>
      </w:r>
      <w:r w:rsidR="00CE673B">
        <w:t>,</w:t>
      </w:r>
      <w:r>
        <w:t xml:space="preserve"> mainly driven by an increase in the number of patients treated with fluconazole. Of note is a substantial increase in the utilisation of fluconazole in the second quarter of 2016. This increase </w:t>
      </w:r>
      <w:r w:rsidR="00CE673B">
        <w:t>was</w:t>
      </w:r>
      <w:r>
        <w:t xml:space="preserve"> mostly driven by increased utilisation of the 50 mg and 100 mg oral capsules. This increase occurred after the change in restriction level from streamlined</w:t>
      </w:r>
      <w:r w:rsidR="00B719E8">
        <w:t xml:space="preserve"> authority to R</w:t>
      </w:r>
      <w:r>
        <w:t xml:space="preserve">estricted </w:t>
      </w:r>
      <w:r w:rsidR="00B719E8">
        <w:t>B</w:t>
      </w:r>
      <w:r>
        <w:t xml:space="preserve">enefit with no change to the </w:t>
      </w:r>
      <w:r w:rsidRPr="00D65C62">
        <w:t xml:space="preserve">indications in the restriction. This </w:t>
      </w:r>
      <w:r w:rsidR="00CE673B">
        <w:t>was</w:t>
      </w:r>
      <w:r w:rsidRPr="00D65C62">
        <w:t xml:space="preserve"> mainly due to increased prescribing by GPs, followed by obstetricians and gynaecologists and dermatologists. </w:t>
      </w:r>
    </w:p>
    <w:p w14:paraId="697362D7" w14:textId="77777777" w:rsidR="00C93890" w:rsidRPr="00D65C62" w:rsidRDefault="00C93890" w:rsidP="00C93890">
      <w:r w:rsidRPr="00D65C62">
        <w:t xml:space="preserve">This may be due to prescribing for </w:t>
      </w:r>
      <w:proofErr w:type="spellStart"/>
      <w:r w:rsidRPr="00D65C62">
        <w:t>vulvovaginal</w:t>
      </w:r>
      <w:proofErr w:type="spellEnd"/>
      <w:r w:rsidRPr="00D65C62">
        <w:t xml:space="preserve"> candidiasis. This is supported by a large increase in the number of female patients supplied fluconazole capsules. Fluconazole 150 mg as a single dose is indicated for vaginal candidiasis where topical therapy has failed.</w:t>
      </w:r>
      <w:r w:rsidRPr="00D65C62">
        <w:rPr>
          <w:noProof/>
          <w:vertAlign w:val="superscript"/>
        </w:rPr>
        <w:t>3</w:t>
      </w:r>
      <w:r w:rsidRPr="00D65C62">
        <w:t xml:space="preserve"> </w:t>
      </w:r>
      <w:proofErr w:type="gramStart"/>
      <w:r w:rsidRPr="00D65C62">
        <w:t>There</w:t>
      </w:r>
      <w:proofErr w:type="gramEnd"/>
      <w:r w:rsidRPr="00D65C62">
        <w:t xml:space="preserve"> may be significant wastage and Quality Use of Medicines concerns if whole packs of fluconazole with 28 capsules are being prescribed for this indication. The US Centres for Disease Control state that repeated doses of fluconazole can be used to achieve remission in patients with recurrent </w:t>
      </w:r>
      <w:proofErr w:type="spellStart"/>
      <w:r w:rsidRPr="00D65C62">
        <w:t>vulvovaginal</w:t>
      </w:r>
      <w:proofErr w:type="spellEnd"/>
      <w:r w:rsidRPr="00D65C62">
        <w:t xml:space="preserve"> </w:t>
      </w:r>
      <w:proofErr w:type="gramStart"/>
      <w:r w:rsidRPr="00D65C62">
        <w:t>candidiasis.</w:t>
      </w:r>
      <w:r w:rsidRPr="00D65C62">
        <w:rPr>
          <w:noProof/>
          <w:vertAlign w:val="superscript"/>
        </w:rPr>
        <w:t>10</w:t>
      </w:r>
      <w:r w:rsidRPr="00D65C62">
        <w:t xml:space="preserve">  Dermatologists</w:t>
      </w:r>
      <w:proofErr w:type="gramEnd"/>
      <w:r w:rsidRPr="00D65C62">
        <w:t xml:space="preserve"> may be using fluconazole for </w:t>
      </w:r>
      <w:proofErr w:type="spellStart"/>
      <w:r w:rsidRPr="00D65C62">
        <w:t>dermatophyte</w:t>
      </w:r>
      <w:proofErr w:type="spellEnd"/>
      <w:r w:rsidRPr="00D65C62">
        <w:t xml:space="preserve"> infections.</w:t>
      </w:r>
      <w:r w:rsidRPr="00D65C62">
        <w:rPr>
          <w:noProof/>
          <w:vertAlign w:val="superscript"/>
        </w:rPr>
        <w:t>11</w:t>
      </w:r>
      <w:r w:rsidRPr="00D65C62">
        <w:t xml:space="preserve"> Treatment of </w:t>
      </w:r>
      <w:proofErr w:type="spellStart"/>
      <w:r w:rsidRPr="00D65C62">
        <w:t>dermatophyte</w:t>
      </w:r>
      <w:proofErr w:type="spellEnd"/>
      <w:r w:rsidRPr="00D65C62">
        <w:t xml:space="preserve"> and </w:t>
      </w:r>
      <w:proofErr w:type="spellStart"/>
      <w:r w:rsidRPr="00D65C62">
        <w:t>vulvovaginal</w:t>
      </w:r>
      <w:proofErr w:type="spellEnd"/>
      <w:r w:rsidRPr="00D65C62">
        <w:t xml:space="preserve"> candidiasis may be outside the intended PBS listing for the treatment of serious or life</w:t>
      </w:r>
      <w:r w:rsidRPr="00D65C62">
        <w:noBreakHyphen/>
        <w:t xml:space="preserve">threatening candida infections. Until April 2010, the restriction wording for </w:t>
      </w:r>
      <w:r w:rsidRPr="00D65C62">
        <w:lastRenderedPageBreak/>
        <w:t>fluconazole was for use in serious and life threatening candida infections was for patients unable to tolerate amphotericin B. The requirement for a patient to be unable to tolerate amphotericin B was removed from the restriction when amphotericin was discontinued and subsequently deleted from the PBS.</w:t>
      </w:r>
    </w:p>
    <w:p w14:paraId="0AA3AF3F" w14:textId="77777777" w:rsidR="00C93890" w:rsidRPr="00D65C62" w:rsidRDefault="00C93890" w:rsidP="00C93890">
      <w:pPr>
        <w:rPr>
          <w:rFonts w:ascii="Calibri" w:eastAsia="MS Mincho" w:hAnsi="Calibri" w:cs="Times New Roman"/>
        </w:rPr>
      </w:pPr>
      <w:r w:rsidRPr="00D65C62">
        <w:rPr>
          <w:rFonts w:ascii="Calibri" w:eastAsia="MS Mincho" w:hAnsi="Calibri" w:cs="Times New Roman"/>
        </w:rPr>
        <w:t>R/PBS utilisation of parenteral forms of fluconazole was decreasing until the second quarter of 2016. The number of 200 mg IV solution prescriptions supplied increased in the second quarter of 2016 after many quarters of declining utilisation. Surgeons and non</w:t>
      </w:r>
      <w:r w:rsidRPr="00D65C62">
        <w:rPr>
          <w:rFonts w:ascii="Calibri" w:eastAsia="MS Mincho" w:hAnsi="Calibri" w:cs="Times New Roman"/>
        </w:rPr>
        <w:noBreakHyphen/>
        <w:t>VR GPs had the largest increases in prescribing, suggesting there may be increased prescribing in the hospital setting. The availability of the oral suspension may have generally reduced the need to administer IV fluconazole to patients unable to take capsules. 90% of orally administered fluconazole is absorbed.</w:t>
      </w:r>
      <w:r w:rsidRPr="00D65C62">
        <w:rPr>
          <w:rFonts w:ascii="Calibri" w:eastAsia="MS Mincho" w:hAnsi="Calibri" w:cs="Times New Roman"/>
          <w:noProof/>
          <w:vertAlign w:val="superscript"/>
        </w:rPr>
        <w:t>3</w:t>
      </w:r>
      <w:r w:rsidRPr="00D65C62">
        <w:rPr>
          <w:rFonts w:ascii="Calibri" w:eastAsia="MS Mincho" w:hAnsi="Calibri" w:cs="Times New Roman"/>
        </w:rPr>
        <w:t xml:space="preserve">  </w:t>
      </w:r>
    </w:p>
    <w:p w14:paraId="4486AEE5" w14:textId="77777777" w:rsidR="00C93890" w:rsidRPr="00D65C62" w:rsidRDefault="00C93890" w:rsidP="00C93890">
      <w:pPr>
        <w:rPr>
          <w:rFonts w:ascii="Calibri" w:eastAsia="MS Mincho" w:hAnsi="Calibri" w:cs="Times New Roman"/>
        </w:rPr>
      </w:pPr>
      <w:r w:rsidRPr="00D65C62">
        <w:rPr>
          <w:rFonts w:ascii="Calibri" w:eastAsia="MS Mincho" w:hAnsi="Calibri" w:cs="Times New Roman"/>
        </w:rPr>
        <w:t xml:space="preserve">The number of patients supplied </w:t>
      </w:r>
      <w:proofErr w:type="spellStart"/>
      <w:r w:rsidRPr="00D65C62">
        <w:rPr>
          <w:rFonts w:ascii="Calibri" w:eastAsia="MS Mincho" w:hAnsi="Calibri" w:cs="Times New Roman"/>
        </w:rPr>
        <w:t>posaconazole</w:t>
      </w:r>
      <w:proofErr w:type="spellEnd"/>
      <w:r w:rsidRPr="00D65C62">
        <w:rPr>
          <w:rFonts w:ascii="Calibri" w:eastAsia="MS Mincho" w:hAnsi="Calibri" w:cs="Times New Roman"/>
        </w:rPr>
        <w:t xml:space="preserve"> increased between the 2014</w:t>
      </w:r>
      <w:r w:rsidRPr="00D65C62">
        <w:rPr>
          <w:rFonts w:ascii="Calibri" w:eastAsia="MS Mincho" w:hAnsi="Calibri" w:cs="Times New Roman"/>
        </w:rPr>
        <w:noBreakHyphen/>
        <w:t>15 and 2015</w:t>
      </w:r>
      <w:r w:rsidRPr="00D65C62">
        <w:rPr>
          <w:rFonts w:ascii="Calibri" w:eastAsia="MS Mincho" w:hAnsi="Calibri" w:cs="Times New Roman"/>
        </w:rPr>
        <w:noBreakHyphen/>
        <w:t xml:space="preserve">16 financial years from 1,304 to 1,801. There has been an increase in the number of prescriptions supplied for treatment and prophylaxis indications. Since the introduction of the tablet formulation, utilisation of the oral suspension has declined substantially. R/PBS expenditure on </w:t>
      </w:r>
      <w:proofErr w:type="spellStart"/>
      <w:r w:rsidRPr="00D65C62">
        <w:rPr>
          <w:rFonts w:ascii="Calibri" w:eastAsia="MS Mincho" w:hAnsi="Calibri" w:cs="Times New Roman"/>
        </w:rPr>
        <w:t>posaconazole</w:t>
      </w:r>
      <w:proofErr w:type="spellEnd"/>
      <w:r w:rsidRPr="00D65C62">
        <w:rPr>
          <w:rFonts w:ascii="Calibri" w:eastAsia="MS Mincho" w:hAnsi="Calibri" w:cs="Times New Roman"/>
        </w:rPr>
        <w:t xml:space="preserve"> increased over $5.5 million between the 2014</w:t>
      </w:r>
      <w:r w:rsidRPr="00D65C62">
        <w:rPr>
          <w:rFonts w:ascii="Calibri" w:eastAsia="MS Mincho" w:hAnsi="Calibri" w:cs="Times New Roman"/>
        </w:rPr>
        <w:noBreakHyphen/>
        <w:t>15 and 2015</w:t>
      </w:r>
      <w:r w:rsidRPr="00D65C62">
        <w:rPr>
          <w:rFonts w:ascii="Calibri" w:eastAsia="MS Mincho" w:hAnsi="Calibri" w:cs="Times New Roman"/>
        </w:rPr>
        <w:noBreakHyphen/>
        <w:t xml:space="preserve">16 financial years. </w:t>
      </w:r>
    </w:p>
    <w:p w14:paraId="7DF06B11" w14:textId="77777777" w:rsidR="00C93890" w:rsidRPr="00D65C62" w:rsidRDefault="00C93890" w:rsidP="00C93890">
      <w:r w:rsidRPr="00D65C62">
        <w:t xml:space="preserve">There is decreasing utilisation of </w:t>
      </w:r>
      <w:proofErr w:type="spellStart"/>
      <w:r w:rsidRPr="00D65C62">
        <w:t>voriconazole</w:t>
      </w:r>
      <w:proofErr w:type="spellEnd"/>
      <w:r w:rsidRPr="00D65C62">
        <w:t xml:space="preserve"> for the invasive </w:t>
      </w:r>
      <w:proofErr w:type="spellStart"/>
      <w:r w:rsidRPr="00D65C62">
        <w:t>aspergillosis</w:t>
      </w:r>
      <w:proofErr w:type="spellEnd"/>
      <w:r w:rsidRPr="00D65C62">
        <w:t xml:space="preserve"> indication. There is increasing utilisation of </w:t>
      </w:r>
      <w:proofErr w:type="spellStart"/>
      <w:r w:rsidRPr="00D65C62">
        <w:t>posaconazole</w:t>
      </w:r>
      <w:proofErr w:type="spellEnd"/>
      <w:r w:rsidRPr="00D65C62">
        <w:t xml:space="preserve"> for the same indication. The </w:t>
      </w:r>
      <w:proofErr w:type="spellStart"/>
      <w:r w:rsidRPr="00D65C62">
        <w:t>posaconazole</w:t>
      </w:r>
      <w:proofErr w:type="spellEnd"/>
      <w:r w:rsidRPr="00D65C62">
        <w:t xml:space="preserve"> listing for </w:t>
      </w:r>
      <w:proofErr w:type="spellStart"/>
      <w:r w:rsidRPr="00D65C62">
        <w:t>aspergillosis</w:t>
      </w:r>
      <w:proofErr w:type="spellEnd"/>
      <w:r w:rsidRPr="00D65C62">
        <w:t xml:space="preserve"> is for patients who are unable to tolerate or have disease that is refractory to alternative therapy. A future analysis of </w:t>
      </w:r>
      <w:proofErr w:type="spellStart"/>
      <w:r w:rsidRPr="00D65C62">
        <w:t>posaconazole</w:t>
      </w:r>
      <w:proofErr w:type="spellEnd"/>
      <w:r w:rsidRPr="00D65C62">
        <w:t xml:space="preserve"> utilisation could assess use of prior therapies on the PBS for patients starting </w:t>
      </w:r>
      <w:proofErr w:type="spellStart"/>
      <w:r w:rsidRPr="00D65C62">
        <w:t>posaconazole</w:t>
      </w:r>
      <w:proofErr w:type="spellEnd"/>
      <w:r w:rsidRPr="00D65C62">
        <w:t xml:space="preserve"> for treatment.  </w:t>
      </w:r>
    </w:p>
    <w:p w14:paraId="0B487041" w14:textId="77777777" w:rsidR="00C93890" w:rsidRPr="00D65C62" w:rsidRDefault="00C93890" w:rsidP="00C93890">
      <w:r w:rsidRPr="00D65C62">
        <w:t xml:space="preserve">There are a number of other factors that may be contributing to decreasing </w:t>
      </w:r>
      <w:proofErr w:type="spellStart"/>
      <w:r w:rsidRPr="00D65C62">
        <w:t>voriconazole</w:t>
      </w:r>
      <w:proofErr w:type="spellEnd"/>
      <w:r w:rsidRPr="00D65C62">
        <w:t xml:space="preserve"> utilisation. In the prophylaxis setting, the </w:t>
      </w:r>
      <w:proofErr w:type="spellStart"/>
      <w:r w:rsidRPr="00D65C62">
        <w:t>voriconazole</w:t>
      </w:r>
      <w:proofErr w:type="spellEnd"/>
      <w:r w:rsidRPr="00D65C62">
        <w:t xml:space="preserve"> listing is limited to patients receiving an </w:t>
      </w:r>
      <w:proofErr w:type="spellStart"/>
      <w:r w:rsidRPr="00D65C62">
        <w:t>AlloHSCT</w:t>
      </w:r>
      <w:proofErr w:type="spellEnd"/>
      <w:r w:rsidRPr="00D65C62">
        <w:t xml:space="preserve"> sourced bone marrow of an unrelated donor or from umbilical cord blood. In 2013, 73% of </w:t>
      </w:r>
      <w:proofErr w:type="spellStart"/>
      <w:r w:rsidRPr="00D65C62">
        <w:t>AlloHSCTs</w:t>
      </w:r>
      <w:proofErr w:type="spellEnd"/>
      <w:r w:rsidRPr="00D65C62">
        <w:t xml:space="preserve"> used peripheral blood stem cells and would not be eligible for PBS subsidy</w:t>
      </w:r>
      <w:r w:rsidRPr="00D65C62">
        <w:rPr>
          <w:noProof/>
          <w:vertAlign w:val="superscript"/>
        </w:rPr>
        <w:t>12</w:t>
      </w:r>
      <w:r w:rsidRPr="00D65C62">
        <w:t xml:space="preserve">.  Many </w:t>
      </w:r>
      <w:proofErr w:type="spellStart"/>
      <w:r w:rsidRPr="00D65C62">
        <w:t>AlloHSCT</w:t>
      </w:r>
      <w:proofErr w:type="spellEnd"/>
      <w:r w:rsidRPr="00D65C62">
        <w:t xml:space="preserve"> patients can probably access </w:t>
      </w:r>
      <w:proofErr w:type="spellStart"/>
      <w:r w:rsidRPr="00D65C62">
        <w:t>posaconazole</w:t>
      </w:r>
      <w:proofErr w:type="spellEnd"/>
      <w:r w:rsidRPr="00D65C62">
        <w:t xml:space="preserve"> under existing restrictions. Many patients receiving autologous or </w:t>
      </w:r>
      <w:proofErr w:type="spellStart"/>
      <w:r w:rsidRPr="00D65C62">
        <w:t>allogenic</w:t>
      </w:r>
      <w:proofErr w:type="spellEnd"/>
      <w:r w:rsidRPr="00D65C62">
        <w:t xml:space="preserve"> HSCTs for AML or MDS will meet criteria for </w:t>
      </w:r>
      <w:proofErr w:type="spellStart"/>
      <w:r w:rsidRPr="00D65C62">
        <w:t>posaconazole</w:t>
      </w:r>
      <w:proofErr w:type="spellEnd"/>
      <w:r w:rsidRPr="00D65C62">
        <w:t>. These patients will typically receive chemotherapy and are likely to experience neutropenia as a part of the transplant protocol.</w:t>
      </w:r>
      <w:r w:rsidRPr="00D65C62">
        <w:rPr>
          <w:noProof/>
          <w:vertAlign w:val="superscript"/>
        </w:rPr>
        <w:t>13</w:t>
      </w:r>
      <w:r w:rsidRPr="00D65C62">
        <w:t xml:space="preserve"> </w:t>
      </w:r>
      <w:proofErr w:type="gramStart"/>
      <w:r w:rsidRPr="00D65C62">
        <w:t>In</w:t>
      </w:r>
      <w:proofErr w:type="gramEnd"/>
      <w:r w:rsidRPr="00D65C62">
        <w:t xml:space="preserve"> 2013, 267 haematopoietic stem cells transplants were performed on patients with AML or MDS, accounting for 15% of haematopoietic stem cells transplants.</w:t>
      </w:r>
      <w:r w:rsidRPr="00D65C62">
        <w:rPr>
          <w:noProof/>
          <w:vertAlign w:val="superscript"/>
        </w:rPr>
        <w:t>12</w:t>
      </w:r>
      <w:r w:rsidRPr="00D65C62">
        <w:t xml:space="preserve"> </w:t>
      </w:r>
    </w:p>
    <w:p w14:paraId="75071180" w14:textId="77777777" w:rsidR="00C93890" w:rsidRPr="00D65C62" w:rsidRDefault="00C93890" w:rsidP="00C93890">
      <w:proofErr w:type="spellStart"/>
      <w:r w:rsidRPr="00D65C62">
        <w:t>Posaconazole</w:t>
      </w:r>
      <w:proofErr w:type="spellEnd"/>
      <w:r w:rsidRPr="00D65C62">
        <w:t xml:space="preserve"> has a spectrum of activity that includes activity against zygomycetes</w:t>
      </w:r>
      <w:r w:rsidRPr="00D65C62">
        <w:rPr>
          <w:noProof/>
          <w:vertAlign w:val="superscript"/>
        </w:rPr>
        <w:t>14</w:t>
      </w:r>
      <w:r w:rsidRPr="00D65C62">
        <w:t>, a pathogen that can infect patients who have undergone HSCT.</w:t>
      </w:r>
      <w:r w:rsidRPr="00D65C62">
        <w:rPr>
          <w:noProof/>
          <w:vertAlign w:val="superscript"/>
        </w:rPr>
        <w:t>15</w:t>
      </w:r>
      <w:r w:rsidRPr="00D65C62">
        <w:t xml:space="preserve"> </w:t>
      </w:r>
      <w:proofErr w:type="gramStart"/>
      <w:r w:rsidRPr="00D65C62">
        <w:t>There</w:t>
      </w:r>
      <w:proofErr w:type="gramEnd"/>
      <w:r w:rsidRPr="00D65C62">
        <w:t xml:space="preserve"> may be a preference towards using a broader spectrum medicine. Acute GVHD occurs in 35-80% of </w:t>
      </w:r>
      <w:proofErr w:type="spellStart"/>
      <w:r w:rsidRPr="00D65C62">
        <w:t>AlloHSCT</w:t>
      </w:r>
      <w:proofErr w:type="spellEnd"/>
      <w:r w:rsidRPr="00D65C62">
        <w:t xml:space="preserve"> recipients, with a lower risk if the transplant was from a fully matched sibling</w:t>
      </w:r>
      <w:r w:rsidRPr="00D65C62">
        <w:rPr>
          <w:noProof/>
          <w:vertAlign w:val="superscript"/>
        </w:rPr>
        <w:t>16</w:t>
      </w:r>
      <w:r w:rsidRPr="00D65C62">
        <w:t xml:space="preserve">. Hospitals may supply </w:t>
      </w:r>
      <w:proofErr w:type="spellStart"/>
      <w:r w:rsidRPr="00D65C62">
        <w:t>posaconazole</w:t>
      </w:r>
      <w:proofErr w:type="spellEnd"/>
      <w:r w:rsidRPr="00D65C62">
        <w:t xml:space="preserve"> during this period to patients receiving a transplant for other conditions and use PBS supply if GVHD develops.  Additionally, unlike the suspension, the </w:t>
      </w:r>
      <w:proofErr w:type="spellStart"/>
      <w:r w:rsidRPr="00D65C62">
        <w:t>posaconazole</w:t>
      </w:r>
      <w:proofErr w:type="spellEnd"/>
      <w:r w:rsidRPr="00D65C62">
        <w:t xml:space="preserve"> tablet formulation does not need to be taken with a fatty meal which may make it less difficult to take for patients undergoing intensive chemotherapy or GVHD. </w:t>
      </w:r>
    </w:p>
    <w:p w14:paraId="2B375BEE" w14:textId="77777777" w:rsidR="00C93890" w:rsidRPr="00743690" w:rsidRDefault="00C93890" w:rsidP="00C93890">
      <w:pPr>
        <w:rPr>
          <w:i/>
        </w:rPr>
      </w:pPr>
    </w:p>
    <w:p w14:paraId="05CE79AE" w14:textId="112900C1" w:rsidR="00C93890" w:rsidRDefault="00C93890" w:rsidP="00C93890">
      <w:r>
        <w:lastRenderedPageBreak/>
        <w:t xml:space="preserve">There may be potential to expand listings for treatment to better match guidelines for treatment of fungal infections. </w:t>
      </w:r>
      <w:r w:rsidRPr="003F1D34">
        <w:t>No contemporaneous Australian evidence</w:t>
      </w:r>
      <w:r w:rsidRPr="003F1D34">
        <w:noBreakHyphen/>
        <w:t xml:space="preserve">based guidelines for the use of antifungals </w:t>
      </w:r>
      <w:r w:rsidR="00426854" w:rsidRPr="003F1D34">
        <w:t>were</w:t>
      </w:r>
      <w:r w:rsidRPr="003F1D34">
        <w:t xml:space="preserve"> identified.</w:t>
      </w:r>
      <w:r>
        <w:rPr>
          <w:i/>
        </w:rPr>
        <w:t xml:space="preserve">  </w:t>
      </w:r>
      <w:r>
        <w:t xml:space="preserve"> The current listings for fluconazole and </w:t>
      </w:r>
      <w:proofErr w:type="spellStart"/>
      <w:r>
        <w:t>itraconazole</w:t>
      </w:r>
      <w:proofErr w:type="spellEnd"/>
      <w:r>
        <w:t xml:space="preserve"> for the treatment of oesophageal candidiasis are only for immunosuppressed patients. The Infectious Diseases Society of America guidelines state that treatment is always required. Fluconazole is the recommended treatment. </w:t>
      </w:r>
      <w:proofErr w:type="spellStart"/>
      <w:r>
        <w:t>Itraconazole</w:t>
      </w:r>
      <w:proofErr w:type="spellEnd"/>
      <w:r>
        <w:t xml:space="preserve"> and </w:t>
      </w:r>
      <w:proofErr w:type="spellStart"/>
      <w:r>
        <w:t>voriconazole</w:t>
      </w:r>
      <w:proofErr w:type="spellEnd"/>
      <w:r>
        <w:t xml:space="preserve"> are recommended for fluconazole</w:t>
      </w:r>
      <w:r>
        <w:noBreakHyphen/>
        <w:t>refractory disease.</w:t>
      </w:r>
      <w:r w:rsidRPr="00B3503A">
        <w:rPr>
          <w:noProof/>
          <w:vertAlign w:val="superscript"/>
        </w:rPr>
        <w:t>17</w:t>
      </w:r>
      <w:r>
        <w:t xml:space="preserve"> O</w:t>
      </w:r>
      <w:r w:rsidRPr="00CC79FB">
        <w:t>esophageal candidiasis</w:t>
      </w:r>
      <w:r>
        <w:t xml:space="preserve"> is rare in </w:t>
      </w:r>
      <w:proofErr w:type="spellStart"/>
      <w:r w:rsidRPr="00CC79FB">
        <w:t>immunocompetent</w:t>
      </w:r>
      <w:proofErr w:type="spellEnd"/>
      <w:r>
        <w:t xml:space="preserve"> people. Infections in </w:t>
      </w:r>
      <w:proofErr w:type="spellStart"/>
      <w:r>
        <w:t>immunocompetent</w:t>
      </w:r>
      <w:proofErr w:type="spellEnd"/>
      <w:r>
        <w:t xml:space="preserve"> people has been associated with other potentially predisposing factors such as use of acid suppressing medicines, antibiotic use, systemic corticosteroid use and diabetes.</w:t>
      </w:r>
      <w:r w:rsidRPr="00B3503A">
        <w:rPr>
          <w:noProof/>
          <w:vertAlign w:val="superscript"/>
        </w:rPr>
        <w:t>18</w:t>
      </w:r>
      <w:r>
        <w:t xml:space="preserve">  Similarly, guidelines recommend </w:t>
      </w:r>
      <w:proofErr w:type="spellStart"/>
      <w:r>
        <w:t>itraconazole</w:t>
      </w:r>
      <w:proofErr w:type="spellEnd"/>
      <w:r>
        <w:t xml:space="preserve"> or </w:t>
      </w:r>
      <w:proofErr w:type="spellStart"/>
      <w:r>
        <w:t>voriconazole</w:t>
      </w:r>
      <w:proofErr w:type="spellEnd"/>
      <w:r>
        <w:t xml:space="preserve"> treatment for people with symptomatic </w:t>
      </w:r>
      <w:r w:rsidRPr="00595FCA">
        <w:t xml:space="preserve">chronic </w:t>
      </w:r>
      <w:proofErr w:type="spellStart"/>
      <w:r w:rsidRPr="00595FCA">
        <w:t>cavitary</w:t>
      </w:r>
      <w:proofErr w:type="spellEnd"/>
      <w:r w:rsidRPr="00595FCA">
        <w:t xml:space="preserve"> pulmonary </w:t>
      </w:r>
      <w:proofErr w:type="spellStart"/>
      <w:r w:rsidRPr="00595FCA">
        <w:t>aspergillosis</w:t>
      </w:r>
      <w:proofErr w:type="spellEnd"/>
      <w:r w:rsidR="00851F9B">
        <w:t xml:space="preserve">. </w:t>
      </w:r>
      <w:r w:rsidRPr="00B3503A">
        <w:rPr>
          <w:noProof/>
          <w:vertAlign w:val="superscript"/>
        </w:rPr>
        <w:t>19</w:t>
      </w:r>
      <w:r>
        <w:t xml:space="preserve">  </w:t>
      </w:r>
    </w:p>
    <w:p w14:paraId="2ECBFE48" w14:textId="782520C6" w:rsidR="001310AE" w:rsidRDefault="00C050B6" w:rsidP="00F73113">
      <w:pPr>
        <w:pStyle w:val="Heading1"/>
      </w:pPr>
      <w:r w:rsidRPr="00C050B6">
        <w:t xml:space="preserve">Actions undertaken by the </w:t>
      </w:r>
      <w:r w:rsidR="00801E74">
        <w:t xml:space="preserve">DUSC </w:t>
      </w:r>
      <w:r w:rsidRPr="00C050B6">
        <w:t>Secretariat</w:t>
      </w:r>
    </w:p>
    <w:p w14:paraId="72CE1EC1" w14:textId="6D0EB4DE" w:rsidR="00C93890" w:rsidRDefault="00C93890" w:rsidP="00C93890">
      <w:r>
        <w:t xml:space="preserve">A copy of the report </w:t>
      </w:r>
      <w:r w:rsidR="00426854">
        <w:t>was</w:t>
      </w:r>
      <w:r>
        <w:t xml:space="preserve"> provided to sponsors of antifungal medicines and the Council of Australian Therapeutic Groups (CATAG) for comment.</w:t>
      </w:r>
    </w:p>
    <w:p w14:paraId="1F05AD89" w14:textId="77777777" w:rsidR="00C93890" w:rsidRDefault="00C93890" w:rsidP="00C93890">
      <w:pPr>
        <w:pStyle w:val="Heading1"/>
      </w:pPr>
      <w:r>
        <w:t>DUSC consideration</w:t>
      </w:r>
    </w:p>
    <w:p w14:paraId="5DFC6F63" w14:textId="77777777" w:rsidR="008567B3" w:rsidRPr="00D65C62" w:rsidRDefault="008567B3" w:rsidP="008567B3">
      <w:r w:rsidRPr="00D65C62">
        <w:t xml:space="preserve">Ketoconazole was delisted and deregistered in December 2013. DUSC commented that Table 3 shows prior to this 29,069 people were treated with ketoconazole in the July 2012 to June 2013 financial year. DUSC noted from Figure 1 of the report that it did not appear there was a corresponding increase in the use of other antifungals and questioned why patients previously taking ketoconazole would not use an alternative PBS listed antifungal. </w:t>
      </w:r>
    </w:p>
    <w:p w14:paraId="0A578AA4" w14:textId="0BBAD7C8" w:rsidR="008567B3" w:rsidRPr="00D65C62" w:rsidRDefault="008567B3" w:rsidP="008567B3">
      <w:pPr>
        <w:rPr>
          <w:rFonts w:cs="Arial"/>
        </w:rPr>
      </w:pPr>
      <w:r w:rsidRPr="00D65C62">
        <w:rPr>
          <w:rFonts w:cs="Arial"/>
        </w:rPr>
        <w:t xml:space="preserve">DUSC noted that Figure 1 shows the use of fluconazole started to increase once </w:t>
      </w:r>
      <w:r w:rsidR="00B719E8">
        <w:rPr>
          <w:rFonts w:cs="Arial"/>
        </w:rPr>
        <w:t>its PBS listing changed from a s</w:t>
      </w:r>
      <w:r w:rsidRPr="00D65C62">
        <w:rPr>
          <w:rFonts w:cs="Arial"/>
        </w:rPr>
        <w:t>treamlined</w:t>
      </w:r>
      <w:r w:rsidR="00B719E8">
        <w:rPr>
          <w:rFonts w:cs="Arial"/>
        </w:rPr>
        <w:t xml:space="preserve"> a</w:t>
      </w:r>
      <w:r w:rsidRPr="00D65C62">
        <w:rPr>
          <w:rFonts w:cs="Arial"/>
        </w:rPr>
        <w:t>uthority listing to a Restricted Benefit listing in April 2016. DUSC further noted that single dose</w:t>
      </w:r>
      <w:r w:rsidR="00702397" w:rsidRPr="00D65C62">
        <w:rPr>
          <w:rFonts w:cs="Arial"/>
        </w:rPr>
        <w:t xml:space="preserve"> </w:t>
      </w:r>
      <w:r w:rsidRPr="00D65C62">
        <w:rPr>
          <w:rFonts w:cs="Arial"/>
        </w:rPr>
        <w:t xml:space="preserve">150 mg oral fluconazole is available over the counter for the treatment of vaginal candidiasis but it may be cheaper for patients to be supplied fluconazole through the PBS. DUSC considered some over the counter use may have shifted to PBS prescriptions. </w:t>
      </w:r>
    </w:p>
    <w:p w14:paraId="364DE96C" w14:textId="77777777" w:rsidR="008567B3" w:rsidRPr="00D65C62" w:rsidRDefault="008567B3" w:rsidP="008567B3">
      <w:pPr>
        <w:rPr>
          <w:rFonts w:cs="Arial"/>
        </w:rPr>
      </w:pPr>
      <w:r w:rsidRPr="00D65C62">
        <w:t xml:space="preserve">DUSC agreed that the data showed that use of fluconazole capsules by women has increased more than use by men (Figure 5). This indicates that the increased use of oral fluconazole may be due to prescribing for </w:t>
      </w:r>
      <w:proofErr w:type="spellStart"/>
      <w:r w:rsidRPr="00D65C62">
        <w:t>vulvovaginal</w:t>
      </w:r>
      <w:proofErr w:type="spellEnd"/>
      <w:r w:rsidRPr="00D65C62">
        <w:t xml:space="preserve"> candidiasis. The number of original prescriptions of fluconazole with no repeats has been increasing over time to exceed the number of prescriptions with five repeats (Figure 8). There has also been increased prescribing in some prescriber groups including general practitioners (GPs), gynaecologists and dermatologists. These trends also suggest fluconazole may be being prescribed for </w:t>
      </w:r>
      <w:proofErr w:type="spellStart"/>
      <w:r w:rsidRPr="00D65C62">
        <w:t>vulvovaginal</w:t>
      </w:r>
      <w:proofErr w:type="spellEnd"/>
      <w:r w:rsidRPr="00D65C62">
        <w:t xml:space="preserve"> candidiasis. DUSC was concerned that there may be significant wastage and quality use of medicines issues if whole packs of fluconazole with 28 capsules are being prescribed for this indication where only a single dose of one capsule is required. </w:t>
      </w:r>
    </w:p>
    <w:p w14:paraId="418D92CF" w14:textId="77777777" w:rsidR="008567B3" w:rsidRPr="00D65C62" w:rsidRDefault="008567B3" w:rsidP="008567B3">
      <w:r w:rsidRPr="00D65C62">
        <w:rPr>
          <w:rFonts w:cs="Arial"/>
        </w:rPr>
        <w:lastRenderedPageBreak/>
        <w:t xml:space="preserve">Advice was sought from the Council of Australian Therapeutic Advisory Groups (CATAG) to investigate the rise in the use of PBS-listed IV fluconazole. To inform provision of this advice, CATAG requested that the data be provided by state, prescriber specialty and pharmacy type (public/private hospital). DUSC appreciated the advice of CATAG, which included a member survey involving all states and territories. CATAG advised that the increase in PBS use did not correlate with data from its jurisdictions. Public hospital based prescriptions for IV fluconazole were reported to have not increased or decreased. Data from 160 hospitals (20 private) captured in the National Antimicrobial Utilisation Surveillance Program showed there was a decrease in both oral and IV fluconazole in 2015-16. CATAG also reported that there were no changes in therapeutic guidelines. </w:t>
      </w:r>
      <w:r w:rsidRPr="00D65C62">
        <w:t xml:space="preserve">DUSC noted the further work undertaken by the DUSC Secretariat to determine if the increase in the use of fluconazole in quarter 2 of 2016 was localised. DUSC noted the analysis by state showed the number of prescriptions increased in all states, but the increase was highest in Queensland, Victoria and Western Australia (Attachment 1, Item 7.1). DUSC also noted Figure 7 showed that the biggest change in use of IV fluconazole by prescriber speciality was surgery, but this increase was only 64 prescriptions. DUSC commented that the increase in IV fluconazole in surgeons and non-vocationally registered GPs suggests there is an increase in prescribing in the hospital setting and DUSC questioned whether this was due to GPs working in hospitals. A further analysis undertaken by the Secretariat demonstrated that the number of 200mg vials of fluconazole supplied has increased in both private hospital pharmacies and community pharmacies (noting that some community pharmacies offer services to private hospitals). Overall prescription numbers were small but increases in supplies were most evident in community and private hospital pharmacies in Victoria, community pharmacies in Queensland and private hospitals in Western Australia.   </w:t>
      </w:r>
    </w:p>
    <w:p w14:paraId="68D04D61" w14:textId="77777777" w:rsidR="008567B3" w:rsidRPr="00D65C62" w:rsidRDefault="008567B3" w:rsidP="008567B3">
      <w:r w:rsidRPr="00D65C62">
        <w:t xml:space="preserve">The use of oral suspension </w:t>
      </w:r>
      <w:proofErr w:type="spellStart"/>
      <w:r w:rsidRPr="00D65C62">
        <w:t>posaconazole</w:t>
      </w:r>
      <w:proofErr w:type="spellEnd"/>
      <w:r w:rsidRPr="00D65C62">
        <w:t xml:space="preserve"> decreased with the introduction of the tablet formulation of </w:t>
      </w:r>
      <w:proofErr w:type="spellStart"/>
      <w:r w:rsidRPr="00D65C62">
        <w:t>posaconazole</w:t>
      </w:r>
      <w:proofErr w:type="spellEnd"/>
      <w:r w:rsidRPr="00D65C62">
        <w:t xml:space="preserve"> (Figure 11). DUSC noted the increase of use of the tablets appeared to have increased above the use of the oral suspension and that this is unsurprising given that the oral suspension is difficult to use. </w:t>
      </w:r>
    </w:p>
    <w:p w14:paraId="0F6D16A9" w14:textId="77777777" w:rsidR="008567B3" w:rsidRPr="00D65C62" w:rsidRDefault="008567B3" w:rsidP="008567B3">
      <w:r w:rsidRPr="00D65C62">
        <w:t xml:space="preserve">DUSC noted the analysis of predicted versus actual utilisation showed the use of </w:t>
      </w:r>
      <w:proofErr w:type="spellStart"/>
      <w:r w:rsidRPr="00D65C62">
        <w:t>voriconazole</w:t>
      </w:r>
      <w:proofErr w:type="spellEnd"/>
      <w:r w:rsidRPr="00D65C62">
        <w:t xml:space="preserve"> for prophylaxis has been approximately 30% of predicted. DUSC considered this reflected a clinical preference for </w:t>
      </w:r>
      <w:proofErr w:type="spellStart"/>
      <w:r w:rsidRPr="00D65C62">
        <w:t>posaconazole</w:t>
      </w:r>
      <w:proofErr w:type="spellEnd"/>
      <w:r w:rsidRPr="00D65C62">
        <w:t xml:space="preserve"> over </w:t>
      </w:r>
      <w:proofErr w:type="spellStart"/>
      <w:r w:rsidRPr="00D65C62">
        <w:t>voriconazole</w:t>
      </w:r>
      <w:proofErr w:type="spellEnd"/>
      <w:r w:rsidRPr="00D65C62">
        <w:t xml:space="preserve"> which may relate to its wider spectrum of activity and new formulation which is better tolerated.</w:t>
      </w:r>
    </w:p>
    <w:p w14:paraId="2DE06403" w14:textId="77777777" w:rsidR="008567B3" w:rsidRPr="00D65C62" w:rsidRDefault="008567B3" w:rsidP="008567B3">
      <w:r w:rsidRPr="00D65C62">
        <w:t xml:space="preserve">DUSC commented that the risk of resistance to antifungal medicines is not as large as resistance to antibiotics, but it has been documented. DUSC noted that there was a lack of contemporary Australian evidence-based guidelines for antifungal use. </w:t>
      </w:r>
    </w:p>
    <w:p w14:paraId="30363FD4" w14:textId="2CBA4871" w:rsidR="008567B3" w:rsidRPr="00D65C62" w:rsidRDefault="008567B3" w:rsidP="008567B3">
      <w:r w:rsidRPr="00D65C62">
        <w:t xml:space="preserve">DUSC requested that the use of fluconazole be monitored to see if the increased prescribing in the second quarter of 2016 continues. DUSC noted that several options may need to be considered if use continues to increase. Options could include seeking further input from infectious disease physicians on appropriate use, strengthening the clinical criteria to clarify  treatment of severe or life threatening fungal infections rather than the simplified ‘serious or life threatening’, reintroducing the </w:t>
      </w:r>
      <w:r w:rsidR="00B719E8">
        <w:t>streamlined authority</w:t>
      </w:r>
      <w:r w:rsidRPr="00D65C62">
        <w:t xml:space="preserve"> listing, providing education regarding use, or assessing whether oral fluconazole for </w:t>
      </w:r>
      <w:proofErr w:type="spellStart"/>
      <w:r w:rsidRPr="00D65C62">
        <w:t>vulvovaginal</w:t>
      </w:r>
      <w:proofErr w:type="spellEnd"/>
      <w:r w:rsidRPr="00D65C62">
        <w:t xml:space="preserve"> </w:t>
      </w:r>
      <w:r w:rsidRPr="00D65C62">
        <w:lastRenderedPageBreak/>
        <w:t xml:space="preserve">candidiasis should be made available through the PBS with an appropriate quantity and no repeats.   </w:t>
      </w:r>
    </w:p>
    <w:p w14:paraId="07AD7D4F" w14:textId="77777777" w:rsidR="00C93890" w:rsidRDefault="00C93890" w:rsidP="00C93890">
      <w:pPr>
        <w:pStyle w:val="Heading1"/>
      </w:pPr>
      <w:r>
        <w:t>DUSC actions</w:t>
      </w:r>
    </w:p>
    <w:p w14:paraId="09A8412A" w14:textId="77777777" w:rsidR="008567B3" w:rsidRPr="00B719E8" w:rsidRDefault="008567B3" w:rsidP="008567B3">
      <w:pPr>
        <w:pStyle w:val="PBACBullets"/>
        <w:numPr>
          <w:ilvl w:val="0"/>
          <w:numId w:val="19"/>
        </w:numPr>
        <w:spacing w:before="0" w:after="0"/>
        <w:rPr>
          <w:sz w:val="24"/>
          <w:szCs w:val="24"/>
        </w:rPr>
      </w:pPr>
      <w:r w:rsidRPr="00B719E8">
        <w:rPr>
          <w:sz w:val="24"/>
          <w:szCs w:val="24"/>
        </w:rPr>
        <w:t xml:space="preserve">DUSC considered that the use of fluconazole should continue to be monitored to examine whether the increase in use in the most recent quarter continues. </w:t>
      </w:r>
    </w:p>
    <w:p w14:paraId="16D8973E" w14:textId="77777777" w:rsidR="008567B3" w:rsidRPr="00B719E8" w:rsidRDefault="008567B3" w:rsidP="008567B3">
      <w:pPr>
        <w:pStyle w:val="PBACBullets"/>
        <w:numPr>
          <w:ilvl w:val="0"/>
          <w:numId w:val="19"/>
        </w:numPr>
        <w:spacing w:before="0" w:after="0"/>
        <w:rPr>
          <w:sz w:val="24"/>
          <w:szCs w:val="24"/>
        </w:rPr>
      </w:pPr>
      <w:r w:rsidRPr="00B719E8">
        <w:rPr>
          <w:sz w:val="24"/>
          <w:szCs w:val="24"/>
        </w:rPr>
        <w:t>DUSC requested that the report be provided to the PBAC.</w:t>
      </w:r>
    </w:p>
    <w:p w14:paraId="755EC983" w14:textId="77777777" w:rsidR="00C93890" w:rsidRDefault="00C93890" w:rsidP="00C93890">
      <w:pPr>
        <w:pStyle w:val="Heading1"/>
      </w:pPr>
      <w:r w:rsidRPr="0092516A">
        <w:t>Context for analysis</w:t>
      </w:r>
    </w:p>
    <w:p w14:paraId="50658DD7" w14:textId="77777777" w:rsidR="00C93890" w:rsidRDefault="00C93890" w:rsidP="00C93890">
      <w:r>
        <w:t>The DUSC is a Sub Committee of the Pharmaceutical Benefits Advisory Committee (PBAC). The DUSC assesses estimates on projected usage and financial cost of medicines.</w:t>
      </w:r>
    </w:p>
    <w:p w14:paraId="62FF567B" w14:textId="77777777" w:rsidR="00C93890" w:rsidRDefault="00C93890" w:rsidP="00C93890">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8A5A3AB" w14:textId="77777777" w:rsidR="00C93890" w:rsidRDefault="00C93890" w:rsidP="00C93890">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584C20C" w14:textId="77777777" w:rsidR="00C93890" w:rsidRDefault="00C93890" w:rsidP="00C93890">
      <w:r>
        <w:t>The utilisation analysis report was provided to the pharmaceutical sponsors of each drug and comments on the report were provided to DUSC prior to its consideration of the analysis.</w:t>
      </w:r>
    </w:p>
    <w:p w14:paraId="511501A0" w14:textId="77777777" w:rsidR="00C93890" w:rsidRDefault="00C93890" w:rsidP="00C93890">
      <w:pPr>
        <w:pStyle w:val="Heading1"/>
      </w:pPr>
      <w:r>
        <w:t>Sponsor</w:t>
      </w:r>
      <w:r w:rsidRPr="0092516A">
        <w:t>s</w:t>
      </w:r>
      <w:r>
        <w:t>’</w:t>
      </w:r>
      <w:r w:rsidRPr="0092516A">
        <w:t xml:space="preserve"> comments</w:t>
      </w:r>
    </w:p>
    <w:p w14:paraId="2DEC4AF7" w14:textId="61A36EBE" w:rsidR="00C93890" w:rsidRDefault="00AA5275" w:rsidP="00AA5275">
      <w:r w:rsidRPr="003303BB">
        <w:rPr>
          <w:rFonts w:ascii="Calibri" w:eastAsia="MS Mincho" w:hAnsi="Calibri" w:cs="Times New Roman"/>
        </w:rPr>
        <w:t>The following spo</w:t>
      </w:r>
      <w:r>
        <w:rPr>
          <w:rFonts w:ascii="Calibri" w:eastAsia="MS Mincho" w:hAnsi="Calibri" w:cs="Times New Roman"/>
        </w:rPr>
        <w:t xml:space="preserve">nsors have no comment: </w:t>
      </w:r>
      <w:proofErr w:type="spellStart"/>
      <w:r w:rsidRPr="00AA5275">
        <w:rPr>
          <w:rFonts w:ascii="Calibri" w:eastAsia="MS Mincho" w:hAnsi="Calibri" w:cs="Times New Roman"/>
        </w:rPr>
        <w:t>Actavis</w:t>
      </w:r>
      <w:proofErr w:type="spellEnd"/>
      <w:r w:rsidRPr="00AA5275">
        <w:rPr>
          <w:rFonts w:ascii="Calibri" w:eastAsia="MS Mincho" w:hAnsi="Calibri" w:cs="Times New Roman"/>
        </w:rPr>
        <w:t xml:space="preserve"> Pty Ltd, </w:t>
      </w:r>
      <w:proofErr w:type="spellStart"/>
      <w:r w:rsidRPr="00AA5275">
        <w:rPr>
          <w:rFonts w:ascii="Calibri" w:eastAsia="MS Mincho" w:hAnsi="Calibri" w:cs="Times New Roman"/>
        </w:rPr>
        <w:t>Alphapharm</w:t>
      </w:r>
      <w:proofErr w:type="spellEnd"/>
      <w:r w:rsidRPr="00AA5275">
        <w:rPr>
          <w:rFonts w:ascii="Calibri" w:eastAsia="MS Mincho" w:hAnsi="Calibri" w:cs="Times New Roman"/>
        </w:rPr>
        <w:t xml:space="preserve"> Pty Ltd, </w:t>
      </w:r>
      <w:proofErr w:type="spellStart"/>
      <w:r w:rsidRPr="00AA5275">
        <w:rPr>
          <w:rFonts w:ascii="Calibri" w:eastAsia="MS Mincho" w:hAnsi="Calibri" w:cs="Times New Roman"/>
        </w:rPr>
        <w:t>Amneal</w:t>
      </w:r>
      <w:proofErr w:type="spellEnd"/>
      <w:r w:rsidRPr="00AA5275">
        <w:rPr>
          <w:rFonts w:ascii="Calibri" w:eastAsia="MS Mincho" w:hAnsi="Calibri" w:cs="Times New Roman"/>
        </w:rPr>
        <w:t xml:space="preserve"> Pharmaceuticals Pty Ltd, </w:t>
      </w:r>
      <w:proofErr w:type="spellStart"/>
      <w:r w:rsidRPr="00AA5275">
        <w:rPr>
          <w:rFonts w:ascii="Calibri" w:eastAsia="MS Mincho" w:hAnsi="Calibri" w:cs="Times New Roman"/>
        </w:rPr>
        <w:t>Apotex</w:t>
      </w:r>
      <w:proofErr w:type="spellEnd"/>
      <w:r w:rsidRPr="00AA5275">
        <w:rPr>
          <w:rFonts w:ascii="Calibri" w:eastAsia="MS Mincho" w:hAnsi="Calibri" w:cs="Times New Roman"/>
        </w:rPr>
        <w:t xml:space="preserve"> Pty Ltd, Arrow </w:t>
      </w:r>
      <w:proofErr w:type="spellStart"/>
      <w:r w:rsidRPr="00AA5275">
        <w:rPr>
          <w:rFonts w:ascii="Calibri" w:eastAsia="MS Mincho" w:hAnsi="Calibri" w:cs="Times New Roman"/>
        </w:rPr>
        <w:t>Pharma</w:t>
      </w:r>
      <w:proofErr w:type="spellEnd"/>
      <w:r w:rsidRPr="00AA5275">
        <w:rPr>
          <w:rFonts w:ascii="Calibri" w:eastAsia="MS Mincho" w:hAnsi="Calibri" w:cs="Times New Roman"/>
        </w:rPr>
        <w:t xml:space="preserve"> Pty Ltd, Aspen </w:t>
      </w:r>
      <w:proofErr w:type="spellStart"/>
      <w:r w:rsidRPr="00AA5275">
        <w:rPr>
          <w:rFonts w:ascii="Calibri" w:eastAsia="MS Mincho" w:hAnsi="Calibri" w:cs="Times New Roman"/>
        </w:rPr>
        <w:t>Pharma</w:t>
      </w:r>
      <w:proofErr w:type="spellEnd"/>
      <w:r w:rsidRPr="00AA5275">
        <w:rPr>
          <w:rFonts w:ascii="Calibri" w:eastAsia="MS Mincho" w:hAnsi="Calibri" w:cs="Times New Roman"/>
        </w:rPr>
        <w:t xml:space="preserve"> Pty Ltd, Dr Reddy's Laboratories Pty Ltd, Generic Health Pty Ltd, Janssen-</w:t>
      </w:r>
      <w:proofErr w:type="spellStart"/>
      <w:r w:rsidRPr="00AA5275">
        <w:rPr>
          <w:rFonts w:ascii="Calibri" w:eastAsia="MS Mincho" w:hAnsi="Calibri" w:cs="Times New Roman"/>
        </w:rPr>
        <w:t>Cilag</w:t>
      </w:r>
      <w:proofErr w:type="spellEnd"/>
      <w:r w:rsidRPr="00AA5275">
        <w:rPr>
          <w:rFonts w:ascii="Calibri" w:eastAsia="MS Mincho" w:hAnsi="Calibri" w:cs="Times New Roman"/>
        </w:rPr>
        <w:t xml:space="preserve"> Pty Ltd, Johnson &amp; Johnson Pacific Pty Ltd, Mayne </w:t>
      </w:r>
      <w:proofErr w:type="spellStart"/>
      <w:r w:rsidRPr="00AA5275">
        <w:rPr>
          <w:rFonts w:ascii="Calibri" w:eastAsia="MS Mincho" w:hAnsi="Calibri" w:cs="Times New Roman"/>
        </w:rPr>
        <w:t>Pharma</w:t>
      </w:r>
      <w:proofErr w:type="spellEnd"/>
      <w:r w:rsidRPr="00AA5275">
        <w:rPr>
          <w:rFonts w:ascii="Calibri" w:eastAsia="MS Mincho" w:hAnsi="Calibri" w:cs="Times New Roman"/>
        </w:rPr>
        <w:t xml:space="preserve"> International Pty Ltd, Merck Sharpe &amp; </w:t>
      </w:r>
      <w:proofErr w:type="spellStart"/>
      <w:r w:rsidRPr="00AA5275">
        <w:rPr>
          <w:rFonts w:ascii="Calibri" w:eastAsia="MS Mincho" w:hAnsi="Calibri" w:cs="Times New Roman"/>
        </w:rPr>
        <w:t>Dohme</w:t>
      </w:r>
      <w:proofErr w:type="spellEnd"/>
      <w:r w:rsidRPr="00AA5275">
        <w:rPr>
          <w:rFonts w:ascii="Calibri" w:eastAsia="MS Mincho" w:hAnsi="Calibri" w:cs="Times New Roman"/>
        </w:rPr>
        <w:t xml:space="preserve"> Pty Ltd, Novartis Pharmaceuticals, Pfizer Australia Pty Ltd, Ranbaxy Australia Pty Ltd,</w:t>
      </w:r>
      <w:r>
        <w:rPr>
          <w:rFonts w:ascii="Calibri" w:eastAsia="MS Mincho" w:hAnsi="Calibri" w:cs="Times New Roman"/>
        </w:rPr>
        <w:t xml:space="preserve"> </w:t>
      </w:r>
      <w:bookmarkStart w:id="0" w:name="_GoBack"/>
      <w:bookmarkEnd w:id="0"/>
      <w:r>
        <w:rPr>
          <w:rFonts w:ascii="Calibri" w:eastAsia="MS Mincho" w:hAnsi="Calibri" w:cs="Times New Roman"/>
        </w:rPr>
        <w:t>Sandoz Pty Ltd.</w:t>
      </w:r>
    </w:p>
    <w:p w14:paraId="5D04B886" w14:textId="77777777" w:rsidR="00C93890" w:rsidRDefault="00C93890" w:rsidP="00C93890">
      <w:pPr>
        <w:pStyle w:val="Heading1"/>
      </w:pPr>
      <w:r w:rsidRPr="00A4020E">
        <w:t>Disclaimer</w:t>
      </w:r>
    </w:p>
    <w:p w14:paraId="1927E1DF" w14:textId="77777777" w:rsidR="00C93890" w:rsidRDefault="00C93890" w:rsidP="00C93890">
      <w:r>
        <w:t xml:space="preserve">The information provided in this report does not constitute medical advice and is not intended to take the place of professional medical advice or care.  It is not intended to define what constitutes reasonable, appropriate or best care for any individual for any </w:t>
      </w:r>
      <w:r>
        <w:lastRenderedPageBreak/>
        <w:t>given health issue.  The information should not be used as a substitute for the judgement and skill of a medical practitioner.</w:t>
      </w:r>
    </w:p>
    <w:p w14:paraId="2A10DEC9" w14:textId="77777777" w:rsidR="00C93890" w:rsidRDefault="00C93890" w:rsidP="00C93890">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43F9664" w14:textId="77777777" w:rsidR="00C93890" w:rsidRDefault="00C93890" w:rsidP="00C93890">
      <w:r>
        <w:t xml:space="preserve">To the extent provided by law, </w:t>
      </w:r>
      <w:proofErr w:type="spellStart"/>
      <w:r>
        <w:t>DoH</w:t>
      </w:r>
      <w:proofErr w:type="spellEnd"/>
      <w:r>
        <w:t xml:space="preserve"> makes no warranties or representations as to accuracy or completeness of information contained in this report. </w:t>
      </w:r>
    </w:p>
    <w:p w14:paraId="76795E34" w14:textId="77777777" w:rsidR="00C93890" w:rsidRDefault="00C93890" w:rsidP="00C93890">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91FF5F7" w14:textId="77777777" w:rsidR="00C93890" w:rsidRDefault="00C93890" w:rsidP="00C93890"/>
    <w:p w14:paraId="4A2BCEFC" w14:textId="77777777" w:rsidR="00C93890" w:rsidRPr="00B1561B" w:rsidRDefault="00C93890" w:rsidP="00C93890"/>
    <w:p w14:paraId="35A3CE0B" w14:textId="77777777" w:rsidR="008567B3" w:rsidRDefault="008567B3">
      <w:pPr>
        <w:spacing w:line="276" w:lineRule="auto"/>
        <w:rPr>
          <w:rFonts w:eastAsiaTheme="majorEastAsia" w:cstheme="majorBidi"/>
          <w:b/>
          <w:bCs/>
          <w:sz w:val="32"/>
          <w:szCs w:val="32"/>
        </w:rPr>
      </w:pPr>
      <w:r>
        <w:br w:type="page"/>
      </w:r>
    </w:p>
    <w:p w14:paraId="0DB0739D" w14:textId="0E2ED4BB" w:rsidR="00C93890" w:rsidRDefault="00C93890" w:rsidP="00C93890">
      <w:pPr>
        <w:pStyle w:val="Heading1"/>
      </w:pPr>
      <w:r>
        <w:lastRenderedPageBreak/>
        <w:t>References</w:t>
      </w:r>
    </w:p>
    <w:p w14:paraId="45500E40" w14:textId="77777777" w:rsidR="00C93890" w:rsidRPr="00824C3F" w:rsidRDefault="00C93890" w:rsidP="00C93890">
      <w:pPr>
        <w:pStyle w:val="EndNoteBibliography"/>
        <w:spacing w:after="0"/>
        <w:ind w:left="720" w:hanging="720"/>
      </w:pPr>
      <w:r w:rsidRPr="00824C3F">
        <w:t>1.</w:t>
      </w:r>
      <w:r w:rsidRPr="00824C3F">
        <w:tab/>
        <w:t>Merck Sharp &amp; Dohme (Australia) Pty Ltd. Noxafil (posaconazole). Macquarie Park: Merck Sharp &amp; Dohme (Australia) Pty Ltd; 2006.</w:t>
      </w:r>
    </w:p>
    <w:p w14:paraId="2B3F7A47" w14:textId="77777777" w:rsidR="00C93890" w:rsidRPr="00824C3F" w:rsidRDefault="00C93890" w:rsidP="00C93890">
      <w:pPr>
        <w:pStyle w:val="EndNoteBibliography"/>
        <w:spacing w:after="0"/>
        <w:ind w:left="720" w:hanging="720"/>
      </w:pPr>
      <w:r w:rsidRPr="00824C3F">
        <w:t>2.</w:t>
      </w:r>
      <w:r w:rsidRPr="00824C3F">
        <w:tab/>
        <w:t>Novartis Pharmaceuticals Australia Pty Limited. Lamisil (terbinafine). Macquarie Park: Novartis Pharmaceuticals Australia Pty Limited; 2003.</w:t>
      </w:r>
    </w:p>
    <w:p w14:paraId="3D42C524" w14:textId="77777777" w:rsidR="00C93890" w:rsidRPr="00824C3F" w:rsidRDefault="00C93890" w:rsidP="00C93890">
      <w:pPr>
        <w:pStyle w:val="EndNoteBibliography"/>
        <w:spacing w:after="0"/>
        <w:ind w:left="720" w:hanging="720"/>
      </w:pPr>
      <w:r w:rsidRPr="00824C3F">
        <w:t>3.</w:t>
      </w:r>
      <w:r w:rsidRPr="00824C3F">
        <w:tab/>
        <w:t>Pfizer Australia Pty Ltd. Diflucan (fluconazole). West Ryde: Pfizer Australia Pty Ltd; 1991.</w:t>
      </w:r>
    </w:p>
    <w:p w14:paraId="4591DDA1" w14:textId="77777777" w:rsidR="00C93890" w:rsidRPr="00824C3F" w:rsidRDefault="00C93890" w:rsidP="00C93890">
      <w:pPr>
        <w:pStyle w:val="EndNoteBibliography"/>
        <w:spacing w:after="0"/>
        <w:ind w:left="720" w:hanging="720"/>
      </w:pPr>
      <w:r w:rsidRPr="00824C3F">
        <w:t>4.</w:t>
      </w:r>
      <w:r w:rsidRPr="00824C3F">
        <w:tab/>
        <w:t>Janssen-Cilag Pty Ltd. Sporanox (itraconazole). Macquarie Park: Janssen-Cilag Pty Ltd; 1994.</w:t>
      </w:r>
    </w:p>
    <w:p w14:paraId="07F04461" w14:textId="77777777" w:rsidR="00C93890" w:rsidRPr="00824C3F" w:rsidRDefault="00C93890" w:rsidP="00C93890">
      <w:pPr>
        <w:pStyle w:val="EndNoteBibliography"/>
        <w:spacing w:after="0"/>
        <w:ind w:left="720" w:hanging="720"/>
      </w:pPr>
      <w:r w:rsidRPr="00824C3F">
        <w:t>5.</w:t>
      </w:r>
      <w:r w:rsidRPr="00824C3F">
        <w:tab/>
        <w:t>Pfizer Australia Pty Ltd. Vfend (fluconazole). West Ryde: Pfizer Australia Pty Ltd; 2002.</w:t>
      </w:r>
    </w:p>
    <w:p w14:paraId="277BFD61" w14:textId="77777777" w:rsidR="00C93890" w:rsidRPr="00824C3F" w:rsidRDefault="00C93890" w:rsidP="00C93890">
      <w:pPr>
        <w:pStyle w:val="EndNoteBibliography"/>
        <w:spacing w:after="0"/>
        <w:ind w:left="720" w:hanging="720"/>
      </w:pPr>
      <w:r w:rsidRPr="00824C3F">
        <w:t>6.</w:t>
      </w:r>
      <w:r w:rsidRPr="00824C3F">
        <w:tab/>
        <w:t>Aspen Pharma Pty Ltd. Grisovin (griseofulvin). St Leonards: Aspen Pharma Pty Ltd; 1995.</w:t>
      </w:r>
    </w:p>
    <w:p w14:paraId="5AB4384C" w14:textId="77777777" w:rsidR="00C93890" w:rsidRPr="00824C3F" w:rsidRDefault="00C93890" w:rsidP="00C93890">
      <w:pPr>
        <w:pStyle w:val="EndNoteBibliography"/>
        <w:spacing w:after="0"/>
        <w:ind w:left="720" w:hanging="720"/>
      </w:pPr>
      <w:r w:rsidRPr="00824C3F">
        <w:t>7.</w:t>
      </w:r>
      <w:r w:rsidRPr="00824C3F">
        <w:tab/>
        <w:t>Therapeutic Goods Administration. Oral ketoconazole (Nizoral) 200 mg tablets. 10 October 2013. Available at: https://www.tga.gov.au/alert/oral-ketoconazole-nizoral-200-mg-tablets. Accessed 7 July, 2016.</w:t>
      </w:r>
    </w:p>
    <w:p w14:paraId="4EE08F14" w14:textId="77777777" w:rsidR="00C93890" w:rsidRPr="00824C3F" w:rsidRDefault="00C93890" w:rsidP="00C93890">
      <w:pPr>
        <w:pStyle w:val="EndNoteBibliography"/>
        <w:spacing w:after="0"/>
        <w:ind w:left="720" w:hanging="720"/>
      </w:pPr>
      <w:r w:rsidRPr="00824C3F">
        <w:t>8.</w:t>
      </w:r>
      <w:r w:rsidRPr="00824C3F">
        <w:tab/>
        <w:t>NPS MedicineWise. Ketoconazole discontinued. 30 October 2013. Available at: http://www.nps.org.au/publications/health-professional/health-news-evidence/2013/ketaconazole-discontinued. Accessed 7 July, 2016.</w:t>
      </w:r>
    </w:p>
    <w:p w14:paraId="17DDD972" w14:textId="77777777" w:rsidR="00C93890" w:rsidRPr="00824C3F" w:rsidRDefault="00C93890" w:rsidP="00C93890">
      <w:pPr>
        <w:pStyle w:val="EndNoteBibliography"/>
        <w:spacing w:after="0"/>
        <w:ind w:left="720" w:hanging="720"/>
      </w:pPr>
      <w:r w:rsidRPr="00824C3F">
        <w:t>9.</w:t>
      </w:r>
      <w:r w:rsidRPr="00824C3F">
        <w:tab/>
        <w:t>U.S. Food and Drug Administration. FDA limits usage of Nizoral (ketoconazole) oral tablets due to potentially fatal liver injury and risk of drug interactions and adrenal gland problems. Silver Spring, MD, USA: U.S. Food and Drug Administration; 2013.</w:t>
      </w:r>
    </w:p>
    <w:p w14:paraId="34EBA276" w14:textId="77777777" w:rsidR="00C93890" w:rsidRPr="00824C3F" w:rsidRDefault="00C93890" w:rsidP="00C93890">
      <w:pPr>
        <w:pStyle w:val="EndNoteBibliography"/>
        <w:spacing w:after="0"/>
        <w:ind w:left="720" w:hanging="720"/>
      </w:pPr>
      <w:r w:rsidRPr="00824C3F">
        <w:t>10.</w:t>
      </w:r>
      <w:r w:rsidRPr="00824C3F">
        <w:tab/>
        <w:t>Centres for Disease Control and Prevention. Vulvovaginal Candidiasis. 4 June 2015. Available at: http://www.cdc.gov/std/tg2015/candidiasis.htm. Accessed 30 August, 2016.</w:t>
      </w:r>
    </w:p>
    <w:p w14:paraId="4EC45D9C" w14:textId="77777777" w:rsidR="00C93890" w:rsidRPr="00824C3F" w:rsidRDefault="00C93890" w:rsidP="00C93890">
      <w:pPr>
        <w:pStyle w:val="EndNoteBibliography"/>
        <w:spacing w:after="0"/>
        <w:ind w:left="720" w:hanging="720"/>
      </w:pPr>
      <w:r w:rsidRPr="00824C3F">
        <w:t>11.</w:t>
      </w:r>
      <w:r w:rsidRPr="00824C3F">
        <w:tab/>
        <w:t xml:space="preserve">Gupta AK, Cooper EA. Update in Antifungal Therapy of Dermatophytosis. </w:t>
      </w:r>
      <w:r w:rsidRPr="00824C3F">
        <w:rPr>
          <w:i/>
        </w:rPr>
        <w:t xml:space="preserve">Mycopathologia. </w:t>
      </w:r>
      <w:r w:rsidRPr="00824C3F">
        <w:t>2008;166(5):353-367.</w:t>
      </w:r>
    </w:p>
    <w:p w14:paraId="5E481438" w14:textId="77777777" w:rsidR="00C93890" w:rsidRPr="00824C3F" w:rsidRDefault="00C93890" w:rsidP="00C93890">
      <w:pPr>
        <w:pStyle w:val="EndNoteBibliography"/>
        <w:spacing w:after="0"/>
        <w:ind w:left="720" w:hanging="720"/>
      </w:pPr>
      <w:r w:rsidRPr="00824C3F">
        <w:t>12.</w:t>
      </w:r>
      <w:r w:rsidRPr="00824C3F">
        <w:tab/>
        <w:t xml:space="preserve">Nivison-Smith I, Bardy P, Dodds AJ, et al. A Review of Hematopoietic Cell Transplantation in Australia and New Zealand, 2005 to 2013. </w:t>
      </w:r>
      <w:r w:rsidRPr="00824C3F">
        <w:rPr>
          <w:i/>
        </w:rPr>
        <w:t xml:space="preserve">Biology of Blood and Marrow Transplantation. </w:t>
      </w:r>
      <w:r w:rsidRPr="00824C3F">
        <w:t>2// 2016;22(2):284-291.</w:t>
      </w:r>
    </w:p>
    <w:p w14:paraId="0E3C8D6D" w14:textId="77777777" w:rsidR="00C93890" w:rsidRPr="00824C3F" w:rsidRDefault="00C93890" w:rsidP="00C93890">
      <w:pPr>
        <w:pStyle w:val="EndNoteBibliography"/>
        <w:spacing w:after="0"/>
        <w:ind w:left="720" w:hanging="720"/>
      </w:pPr>
      <w:r w:rsidRPr="00824C3F">
        <w:t>13.</w:t>
      </w:r>
      <w:r w:rsidRPr="00824C3F">
        <w:tab/>
        <w:t xml:space="preserve">Wingard JR, Hsu J, Hiemenz JW. Hematopoietic Stem Cell Transplantation: An Overview of Infection Risks and Epidemiology. </w:t>
      </w:r>
      <w:r w:rsidRPr="00824C3F">
        <w:rPr>
          <w:i/>
        </w:rPr>
        <w:t xml:space="preserve">Infectious Disease Clinics of North America. </w:t>
      </w:r>
      <w:r w:rsidRPr="00824C3F">
        <w:t>6// 2010;24(2):257-272.</w:t>
      </w:r>
    </w:p>
    <w:p w14:paraId="440A4359" w14:textId="77777777" w:rsidR="00C93890" w:rsidRPr="00824C3F" w:rsidRDefault="00C93890" w:rsidP="00C93890">
      <w:pPr>
        <w:pStyle w:val="EndNoteBibliography"/>
        <w:spacing w:after="0"/>
        <w:ind w:left="720" w:hanging="720"/>
      </w:pPr>
      <w:r w:rsidRPr="00824C3F">
        <w:t>14.</w:t>
      </w:r>
      <w:r w:rsidRPr="00824C3F">
        <w:tab/>
        <w:t xml:space="preserve">Torres HA, Hachem RY, Chemaly RF, Kontoyiannis DP, Raad, II. Posaconazole: a broad-spectrum triazole antifungal. </w:t>
      </w:r>
      <w:r w:rsidRPr="00824C3F">
        <w:rPr>
          <w:i/>
        </w:rPr>
        <w:t xml:space="preserve">The Lancet Infectious diseases. </w:t>
      </w:r>
      <w:r w:rsidRPr="00824C3F">
        <w:t>Dec 2005;5(12):775-785.</w:t>
      </w:r>
    </w:p>
    <w:p w14:paraId="58C68260" w14:textId="77777777" w:rsidR="00C93890" w:rsidRPr="00824C3F" w:rsidRDefault="00C93890" w:rsidP="00C93890">
      <w:pPr>
        <w:pStyle w:val="EndNoteBibliography"/>
        <w:spacing w:after="0"/>
        <w:ind w:left="720" w:hanging="720"/>
      </w:pPr>
      <w:r w:rsidRPr="00824C3F">
        <w:t>15.</w:t>
      </w:r>
      <w:r w:rsidRPr="00824C3F">
        <w:tab/>
        <w:t xml:space="preserve">Neofytos D, Horn D, Anaissie E, et al. Epidemiology and outcome of invasive fungal infection in adult hematopoietic stem cell transplant recipients: analysis of Multicenter Prospective Antifungal Therapy (PATH) Alliance registry. </w:t>
      </w:r>
      <w:r w:rsidRPr="00824C3F">
        <w:rPr>
          <w:i/>
        </w:rPr>
        <w:t xml:space="preserve">Clinical infectious diseases : an official publication of the Infectious Diseases Society of America. </w:t>
      </w:r>
      <w:r w:rsidRPr="00824C3F">
        <w:t>Feb 1 2009;48(3):265-273.</w:t>
      </w:r>
    </w:p>
    <w:p w14:paraId="52847CEF" w14:textId="77777777" w:rsidR="00C93890" w:rsidRPr="00824C3F" w:rsidRDefault="00C93890" w:rsidP="00C93890">
      <w:pPr>
        <w:pStyle w:val="EndNoteBibliography"/>
        <w:spacing w:after="0"/>
        <w:ind w:left="720" w:hanging="720"/>
      </w:pPr>
      <w:r w:rsidRPr="00824C3F">
        <w:t>16.</w:t>
      </w:r>
      <w:r w:rsidRPr="00824C3F">
        <w:tab/>
        <w:t xml:space="preserve">Ferrara JLM, Levine JE, Reddy P, Holler E. Graft-versus-host disease. </w:t>
      </w:r>
      <w:r w:rsidRPr="00824C3F">
        <w:rPr>
          <w:i/>
        </w:rPr>
        <w:t>The Lancet.</w:t>
      </w:r>
      <w:r w:rsidRPr="00824C3F">
        <w:t>373(9674):1550-1561.</w:t>
      </w:r>
    </w:p>
    <w:p w14:paraId="3FB9B16B" w14:textId="77777777" w:rsidR="00C93890" w:rsidRPr="00824C3F" w:rsidRDefault="00C93890" w:rsidP="00C93890">
      <w:pPr>
        <w:pStyle w:val="EndNoteBibliography"/>
        <w:spacing w:after="0"/>
        <w:ind w:left="720" w:hanging="720"/>
      </w:pPr>
      <w:r w:rsidRPr="00824C3F">
        <w:lastRenderedPageBreak/>
        <w:t>17.</w:t>
      </w:r>
      <w:r w:rsidRPr="00824C3F">
        <w:tab/>
        <w:t xml:space="preserve">Pappas PG, Kauffman CA, Andes DR, et al. Clinical Practice Guideline for the Management of Candidiasis: 2016 Update by the Infectious Diseases Society of America. </w:t>
      </w:r>
      <w:r w:rsidRPr="00824C3F">
        <w:rPr>
          <w:i/>
        </w:rPr>
        <w:t xml:space="preserve">Clinical Infectious Diseases. </w:t>
      </w:r>
      <w:r w:rsidRPr="00824C3F">
        <w:t>December 16, 2015 2015.</w:t>
      </w:r>
    </w:p>
    <w:p w14:paraId="51D8327B" w14:textId="77777777" w:rsidR="00C93890" w:rsidRPr="00824C3F" w:rsidRDefault="00C93890" w:rsidP="00C93890">
      <w:pPr>
        <w:pStyle w:val="EndNoteBibliography"/>
        <w:spacing w:after="0"/>
        <w:ind w:left="720" w:hanging="720"/>
      </w:pPr>
      <w:r w:rsidRPr="00824C3F">
        <w:t>18.</w:t>
      </w:r>
      <w:r w:rsidRPr="00824C3F">
        <w:tab/>
        <w:t xml:space="preserve">Underwood JA, Williams JW, Keate RF. Clinical findings and risk factors for Candida esophagitis in outpatients*. </w:t>
      </w:r>
      <w:r w:rsidRPr="00824C3F">
        <w:rPr>
          <w:i/>
        </w:rPr>
        <w:t xml:space="preserve">Diseases of the Esophagus. </w:t>
      </w:r>
      <w:r w:rsidRPr="00824C3F">
        <w:t>2003;16(2):66-69.</w:t>
      </w:r>
    </w:p>
    <w:p w14:paraId="6E158600" w14:textId="77777777" w:rsidR="00C93890" w:rsidRPr="00824C3F" w:rsidRDefault="00C93890" w:rsidP="00C93890">
      <w:pPr>
        <w:pStyle w:val="EndNoteBibliography"/>
        <w:spacing w:after="0"/>
        <w:ind w:left="720" w:hanging="720"/>
      </w:pPr>
      <w:r w:rsidRPr="00824C3F">
        <w:t>19.</w:t>
      </w:r>
      <w:r w:rsidRPr="00824C3F">
        <w:tab/>
        <w:t xml:space="preserve">Patterson TF, Thompson GR, Denning DW, et al. Practice Guidelines for the Diagnosis and Management of Aspergillosis: 2016 Update by the Infectious Diseases Society of America. </w:t>
      </w:r>
      <w:r w:rsidRPr="00824C3F">
        <w:rPr>
          <w:i/>
        </w:rPr>
        <w:t xml:space="preserve">Clinical Infectious Diseases. </w:t>
      </w:r>
      <w:r w:rsidRPr="00824C3F">
        <w:t>June 29, 2016 2016.</w:t>
      </w:r>
    </w:p>
    <w:p w14:paraId="4AC2AEBA" w14:textId="77777777" w:rsidR="00C93890" w:rsidRPr="00824C3F" w:rsidRDefault="00C93890" w:rsidP="00C93890">
      <w:pPr>
        <w:pStyle w:val="EndNoteBibliography"/>
        <w:ind w:left="720" w:hanging="720"/>
      </w:pPr>
      <w:r w:rsidRPr="00824C3F">
        <w:t>20.</w:t>
      </w:r>
      <w:r w:rsidRPr="00824C3F">
        <w:tab/>
        <w:t>The Royal Children's Hospital Melbourne. Itraconazole Use and Monitoring. Available at: http://www.rch.org.au/genmed/clinical_resources/Itraconazole_Use_and_Monitoring/. Accessed 11 July, 2016.</w:t>
      </w:r>
    </w:p>
    <w:p w14:paraId="29B5F1A9" w14:textId="77777777" w:rsidR="00C93890" w:rsidRPr="0033504C" w:rsidRDefault="00C93890" w:rsidP="00C93890">
      <w:pPr>
        <w:spacing w:after="0"/>
      </w:pPr>
    </w:p>
    <w:p w14:paraId="44049CF0" w14:textId="77777777" w:rsidR="00C93890" w:rsidRDefault="00C93890" w:rsidP="00C93890">
      <w:pPr>
        <w:spacing w:line="276" w:lineRule="auto"/>
      </w:pPr>
      <w:r>
        <w:br w:type="page"/>
      </w:r>
    </w:p>
    <w:p w14:paraId="0005740A" w14:textId="77777777" w:rsidR="00C93890" w:rsidRDefault="00C93890" w:rsidP="00C93890">
      <w:pPr>
        <w:pStyle w:val="Heading1"/>
      </w:pPr>
      <w:r>
        <w:lastRenderedPageBreak/>
        <w:t xml:space="preserve">Appendix 1: </w:t>
      </w:r>
      <w:r w:rsidRPr="0003375B">
        <w:t>Dosage and administration</w:t>
      </w:r>
    </w:p>
    <w:p w14:paraId="6C4156BB" w14:textId="77777777" w:rsidR="00C93890" w:rsidRPr="004E3B64" w:rsidRDefault="00C93890" w:rsidP="00C93890">
      <w:r w:rsidRPr="004E3B64">
        <w:t xml:space="preserve">Table </w:t>
      </w:r>
      <w:r>
        <w:t>A1</w:t>
      </w:r>
      <w:r w:rsidRPr="004E3B64">
        <w:t xml:space="preserve"> presents the dosage of fluconazole recommended by the Product Information. Fluconazole can be used from birth using a less frequent dosing schedule. </w:t>
      </w:r>
    </w:p>
    <w:p w14:paraId="21A93F7E" w14:textId="77777777" w:rsidR="00C93890" w:rsidRPr="004E3B64" w:rsidRDefault="00C93890" w:rsidP="00C93890">
      <w:pPr>
        <w:pStyle w:val="Tabletitle"/>
      </w:pPr>
      <w:r w:rsidRPr="004E3B64">
        <w:t xml:space="preserve">Table </w:t>
      </w:r>
      <w:r>
        <w:t>A1</w:t>
      </w:r>
      <w:r w:rsidRPr="004E3B64">
        <w:t>: Dosage and administ</w:t>
      </w:r>
      <w:r>
        <w:t>ration of flu</w:t>
      </w:r>
      <w:r w:rsidRPr="004E3B64">
        <w:t>conazole</w:t>
      </w:r>
    </w:p>
    <w:tbl>
      <w:tblPr>
        <w:tblStyle w:val="TableGrid"/>
        <w:tblW w:w="0" w:type="auto"/>
        <w:tblLook w:val="04A0" w:firstRow="1" w:lastRow="0" w:firstColumn="1" w:lastColumn="0" w:noHBand="0" w:noVBand="1"/>
      </w:tblPr>
      <w:tblGrid>
        <w:gridCol w:w="3649"/>
        <w:gridCol w:w="5524"/>
      </w:tblGrid>
      <w:tr w:rsidR="00C93890" w:rsidRPr="00A35800" w14:paraId="6CF7017C" w14:textId="77777777" w:rsidTr="00642567">
        <w:trPr>
          <w:cantSplit/>
          <w:tblHeader/>
        </w:trPr>
        <w:tc>
          <w:tcPr>
            <w:tcW w:w="0" w:type="auto"/>
            <w:shd w:val="clear" w:color="auto" w:fill="BFBFBF" w:themeFill="background1" w:themeFillShade="BF"/>
          </w:tcPr>
          <w:p w14:paraId="74F59A44" w14:textId="77777777" w:rsidR="00C93890" w:rsidRPr="00A35800" w:rsidRDefault="00C93890" w:rsidP="00642567">
            <w:pPr>
              <w:pStyle w:val="Tableheading"/>
              <w:rPr>
                <w:szCs w:val="20"/>
              </w:rPr>
            </w:pPr>
            <w:r>
              <w:rPr>
                <w:szCs w:val="20"/>
              </w:rPr>
              <w:t>Indication</w:t>
            </w:r>
          </w:p>
        </w:tc>
        <w:tc>
          <w:tcPr>
            <w:tcW w:w="0" w:type="auto"/>
            <w:shd w:val="clear" w:color="auto" w:fill="BFBFBF" w:themeFill="background1" w:themeFillShade="BF"/>
          </w:tcPr>
          <w:p w14:paraId="0D2C0636" w14:textId="77777777" w:rsidR="00C93890" w:rsidRPr="00A35800" w:rsidRDefault="00C93890" w:rsidP="00642567">
            <w:pPr>
              <w:pStyle w:val="Tableheading"/>
              <w:rPr>
                <w:szCs w:val="20"/>
              </w:rPr>
            </w:pPr>
            <w:r w:rsidRPr="00A35800">
              <w:rPr>
                <w:szCs w:val="20"/>
              </w:rPr>
              <w:t xml:space="preserve">Dose and frequency of administration </w:t>
            </w:r>
          </w:p>
        </w:tc>
      </w:tr>
      <w:tr w:rsidR="00C93890" w:rsidRPr="00A35800" w14:paraId="3BECABC3" w14:textId="77777777" w:rsidTr="00642567">
        <w:trPr>
          <w:cantSplit/>
        </w:trPr>
        <w:tc>
          <w:tcPr>
            <w:tcW w:w="0" w:type="auto"/>
          </w:tcPr>
          <w:p w14:paraId="5B00D0E8" w14:textId="77777777" w:rsidR="00C93890" w:rsidRDefault="00C93890" w:rsidP="00642567">
            <w:pPr>
              <w:pStyle w:val="Tablewriting"/>
            </w:pPr>
            <w:proofErr w:type="spellStart"/>
            <w:r w:rsidRPr="00DA0C00">
              <w:t>Cryptococcal</w:t>
            </w:r>
            <w:proofErr w:type="spellEnd"/>
            <w:r w:rsidRPr="00DA0C00">
              <w:t xml:space="preserve"> meningitis </w:t>
            </w:r>
          </w:p>
          <w:p w14:paraId="495B2C79" w14:textId="77777777" w:rsidR="00C93890" w:rsidRPr="00A35800" w:rsidRDefault="00C93890" w:rsidP="00642567">
            <w:pPr>
              <w:pStyle w:val="Tablewriting"/>
            </w:pPr>
            <w:r w:rsidRPr="00DA0C00">
              <w:t>Serious and life-threatening candida infections</w:t>
            </w:r>
          </w:p>
        </w:tc>
        <w:tc>
          <w:tcPr>
            <w:tcW w:w="0" w:type="auto"/>
          </w:tcPr>
          <w:p w14:paraId="49C5EFC7" w14:textId="77777777" w:rsidR="00C93890" w:rsidRDefault="00C93890" w:rsidP="00642567">
            <w:pPr>
              <w:pStyle w:val="Tablewriting"/>
            </w:pPr>
            <w:r>
              <w:t xml:space="preserve">Adults: 400 mg on the first day. 200 mg daily for subsequent days. A dose 400 mg may be used. </w:t>
            </w:r>
          </w:p>
          <w:p w14:paraId="498C8C9E" w14:textId="77777777" w:rsidR="00C93890" w:rsidRDefault="00C93890" w:rsidP="00642567">
            <w:pPr>
              <w:pStyle w:val="Tablewriting"/>
            </w:pPr>
            <w:r>
              <w:t xml:space="preserve">Children: 6-12 mg/kg daily as a single dose given daily. </w:t>
            </w:r>
          </w:p>
          <w:p w14:paraId="2FFB75BF" w14:textId="77777777" w:rsidR="00C93890" w:rsidRDefault="00C93890" w:rsidP="00642567">
            <w:pPr>
              <w:pStyle w:val="Tablewriting"/>
            </w:pPr>
            <w:r>
              <w:t xml:space="preserve">For </w:t>
            </w:r>
            <w:proofErr w:type="spellStart"/>
            <w:r>
              <w:t>candidal</w:t>
            </w:r>
            <w:proofErr w:type="spellEnd"/>
            <w:r>
              <w:t xml:space="preserve"> infections, patients should be treated for at least 4 weeks and for at least 2 weeks following symptom resolution. </w:t>
            </w:r>
          </w:p>
          <w:p w14:paraId="5CE0ECE3" w14:textId="77777777" w:rsidR="00C93890" w:rsidRPr="00A35800" w:rsidRDefault="00C93890" w:rsidP="00642567">
            <w:pPr>
              <w:pStyle w:val="Tablewriting"/>
            </w:pPr>
            <w:r>
              <w:t xml:space="preserve">For </w:t>
            </w:r>
            <w:proofErr w:type="spellStart"/>
            <w:r>
              <w:t>c</w:t>
            </w:r>
            <w:r w:rsidRPr="00DA0C00">
              <w:t>ryptococcal</w:t>
            </w:r>
            <w:proofErr w:type="spellEnd"/>
            <w:r w:rsidRPr="00DA0C00">
              <w:t xml:space="preserve"> meningitis</w:t>
            </w:r>
            <w:r>
              <w:t>,</w:t>
            </w:r>
            <w:r w:rsidRPr="00DA0C00">
              <w:t xml:space="preserve"> </w:t>
            </w:r>
            <w:r>
              <w:t xml:space="preserve">treatment should continue until </w:t>
            </w:r>
            <w:r w:rsidRPr="00DA0C00">
              <w:t>should continue 10-12 weeks after cerebrospinal fluid becomes culture negative.</w:t>
            </w:r>
          </w:p>
        </w:tc>
      </w:tr>
      <w:tr w:rsidR="00C93890" w:rsidRPr="00A35800" w14:paraId="31182E5F" w14:textId="77777777" w:rsidTr="00642567">
        <w:trPr>
          <w:cantSplit/>
        </w:trPr>
        <w:tc>
          <w:tcPr>
            <w:tcW w:w="0" w:type="auto"/>
          </w:tcPr>
          <w:p w14:paraId="018635E1" w14:textId="77777777" w:rsidR="00C93890" w:rsidRPr="00A35800" w:rsidRDefault="00C93890" w:rsidP="00642567">
            <w:pPr>
              <w:pStyle w:val="Tablewriting"/>
            </w:pPr>
            <w:r>
              <w:t xml:space="preserve">Prevention of </w:t>
            </w:r>
            <w:proofErr w:type="spellStart"/>
            <w:r>
              <w:t>c</w:t>
            </w:r>
            <w:r w:rsidRPr="00DA0C00">
              <w:t>ryptococcal</w:t>
            </w:r>
            <w:proofErr w:type="spellEnd"/>
            <w:r w:rsidRPr="00DA0C00">
              <w:t xml:space="preserve"> meningitis</w:t>
            </w:r>
            <w:r>
              <w:t xml:space="preserve"> relapse in AIDS patients</w:t>
            </w:r>
          </w:p>
        </w:tc>
        <w:tc>
          <w:tcPr>
            <w:tcW w:w="0" w:type="auto"/>
          </w:tcPr>
          <w:p w14:paraId="14CDAAA5" w14:textId="77777777" w:rsidR="00C93890" w:rsidRPr="00A35800" w:rsidRDefault="00C93890" w:rsidP="00642567">
            <w:pPr>
              <w:pStyle w:val="Tablewriting"/>
            </w:pPr>
            <w:r>
              <w:t xml:space="preserve">100-200 mg daily after full course of primary treatment. </w:t>
            </w:r>
          </w:p>
        </w:tc>
      </w:tr>
      <w:tr w:rsidR="00C93890" w:rsidRPr="00A35800" w14:paraId="3AEEDC12" w14:textId="77777777" w:rsidTr="00642567">
        <w:trPr>
          <w:cantSplit/>
        </w:trPr>
        <w:tc>
          <w:tcPr>
            <w:tcW w:w="0" w:type="auto"/>
          </w:tcPr>
          <w:p w14:paraId="07B7BADC" w14:textId="77777777" w:rsidR="00C93890" w:rsidRPr="00A35800" w:rsidRDefault="00C93890" w:rsidP="00642567">
            <w:pPr>
              <w:pStyle w:val="Tablewriting"/>
            </w:pPr>
            <w:r w:rsidRPr="00DA0C00">
              <w:t xml:space="preserve">Secondary prophylaxis against </w:t>
            </w:r>
            <w:proofErr w:type="spellStart"/>
            <w:r w:rsidRPr="00DA0C00">
              <w:t>oropharyngeal</w:t>
            </w:r>
            <w:proofErr w:type="spellEnd"/>
            <w:r w:rsidRPr="00DA0C00">
              <w:t xml:space="preserve"> candidiasis in patients with HIV</w:t>
            </w:r>
            <w:r>
              <w:t xml:space="preserve"> infection. </w:t>
            </w:r>
          </w:p>
        </w:tc>
        <w:tc>
          <w:tcPr>
            <w:tcW w:w="0" w:type="auto"/>
          </w:tcPr>
          <w:p w14:paraId="2E883891" w14:textId="77777777" w:rsidR="00C93890" w:rsidRPr="00A35800" w:rsidRDefault="00C93890" w:rsidP="00642567">
            <w:pPr>
              <w:pStyle w:val="Tablewriting"/>
            </w:pPr>
            <w:r>
              <w:t xml:space="preserve">150 mg as a single dose once weekly. </w:t>
            </w:r>
          </w:p>
        </w:tc>
      </w:tr>
      <w:tr w:rsidR="00C93890" w:rsidRPr="00A35800" w14:paraId="327DA59C" w14:textId="77777777" w:rsidTr="00642567">
        <w:trPr>
          <w:cantSplit/>
        </w:trPr>
        <w:tc>
          <w:tcPr>
            <w:tcW w:w="0" w:type="auto"/>
            <w:vAlign w:val="center"/>
          </w:tcPr>
          <w:p w14:paraId="787D6202" w14:textId="77777777" w:rsidR="00C93890" w:rsidRPr="00A35800" w:rsidRDefault="00C93890" w:rsidP="00642567">
            <w:pPr>
              <w:pStyle w:val="Tablewriting"/>
            </w:pPr>
            <w:r w:rsidRPr="00067EA1">
              <w:t xml:space="preserve">Vaginal candidiasis </w:t>
            </w:r>
            <w:r>
              <w:t>when topical therapy has failed</w:t>
            </w:r>
          </w:p>
        </w:tc>
        <w:tc>
          <w:tcPr>
            <w:tcW w:w="0" w:type="auto"/>
          </w:tcPr>
          <w:p w14:paraId="7D25E98C" w14:textId="77777777" w:rsidR="00C93890" w:rsidRPr="00A35800" w:rsidRDefault="00C93890" w:rsidP="00642567">
            <w:pPr>
              <w:pStyle w:val="Tablewriting"/>
            </w:pPr>
            <w:r>
              <w:t xml:space="preserve">150 mg as a single dose. </w:t>
            </w:r>
          </w:p>
        </w:tc>
      </w:tr>
      <w:tr w:rsidR="00C93890" w:rsidRPr="00A35800" w14:paraId="073374D0" w14:textId="77777777" w:rsidTr="00642567">
        <w:trPr>
          <w:cantSplit/>
        </w:trPr>
        <w:tc>
          <w:tcPr>
            <w:tcW w:w="0" w:type="auto"/>
            <w:vAlign w:val="center"/>
          </w:tcPr>
          <w:p w14:paraId="19470DFE" w14:textId="77777777" w:rsidR="00C93890" w:rsidRPr="00A35800" w:rsidRDefault="00C93890" w:rsidP="00642567">
            <w:pPr>
              <w:pStyle w:val="Tablewriting"/>
            </w:pPr>
            <w:proofErr w:type="spellStart"/>
            <w:r>
              <w:t>Tinea</w:t>
            </w:r>
            <w:proofErr w:type="spellEnd"/>
            <w:r>
              <w:t xml:space="preserve"> infections </w:t>
            </w:r>
          </w:p>
        </w:tc>
        <w:tc>
          <w:tcPr>
            <w:tcW w:w="0" w:type="auto"/>
          </w:tcPr>
          <w:p w14:paraId="55F08537" w14:textId="77777777" w:rsidR="00C93890" w:rsidRPr="00A35800" w:rsidRDefault="00C93890" w:rsidP="00642567">
            <w:pPr>
              <w:pStyle w:val="Tablewriting"/>
            </w:pPr>
            <w:r>
              <w:t xml:space="preserve">150 mg once weekly for 4 weeks. </w:t>
            </w:r>
          </w:p>
        </w:tc>
      </w:tr>
      <w:tr w:rsidR="00C93890" w:rsidRPr="00A35800" w14:paraId="70DA7824" w14:textId="77777777" w:rsidTr="00642567">
        <w:trPr>
          <w:cantSplit/>
        </w:trPr>
        <w:tc>
          <w:tcPr>
            <w:tcW w:w="0" w:type="auto"/>
            <w:vAlign w:val="center"/>
          </w:tcPr>
          <w:p w14:paraId="5C14FD44" w14:textId="77777777" w:rsidR="00C93890" w:rsidRPr="00A35800" w:rsidRDefault="00C93890" w:rsidP="00642567">
            <w:pPr>
              <w:pStyle w:val="Tablewriting"/>
            </w:pPr>
            <w:r>
              <w:t xml:space="preserve">Mucosal candidiasis (children) </w:t>
            </w:r>
          </w:p>
        </w:tc>
        <w:tc>
          <w:tcPr>
            <w:tcW w:w="0" w:type="auto"/>
          </w:tcPr>
          <w:p w14:paraId="2C451244" w14:textId="77777777" w:rsidR="00C93890" w:rsidRPr="00A35800" w:rsidRDefault="00C93890" w:rsidP="00642567">
            <w:pPr>
              <w:pStyle w:val="Tablewriting"/>
            </w:pPr>
            <w:r>
              <w:t>3 </w:t>
            </w:r>
            <w:r w:rsidRPr="00BC47F3">
              <w:t>mg/kg daily. A</w:t>
            </w:r>
            <w:r>
              <w:t xml:space="preserve"> loading dose of 6 </w:t>
            </w:r>
            <w:r w:rsidRPr="00BC47F3">
              <w:t>mg/kg may be used on the first day</w:t>
            </w:r>
          </w:p>
        </w:tc>
      </w:tr>
    </w:tbl>
    <w:p w14:paraId="083FFB30" w14:textId="77777777" w:rsidR="00C93890" w:rsidRDefault="00C93890" w:rsidP="00C93890">
      <w:pPr>
        <w:pStyle w:val="Notes"/>
        <w:rPr>
          <w:highlight w:val="yellow"/>
        </w:rPr>
      </w:pPr>
      <w:r w:rsidRPr="003F690C">
        <w:t>Source: Fluconazole (</w:t>
      </w:r>
      <w:proofErr w:type="spellStart"/>
      <w:r w:rsidRPr="003F690C">
        <w:t>Diflucan</w:t>
      </w:r>
      <w:proofErr w:type="spellEnd"/>
      <w:r w:rsidRPr="003F690C">
        <w:t>) Product Information</w:t>
      </w:r>
    </w:p>
    <w:p w14:paraId="19940887" w14:textId="77777777" w:rsidR="00C93890" w:rsidRDefault="00C93890" w:rsidP="00C93890">
      <w:r w:rsidRPr="009608E2">
        <w:t xml:space="preserve">Table </w:t>
      </w:r>
      <w:r>
        <w:t>A2</w:t>
      </w:r>
      <w:r w:rsidRPr="009608E2">
        <w:t xml:space="preserve"> presents </w:t>
      </w:r>
      <w:proofErr w:type="spellStart"/>
      <w:r w:rsidRPr="009608E2">
        <w:t>itraconazole</w:t>
      </w:r>
      <w:proofErr w:type="spellEnd"/>
      <w:r w:rsidRPr="009608E2">
        <w:t xml:space="preserve"> dosage and administration</w:t>
      </w:r>
      <w:r>
        <w:t xml:space="preserve"> for adults based on the </w:t>
      </w:r>
      <w:proofErr w:type="spellStart"/>
      <w:r>
        <w:t>Sporanox</w:t>
      </w:r>
      <w:proofErr w:type="spellEnd"/>
      <w:r>
        <w:t xml:space="preserve"> brand of </w:t>
      </w:r>
      <w:proofErr w:type="spellStart"/>
      <w:r>
        <w:t>itraconazole</w:t>
      </w:r>
      <w:proofErr w:type="spellEnd"/>
      <w:r w:rsidRPr="009608E2">
        <w:t xml:space="preserve">. </w:t>
      </w:r>
      <w:r>
        <w:t xml:space="preserve">There are two brands of </w:t>
      </w:r>
      <w:proofErr w:type="spellStart"/>
      <w:r>
        <w:t>itraconazole</w:t>
      </w:r>
      <w:proofErr w:type="spellEnd"/>
      <w:r>
        <w:t xml:space="preserve"> listed on the PBS: </w:t>
      </w:r>
      <w:proofErr w:type="spellStart"/>
      <w:r>
        <w:t>Sporanox</w:t>
      </w:r>
      <w:proofErr w:type="spellEnd"/>
      <w:r>
        <w:t xml:space="preserve"> and </w:t>
      </w:r>
      <w:proofErr w:type="spellStart"/>
      <w:r>
        <w:t>Lozanoc</w:t>
      </w:r>
      <w:proofErr w:type="spellEnd"/>
      <w:r>
        <w:t xml:space="preserve">. The doses are not equivalent. </w:t>
      </w:r>
      <w:r w:rsidRPr="00583143">
        <w:t xml:space="preserve">The recommended dose of </w:t>
      </w:r>
      <w:proofErr w:type="spellStart"/>
      <w:r w:rsidRPr="00583143">
        <w:t>Lozanoc</w:t>
      </w:r>
      <w:proofErr w:type="spellEnd"/>
      <w:r w:rsidRPr="00583143">
        <w:t xml:space="preserve"> is half the recommended dose for </w:t>
      </w:r>
      <w:proofErr w:type="spellStart"/>
      <w:r w:rsidRPr="00583143">
        <w:t>Sporanox</w:t>
      </w:r>
      <w:proofErr w:type="spellEnd"/>
      <w:r>
        <w:t xml:space="preserve">. </w:t>
      </w:r>
      <w:r w:rsidRPr="009608E2">
        <w:t xml:space="preserve">The table only includes indications that are relevant for the PBS listed conditions and populations. </w:t>
      </w:r>
    </w:p>
    <w:p w14:paraId="5F17DD56" w14:textId="77777777" w:rsidR="00C93890" w:rsidRPr="009608E2" w:rsidRDefault="00C93890" w:rsidP="00C93890">
      <w:pPr>
        <w:pStyle w:val="Tabletitle"/>
      </w:pPr>
      <w:r w:rsidRPr="009608E2">
        <w:t xml:space="preserve">Table </w:t>
      </w:r>
      <w:r>
        <w:t>A2</w:t>
      </w:r>
      <w:r w:rsidRPr="009608E2">
        <w:t xml:space="preserve">: Dosage and administration of </w:t>
      </w:r>
      <w:proofErr w:type="spellStart"/>
      <w:r w:rsidRPr="009608E2">
        <w:t>itraconazole</w:t>
      </w:r>
      <w:proofErr w:type="spellEnd"/>
      <w:r>
        <w:t xml:space="preserve"> (</w:t>
      </w:r>
      <w:proofErr w:type="spellStart"/>
      <w:r>
        <w:t>Sporanox</w:t>
      </w:r>
      <w:proofErr w:type="spellEnd"/>
      <w:r>
        <w:t xml:space="preserve"> brand)</w:t>
      </w:r>
    </w:p>
    <w:tbl>
      <w:tblPr>
        <w:tblStyle w:val="TableGrid"/>
        <w:tblW w:w="0" w:type="auto"/>
        <w:tblLook w:val="04A0" w:firstRow="1" w:lastRow="0" w:firstColumn="1" w:lastColumn="0" w:noHBand="0" w:noVBand="1"/>
      </w:tblPr>
      <w:tblGrid>
        <w:gridCol w:w="2447"/>
        <w:gridCol w:w="6726"/>
      </w:tblGrid>
      <w:tr w:rsidR="00C93890" w:rsidRPr="00A35800" w14:paraId="08FBD6A7" w14:textId="77777777" w:rsidTr="00642567">
        <w:trPr>
          <w:cantSplit/>
          <w:tblHeader/>
        </w:trPr>
        <w:tc>
          <w:tcPr>
            <w:tcW w:w="0" w:type="auto"/>
            <w:shd w:val="clear" w:color="auto" w:fill="BFBFBF" w:themeFill="background1" w:themeFillShade="BF"/>
          </w:tcPr>
          <w:p w14:paraId="31931239" w14:textId="77777777" w:rsidR="00C93890" w:rsidRPr="00A35800" w:rsidRDefault="00C93890" w:rsidP="00642567">
            <w:pPr>
              <w:pStyle w:val="Tableheading"/>
              <w:rPr>
                <w:szCs w:val="20"/>
              </w:rPr>
            </w:pPr>
            <w:r>
              <w:rPr>
                <w:szCs w:val="20"/>
              </w:rPr>
              <w:t>Indication</w:t>
            </w:r>
          </w:p>
        </w:tc>
        <w:tc>
          <w:tcPr>
            <w:tcW w:w="0" w:type="auto"/>
            <w:shd w:val="clear" w:color="auto" w:fill="BFBFBF" w:themeFill="background1" w:themeFillShade="BF"/>
          </w:tcPr>
          <w:p w14:paraId="722ED059" w14:textId="77777777" w:rsidR="00C93890" w:rsidRPr="00A35800" w:rsidRDefault="00C93890" w:rsidP="00642567">
            <w:pPr>
              <w:pStyle w:val="Tableheading"/>
              <w:rPr>
                <w:szCs w:val="20"/>
              </w:rPr>
            </w:pPr>
            <w:r w:rsidRPr="00A35800">
              <w:rPr>
                <w:szCs w:val="20"/>
              </w:rPr>
              <w:t xml:space="preserve">Dose and frequency of administration </w:t>
            </w:r>
            <w:r>
              <w:rPr>
                <w:szCs w:val="20"/>
              </w:rPr>
              <w:br/>
              <w:t xml:space="preserve">Caution: Recommended doses only apply to </w:t>
            </w:r>
            <w:proofErr w:type="spellStart"/>
            <w:r>
              <w:rPr>
                <w:szCs w:val="20"/>
              </w:rPr>
              <w:t>Sporanox</w:t>
            </w:r>
            <w:proofErr w:type="spellEnd"/>
            <w:r>
              <w:rPr>
                <w:szCs w:val="20"/>
              </w:rPr>
              <w:t xml:space="preserve"> brand of </w:t>
            </w:r>
            <w:proofErr w:type="spellStart"/>
            <w:r>
              <w:rPr>
                <w:szCs w:val="20"/>
              </w:rPr>
              <w:t>itraconazole</w:t>
            </w:r>
            <w:proofErr w:type="spellEnd"/>
            <w:r>
              <w:rPr>
                <w:szCs w:val="20"/>
              </w:rPr>
              <w:t>)</w:t>
            </w:r>
          </w:p>
        </w:tc>
      </w:tr>
      <w:tr w:rsidR="00C93890" w:rsidRPr="00A35800" w14:paraId="7132C32D" w14:textId="77777777" w:rsidTr="00642567">
        <w:trPr>
          <w:cantSplit/>
        </w:trPr>
        <w:tc>
          <w:tcPr>
            <w:tcW w:w="0" w:type="auto"/>
          </w:tcPr>
          <w:p w14:paraId="406682EF" w14:textId="77777777" w:rsidR="00C93890" w:rsidRPr="00A35800" w:rsidRDefault="00C93890" w:rsidP="00642567">
            <w:pPr>
              <w:pStyle w:val="Tablewriting"/>
            </w:pPr>
            <w:proofErr w:type="spellStart"/>
            <w:r>
              <w:t>Aspergillosis</w:t>
            </w:r>
            <w:proofErr w:type="spellEnd"/>
          </w:p>
        </w:tc>
        <w:tc>
          <w:tcPr>
            <w:tcW w:w="0" w:type="auto"/>
          </w:tcPr>
          <w:p w14:paraId="37B9E27E" w14:textId="77777777" w:rsidR="00C93890" w:rsidRPr="00A35800" w:rsidRDefault="00C93890" w:rsidP="00642567">
            <w:pPr>
              <w:pStyle w:val="Tablewriting"/>
            </w:pPr>
            <w:r>
              <w:t>200 mg once daily for 2</w:t>
            </w:r>
            <w:r>
              <w:noBreakHyphen/>
              <w:t xml:space="preserve">5 months. 200 mg twice daily can be used for invasive or disseminated disease. </w:t>
            </w:r>
          </w:p>
        </w:tc>
      </w:tr>
      <w:tr w:rsidR="00C93890" w:rsidRPr="00A35800" w14:paraId="041FFDCA" w14:textId="77777777" w:rsidTr="00642567">
        <w:trPr>
          <w:cantSplit/>
        </w:trPr>
        <w:tc>
          <w:tcPr>
            <w:tcW w:w="0" w:type="auto"/>
          </w:tcPr>
          <w:p w14:paraId="43769985" w14:textId="77777777" w:rsidR="00C93890" w:rsidRPr="00A35800" w:rsidRDefault="00C93890" w:rsidP="00642567">
            <w:pPr>
              <w:pStyle w:val="Tablewriting"/>
            </w:pPr>
            <w:proofErr w:type="spellStart"/>
            <w:r>
              <w:t>Histoplasmosis</w:t>
            </w:r>
            <w:proofErr w:type="spellEnd"/>
          </w:p>
        </w:tc>
        <w:tc>
          <w:tcPr>
            <w:tcW w:w="0" w:type="auto"/>
          </w:tcPr>
          <w:p w14:paraId="37EC6D0B" w14:textId="77777777" w:rsidR="00C93890" w:rsidRPr="00A35800" w:rsidRDefault="00C93890" w:rsidP="00642567">
            <w:pPr>
              <w:pStyle w:val="Tablewriting"/>
            </w:pPr>
            <w:r>
              <w:t>200 mg once to twice daily for 8 months. Maintenance therapy 200 mg once daily.</w:t>
            </w:r>
          </w:p>
        </w:tc>
      </w:tr>
      <w:tr w:rsidR="00C93890" w:rsidRPr="00A35800" w14:paraId="57F9CE94" w14:textId="77777777" w:rsidTr="00642567">
        <w:trPr>
          <w:cantSplit/>
        </w:trPr>
        <w:tc>
          <w:tcPr>
            <w:tcW w:w="0" w:type="auto"/>
          </w:tcPr>
          <w:p w14:paraId="5A57EA19" w14:textId="77777777" w:rsidR="00C93890" w:rsidRPr="00A35800" w:rsidRDefault="00C93890" w:rsidP="00642567">
            <w:pPr>
              <w:pStyle w:val="Tablewriting"/>
            </w:pPr>
            <w:proofErr w:type="spellStart"/>
            <w:r w:rsidRPr="00764EC2">
              <w:t>Sporotrichosis</w:t>
            </w:r>
            <w:proofErr w:type="spellEnd"/>
          </w:p>
        </w:tc>
        <w:tc>
          <w:tcPr>
            <w:tcW w:w="0" w:type="auto"/>
          </w:tcPr>
          <w:p w14:paraId="79BCB85D" w14:textId="77777777" w:rsidR="00C93890" w:rsidRPr="00A35800" w:rsidRDefault="00C93890" w:rsidP="00642567">
            <w:pPr>
              <w:pStyle w:val="Tablewriting"/>
            </w:pPr>
            <w:r>
              <w:t xml:space="preserve">100 mg once daily for 3 months. Some patients may require 200 mg daily. </w:t>
            </w:r>
          </w:p>
        </w:tc>
      </w:tr>
      <w:tr w:rsidR="00C93890" w:rsidRPr="00A35800" w14:paraId="7454C746" w14:textId="77777777" w:rsidTr="00642567">
        <w:trPr>
          <w:cantSplit/>
        </w:trPr>
        <w:tc>
          <w:tcPr>
            <w:tcW w:w="0" w:type="auto"/>
          </w:tcPr>
          <w:p w14:paraId="2576FB47" w14:textId="77777777" w:rsidR="00C93890" w:rsidRPr="00A35800" w:rsidRDefault="00C93890" w:rsidP="00642567">
            <w:pPr>
              <w:pStyle w:val="Tablewriting"/>
            </w:pPr>
            <w:r>
              <w:t>Systemic candidiasis</w:t>
            </w:r>
          </w:p>
        </w:tc>
        <w:tc>
          <w:tcPr>
            <w:tcW w:w="0" w:type="auto"/>
          </w:tcPr>
          <w:p w14:paraId="6092A1C4" w14:textId="77777777" w:rsidR="00C93890" w:rsidRPr="00A35800" w:rsidRDefault="00C93890" w:rsidP="00642567">
            <w:pPr>
              <w:pStyle w:val="Tablewriting"/>
            </w:pPr>
            <w:r>
              <w:t>100</w:t>
            </w:r>
            <w:r>
              <w:noBreakHyphen/>
              <w:t xml:space="preserve">200 mg once daily. Treatment duration usually between 3 weeks and 7 months. </w:t>
            </w:r>
          </w:p>
        </w:tc>
      </w:tr>
      <w:tr w:rsidR="00C93890" w:rsidRPr="00A35800" w14:paraId="4FAE7087" w14:textId="77777777" w:rsidTr="00642567">
        <w:trPr>
          <w:cantSplit/>
        </w:trPr>
        <w:tc>
          <w:tcPr>
            <w:tcW w:w="0" w:type="auto"/>
          </w:tcPr>
          <w:p w14:paraId="736DB7EC" w14:textId="77777777" w:rsidR="00C93890" w:rsidRPr="00A35800" w:rsidRDefault="00C93890" w:rsidP="00642567">
            <w:pPr>
              <w:pStyle w:val="Tablewriting"/>
            </w:pPr>
            <w:r>
              <w:lastRenderedPageBreak/>
              <w:t xml:space="preserve">Oral candidiasis </w:t>
            </w:r>
            <w:r>
              <w:br/>
              <w:t>(Immunosuppressed patients)</w:t>
            </w:r>
          </w:p>
        </w:tc>
        <w:tc>
          <w:tcPr>
            <w:tcW w:w="0" w:type="auto"/>
          </w:tcPr>
          <w:p w14:paraId="5335BD5D" w14:textId="77777777" w:rsidR="00C93890" w:rsidRPr="00A35800" w:rsidRDefault="00C93890" w:rsidP="00642567">
            <w:pPr>
              <w:pStyle w:val="Tablewriting"/>
            </w:pPr>
            <w:r>
              <w:t>100</w:t>
            </w:r>
            <w:r>
              <w:noBreakHyphen/>
              <w:t xml:space="preserve">200mg daily for 4 weeks. </w:t>
            </w:r>
          </w:p>
        </w:tc>
      </w:tr>
    </w:tbl>
    <w:p w14:paraId="721FB96A" w14:textId="77777777" w:rsidR="00C93890" w:rsidRPr="009608E2" w:rsidRDefault="00C93890" w:rsidP="00C93890">
      <w:pPr>
        <w:pStyle w:val="Notes"/>
      </w:pPr>
      <w:r w:rsidRPr="009608E2">
        <w:t xml:space="preserve">Source: </w:t>
      </w:r>
      <w:proofErr w:type="spellStart"/>
      <w:r w:rsidRPr="009608E2">
        <w:t>Sporanox</w:t>
      </w:r>
      <w:proofErr w:type="spellEnd"/>
      <w:r w:rsidRPr="009608E2">
        <w:t xml:space="preserve"> (</w:t>
      </w:r>
      <w:proofErr w:type="spellStart"/>
      <w:r w:rsidRPr="009608E2">
        <w:t>itraconazole</w:t>
      </w:r>
      <w:proofErr w:type="spellEnd"/>
      <w:r w:rsidRPr="009608E2">
        <w:t>) Product Information.</w:t>
      </w:r>
      <w:r>
        <w:br/>
        <w:t xml:space="preserve">Note:  The PI states the safety and efficacy in children is not established.  </w:t>
      </w:r>
      <w:proofErr w:type="spellStart"/>
      <w:r>
        <w:t>Itraconazole</w:t>
      </w:r>
      <w:proofErr w:type="spellEnd"/>
      <w:r>
        <w:t xml:space="preserve"> appears to be used in children in Australia.</w:t>
      </w:r>
      <w:r w:rsidRPr="00B3503A">
        <w:rPr>
          <w:noProof/>
          <w:vertAlign w:val="superscript"/>
        </w:rPr>
        <w:t>20</w:t>
      </w:r>
      <w:r w:rsidRPr="009608E2">
        <w:t xml:space="preserve"> </w:t>
      </w:r>
    </w:p>
    <w:p w14:paraId="4619178F" w14:textId="77777777" w:rsidR="00C93890" w:rsidRPr="009608E2" w:rsidRDefault="00C93890" w:rsidP="00C93890">
      <w:r>
        <w:t xml:space="preserve">Table A3 presents the dosage and administration information for </w:t>
      </w:r>
      <w:proofErr w:type="spellStart"/>
      <w:r>
        <w:t>posaconazole</w:t>
      </w:r>
      <w:proofErr w:type="spellEnd"/>
      <w:r>
        <w:t xml:space="preserve">. </w:t>
      </w:r>
    </w:p>
    <w:p w14:paraId="4BA9B31F" w14:textId="77777777" w:rsidR="00C93890" w:rsidRPr="001A0A27" w:rsidRDefault="00C93890" w:rsidP="00C93890">
      <w:pPr>
        <w:pStyle w:val="Tabletitle"/>
      </w:pPr>
      <w:r w:rsidRPr="001A0A27">
        <w:t xml:space="preserve">Table </w:t>
      </w:r>
      <w:r>
        <w:t>A3</w:t>
      </w:r>
      <w:r w:rsidRPr="001A0A27">
        <w:t xml:space="preserve">: Dosage and administration of </w:t>
      </w:r>
      <w:proofErr w:type="spellStart"/>
      <w:r w:rsidRPr="001A0A27">
        <w:t>posaconazole</w:t>
      </w:r>
      <w:proofErr w:type="spellEnd"/>
    </w:p>
    <w:tbl>
      <w:tblPr>
        <w:tblStyle w:val="TableGrid"/>
        <w:tblW w:w="9180" w:type="dxa"/>
        <w:tblLook w:val="04A0" w:firstRow="1" w:lastRow="0" w:firstColumn="1" w:lastColumn="0" w:noHBand="0" w:noVBand="1"/>
      </w:tblPr>
      <w:tblGrid>
        <w:gridCol w:w="2660"/>
        <w:gridCol w:w="3544"/>
        <w:gridCol w:w="2976"/>
      </w:tblGrid>
      <w:tr w:rsidR="00C93890" w:rsidRPr="00A35800" w14:paraId="7988E20D" w14:textId="77777777" w:rsidTr="00642567">
        <w:trPr>
          <w:tblHeader/>
        </w:trPr>
        <w:tc>
          <w:tcPr>
            <w:tcW w:w="2660" w:type="dxa"/>
            <w:shd w:val="clear" w:color="auto" w:fill="BFBFBF" w:themeFill="background1" w:themeFillShade="BF"/>
          </w:tcPr>
          <w:p w14:paraId="484994DD" w14:textId="77777777" w:rsidR="00C93890" w:rsidRPr="00A35800" w:rsidRDefault="00C93890" w:rsidP="00642567">
            <w:pPr>
              <w:pStyle w:val="Tableheading"/>
              <w:rPr>
                <w:szCs w:val="20"/>
              </w:rPr>
            </w:pPr>
            <w:r>
              <w:rPr>
                <w:szCs w:val="20"/>
              </w:rPr>
              <w:t>Indication</w:t>
            </w:r>
          </w:p>
        </w:tc>
        <w:tc>
          <w:tcPr>
            <w:tcW w:w="3544" w:type="dxa"/>
            <w:shd w:val="clear" w:color="auto" w:fill="BFBFBF" w:themeFill="background1" w:themeFillShade="BF"/>
          </w:tcPr>
          <w:p w14:paraId="49E0ABA4" w14:textId="77777777" w:rsidR="00C93890" w:rsidRPr="00A35800" w:rsidRDefault="00C93890" w:rsidP="00642567">
            <w:pPr>
              <w:pStyle w:val="Tableheading"/>
              <w:rPr>
                <w:szCs w:val="20"/>
              </w:rPr>
            </w:pPr>
            <w:r>
              <w:rPr>
                <w:szCs w:val="20"/>
              </w:rPr>
              <w:t>Oral suspension</w:t>
            </w:r>
          </w:p>
        </w:tc>
        <w:tc>
          <w:tcPr>
            <w:tcW w:w="2976" w:type="dxa"/>
            <w:shd w:val="clear" w:color="auto" w:fill="BFBFBF" w:themeFill="background1" w:themeFillShade="BF"/>
          </w:tcPr>
          <w:p w14:paraId="4B2585C0" w14:textId="77777777" w:rsidR="00C93890" w:rsidRPr="00A35800" w:rsidRDefault="00C93890" w:rsidP="00642567">
            <w:pPr>
              <w:pStyle w:val="Tableheading"/>
              <w:rPr>
                <w:szCs w:val="20"/>
              </w:rPr>
            </w:pPr>
            <w:r>
              <w:rPr>
                <w:szCs w:val="20"/>
              </w:rPr>
              <w:t>Tablets</w:t>
            </w:r>
            <w:r w:rsidRPr="00A35800">
              <w:rPr>
                <w:szCs w:val="20"/>
              </w:rPr>
              <w:t xml:space="preserve"> </w:t>
            </w:r>
          </w:p>
        </w:tc>
      </w:tr>
      <w:tr w:rsidR="00C93890" w:rsidRPr="00A35800" w14:paraId="71F4E0F2" w14:textId="77777777" w:rsidTr="00642567">
        <w:tc>
          <w:tcPr>
            <w:tcW w:w="2660" w:type="dxa"/>
          </w:tcPr>
          <w:p w14:paraId="1354FB9F" w14:textId="77777777" w:rsidR="00C93890" w:rsidRPr="00A35800" w:rsidRDefault="00C93890" w:rsidP="00642567">
            <w:pPr>
              <w:pStyle w:val="Tablewriting"/>
            </w:pPr>
            <w:r>
              <w:t>Refractory invasive fungal infection</w:t>
            </w:r>
          </w:p>
        </w:tc>
        <w:tc>
          <w:tcPr>
            <w:tcW w:w="3544" w:type="dxa"/>
          </w:tcPr>
          <w:p w14:paraId="3E45AFA5" w14:textId="77777777" w:rsidR="00C93890" w:rsidRPr="00A35800" w:rsidRDefault="00C93890" w:rsidP="00642567">
            <w:pPr>
              <w:pStyle w:val="Tablewriting"/>
            </w:pPr>
            <w:r>
              <w:t xml:space="preserve">400 mg twice daily food. Daily dose can be given as 100 mg four times daily. </w:t>
            </w:r>
          </w:p>
        </w:tc>
        <w:tc>
          <w:tcPr>
            <w:tcW w:w="2976" w:type="dxa"/>
          </w:tcPr>
          <w:p w14:paraId="12701F37" w14:textId="77777777" w:rsidR="00C93890" w:rsidRDefault="00C93890" w:rsidP="00642567">
            <w:pPr>
              <w:pStyle w:val="Tablewriting"/>
            </w:pPr>
            <w:r>
              <w:t xml:space="preserve">Loading dose of 300 mg twice daily on the first day. 300 mg once daily thereafter.  </w:t>
            </w:r>
          </w:p>
          <w:p w14:paraId="726A4563" w14:textId="77777777" w:rsidR="00C93890" w:rsidRPr="00A35800" w:rsidRDefault="00C93890" w:rsidP="00642567">
            <w:pPr>
              <w:pStyle w:val="Tablewriting"/>
            </w:pPr>
          </w:p>
        </w:tc>
      </w:tr>
      <w:tr w:rsidR="00C93890" w:rsidRPr="00A35800" w14:paraId="7D47EC10" w14:textId="77777777" w:rsidTr="00642567">
        <w:tc>
          <w:tcPr>
            <w:tcW w:w="2660" w:type="dxa"/>
          </w:tcPr>
          <w:p w14:paraId="5A669907" w14:textId="77777777" w:rsidR="00C93890" w:rsidRPr="00A35800" w:rsidRDefault="00C93890" w:rsidP="00642567">
            <w:pPr>
              <w:pStyle w:val="Tablewriting"/>
            </w:pPr>
            <w:proofErr w:type="spellStart"/>
            <w:r>
              <w:t>Oropharyngeal</w:t>
            </w:r>
            <w:proofErr w:type="spellEnd"/>
            <w:r>
              <w:t xml:space="preserve"> candidiasis (HIV infected patients)</w:t>
            </w:r>
          </w:p>
        </w:tc>
        <w:tc>
          <w:tcPr>
            <w:tcW w:w="3544" w:type="dxa"/>
          </w:tcPr>
          <w:p w14:paraId="2D0977C9" w14:textId="77777777" w:rsidR="00C93890" w:rsidRPr="00A35800" w:rsidRDefault="00C93890" w:rsidP="00642567">
            <w:pPr>
              <w:pStyle w:val="Tablewriting"/>
            </w:pPr>
            <w:r>
              <w:t xml:space="preserve">200 mg once a day on the first day. 100 mg daily thereafter for 13 days. </w:t>
            </w:r>
          </w:p>
        </w:tc>
        <w:tc>
          <w:tcPr>
            <w:tcW w:w="2976" w:type="dxa"/>
          </w:tcPr>
          <w:p w14:paraId="5F45367B" w14:textId="77777777" w:rsidR="00C93890" w:rsidRPr="00A35800" w:rsidRDefault="00C93890" w:rsidP="00642567">
            <w:pPr>
              <w:pStyle w:val="Tablewriting"/>
            </w:pPr>
            <w:r>
              <w:t xml:space="preserve">No regimen specified in PI. </w:t>
            </w:r>
          </w:p>
        </w:tc>
      </w:tr>
      <w:tr w:rsidR="00C93890" w:rsidRPr="00A35800" w14:paraId="6405AD66" w14:textId="77777777" w:rsidTr="00642567">
        <w:tc>
          <w:tcPr>
            <w:tcW w:w="2660" w:type="dxa"/>
          </w:tcPr>
          <w:p w14:paraId="4B382AC8" w14:textId="77777777" w:rsidR="00C93890" w:rsidRPr="00A35800" w:rsidRDefault="00C93890" w:rsidP="00642567">
            <w:pPr>
              <w:pStyle w:val="Tablewriting"/>
            </w:pPr>
            <w:r>
              <w:t>Prophylaxis of invasive fungal infections</w:t>
            </w:r>
          </w:p>
        </w:tc>
        <w:tc>
          <w:tcPr>
            <w:tcW w:w="3544" w:type="dxa"/>
          </w:tcPr>
          <w:p w14:paraId="44CE15FE" w14:textId="77777777" w:rsidR="00C93890" w:rsidRPr="00A35800" w:rsidRDefault="00C93890" w:rsidP="00642567">
            <w:pPr>
              <w:pStyle w:val="Tablewriting"/>
            </w:pPr>
            <w:r>
              <w:t>200 mg three times daily.</w:t>
            </w:r>
          </w:p>
        </w:tc>
        <w:tc>
          <w:tcPr>
            <w:tcW w:w="2976" w:type="dxa"/>
          </w:tcPr>
          <w:p w14:paraId="312E9B39" w14:textId="77777777" w:rsidR="00C93890" w:rsidRPr="00A35800" w:rsidRDefault="00C93890" w:rsidP="00642567">
            <w:pPr>
              <w:pStyle w:val="Tablewriting"/>
            </w:pPr>
            <w:r>
              <w:t xml:space="preserve">Loading dose of 300 mg twice daily on the first day. 300 mg once daily thereafter. </w:t>
            </w:r>
          </w:p>
        </w:tc>
      </w:tr>
    </w:tbl>
    <w:p w14:paraId="48DA1E23" w14:textId="77777777" w:rsidR="00C93890" w:rsidRPr="00893348" w:rsidRDefault="00C93890" w:rsidP="00C93890">
      <w:pPr>
        <w:pStyle w:val="Notes"/>
      </w:pPr>
      <w:r w:rsidRPr="00893348">
        <w:t>Source:</w:t>
      </w:r>
      <w:r>
        <w:t xml:space="preserve"> </w:t>
      </w:r>
      <w:proofErr w:type="spellStart"/>
      <w:r>
        <w:t>Posaconazole</w:t>
      </w:r>
      <w:proofErr w:type="spellEnd"/>
      <w:r>
        <w:t xml:space="preserve"> (</w:t>
      </w:r>
      <w:proofErr w:type="spellStart"/>
      <w:r>
        <w:t>Noxafil</w:t>
      </w:r>
      <w:proofErr w:type="spellEnd"/>
      <w:r>
        <w:t xml:space="preserve">) Product Information. </w:t>
      </w:r>
    </w:p>
    <w:p w14:paraId="72C2F6C2" w14:textId="77777777" w:rsidR="00C93890" w:rsidRPr="00472F6F" w:rsidRDefault="00C93890" w:rsidP="00C93890">
      <w:r w:rsidRPr="00472F6F">
        <w:t xml:space="preserve">Table </w:t>
      </w:r>
      <w:r>
        <w:t>A4</w:t>
      </w:r>
      <w:r w:rsidRPr="00472F6F">
        <w:t xml:space="preserve"> presents dosage and administration recommendations for </w:t>
      </w:r>
      <w:proofErr w:type="spellStart"/>
      <w:r w:rsidRPr="00472F6F">
        <w:t>voriconazole</w:t>
      </w:r>
      <w:proofErr w:type="spellEnd"/>
      <w:r w:rsidRPr="00472F6F">
        <w:t>.</w:t>
      </w:r>
    </w:p>
    <w:p w14:paraId="3C816CB5" w14:textId="77777777" w:rsidR="00C93890" w:rsidRPr="00472F6F" w:rsidRDefault="00C93890" w:rsidP="00C93890">
      <w:pPr>
        <w:pStyle w:val="Tabletitle"/>
      </w:pPr>
      <w:r w:rsidRPr="00472F6F">
        <w:t xml:space="preserve">Table </w:t>
      </w:r>
      <w:r>
        <w:t>A4</w:t>
      </w:r>
      <w:r w:rsidRPr="00472F6F">
        <w:t xml:space="preserve">: Dosage and administration of </w:t>
      </w:r>
      <w:proofErr w:type="spellStart"/>
      <w:r w:rsidRPr="00472F6F">
        <w:t>voriconazole</w:t>
      </w:r>
      <w:proofErr w:type="spellEnd"/>
      <w:r>
        <w:t xml:space="preserve"> (tablets and suspension)</w:t>
      </w:r>
    </w:p>
    <w:tbl>
      <w:tblPr>
        <w:tblStyle w:val="TableGrid"/>
        <w:tblW w:w="9180" w:type="dxa"/>
        <w:tblLook w:val="04A0" w:firstRow="1" w:lastRow="0" w:firstColumn="1" w:lastColumn="0" w:noHBand="0" w:noVBand="1"/>
      </w:tblPr>
      <w:tblGrid>
        <w:gridCol w:w="2660"/>
        <w:gridCol w:w="3544"/>
        <w:gridCol w:w="2976"/>
      </w:tblGrid>
      <w:tr w:rsidR="00C93890" w:rsidRPr="00A35800" w14:paraId="77CAB831" w14:textId="77777777" w:rsidTr="00642567">
        <w:trPr>
          <w:tblHeader/>
        </w:trPr>
        <w:tc>
          <w:tcPr>
            <w:tcW w:w="2660" w:type="dxa"/>
            <w:shd w:val="clear" w:color="auto" w:fill="BFBFBF" w:themeFill="background1" w:themeFillShade="BF"/>
          </w:tcPr>
          <w:p w14:paraId="4C343BBD" w14:textId="77777777" w:rsidR="00C93890" w:rsidRPr="00A35800" w:rsidRDefault="00C93890" w:rsidP="00642567">
            <w:pPr>
              <w:pStyle w:val="Tableheading"/>
              <w:rPr>
                <w:szCs w:val="20"/>
              </w:rPr>
            </w:pPr>
            <w:r>
              <w:rPr>
                <w:szCs w:val="20"/>
              </w:rPr>
              <w:t>Indication</w:t>
            </w:r>
          </w:p>
        </w:tc>
        <w:tc>
          <w:tcPr>
            <w:tcW w:w="3544" w:type="dxa"/>
            <w:shd w:val="clear" w:color="auto" w:fill="BFBFBF" w:themeFill="background1" w:themeFillShade="BF"/>
          </w:tcPr>
          <w:p w14:paraId="0AE48F4A" w14:textId="77777777" w:rsidR="00C93890" w:rsidRPr="00A35800" w:rsidRDefault="00C93890" w:rsidP="00642567">
            <w:pPr>
              <w:pStyle w:val="Tableheading"/>
              <w:rPr>
                <w:szCs w:val="20"/>
              </w:rPr>
            </w:pPr>
            <w:r>
              <w:rPr>
                <w:szCs w:val="20"/>
              </w:rPr>
              <w:t>Dosage (&gt;40kg)</w:t>
            </w:r>
          </w:p>
        </w:tc>
        <w:tc>
          <w:tcPr>
            <w:tcW w:w="2976" w:type="dxa"/>
            <w:shd w:val="clear" w:color="auto" w:fill="BFBFBF" w:themeFill="background1" w:themeFillShade="BF"/>
          </w:tcPr>
          <w:p w14:paraId="7D59C440" w14:textId="77777777" w:rsidR="00C93890" w:rsidRPr="00A35800" w:rsidRDefault="00C93890" w:rsidP="00642567">
            <w:pPr>
              <w:pStyle w:val="Tableheading"/>
              <w:rPr>
                <w:szCs w:val="20"/>
              </w:rPr>
            </w:pPr>
            <w:r>
              <w:rPr>
                <w:szCs w:val="20"/>
              </w:rPr>
              <w:t>Dosage (&lt;40kg)</w:t>
            </w:r>
          </w:p>
        </w:tc>
      </w:tr>
      <w:tr w:rsidR="00C93890" w:rsidRPr="00A35800" w14:paraId="540E4875" w14:textId="77777777" w:rsidTr="00642567">
        <w:tc>
          <w:tcPr>
            <w:tcW w:w="2660" w:type="dxa"/>
          </w:tcPr>
          <w:p w14:paraId="3709340D" w14:textId="77777777" w:rsidR="00C93890" w:rsidRPr="00A35800" w:rsidRDefault="00C93890" w:rsidP="00642567">
            <w:pPr>
              <w:pStyle w:val="Tablewriting"/>
            </w:pPr>
            <w:r>
              <w:t>Loading dose (all indications)</w:t>
            </w:r>
          </w:p>
        </w:tc>
        <w:tc>
          <w:tcPr>
            <w:tcW w:w="3544" w:type="dxa"/>
          </w:tcPr>
          <w:p w14:paraId="771EA120" w14:textId="77777777" w:rsidR="00C93890" w:rsidRPr="00A35800" w:rsidRDefault="00C93890" w:rsidP="00642567">
            <w:pPr>
              <w:pStyle w:val="Tablewriting"/>
            </w:pPr>
            <w:r>
              <w:t>400 mg every 12 hours for the first 24 hours</w:t>
            </w:r>
          </w:p>
        </w:tc>
        <w:tc>
          <w:tcPr>
            <w:tcW w:w="2976" w:type="dxa"/>
          </w:tcPr>
          <w:p w14:paraId="6D18309F" w14:textId="77777777" w:rsidR="00C93890" w:rsidRPr="00A35800" w:rsidRDefault="00C93890" w:rsidP="00642567">
            <w:pPr>
              <w:pStyle w:val="Tablewriting"/>
            </w:pPr>
            <w:r>
              <w:t>200 mg every 12 hours for the first 24 hours</w:t>
            </w:r>
          </w:p>
        </w:tc>
      </w:tr>
      <w:tr w:rsidR="00C93890" w:rsidRPr="00A35800" w14:paraId="30B0F6B2" w14:textId="77777777" w:rsidTr="00642567">
        <w:tc>
          <w:tcPr>
            <w:tcW w:w="2660" w:type="dxa"/>
          </w:tcPr>
          <w:p w14:paraId="42FEA4B8" w14:textId="77777777" w:rsidR="00C93890" w:rsidRPr="00A35800" w:rsidRDefault="00C93890" w:rsidP="00642567">
            <w:pPr>
              <w:pStyle w:val="Tablewriting"/>
            </w:pPr>
            <w:r>
              <w:t>Serious Candida infections</w:t>
            </w:r>
            <w:r>
              <w:br/>
            </w:r>
            <w:r w:rsidRPr="00472F6F">
              <w:t xml:space="preserve">Invasive </w:t>
            </w:r>
            <w:proofErr w:type="spellStart"/>
            <w:r w:rsidRPr="00472F6F">
              <w:t>aspergillosis</w:t>
            </w:r>
            <w:proofErr w:type="spellEnd"/>
            <w:r w:rsidRPr="00472F6F">
              <w:t xml:space="preserve">; </w:t>
            </w:r>
            <w:proofErr w:type="spellStart"/>
            <w:r w:rsidRPr="00472F6F">
              <w:t>Scedosporium</w:t>
            </w:r>
            <w:proofErr w:type="spellEnd"/>
            <w:r w:rsidRPr="00472F6F">
              <w:t xml:space="preserve"> and </w:t>
            </w:r>
            <w:proofErr w:type="spellStart"/>
            <w:r w:rsidRPr="00472F6F">
              <w:t>Fusarium</w:t>
            </w:r>
            <w:proofErr w:type="spellEnd"/>
            <w:r w:rsidRPr="00472F6F">
              <w:t xml:space="preserve"> infections; other serious mould infections</w:t>
            </w:r>
          </w:p>
        </w:tc>
        <w:tc>
          <w:tcPr>
            <w:tcW w:w="3544" w:type="dxa"/>
          </w:tcPr>
          <w:p w14:paraId="3E01F61E" w14:textId="77777777" w:rsidR="00C93890" w:rsidRPr="00A35800" w:rsidRDefault="00C93890" w:rsidP="00642567">
            <w:pPr>
              <w:pStyle w:val="Tablewriting"/>
            </w:pPr>
            <w:r>
              <w:t>200 mg twice daily</w:t>
            </w:r>
          </w:p>
        </w:tc>
        <w:tc>
          <w:tcPr>
            <w:tcW w:w="2976" w:type="dxa"/>
          </w:tcPr>
          <w:p w14:paraId="6C4BBD7B" w14:textId="77777777" w:rsidR="00C93890" w:rsidRPr="00A35800" w:rsidRDefault="00C93890" w:rsidP="00642567">
            <w:pPr>
              <w:pStyle w:val="Tablewriting"/>
            </w:pPr>
            <w:r>
              <w:t>100 mg twice daily</w:t>
            </w:r>
          </w:p>
        </w:tc>
      </w:tr>
      <w:tr w:rsidR="00C93890" w:rsidRPr="00A35800" w14:paraId="5F10738E" w14:textId="77777777" w:rsidTr="00642567">
        <w:tc>
          <w:tcPr>
            <w:tcW w:w="2660" w:type="dxa"/>
          </w:tcPr>
          <w:p w14:paraId="0FF4CA6E" w14:textId="77777777" w:rsidR="00C93890" w:rsidRPr="00A35800" w:rsidRDefault="00C93890" w:rsidP="00642567">
            <w:pPr>
              <w:pStyle w:val="Tablewriting"/>
            </w:pPr>
            <w:r>
              <w:t>Prophylaxis of invasive fungal infections</w:t>
            </w:r>
          </w:p>
        </w:tc>
        <w:tc>
          <w:tcPr>
            <w:tcW w:w="3544" w:type="dxa"/>
          </w:tcPr>
          <w:p w14:paraId="3D06A78B" w14:textId="77777777" w:rsidR="00C93890" w:rsidRPr="00A35800" w:rsidRDefault="00C93890" w:rsidP="00642567">
            <w:pPr>
              <w:pStyle w:val="Tablewriting"/>
            </w:pPr>
            <w:r>
              <w:t>200 mg every 12 hours</w:t>
            </w:r>
          </w:p>
        </w:tc>
        <w:tc>
          <w:tcPr>
            <w:tcW w:w="2976" w:type="dxa"/>
          </w:tcPr>
          <w:p w14:paraId="43564135" w14:textId="77777777" w:rsidR="00C93890" w:rsidRPr="00A35800" w:rsidRDefault="00C93890" w:rsidP="00642567">
            <w:pPr>
              <w:pStyle w:val="Tablewriting"/>
            </w:pPr>
            <w:r>
              <w:t>100 mg every 12 hours</w:t>
            </w:r>
          </w:p>
        </w:tc>
      </w:tr>
    </w:tbl>
    <w:p w14:paraId="152DFE9B" w14:textId="77777777" w:rsidR="00C93890" w:rsidRPr="00786184" w:rsidRDefault="00C93890" w:rsidP="00C93890">
      <w:pPr>
        <w:pStyle w:val="Notes"/>
      </w:pPr>
      <w:r w:rsidRPr="00786184">
        <w:t xml:space="preserve">Source: </w:t>
      </w:r>
      <w:proofErr w:type="spellStart"/>
      <w:r w:rsidRPr="00786184">
        <w:t>Voriconazole</w:t>
      </w:r>
      <w:proofErr w:type="spellEnd"/>
      <w:r w:rsidRPr="00786184">
        <w:t xml:space="preserve"> (</w:t>
      </w:r>
      <w:proofErr w:type="spellStart"/>
      <w:r w:rsidRPr="00786184">
        <w:t>Vfend</w:t>
      </w:r>
      <w:proofErr w:type="spellEnd"/>
      <w:r w:rsidRPr="00786184">
        <w:t xml:space="preserve">) Product Information. </w:t>
      </w:r>
    </w:p>
    <w:p w14:paraId="208D48FE" w14:textId="77777777" w:rsidR="00C93890" w:rsidRDefault="00C93890" w:rsidP="00C93890">
      <w:r>
        <w:t>The m</w:t>
      </w:r>
      <w:r w:rsidRPr="00DC1DEA">
        <w:t xml:space="preserve">aintenance dose may be increased to 300 mg twice daily </w:t>
      </w:r>
      <w:r>
        <w:t xml:space="preserve">or 150 mg twice daily for patients who weigh less than 40 kg </w:t>
      </w:r>
      <w:r w:rsidRPr="00DC1DEA">
        <w:t xml:space="preserve">if </w:t>
      </w:r>
      <w:r>
        <w:t xml:space="preserve">the </w:t>
      </w:r>
      <w:r w:rsidRPr="00DC1DEA">
        <w:t xml:space="preserve">response is inadequate. </w:t>
      </w:r>
    </w:p>
    <w:p w14:paraId="6735F317" w14:textId="77777777" w:rsidR="00C93890" w:rsidRPr="00DC1DEA" w:rsidRDefault="00C93890" w:rsidP="00C93890">
      <w:proofErr w:type="spellStart"/>
      <w:r w:rsidRPr="00786184">
        <w:rPr>
          <w:b/>
        </w:rPr>
        <w:t>Terbinafine</w:t>
      </w:r>
      <w:proofErr w:type="spellEnd"/>
      <w:r>
        <w:t xml:space="preserve"> is given at a dose of 250 mg once daily. The duration of treatment ranges from two weeks to three months depending on the site of infection. </w:t>
      </w:r>
    </w:p>
    <w:p w14:paraId="1BBBA9C0" w14:textId="77777777" w:rsidR="00C93890" w:rsidRPr="00B703AB" w:rsidRDefault="00C93890" w:rsidP="00C93890">
      <w:pPr>
        <w:spacing w:line="276" w:lineRule="auto"/>
      </w:pPr>
      <w:proofErr w:type="spellStart"/>
      <w:r w:rsidRPr="00825459">
        <w:rPr>
          <w:b/>
        </w:rPr>
        <w:lastRenderedPageBreak/>
        <w:t>Griseofulvin</w:t>
      </w:r>
      <w:proofErr w:type="spellEnd"/>
      <w:r>
        <w:rPr>
          <w:b/>
        </w:rPr>
        <w:t xml:space="preserve"> </w:t>
      </w:r>
      <w:r w:rsidRPr="0003375B">
        <w:t>is given at a standard dose of 500 mg per day for adults. Doses of up to 1,000 mg may are required for some infections, such as nail infections, until response is seen. In children, a dose of 10 mg/kg in divided doses. The duration of treatment depends on the site of infection. Treatment should be continued for at least two weeks after all signs of the infection have disappeared.</w:t>
      </w:r>
      <w:r>
        <w:rPr>
          <w:b/>
        </w:rPr>
        <w:t xml:space="preserve"> </w:t>
      </w:r>
      <w:r>
        <w:rPr>
          <w:b/>
        </w:rPr>
        <w:br/>
      </w:r>
    </w:p>
    <w:p w14:paraId="096BEFEA" w14:textId="77777777" w:rsidR="00C93890" w:rsidRDefault="00C93890" w:rsidP="00C93890"/>
    <w:sectPr w:rsidR="00C93890" w:rsidSect="00764A7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171A8" w14:textId="77777777" w:rsidR="00B719E8" w:rsidRDefault="00B719E8" w:rsidP="00A35800">
      <w:r>
        <w:separator/>
      </w:r>
    </w:p>
  </w:endnote>
  <w:endnote w:type="continuationSeparator" w:id="0">
    <w:p w14:paraId="57F3D3CB" w14:textId="77777777" w:rsidR="00B719E8" w:rsidRDefault="00B719E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B719E8" w:rsidRDefault="00B719E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719E8" w:rsidRDefault="00B719E8"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064A55FB" w:rsidR="00B719E8" w:rsidRPr="000E72C6" w:rsidRDefault="00B719E8" w:rsidP="000E72C6">
            <w:pPr>
              <w:pStyle w:val="Footer"/>
              <w:jc w:val="center"/>
              <w:rPr>
                <w:i/>
                <w:sz w:val="20"/>
              </w:rPr>
            </w:pPr>
            <w:r>
              <w:rPr>
                <w:i/>
                <w:sz w:val="20"/>
              </w:rPr>
              <w:t>Public Release Document, September 2016 DUSC Meeting</w:t>
            </w:r>
          </w:p>
          <w:p w14:paraId="10292A9A" w14:textId="275D445E" w:rsidR="00B719E8" w:rsidRDefault="00B719E8"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43730D">
              <w:rPr>
                <w:bCs/>
                <w:i/>
                <w:noProof/>
                <w:sz w:val="20"/>
              </w:rPr>
              <w:t>36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43730D">
              <w:rPr>
                <w:bCs/>
                <w:i/>
                <w:noProof/>
                <w:sz w:val="20"/>
              </w:rPr>
              <w:t>41</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B719E8" w:rsidRDefault="00B719E8" w:rsidP="007A5733">
    <w:pPr>
      <w:pStyle w:val="Footer"/>
      <w:jc w:val="center"/>
      <w:rPr>
        <w:rStyle w:val="PageNumber"/>
      </w:rPr>
    </w:pPr>
    <w:r>
      <w:rPr>
        <w:rStyle w:val="PageNumber"/>
      </w:rPr>
      <w:t>Committee-in-Confidence</w:t>
    </w:r>
  </w:p>
  <w:p w14:paraId="3CE6880B" w14:textId="77777777" w:rsidR="00B719E8" w:rsidRDefault="00B719E8"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37FBE" w14:textId="77777777" w:rsidR="00B719E8" w:rsidRDefault="00B719E8" w:rsidP="00A35800">
      <w:r>
        <w:separator/>
      </w:r>
    </w:p>
  </w:footnote>
  <w:footnote w:type="continuationSeparator" w:id="0">
    <w:p w14:paraId="29BD994F" w14:textId="77777777" w:rsidR="00B719E8" w:rsidRDefault="00B719E8" w:rsidP="00A35800">
      <w:r>
        <w:continuationSeparator/>
      </w:r>
    </w:p>
  </w:footnote>
  <w:footnote w:id="1">
    <w:p w14:paraId="322C9B8B" w14:textId="77777777" w:rsidR="00B719E8" w:rsidRPr="00BC5AE2" w:rsidRDefault="00B719E8" w:rsidP="00E66A36">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 &lt;</w:t>
      </w:r>
      <w:hyperlink r:id="rId1" w:history="1">
        <w:r>
          <w:rPr>
            <w:rStyle w:val="Hyperlink"/>
            <w:sz w:val="20"/>
          </w:rPr>
          <w:t>http://www.medicareaustralia.gov.au/provider/pbs/stats.jsp</w:t>
        </w:r>
      </w:hyperlink>
      <w:r>
        <w:rPr>
          <w:sz w:val="20"/>
        </w:rPr>
        <w:t>&gt;.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0E"/>
    <w:multiLevelType w:val="hybridMultilevel"/>
    <w:tmpl w:val="4BAE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4950A0"/>
    <w:multiLevelType w:val="hybridMultilevel"/>
    <w:tmpl w:val="910E6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A17A7D"/>
    <w:multiLevelType w:val="hybridMultilevel"/>
    <w:tmpl w:val="AC18B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5F7586"/>
    <w:multiLevelType w:val="hybridMultilevel"/>
    <w:tmpl w:val="EB4C4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4751E7"/>
    <w:multiLevelType w:val="hybridMultilevel"/>
    <w:tmpl w:val="C946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F07660"/>
    <w:multiLevelType w:val="hybridMultilevel"/>
    <w:tmpl w:val="14602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264640"/>
    <w:multiLevelType w:val="hybridMultilevel"/>
    <w:tmpl w:val="AB22A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2A23AC"/>
    <w:multiLevelType w:val="hybridMultilevel"/>
    <w:tmpl w:val="92F2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350812"/>
    <w:multiLevelType w:val="hybridMultilevel"/>
    <w:tmpl w:val="7A9AD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954B28"/>
    <w:multiLevelType w:val="hybridMultilevel"/>
    <w:tmpl w:val="0AFA5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76208E"/>
    <w:multiLevelType w:val="hybridMultilevel"/>
    <w:tmpl w:val="36D88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1B86D0C"/>
    <w:multiLevelType w:val="hybridMultilevel"/>
    <w:tmpl w:val="879E4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4F47565"/>
    <w:multiLevelType w:val="hybridMultilevel"/>
    <w:tmpl w:val="E1921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B6B105C"/>
    <w:multiLevelType w:val="hybridMultilevel"/>
    <w:tmpl w:val="83166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665506D1"/>
    <w:multiLevelType w:val="hybridMultilevel"/>
    <w:tmpl w:val="7924F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9"/>
  </w:num>
  <w:num w:numId="4">
    <w:abstractNumId w:val="17"/>
  </w:num>
  <w:num w:numId="5">
    <w:abstractNumId w:val="1"/>
  </w:num>
  <w:num w:numId="6">
    <w:abstractNumId w:val="14"/>
  </w:num>
  <w:num w:numId="7">
    <w:abstractNumId w:val="8"/>
  </w:num>
  <w:num w:numId="8">
    <w:abstractNumId w:val="3"/>
  </w:num>
  <w:num w:numId="9">
    <w:abstractNumId w:val="5"/>
  </w:num>
  <w:num w:numId="10">
    <w:abstractNumId w:val="10"/>
  </w:num>
  <w:num w:numId="11">
    <w:abstractNumId w:val="2"/>
  </w:num>
  <w:num w:numId="12">
    <w:abstractNumId w:val="15"/>
  </w:num>
  <w:num w:numId="13">
    <w:abstractNumId w:val="0"/>
  </w:num>
  <w:num w:numId="14">
    <w:abstractNumId w:val="4"/>
  </w:num>
  <w:num w:numId="15">
    <w:abstractNumId w:val="7"/>
  </w:num>
  <w:num w:numId="16">
    <w:abstractNumId w:val="11"/>
  </w:num>
  <w:num w:numId="17">
    <w:abstractNumId w:val="6"/>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7E85"/>
    <w:rsid w:val="0001260E"/>
    <w:rsid w:val="00013465"/>
    <w:rsid w:val="000226B3"/>
    <w:rsid w:val="00024549"/>
    <w:rsid w:val="000544B6"/>
    <w:rsid w:val="000604AF"/>
    <w:rsid w:val="00061080"/>
    <w:rsid w:val="00086C11"/>
    <w:rsid w:val="00094DCF"/>
    <w:rsid w:val="000A6392"/>
    <w:rsid w:val="000A6CFD"/>
    <w:rsid w:val="000B0982"/>
    <w:rsid w:val="000B796C"/>
    <w:rsid w:val="000C46BB"/>
    <w:rsid w:val="000C4D9D"/>
    <w:rsid w:val="000C7C4B"/>
    <w:rsid w:val="000C7D8B"/>
    <w:rsid w:val="000D394B"/>
    <w:rsid w:val="000E485D"/>
    <w:rsid w:val="000E72C6"/>
    <w:rsid w:val="000F1893"/>
    <w:rsid w:val="000F2F51"/>
    <w:rsid w:val="00113CF8"/>
    <w:rsid w:val="00113D74"/>
    <w:rsid w:val="00117C5C"/>
    <w:rsid w:val="001310AE"/>
    <w:rsid w:val="001420B3"/>
    <w:rsid w:val="001460C4"/>
    <w:rsid w:val="0015691C"/>
    <w:rsid w:val="001621F7"/>
    <w:rsid w:val="001624D7"/>
    <w:rsid w:val="00177B86"/>
    <w:rsid w:val="00182585"/>
    <w:rsid w:val="00191182"/>
    <w:rsid w:val="0019664D"/>
    <w:rsid w:val="001A6103"/>
    <w:rsid w:val="001B5D37"/>
    <w:rsid w:val="001C27AE"/>
    <w:rsid w:val="001C2940"/>
    <w:rsid w:val="001C4016"/>
    <w:rsid w:val="001C548D"/>
    <w:rsid w:val="001C5F2D"/>
    <w:rsid w:val="001C6A5D"/>
    <w:rsid w:val="001D3F5D"/>
    <w:rsid w:val="001E31A6"/>
    <w:rsid w:val="001E42C7"/>
    <w:rsid w:val="001E4CAB"/>
    <w:rsid w:val="001F2F3E"/>
    <w:rsid w:val="001F4906"/>
    <w:rsid w:val="001F7C4A"/>
    <w:rsid w:val="0020578A"/>
    <w:rsid w:val="00207631"/>
    <w:rsid w:val="00214013"/>
    <w:rsid w:val="00220FC1"/>
    <w:rsid w:val="00222E9A"/>
    <w:rsid w:val="0023179D"/>
    <w:rsid w:val="002368B0"/>
    <w:rsid w:val="00245098"/>
    <w:rsid w:val="0025389D"/>
    <w:rsid w:val="00254E02"/>
    <w:rsid w:val="0026265F"/>
    <w:rsid w:val="00286C3A"/>
    <w:rsid w:val="002930F5"/>
    <w:rsid w:val="002A06B7"/>
    <w:rsid w:val="002C6E0C"/>
    <w:rsid w:val="002D144A"/>
    <w:rsid w:val="002E19A3"/>
    <w:rsid w:val="002E212B"/>
    <w:rsid w:val="002E3337"/>
    <w:rsid w:val="002E6D03"/>
    <w:rsid w:val="002F49A8"/>
    <w:rsid w:val="002F5E66"/>
    <w:rsid w:val="002F61CA"/>
    <w:rsid w:val="0030010D"/>
    <w:rsid w:val="0033504C"/>
    <w:rsid w:val="00336816"/>
    <w:rsid w:val="003370D0"/>
    <w:rsid w:val="00337355"/>
    <w:rsid w:val="003402E4"/>
    <w:rsid w:val="00340F95"/>
    <w:rsid w:val="003531ED"/>
    <w:rsid w:val="00360B9A"/>
    <w:rsid w:val="00373E75"/>
    <w:rsid w:val="0039017F"/>
    <w:rsid w:val="00394AEE"/>
    <w:rsid w:val="003C2D98"/>
    <w:rsid w:val="003D3A96"/>
    <w:rsid w:val="003D3B9C"/>
    <w:rsid w:val="003F1D34"/>
    <w:rsid w:val="00404F03"/>
    <w:rsid w:val="00412051"/>
    <w:rsid w:val="00423B94"/>
    <w:rsid w:val="00426854"/>
    <w:rsid w:val="0043730D"/>
    <w:rsid w:val="004610D2"/>
    <w:rsid w:val="00463731"/>
    <w:rsid w:val="0046400A"/>
    <w:rsid w:val="00467B25"/>
    <w:rsid w:val="00481108"/>
    <w:rsid w:val="0049042B"/>
    <w:rsid w:val="004927AB"/>
    <w:rsid w:val="00495473"/>
    <w:rsid w:val="004A458E"/>
    <w:rsid w:val="004B23E7"/>
    <w:rsid w:val="004B306F"/>
    <w:rsid w:val="004C3186"/>
    <w:rsid w:val="004C5042"/>
    <w:rsid w:val="004E4422"/>
    <w:rsid w:val="004E6F89"/>
    <w:rsid w:val="00503998"/>
    <w:rsid w:val="0050623B"/>
    <w:rsid w:val="00523181"/>
    <w:rsid w:val="00524D13"/>
    <w:rsid w:val="005339F6"/>
    <w:rsid w:val="00574E7D"/>
    <w:rsid w:val="00576B18"/>
    <w:rsid w:val="00587724"/>
    <w:rsid w:val="00591512"/>
    <w:rsid w:val="005B2D91"/>
    <w:rsid w:val="005B48B4"/>
    <w:rsid w:val="005C6661"/>
    <w:rsid w:val="005C6E3B"/>
    <w:rsid w:val="005D474B"/>
    <w:rsid w:val="005E085C"/>
    <w:rsid w:val="005E147D"/>
    <w:rsid w:val="005E22C2"/>
    <w:rsid w:val="005E57BB"/>
    <w:rsid w:val="005F0017"/>
    <w:rsid w:val="006014F1"/>
    <w:rsid w:val="0061357B"/>
    <w:rsid w:val="00614A7D"/>
    <w:rsid w:val="0063631C"/>
    <w:rsid w:val="0063757B"/>
    <w:rsid w:val="006377CE"/>
    <w:rsid w:val="00642567"/>
    <w:rsid w:val="006537D9"/>
    <w:rsid w:val="00664A48"/>
    <w:rsid w:val="00665DEF"/>
    <w:rsid w:val="006675FF"/>
    <w:rsid w:val="00675BB1"/>
    <w:rsid w:val="006775F1"/>
    <w:rsid w:val="00692AA7"/>
    <w:rsid w:val="00697B5C"/>
    <w:rsid w:val="00697FEC"/>
    <w:rsid w:val="006A175F"/>
    <w:rsid w:val="006A44F5"/>
    <w:rsid w:val="006B4537"/>
    <w:rsid w:val="006B5F85"/>
    <w:rsid w:val="006B6929"/>
    <w:rsid w:val="006B709B"/>
    <w:rsid w:val="006C54AF"/>
    <w:rsid w:val="006E0181"/>
    <w:rsid w:val="006F7D46"/>
    <w:rsid w:val="00700C0E"/>
    <w:rsid w:val="00702397"/>
    <w:rsid w:val="00705DAD"/>
    <w:rsid w:val="007247B9"/>
    <w:rsid w:val="00726BCF"/>
    <w:rsid w:val="00727D85"/>
    <w:rsid w:val="007346C7"/>
    <w:rsid w:val="00736041"/>
    <w:rsid w:val="007408C7"/>
    <w:rsid w:val="007465DA"/>
    <w:rsid w:val="00752C7F"/>
    <w:rsid w:val="00764A74"/>
    <w:rsid w:val="0076650D"/>
    <w:rsid w:val="00776598"/>
    <w:rsid w:val="0078086D"/>
    <w:rsid w:val="00792948"/>
    <w:rsid w:val="00796E84"/>
    <w:rsid w:val="007A3ADE"/>
    <w:rsid w:val="007A5733"/>
    <w:rsid w:val="007A5774"/>
    <w:rsid w:val="007C448C"/>
    <w:rsid w:val="00801E74"/>
    <w:rsid w:val="0080485E"/>
    <w:rsid w:val="008142B4"/>
    <w:rsid w:val="00832324"/>
    <w:rsid w:val="00835337"/>
    <w:rsid w:val="00846DCD"/>
    <w:rsid w:val="00851D85"/>
    <w:rsid w:val="00851F9B"/>
    <w:rsid w:val="008567B3"/>
    <w:rsid w:val="00857DF9"/>
    <w:rsid w:val="00860CCB"/>
    <w:rsid w:val="00866FFE"/>
    <w:rsid w:val="00871861"/>
    <w:rsid w:val="008740A3"/>
    <w:rsid w:val="00876ADD"/>
    <w:rsid w:val="0089297B"/>
    <w:rsid w:val="00896A44"/>
    <w:rsid w:val="008C36CA"/>
    <w:rsid w:val="008E3F8C"/>
    <w:rsid w:val="00902FD0"/>
    <w:rsid w:val="009053D3"/>
    <w:rsid w:val="0090691F"/>
    <w:rsid w:val="00910C5F"/>
    <w:rsid w:val="0093111F"/>
    <w:rsid w:val="00935689"/>
    <w:rsid w:val="0095303B"/>
    <w:rsid w:val="0096115E"/>
    <w:rsid w:val="009663B6"/>
    <w:rsid w:val="00966B35"/>
    <w:rsid w:val="00974A47"/>
    <w:rsid w:val="00980286"/>
    <w:rsid w:val="009907C0"/>
    <w:rsid w:val="00990DCF"/>
    <w:rsid w:val="009A2494"/>
    <w:rsid w:val="009A4CD6"/>
    <w:rsid w:val="009A50E4"/>
    <w:rsid w:val="009A537C"/>
    <w:rsid w:val="009C0886"/>
    <w:rsid w:val="009C19EE"/>
    <w:rsid w:val="009C28D0"/>
    <w:rsid w:val="009C35F2"/>
    <w:rsid w:val="009C7782"/>
    <w:rsid w:val="009D1ED5"/>
    <w:rsid w:val="009D4C13"/>
    <w:rsid w:val="009E21A7"/>
    <w:rsid w:val="00A00890"/>
    <w:rsid w:val="00A103ED"/>
    <w:rsid w:val="00A13C60"/>
    <w:rsid w:val="00A1650F"/>
    <w:rsid w:val="00A22D85"/>
    <w:rsid w:val="00A341A3"/>
    <w:rsid w:val="00A35800"/>
    <w:rsid w:val="00A52918"/>
    <w:rsid w:val="00A547B3"/>
    <w:rsid w:val="00A70E82"/>
    <w:rsid w:val="00A74E1C"/>
    <w:rsid w:val="00A83606"/>
    <w:rsid w:val="00A84CAD"/>
    <w:rsid w:val="00A90E50"/>
    <w:rsid w:val="00A95FA5"/>
    <w:rsid w:val="00A9615E"/>
    <w:rsid w:val="00A96D92"/>
    <w:rsid w:val="00AA5275"/>
    <w:rsid w:val="00AB3733"/>
    <w:rsid w:val="00AB7897"/>
    <w:rsid w:val="00AC5054"/>
    <w:rsid w:val="00AE4BAC"/>
    <w:rsid w:val="00B034FC"/>
    <w:rsid w:val="00B043AA"/>
    <w:rsid w:val="00B05310"/>
    <w:rsid w:val="00B10A0B"/>
    <w:rsid w:val="00B30D85"/>
    <w:rsid w:val="00B35A4A"/>
    <w:rsid w:val="00B502E1"/>
    <w:rsid w:val="00B63FD7"/>
    <w:rsid w:val="00B719E8"/>
    <w:rsid w:val="00B71F5B"/>
    <w:rsid w:val="00B816D9"/>
    <w:rsid w:val="00B9120F"/>
    <w:rsid w:val="00B9216C"/>
    <w:rsid w:val="00B924A4"/>
    <w:rsid w:val="00BB0D1A"/>
    <w:rsid w:val="00BB16C4"/>
    <w:rsid w:val="00BB1D3B"/>
    <w:rsid w:val="00BC35ED"/>
    <w:rsid w:val="00BE205A"/>
    <w:rsid w:val="00BE3802"/>
    <w:rsid w:val="00BF238E"/>
    <w:rsid w:val="00BF2F4A"/>
    <w:rsid w:val="00BF544D"/>
    <w:rsid w:val="00C0076F"/>
    <w:rsid w:val="00C0301C"/>
    <w:rsid w:val="00C04901"/>
    <w:rsid w:val="00C050B6"/>
    <w:rsid w:val="00C10F12"/>
    <w:rsid w:val="00C245EA"/>
    <w:rsid w:val="00C256F6"/>
    <w:rsid w:val="00C3097E"/>
    <w:rsid w:val="00C35ECC"/>
    <w:rsid w:val="00C361A8"/>
    <w:rsid w:val="00C41246"/>
    <w:rsid w:val="00C45E5F"/>
    <w:rsid w:val="00C46291"/>
    <w:rsid w:val="00C63412"/>
    <w:rsid w:val="00C703D5"/>
    <w:rsid w:val="00C714D0"/>
    <w:rsid w:val="00C90EF4"/>
    <w:rsid w:val="00C93890"/>
    <w:rsid w:val="00CA015A"/>
    <w:rsid w:val="00CA6F62"/>
    <w:rsid w:val="00CC024A"/>
    <w:rsid w:val="00CC1AA3"/>
    <w:rsid w:val="00CD4486"/>
    <w:rsid w:val="00CE673B"/>
    <w:rsid w:val="00CF5E22"/>
    <w:rsid w:val="00D065B2"/>
    <w:rsid w:val="00D06A44"/>
    <w:rsid w:val="00D151EB"/>
    <w:rsid w:val="00D300E0"/>
    <w:rsid w:val="00D3423C"/>
    <w:rsid w:val="00D374CD"/>
    <w:rsid w:val="00D650CE"/>
    <w:rsid w:val="00D65C62"/>
    <w:rsid w:val="00D71719"/>
    <w:rsid w:val="00D764A4"/>
    <w:rsid w:val="00D776DA"/>
    <w:rsid w:val="00D8758B"/>
    <w:rsid w:val="00D93507"/>
    <w:rsid w:val="00D942B3"/>
    <w:rsid w:val="00D94863"/>
    <w:rsid w:val="00DA7D09"/>
    <w:rsid w:val="00DC2630"/>
    <w:rsid w:val="00DC49E9"/>
    <w:rsid w:val="00DC55E4"/>
    <w:rsid w:val="00DC7D71"/>
    <w:rsid w:val="00DD188C"/>
    <w:rsid w:val="00DD29A3"/>
    <w:rsid w:val="00DD48EE"/>
    <w:rsid w:val="00DE0232"/>
    <w:rsid w:val="00DE0B96"/>
    <w:rsid w:val="00DE10B9"/>
    <w:rsid w:val="00DF0B13"/>
    <w:rsid w:val="00DF2EB8"/>
    <w:rsid w:val="00DF4A94"/>
    <w:rsid w:val="00DF6003"/>
    <w:rsid w:val="00E00095"/>
    <w:rsid w:val="00E066C3"/>
    <w:rsid w:val="00E102F7"/>
    <w:rsid w:val="00E10D8C"/>
    <w:rsid w:val="00E1353A"/>
    <w:rsid w:val="00E1564B"/>
    <w:rsid w:val="00E208A0"/>
    <w:rsid w:val="00E20C37"/>
    <w:rsid w:val="00E24BAA"/>
    <w:rsid w:val="00E25B49"/>
    <w:rsid w:val="00E371EA"/>
    <w:rsid w:val="00E64429"/>
    <w:rsid w:val="00E66A36"/>
    <w:rsid w:val="00E677DD"/>
    <w:rsid w:val="00E721F8"/>
    <w:rsid w:val="00E744D4"/>
    <w:rsid w:val="00E7594B"/>
    <w:rsid w:val="00EA34A4"/>
    <w:rsid w:val="00EB4688"/>
    <w:rsid w:val="00EB6C07"/>
    <w:rsid w:val="00EC028D"/>
    <w:rsid w:val="00ED3759"/>
    <w:rsid w:val="00ED6200"/>
    <w:rsid w:val="00ED633B"/>
    <w:rsid w:val="00EE478C"/>
    <w:rsid w:val="00EF65C7"/>
    <w:rsid w:val="00F06DD6"/>
    <w:rsid w:val="00F06F48"/>
    <w:rsid w:val="00F1132C"/>
    <w:rsid w:val="00F15DD5"/>
    <w:rsid w:val="00F17D4B"/>
    <w:rsid w:val="00F23139"/>
    <w:rsid w:val="00F251E9"/>
    <w:rsid w:val="00F40D7C"/>
    <w:rsid w:val="00F66CD5"/>
    <w:rsid w:val="00F67A9A"/>
    <w:rsid w:val="00F70F4E"/>
    <w:rsid w:val="00F73113"/>
    <w:rsid w:val="00F75FC4"/>
    <w:rsid w:val="00F85981"/>
    <w:rsid w:val="00F87263"/>
    <w:rsid w:val="00F93725"/>
    <w:rsid w:val="00FA4890"/>
    <w:rsid w:val="00FB77FA"/>
    <w:rsid w:val="00FC3C70"/>
    <w:rsid w:val="00FC4A73"/>
    <w:rsid w:val="00FC559C"/>
    <w:rsid w:val="00FC7F0D"/>
    <w:rsid w:val="00FE645A"/>
    <w:rsid w:val="00FF42B2"/>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customStyle="1" w:styleId="EndNoteBibliography">
    <w:name w:val="EndNote Bibliography"/>
    <w:basedOn w:val="Normal"/>
    <w:link w:val="EndNoteBibliographyChar"/>
    <w:rsid w:val="00C93890"/>
    <w:rPr>
      <w:rFonts w:ascii="Calibri" w:hAnsi="Calibri"/>
      <w:noProof/>
    </w:rPr>
  </w:style>
  <w:style w:type="character" w:customStyle="1" w:styleId="EndNoteBibliographyChar">
    <w:name w:val="EndNote Bibliography Char"/>
    <w:basedOn w:val="DefaultParagraphFont"/>
    <w:link w:val="EndNoteBibliography"/>
    <w:rsid w:val="00C93890"/>
    <w:rPr>
      <w:rFonts w:ascii="Calibri" w:hAnsi="Calibri"/>
      <w:noProof/>
      <w:sz w:val="24"/>
      <w:szCs w:val="24"/>
    </w:rPr>
  </w:style>
  <w:style w:type="paragraph" w:customStyle="1" w:styleId="PBACBullets">
    <w:name w:val="PBAC Bullets"/>
    <w:basedOn w:val="Normal"/>
    <w:qFormat/>
    <w:rsid w:val="008567B3"/>
    <w:pPr>
      <w:numPr>
        <w:numId w:val="18"/>
      </w:numPr>
      <w:spacing w:before="240" w:after="60"/>
      <w:ind w:left="357" w:hanging="357"/>
    </w:pPr>
    <w:rPr>
      <w:rFonts w:ascii="Calibri" w:eastAsia="Calibri" w:hAnsi="Calibri" w:cs="Times New Roman"/>
      <w:sz w:val="22"/>
      <w:szCs w:val="22"/>
      <w:lang w:eastAsia="en-US"/>
    </w:rPr>
  </w:style>
  <w:style w:type="character" w:styleId="FollowedHyperlink">
    <w:name w:val="FollowedHyperlink"/>
    <w:basedOn w:val="DefaultParagraphFont"/>
    <w:uiPriority w:val="99"/>
    <w:semiHidden/>
    <w:unhideWhenUsed/>
    <w:rsid w:val="00966B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customStyle="1" w:styleId="EndNoteBibliography">
    <w:name w:val="EndNote Bibliography"/>
    <w:basedOn w:val="Normal"/>
    <w:link w:val="EndNoteBibliographyChar"/>
    <w:rsid w:val="00C93890"/>
    <w:rPr>
      <w:rFonts w:ascii="Calibri" w:hAnsi="Calibri"/>
      <w:noProof/>
    </w:rPr>
  </w:style>
  <w:style w:type="character" w:customStyle="1" w:styleId="EndNoteBibliographyChar">
    <w:name w:val="EndNote Bibliography Char"/>
    <w:basedOn w:val="DefaultParagraphFont"/>
    <w:link w:val="EndNoteBibliography"/>
    <w:rsid w:val="00C93890"/>
    <w:rPr>
      <w:rFonts w:ascii="Calibri" w:hAnsi="Calibri"/>
      <w:noProof/>
      <w:sz w:val="24"/>
      <w:szCs w:val="24"/>
    </w:rPr>
  </w:style>
  <w:style w:type="paragraph" w:customStyle="1" w:styleId="PBACBullets">
    <w:name w:val="PBAC Bullets"/>
    <w:basedOn w:val="Normal"/>
    <w:qFormat/>
    <w:rsid w:val="008567B3"/>
    <w:pPr>
      <w:numPr>
        <w:numId w:val="18"/>
      </w:numPr>
      <w:spacing w:before="240" w:after="60"/>
      <w:ind w:left="357" w:hanging="357"/>
    </w:pPr>
    <w:rPr>
      <w:rFonts w:ascii="Calibri" w:eastAsia="Calibri" w:hAnsi="Calibri" w:cs="Times New Roman"/>
      <w:sz w:val="22"/>
      <w:szCs w:val="22"/>
      <w:lang w:eastAsia="en-US"/>
    </w:rPr>
  </w:style>
  <w:style w:type="character" w:styleId="FollowedHyperlink">
    <w:name w:val="FollowedHyperlink"/>
    <w:basedOn w:val="DefaultParagraphFont"/>
    <w:uiPriority w:val="99"/>
    <w:semiHidden/>
    <w:unhideWhenUsed/>
    <w:rsid w:val="00966B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footer" Target="footer3.xml"/><Relationship Id="rId26" Type="http://schemas.openxmlformats.org/officeDocument/2006/relationships/chart" Target="charts/chart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chart" Target="charts/chart16.xml"/><Relationship Id="rId7" Type="http://schemas.openxmlformats.org/officeDocument/2006/relationships/footnotes" Target="foot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footer" Target="footer2.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5" Type="http://schemas.openxmlformats.org/officeDocument/2006/relationships/settings" Target="settings.xml"/><Relationship Id="rId15" Type="http://schemas.openxmlformats.org/officeDocument/2006/relationships/hyperlink" Target="http://www.pbs.gov.au/info/industry/listing/elements/pbac-meetings/psd/2015-03/posaconazole-noxafil-psd-03-2015"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hyperlink" Target="http://www.tga.gov.au/consumers/information-medicines-cmi.htm" TargetMode="External"/><Relationship Id="rId19" Type="http://schemas.openxmlformats.org/officeDocument/2006/relationships/chart" Target="charts/chart1.xml"/><Relationship Id="rId31"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info/industry/listing/elements/pbac-meetings/psd/2014-03/voriconazole"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researchdata.student.ad.griffith.edu.au\data\CAHE\Research%20Projects\PBAC\Projects%20for%20PBAC\Utilisation%20projects\Project%206%20-%20Antifungals\Data\D953%20-%20DUSC_SCRPT_SUM.xlsx" TargetMode="Externa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researchdata.student.ad.griffith.edu.au\data\CAHE\Research%20Projects\PBAC\Projects%20for%20PBAC\Utilisation%20projects\Project%206%20-%20Antifungals\Data\D953%20-%20EDW%20LBL%20SCRPT_SUM%20+%20auth%20appr%20rstr%20num.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Users\Dinusha\Downloads\D953%20-%20DUSC_SCRPT_SUM.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Dinusha\Downloads\D953%20-%20EDW%20LBL%20SCRPT_SUM%20+%20auth%20appr%20rstr%20num.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researchdata.student.ad.griffith.edu.au\data\CAHE\Research%20Projects\PBAC\Projects%20for%20PBAC\Utilisation%20projects\Project%206%20-%20Antifungals\Data\D953%20-%20EDW%20LBL%20SCRPT_SUM%20-%20v3%20monthly%20data%20to%20May%202016.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Dinusha\Downloads\D953%20-%20DUSC_SCRPT_SUM.xlsx" TargetMode="Externa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researchdata.student.ad.griffith.edu.au\data\CAHE\Research%20Projects\PBAC\Projects%20for%20PBAC\Utilisation%20projects\Project%206%20-%20Antifungals\Data\D953%20-%20EDW%20LBL%20SCRPT_SUM%20+%20auth%20appr%20rstr%20num.xlsx" TargetMode="External"/><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oleObject" Target="file:///\\researchdata.student.ad.griffith.edu.au\data\CAHE\Research%20Projects\PBAC\Projects%20for%20PBAC\Utilisation%20projects\Project%206%20-%20Antifungals\Data\D953%20-%20DUSC_SCRPT_SUM.xlsx" TargetMode="External"/><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oleObject" Target="file:///\\researchdata.student.ad.griffith.edu.au\data\CAHE\Research%20Projects\PBAC\Projects%20for%20PBAC\Utilisation%20projects\Project%206%20-%20Antifungals\Data\D953%20-%20DUSC_SCRPT_SUM.xlsx" TargetMode="External"/><Relationship Id="rId1" Type="http://schemas.openxmlformats.org/officeDocument/2006/relationships/themeOverride" Target="../theme/themeOverride14.xm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researchdata.student.ad.griffith.edu.au\data\CAHE\Research%20Projects\PBAC\Projects%20for%20PBAC\Utilisation%20projects\Project%206%20-%20Antifungals\Data\D953%20-%20DUSC_SCRPT_SUM.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researchdata.student.ad.griffith.edu.au\data\CAHE\Research%20Projects\PBAC\Projects%20for%20PBAC\Utilisation%20projects\Project%206%20-%20Antifungals\Data\D953%20-%20EDW%20LBL%20SCRPT_SUM%20-%20v3%20monthly%20data%20to%20May%202016.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researchdata.student.ad.griffith.edu.au\data\CAHE\Research%20Projects\PBAC\Projects%20for%20PBAC\Utilisation%20projects\Project%206%20-%20Antifungals\Data\D953%20-%20DUSC_SCRPT_SUM.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researchdata.student.ad.griffith.edu.au\data\CAHE\Research%20Projects\PBAC\Projects%20for%20PBAC\Utilisation%20projects\Project%206%20-%20Antifungals\Data\D953%20-%20DUSC_SCRPT_SUM.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researchdata.student.ad.griffith.edu.au\data\CAHE\Research%20Projects\PBAC\Projects%20for%20PBAC\Utilisation%20projects\Project%206%20-%20Antifungals\Data\D953%20-%20EDW%20LBL%20SCRPT_SUM%20+%20auth%20appr%20rstr%20num.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researchdata.student.ad.griffith.edu.au\data\CAHE\Research%20Projects\PBAC\Projects%20for%20PBAC\Utilisation%20projects\Project%206%20-%20Antifungals\Data\D953%20-%20EDW%20LBL%20SCRPT_SUM%20-%20v5%20fluconazole,%20monthly%20data%20to%20from%20Jan%202008%20to%20June%202016.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researchdata.student.ad.griffith.edu.au\data\CAHE\Research%20Projects\PBAC\Projects%20for%20PBAC\Utilisation%20projects\Project%206%20-%20Antifungals\Data\D953%20-%20EDW%20LBL%20SCRPT_SUM%20-%20v5%20fluconazole,%20monthly%20data%20to%20from%20Jan%202008%20to%20June%202016.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researchdata.student.ad.griffith.edu.au\data\CAHE\Research%20Projects\PBAC\Projects%20for%20PBAC\Utilisation%20projects\Project%206%20-%20Antifungals\Data\D953%20-%20EDW%20LBL%20SCRPT_SUM%20-%20v5%20fluconazole,%20monthly%20data%20to%20from%20Jan%202008%20to%20June%202016.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researchdata.student.ad.griffith.edu.au\data\CAHE\Research%20Projects\PBAC\Projects%20for%20PBAC\Utilisation%20projects\Project%206%20-%20Antifungals\Data\D953%20-%20EDW%20LBL%20SCRPT_SUM%20-%20v5%20fluconazole,%20monthly%20data%20to%20from%20Jan%202008%20to%20June%202016.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Dinusha\Downloads\D953%20-%20DUSC_SCRPT_SUM.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All!$B$43</c:f>
              <c:strCache>
                <c:ptCount val="1"/>
                <c:pt idx="0">
                  <c:v>Amphotericin B</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All!$B$44:$B$77</c:f>
              <c:numCache>
                <c:formatCode>#,##0</c:formatCode>
                <c:ptCount val="34"/>
                <c:pt idx="0">
                  <c:v>22</c:v>
                </c:pt>
                <c:pt idx="1">
                  <c:v>37</c:v>
                </c:pt>
                <c:pt idx="2">
                  <c:v>13</c:v>
                </c:pt>
                <c:pt idx="3">
                  <c:v>37</c:v>
                </c:pt>
                <c:pt idx="4">
                  <c:v>52</c:v>
                </c:pt>
                <c:pt idx="5">
                  <c:v>13</c:v>
                </c:pt>
                <c:pt idx="6">
                  <c:v>21</c:v>
                </c:pt>
                <c:pt idx="7">
                  <c:v>30</c:v>
                </c:pt>
                <c:pt idx="8">
                  <c:v>7</c:v>
                </c:pt>
                <c:pt idx="9">
                  <c:v>7</c:v>
                </c:pt>
                <c:pt idx="10">
                  <c:v>2</c:v>
                </c:pt>
              </c:numCache>
            </c:numRef>
          </c:val>
          <c:smooth val="0"/>
          <c:extLst xmlns:c16r2="http://schemas.microsoft.com/office/drawing/2015/06/chart">
            <c:ext xmlns:c16="http://schemas.microsoft.com/office/drawing/2014/chart" uri="{C3380CC4-5D6E-409C-BE32-E72D297353CC}">
              <c16:uniqueId val="{00000000-F7C1-4ABB-AB40-406598DC2E10}"/>
            </c:ext>
          </c:extLst>
        </c:ser>
        <c:ser>
          <c:idx val="1"/>
          <c:order val="1"/>
          <c:tx>
            <c:strRef>
              <c:f>All!$C$43</c:f>
              <c:strCache>
                <c:ptCount val="1"/>
                <c:pt idx="0">
                  <c:v>Fluconazole</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All!$C$44:$C$77</c:f>
              <c:numCache>
                <c:formatCode>#,##0</c:formatCode>
                <c:ptCount val="34"/>
                <c:pt idx="0">
                  <c:v>5073</c:v>
                </c:pt>
                <c:pt idx="1">
                  <c:v>5421</c:v>
                </c:pt>
                <c:pt idx="2">
                  <c:v>5514</c:v>
                </c:pt>
                <c:pt idx="3">
                  <c:v>6012</c:v>
                </c:pt>
                <c:pt idx="4">
                  <c:v>5171</c:v>
                </c:pt>
                <c:pt idx="5">
                  <c:v>5734</c:v>
                </c:pt>
                <c:pt idx="6">
                  <c:v>5667</c:v>
                </c:pt>
                <c:pt idx="7">
                  <c:v>6343</c:v>
                </c:pt>
                <c:pt idx="8">
                  <c:v>5750</c:v>
                </c:pt>
                <c:pt idx="9">
                  <c:v>6129</c:v>
                </c:pt>
                <c:pt idx="10">
                  <c:v>6435</c:v>
                </c:pt>
                <c:pt idx="11">
                  <c:v>6983</c:v>
                </c:pt>
                <c:pt idx="12">
                  <c:v>6583</c:v>
                </c:pt>
                <c:pt idx="13">
                  <c:v>7145</c:v>
                </c:pt>
                <c:pt idx="14">
                  <c:v>7889</c:v>
                </c:pt>
                <c:pt idx="15">
                  <c:v>8650</c:v>
                </c:pt>
                <c:pt idx="16">
                  <c:v>7679</c:v>
                </c:pt>
                <c:pt idx="17">
                  <c:v>8038</c:v>
                </c:pt>
                <c:pt idx="18">
                  <c:v>8572</c:v>
                </c:pt>
                <c:pt idx="19">
                  <c:v>9536</c:v>
                </c:pt>
                <c:pt idx="20">
                  <c:v>8586</c:v>
                </c:pt>
                <c:pt idx="21">
                  <c:v>9188</c:v>
                </c:pt>
                <c:pt idx="22">
                  <c:v>9554</c:v>
                </c:pt>
                <c:pt idx="23">
                  <c:v>10810</c:v>
                </c:pt>
                <c:pt idx="24">
                  <c:v>9516</c:v>
                </c:pt>
                <c:pt idx="25">
                  <c:v>10404</c:v>
                </c:pt>
                <c:pt idx="26">
                  <c:v>10905</c:v>
                </c:pt>
                <c:pt idx="27">
                  <c:v>11906</c:v>
                </c:pt>
                <c:pt idx="28">
                  <c:v>10352</c:v>
                </c:pt>
                <c:pt idx="29">
                  <c:v>10870</c:v>
                </c:pt>
                <c:pt idx="30">
                  <c:v>11349</c:v>
                </c:pt>
                <c:pt idx="31">
                  <c:v>12099</c:v>
                </c:pt>
                <c:pt idx="32">
                  <c:v>10443</c:v>
                </c:pt>
                <c:pt idx="33" formatCode="_-* #,##0_-;\-* #,##0_-;_-* &quot;-&quot;??_-;_-@_-">
                  <c:v>17830</c:v>
                </c:pt>
              </c:numCache>
            </c:numRef>
          </c:val>
          <c:smooth val="0"/>
          <c:extLst xmlns:c16r2="http://schemas.microsoft.com/office/drawing/2015/06/chart">
            <c:ext xmlns:c16="http://schemas.microsoft.com/office/drawing/2014/chart" uri="{C3380CC4-5D6E-409C-BE32-E72D297353CC}">
              <c16:uniqueId val="{00000001-F7C1-4ABB-AB40-406598DC2E10}"/>
            </c:ext>
          </c:extLst>
        </c:ser>
        <c:ser>
          <c:idx val="2"/>
          <c:order val="2"/>
          <c:tx>
            <c:strRef>
              <c:f>All!$D$43</c:f>
              <c:strCache>
                <c:ptCount val="1"/>
                <c:pt idx="0">
                  <c:v>Griseofulvin</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All!$D$44:$D$77</c:f>
              <c:numCache>
                <c:formatCode>#,##0</c:formatCode>
                <c:ptCount val="34"/>
                <c:pt idx="0">
                  <c:v>8878</c:v>
                </c:pt>
                <c:pt idx="1">
                  <c:v>4336</c:v>
                </c:pt>
                <c:pt idx="2">
                  <c:v>7095</c:v>
                </c:pt>
                <c:pt idx="3">
                  <c:v>10199</c:v>
                </c:pt>
                <c:pt idx="4">
                  <c:v>9272</c:v>
                </c:pt>
                <c:pt idx="5">
                  <c:v>7022</c:v>
                </c:pt>
                <c:pt idx="6">
                  <c:v>9183</c:v>
                </c:pt>
                <c:pt idx="7">
                  <c:v>12250</c:v>
                </c:pt>
                <c:pt idx="8">
                  <c:v>12169</c:v>
                </c:pt>
                <c:pt idx="9">
                  <c:v>12150</c:v>
                </c:pt>
                <c:pt idx="10">
                  <c:v>12049</c:v>
                </c:pt>
                <c:pt idx="11">
                  <c:v>14325</c:v>
                </c:pt>
                <c:pt idx="12">
                  <c:v>14180</c:v>
                </c:pt>
                <c:pt idx="13">
                  <c:v>12916</c:v>
                </c:pt>
                <c:pt idx="14">
                  <c:v>12931</c:v>
                </c:pt>
                <c:pt idx="15">
                  <c:v>14166</c:v>
                </c:pt>
                <c:pt idx="16">
                  <c:v>14570</c:v>
                </c:pt>
                <c:pt idx="17">
                  <c:v>13902</c:v>
                </c:pt>
                <c:pt idx="18">
                  <c:v>14733</c:v>
                </c:pt>
                <c:pt idx="19">
                  <c:v>16450</c:v>
                </c:pt>
                <c:pt idx="20">
                  <c:v>16254</c:v>
                </c:pt>
                <c:pt idx="21">
                  <c:v>15673</c:v>
                </c:pt>
                <c:pt idx="22">
                  <c:v>14937</c:v>
                </c:pt>
                <c:pt idx="23">
                  <c:v>15935</c:v>
                </c:pt>
                <c:pt idx="24">
                  <c:v>16848</c:v>
                </c:pt>
                <c:pt idx="25">
                  <c:v>16030</c:v>
                </c:pt>
                <c:pt idx="26">
                  <c:v>15109</c:v>
                </c:pt>
                <c:pt idx="27">
                  <c:v>16741</c:v>
                </c:pt>
                <c:pt idx="28">
                  <c:v>15939</c:v>
                </c:pt>
                <c:pt idx="29">
                  <c:v>15451</c:v>
                </c:pt>
                <c:pt idx="30">
                  <c:v>14962</c:v>
                </c:pt>
                <c:pt idx="31">
                  <c:v>16410</c:v>
                </c:pt>
                <c:pt idx="32">
                  <c:v>15525</c:v>
                </c:pt>
                <c:pt idx="33" formatCode="General">
                  <c:v>14770</c:v>
                </c:pt>
              </c:numCache>
            </c:numRef>
          </c:val>
          <c:smooth val="0"/>
          <c:extLst xmlns:c16r2="http://schemas.microsoft.com/office/drawing/2015/06/chart">
            <c:ext xmlns:c16="http://schemas.microsoft.com/office/drawing/2014/chart" uri="{C3380CC4-5D6E-409C-BE32-E72D297353CC}">
              <c16:uniqueId val="{00000002-F7C1-4ABB-AB40-406598DC2E10}"/>
            </c:ext>
          </c:extLst>
        </c:ser>
        <c:ser>
          <c:idx val="3"/>
          <c:order val="3"/>
          <c:tx>
            <c:strRef>
              <c:f>All!$E$43</c:f>
              <c:strCache>
                <c:ptCount val="1"/>
                <c:pt idx="0">
                  <c:v>Itraconazole</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All!$E$44:$E$77</c:f>
              <c:numCache>
                <c:formatCode>#,##0</c:formatCode>
                <c:ptCount val="34"/>
                <c:pt idx="0">
                  <c:v>1289</c:v>
                </c:pt>
                <c:pt idx="1">
                  <c:v>1370</c:v>
                </c:pt>
                <c:pt idx="2">
                  <c:v>1475</c:v>
                </c:pt>
                <c:pt idx="3">
                  <c:v>1631</c:v>
                </c:pt>
                <c:pt idx="4">
                  <c:v>1316</c:v>
                </c:pt>
                <c:pt idx="5">
                  <c:v>1395</c:v>
                </c:pt>
                <c:pt idx="6">
                  <c:v>1470</c:v>
                </c:pt>
                <c:pt idx="7">
                  <c:v>1445</c:v>
                </c:pt>
                <c:pt idx="8">
                  <c:v>1290</c:v>
                </c:pt>
                <c:pt idx="9">
                  <c:v>1494</c:v>
                </c:pt>
                <c:pt idx="10">
                  <c:v>1544</c:v>
                </c:pt>
                <c:pt idx="11">
                  <c:v>1628</c:v>
                </c:pt>
                <c:pt idx="12">
                  <c:v>1338</c:v>
                </c:pt>
                <c:pt idx="13">
                  <c:v>1604</c:v>
                </c:pt>
                <c:pt idx="14">
                  <c:v>1607</c:v>
                </c:pt>
                <c:pt idx="15">
                  <c:v>1830</c:v>
                </c:pt>
                <c:pt idx="16">
                  <c:v>1659</c:v>
                </c:pt>
                <c:pt idx="17">
                  <c:v>1876</c:v>
                </c:pt>
                <c:pt idx="18">
                  <c:v>1974</c:v>
                </c:pt>
                <c:pt idx="19">
                  <c:v>2223</c:v>
                </c:pt>
                <c:pt idx="20">
                  <c:v>1859</c:v>
                </c:pt>
                <c:pt idx="21">
                  <c:v>2068</c:v>
                </c:pt>
                <c:pt idx="22">
                  <c:v>2157</c:v>
                </c:pt>
                <c:pt idx="23">
                  <c:v>2341</c:v>
                </c:pt>
                <c:pt idx="24">
                  <c:v>1992</c:v>
                </c:pt>
                <c:pt idx="25">
                  <c:v>2303</c:v>
                </c:pt>
                <c:pt idx="26">
                  <c:v>2398</c:v>
                </c:pt>
                <c:pt idx="27">
                  <c:v>2590</c:v>
                </c:pt>
                <c:pt idx="28">
                  <c:v>2211</c:v>
                </c:pt>
                <c:pt idx="29">
                  <c:v>2417</c:v>
                </c:pt>
                <c:pt idx="30">
                  <c:v>2478</c:v>
                </c:pt>
                <c:pt idx="31">
                  <c:v>2896</c:v>
                </c:pt>
                <c:pt idx="32">
                  <c:v>2292</c:v>
                </c:pt>
                <c:pt idx="33" formatCode="General">
                  <c:v>2948</c:v>
                </c:pt>
              </c:numCache>
            </c:numRef>
          </c:val>
          <c:smooth val="0"/>
          <c:extLst xmlns:c16r2="http://schemas.microsoft.com/office/drawing/2015/06/chart">
            <c:ext xmlns:c16="http://schemas.microsoft.com/office/drawing/2014/chart" uri="{C3380CC4-5D6E-409C-BE32-E72D297353CC}">
              <c16:uniqueId val="{00000003-F7C1-4ABB-AB40-406598DC2E10}"/>
            </c:ext>
          </c:extLst>
        </c:ser>
        <c:ser>
          <c:idx val="4"/>
          <c:order val="4"/>
          <c:tx>
            <c:strRef>
              <c:f>All!$F$43</c:f>
              <c:strCache>
                <c:ptCount val="1"/>
                <c:pt idx="0">
                  <c:v>Ketoconazole</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All!$F$44:$F$77</c:f>
              <c:numCache>
                <c:formatCode>#,##0</c:formatCode>
                <c:ptCount val="34"/>
                <c:pt idx="0">
                  <c:v>8976</c:v>
                </c:pt>
                <c:pt idx="1">
                  <c:v>9043</c:v>
                </c:pt>
                <c:pt idx="2">
                  <c:v>9111</c:v>
                </c:pt>
                <c:pt idx="3">
                  <c:v>10087</c:v>
                </c:pt>
                <c:pt idx="4">
                  <c:v>9503</c:v>
                </c:pt>
                <c:pt idx="5">
                  <c:v>9553</c:v>
                </c:pt>
                <c:pt idx="6">
                  <c:v>8714</c:v>
                </c:pt>
                <c:pt idx="7">
                  <c:v>8928</c:v>
                </c:pt>
                <c:pt idx="8">
                  <c:v>8347</c:v>
                </c:pt>
                <c:pt idx="9">
                  <c:v>8272</c:v>
                </c:pt>
                <c:pt idx="10">
                  <c:v>8194</c:v>
                </c:pt>
                <c:pt idx="11">
                  <c:v>8858</c:v>
                </c:pt>
                <c:pt idx="12">
                  <c:v>9496</c:v>
                </c:pt>
                <c:pt idx="13">
                  <c:v>9197</c:v>
                </c:pt>
                <c:pt idx="14">
                  <c:v>9708</c:v>
                </c:pt>
                <c:pt idx="15">
                  <c:v>10038</c:v>
                </c:pt>
                <c:pt idx="16">
                  <c:v>10555</c:v>
                </c:pt>
                <c:pt idx="17">
                  <c:v>10078</c:v>
                </c:pt>
                <c:pt idx="18">
                  <c:v>10591</c:v>
                </c:pt>
                <c:pt idx="19">
                  <c:v>11331</c:v>
                </c:pt>
                <c:pt idx="20">
                  <c:v>11219</c:v>
                </c:pt>
                <c:pt idx="21">
                  <c:v>10980</c:v>
                </c:pt>
                <c:pt idx="22">
                  <c:v>10501</c:v>
                </c:pt>
                <c:pt idx="23">
                  <c:v>5840</c:v>
                </c:pt>
              </c:numCache>
            </c:numRef>
          </c:val>
          <c:smooth val="0"/>
          <c:extLst xmlns:c16r2="http://schemas.microsoft.com/office/drawing/2015/06/chart">
            <c:ext xmlns:c16="http://schemas.microsoft.com/office/drawing/2014/chart" uri="{C3380CC4-5D6E-409C-BE32-E72D297353CC}">
              <c16:uniqueId val="{00000004-F7C1-4ABB-AB40-406598DC2E10}"/>
            </c:ext>
          </c:extLst>
        </c:ser>
        <c:ser>
          <c:idx val="5"/>
          <c:order val="5"/>
          <c:tx>
            <c:strRef>
              <c:f>All!$G$43</c:f>
              <c:strCache>
                <c:ptCount val="1"/>
                <c:pt idx="0">
                  <c:v>Posaconazole</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All!$G$44:$G$77</c:f>
              <c:numCache>
                <c:formatCode>General</c:formatCode>
                <c:ptCount val="34"/>
                <c:pt idx="4" formatCode="#,##0">
                  <c:v>317</c:v>
                </c:pt>
                <c:pt idx="5" formatCode="#,##0">
                  <c:v>399</c:v>
                </c:pt>
                <c:pt idx="6" formatCode="#,##0">
                  <c:v>413</c:v>
                </c:pt>
                <c:pt idx="7" formatCode="#,##0">
                  <c:v>351</c:v>
                </c:pt>
                <c:pt idx="8" formatCode="#,##0">
                  <c:v>345</c:v>
                </c:pt>
                <c:pt idx="9" formatCode="#,##0">
                  <c:v>329</c:v>
                </c:pt>
                <c:pt idx="10" formatCode="#,##0">
                  <c:v>386</c:v>
                </c:pt>
                <c:pt idx="11" formatCode="#,##0">
                  <c:v>504</c:v>
                </c:pt>
                <c:pt idx="12" formatCode="#,##0">
                  <c:v>518</c:v>
                </c:pt>
                <c:pt idx="13" formatCode="#,##0">
                  <c:v>621</c:v>
                </c:pt>
                <c:pt idx="14" formatCode="#,##0">
                  <c:v>625</c:v>
                </c:pt>
                <c:pt idx="15" formatCode="#,##0">
                  <c:v>785</c:v>
                </c:pt>
                <c:pt idx="16" formatCode="#,##0">
                  <c:v>730</c:v>
                </c:pt>
                <c:pt idx="17" formatCode="#,##0">
                  <c:v>887</c:v>
                </c:pt>
                <c:pt idx="18" formatCode="#,##0">
                  <c:v>942</c:v>
                </c:pt>
                <c:pt idx="19" formatCode="#,##0">
                  <c:v>905</c:v>
                </c:pt>
                <c:pt idx="20" formatCode="#,##0">
                  <c:v>842</c:v>
                </c:pt>
                <c:pt idx="21" formatCode="#,##0">
                  <c:v>948</c:v>
                </c:pt>
                <c:pt idx="22" formatCode="#,##0">
                  <c:v>958</c:v>
                </c:pt>
                <c:pt idx="23" formatCode="#,##0">
                  <c:v>961</c:v>
                </c:pt>
                <c:pt idx="24" formatCode="#,##0">
                  <c:v>946</c:v>
                </c:pt>
                <c:pt idx="25" formatCode="#,##0">
                  <c:v>958</c:v>
                </c:pt>
                <c:pt idx="26" formatCode="#,##0">
                  <c:v>1041</c:v>
                </c:pt>
                <c:pt idx="27" formatCode="#,##0">
                  <c:v>1098</c:v>
                </c:pt>
                <c:pt idx="28" formatCode="#,##0">
                  <c:v>1039</c:v>
                </c:pt>
                <c:pt idx="29" formatCode="#,##0">
                  <c:v>1190</c:v>
                </c:pt>
                <c:pt idx="30" formatCode="#,##0">
                  <c:v>1241</c:v>
                </c:pt>
                <c:pt idx="31" formatCode="#,##0">
                  <c:v>1621</c:v>
                </c:pt>
                <c:pt idx="32" formatCode="#,##0">
                  <c:v>1656</c:v>
                </c:pt>
                <c:pt idx="33">
                  <c:v>1884</c:v>
                </c:pt>
              </c:numCache>
            </c:numRef>
          </c:val>
          <c:smooth val="0"/>
          <c:extLst xmlns:c16r2="http://schemas.microsoft.com/office/drawing/2015/06/chart">
            <c:ext xmlns:c16="http://schemas.microsoft.com/office/drawing/2014/chart" uri="{C3380CC4-5D6E-409C-BE32-E72D297353CC}">
              <c16:uniqueId val="{00000005-F7C1-4ABB-AB40-406598DC2E10}"/>
            </c:ext>
          </c:extLst>
        </c:ser>
        <c:ser>
          <c:idx val="6"/>
          <c:order val="6"/>
          <c:tx>
            <c:strRef>
              <c:f>All!$H$43</c:f>
              <c:strCache>
                <c:ptCount val="1"/>
                <c:pt idx="0">
                  <c:v>Terbinafine</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All!$H$44:$H$77</c:f>
              <c:numCache>
                <c:formatCode>#,##0</c:formatCode>
                <c:ptCount val="34"/>
                <c:pt idx="0">
                  <c:v>20307</c:v>
                </c:pt>
                <c:pt idx="1">
                  <c:v>19389</c:v>
                </c:pt>
                <c:pt idx="2">
                  <c:v>19316</c:v>
                </c:pt>
                <c:pt idx="3">
                  <c:v>23295</c:v>
                </c:pt>
                <c:pt idx="4">
                  <c:v>21960</c:v>
                </c:pt>
                <c:pt idx="5">
                  <c:v>20810</c:v>
                </c:pt>
                <c:pt idx="6">
                  <c:v>19758</c:v>
                </c:pt>
                <c:pt idx="7">
                  <c:v>22931</c:v>
                </c:pt>
                <c:pt idx="8">
                  <c:v>21733</c:v>
                </c:pt>
                <c:pt idx="9">
                  <c:v>19747</c:v>
                </c:pt>
                <c:pt idx="10">
                  <c:v>19354</c:v>
                </c:pt>
                <c:pt idx="11">
                  <c:v>22330</c:v>
                </c:pt>
                <c:pt idx="12">
                  <c:v>21226</c:v>
                </c:pt>
                <c:pt idx="13">
                  <c:v>20034</c:v>
                </c:pt>
                <c:pt idx="14">
                  <c:v>19693</c:v>
                </c:pt>
                <c:pt idx="15">
                  <c:v>22654</c:v>
                </c:pt>
                <c:pt idx="16">
                  <c:v>21939</c:v>
                </c:pt>
                <c:pt idx="17">
                  <c:v>20178</c:v>
                </c:pt>
                <c:pt idx="18">
                  <c:v>19269</c:v>
                </c:pt>
                <c:pt idx="19">
                  <c:v>22137</c:v>
                </c:pt>
                <c:pt idx="20">
                  <c:v>20532</c:v>
                </c:pt>
                <c:pt idx="21">
                  <c:v>19315</c:v>
                </c:pt>
                <c:pt idx="22">
                  <c:v>17900</c:v>
                </c:pt>
                <c:pt idx="23">
                  <c:v>19640</c:v>
                </c:pt>
                <c:pt idx="24">
                  <c:v>18306</c:v>
                </c:pt>
                <c:pt idx="25">
                  <c:v>17726</c:v>
                </c:pt>
                <c:pt idx="26">
                  <c:v>16710</c:v>
                </c:pt>
                <c:pt idx="27">
                  <c:v>19136</c:v>
                </c:pt>
                <c:pt idx="28">
                  <c:v>18274</c:v>
                </c:pt>
                <c:pt idx="29">
                  <c:v>16680</c:v>
                </c:pt>
                <c:pt idx="30">
                  <c:v>16086</c:v>
                </c:pt>
                <c:pt idx="31">
                  <c:v>18217</c:v>
                </c:pt>
                <c:pt idx="32">
                  <c:v>16834</c:v>
                </c:pt>
                <c:pt idx="33" formatCode="General">
                  <c:v>15864</c:v>
                </c:pt>
              </c:numCache>
            </c:numRef>
          </c:val>
          <c:smooth val="0"/>
          <c:extLst xmlns:c16r2="http://schemas.microsoft.com/office/drawing/2015/06/chart">
            <c:ext xmlns:c16="http://schemas.microsoft.com/office/drawing/2014/chart" uri="{C3380CC4-5D6E-409C-BE32-E72D297353CC}">
              <c16:uniqueId val="{00000006-F7C1-4ABB-AB40-406598DC2E10}"/>
            </c:ext>
          </c:extLst>
        </c:ser>
        <c:ser>
          <c:idx val="7"/>
          <c:order val="7"/>
          <c:tx>
            <c:strRef>
              <c:f>All!$I$43</c:f>
              <c:strCache>
                <c:ptCount val="1"/>
                <c:pt idx="0">
                  <c:v>Voriconazole</c:v>
                </c:pt>
              </c:strCache>
            </c:strRef>
          </c:tx>
          <c:marker>
            <c:symbol val="none"/>
          </c:marker>
          <c:cat>
            <c:strRef>
              <c:f>All!$A$44:$A$77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All!$I$44:$I$77</c:f>
              <c:numCache>
                <c:formatCode>General</c:formatCode>
                <c:ptCount val="34"/>
                <c:pt idx="4" formatCode="#,##0">
                  <c:v>177</c:v>
                </c:pt>
                <c:pt idx="5" formatCode="#,##0">
                  <c:v>422</c:v>
                </c:pt>
                <c:pt idx="6" formatCode="#,##0">
                  <c:v>581</c:v>
                </c:pt>
                <c:pt idx="7" formatCode="#,##0">
                  <c:v>654</c:v>
                </c:pt>
                <c:pt idx="8" formatCode="#,##0">
                  <c:v>682</c:v>
                </c:pt>
                <c:pt idx="9" formatCode="#,##0">
                  <c:v>762</c:v>
                </c:pt>
                <c:pt idx="10" formatCode="#,##0">
                  <c:v>903</c:v>
                </c:pt>
                <c:pt idx="11" formatCode="#,##0">
                  <c:v>956</c:v>
                </c:pt>
                <c:pt idx="12" formatCode="#,##0">
                  <c:v>902</c:v>
                </c:pt>
                <c:pt idx="13" formatCode="#,##0">
                  <c:v>974</c:v>
                </c:pt>
                <c:pt idx="14" formatCode="#,##0">
                  <c:v>1020</c:v>
                </c:pt>
                <c:pt idx="15" formatCode="#,##0">
                  <c:v>1061</c:v>
                </c:pt>
                <c:pt idx="16" formatCode="#,##0">
                  <c:v>1050</c:v>
                </c:pt>
                <c:pt idx="17" formatCode="#,##0">
                  <c:v>1217</c:v>
                </c:pt>
                <c:pt idx="18" formatCode="#,##0">
                  <c:v>1314</c:v>
                </c:pt>
                <c:pt idx="19" formatCode="#,##0">
                  <c:v>1427</c:v>
                </c:pt>
                <c:pt idx="20" formatCode="#,##0">
                  <c:v>1355</c:v>
                </c:pt>
                <c:pt idx="21" formatCode="#,##0">
                  <c:v>1613</c:v>
                </c:pt>
                <c:pt idx="22" formatCode="#,##0">
                  <c:v>1673</c:v>
                </c:pt>
                <c:pt idx="23" formatCode="#,##0">
                  <c:v>1703</c:v>
                </c:pt>
                <c:pt idx="24" formatCode="#,##0">
                  <c:v>1489</c:v>
                </c:pt>
                <c:pt idx="25" formatCode="#,##0">
                  <c:v>1756</c:v>
                </c:pt>
                <c:pt idx="26" formatCode="#,##0">
                  <c:v>1663</c:v>
                </c:pt>
                <c:pt idx="27" formatCode="#,##0">
                  <c:v>1645</c:v>
                </c:pt>
                <c:pt idx="28" formatCode="#,##0">
                  <c:v>1420</c:v>
                </c:pt>
                <c:pt idx="29" formatCode="#,##0">
                  <c:v>1480</c:v>
                </c:pt>
                <c:pt idx="30" formatCode="#,##0">
                  <c:v>1546</c:v>
                </c:pt>
                <c:pt idx="31" formatCode="#,##0">
                  <c:v>1562</c:v>
                </c:pt>
                <c:pt idx="32" formatCode="#,##0">
                  <c:v>1174</c:v>
                </c:pt>
                <c:pt idx="33">
                  <c:v>1251</c:v>
                </c:pt>
              </c:numCache>
            </c:numRef>
          </c:val>
          <c:smooth val="0"/>
          <c:extLst xmlns:c16r2="http://schemas.microsoft.com/office/drawing/2015/06/chart">
            <c:ext xmlns:c16="http://schemas.microsoft.com/office/drawing/2014/chart" uri="{C3380CC4-5D6E-409C-BE32-E72D297353CC}">
              <c16:uniqueId val="{00000007-F7C1-4ABB-AB40-406598DC2E10}"/>
            </c:ext>
          </c:extLst>
        </c:ser>
        <c:dLbls>
          <c:showLegendKey val="0"/>
          <c:showVal val="0"/>
          <c:showCatName val="0"/>
          <c:showSerName val="0"/>
          <c:showPercent val="0"/>
          <c:showBubbleSize val="0"/>
        </c:dLbls>
        <c:marker val="1"/>
        <c:smooth val="0"/>
        <c:axId val="260300800"/>
        <c:axId val="260302720"/>
      </c:lineChart>
      <c:catAx>
        <c:axId val="260300800"/>
        <c:scaling>
          <c:orientation val="minMax"/>
        </c:scaling>
        <c:delete val="0"/>
        <c:axPos val="b"/>
        <c:title>
          <c:tx>
            <c:rich>
              <a:bodyPr/>
              <a:lstStyle/>
              <a:p>
                <a:pPr>
                  <a:defRPr/>
                </a:pPr>
                <a:r>
                  <a:rPr lang="en-AU" b="0"/>
                  <a:t>Quarter</a:t>
                </a:r>
                <a:r>
                  <a:rPr lang="en-AU" b="0" baseline="0"/>
                  <a:t> of supply</a:t>
                </a:r>
                <a:endParaRPr lang="en-AU" b="0"/>
              </a:p>
            </c:rich>
          </c:tx>
          <c:overlay val="0"/>
        </c:title>
        <c:numFmt formatCode="General" sourceLinked="0"/>
        <c:majorTickMark val="out"/>
        <c:minorTickMark val="none"/>
        <c:tickLblPos val="nextTo"/>
        <c:crossAx val="260302720"/>
        <c:crosses val="autoZero"/>
        <c:auto val="1"/>
        <c:lblAlgn val="ctr"/>
        <c:lblOffset val="100"/>
        <c:noMultiLvlLbl val="0"/>
      </c:catAx>
      <c:valAx>
        <c:axId val="260302720"/>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260300800"/>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45204537927613"/>
          <c:y val="0.29819127770235226"/>
          <c:w val="0.82536503101914915"/>
          <c:h val="0.44582589489047464"/>
        </c:manualLayout>
      </c:layout>
      <c:lineChart>
        <c:grouping val="standard"/>
        <c:varyColors val="0"/>
        <c:ser>
          <c:idx val="0"/>
          <c:order val="0"/>
          <c:tx>
            <c:strRef>
              <c:f>Itraconazole!$B$40</c:f>
              <c:strCache>
                <c:ptCount val="1"/>
                <c:pt idx="0">
                  <c:v>Systemic aspergillosis</c:v>
                </c:pt>
              </c:strCache>
            </c:strRef>
          </c:tx>
          <c:marker>
            <c:symbol val="none"/>
          </c:marker>
          <c:cat>
            <c:strRef>
              <c:f>Itraconazole!$A$41:$A$73</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Itraconazole!$B$41:$B$73</c:f>
              <c:numCache>
                <c:formatCode>#,##0</c:formatCode>
                <c:ptCount val="33"/>
                <c:pt idx="0">
                  <c:v>338</c:v>
                </c:pt>
                <c:pt idx="1">
                  <c:v>761</c:v>
                </c:pt>
                <c:pt idx="2">
                  <c:v>1000</c:v>
                </c:pt>
                <c:pt idx="3">
                  <c:v>1168</c:v>
                </c:pt>
                <c:pt idx="4">
                  <c:v>959</c:v>
                </c:pt>
                <c:pt idx="5">
                  <c:v>977</c:v>
                </c:pt>
                <c:pt idx="6">
                  <c:v>1044</c:v>
                </c:pt>
                <c:pt idx="7">
                  <c:v>1007</c:v>
                </c:pt>
                <c:pt idx="8">
                  <c:v>939</c:v>
                </c:pt>
                <c:pt idx="9">
                  <c:v>1094</c:v>
                </c:pt>
                <c:pt idx="10">
                  <c:v>1101</c:v>
                </c:pt>
                <c:pt idx="11">
                  <c:v>1167</c:v>
                </c:pt>
                <c:pt idx="12">
                  <c:v>913</c:v>
                </c:pt>
                <c:pt idx="13">
                  <c:v>994</c:v>
                </c:pt>
                <c:pt idx="14">
                  <c:v>961</c:v>
                </c:pt>
                <c:pt idx="15">
                  <c:v>1051</c:v>
                </c:pt>
                <c:pt idx="16">
                  <c:v>1106</c:v>
                </c:pt>
                <c:pt idx="17">
                  <c:v>1277</c:v>
                </c:pt>
                <c:pt idx="18">
                  <c:v>1430</c:v>
                </c:pt>
                <c:pt idx="19">
                  <c:v>1578</c:v>
                </c:pt>
                <c:pt idx="20">
                  <c:v>1253</c:v>
                </c:pt>
                <c:pt idx="21">
                  <c:v>1449</c:v>
                </c:pt>
                <c:pt idx="22">
                  <c:v>1572</c:v>
                </c:pt>
                <c:pt idx="23">
                  <c:v>1668</c:v>
                </c:pt>
                <c:pt idx="24">
                  <c:v>1387</c:v>
                </c:pt>
                <c:pt idx="25">
                  <c:v>1599</c:v>
                </c:pt>
                <c:pt idx="26">
                  <c:v>1650</c:v>
                </c:pt>
                <c:pt idx="27">
                  <c:v>1824</c:v>
                </c:pt>
                <c:pt idx="28">
                  <c:v>1519</c:v>
                </c:pt>
                <c:pt idx="29">
                  <c:v>1706</c:v>
                </c:pt>
                <c:pt idx="30">
                  <c:v>1741</c:v>
                </c:pt>
                <c:pt idx="31">
                  <c:v>2055</c:v>
                </c:pt>
                <c:pt idx="32">
                  <c:v>1677</c:v>
                </c:pt>
              </c:numCache>
            </c:numRef>
          </c:val>
          <c:smooth val="0"/>
          <c:extLst xmlns:c16r2="http://schemas.microsoft.com/office/drawing/2015/06/chart">
            <c:ext xmlns:c16="http://schemas.microsoft.com/office/drawing/2014/chart" uri="{C3380CC4-5D6E-409C-BE32-E72D297353CC}">
              <c16:uniqueId val="{00000000-714E-4D33-A51B-0083F50C8F2E}"/>
            </c:ext>
          </c:extLst>
        </c:ser>
        <c:ser>
          <c:idx val="1"/>
          <c:order val="1"/>
          <c:tx>
            <c:strRef>
              <c:f>Itraconazole!$C$40</c:f>
              <c:strCache>
                <c:ptCount val="1"/>
                <c:pt idx="0">
                  <c:v>Oropharyngeal candidiasis</c:v>
                </c:pt>
              </c:strCache>
            </c:strRef>
          </c:tx>
          <c:marker>
            <c:symbol val="none"/>
          </c:marker>
          <c:cat>
            <c:strRef>
              <c:f>Itraconazole!$A$41:$A$73</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Itraconazole!$C$41:$C$73</c:f>
              <c:numCache>
                <c:formatCode>#,##0</c:formatCode>
                <c:ptCount val="33"/>
                <c:pt idx="0">
                  <c:v>127</c:v>
                </c:pt>
                <c:pt idx="1">
                  <c:v>210</c:v>
                </c:pt>
                <c:pt idx="2">
                  <c:v>245</c:v>
                </c:pt>
                <c:pt idx="3">
                  <c:v>280</c:v>
                </c:pt>
                <c:pt idx="4">
                  <c:v>238</c:v>
                </c:pt>
                <c:pt idx="5">
                  <c:v>270</c:v>
                </c:pt>
                <c:pt idx="6">
                  <c:v>287</c:v>
                </c:pt>
                <c:pt idx="7">
                  <c:v>304</c:v>
                </c:pt>
                <c:pt idx="8">
                  <c:v>235</c:v>
                </c:pt>
                <c:pt idx="9">
                  <c:v>244</c:v>
                </c:pt>
                <c:pt idx="10">
                  <c:v>276</c:v>
                </c:pt>
                <c:pt idx="11">
                  <c:v>291</c:v>
                </c:pt>
                <c:pt idx="12">
                  <c:v>212</c:v>
                </c:pt>
                <c:pt idx="13">
                  <c:v>248</c:v>
                </c:pt>
                <c:pt idx="14">
                  <c:v>221</c:v>
                </c:pt>
                <c:pt idx="15">
                  <c:v>260</c:v>
                </c:pt>
                <c:pt idx="16">
                  <c:v>297</c:v>
                </c:pt>
                <c:pt idx="17">
                  <c:v>356</c:v>
                </c:pt>
                <c:pt idx="18">
                  <c:v>336</c:v>
                </c:pt>
                <c:pt idx="19">
                  <c:v>364</c:v>
                </c:pt>
                <c:pt idx="20">
                  <c:v>349</c:v>
                </c:pt>
                <c:pt idx="21">
                  <c:v>333</c:v>
                </c:pt>
                <c:pt idx="22">
                  <c:v>314</c:v>
                </c:pt>
                <c:pt idx="23">
                  <c:v>348</c:v>
                </c:pt>
                <c:pt idx="24">
                  <c:v>335</c:v>
                </c:pt>
                <c:pt idx="25">
                  <c:v>417</c:v>
                </c:pt>
                <c:pt idx="26">
                  <c:v>481</c:v>
                </c:pt>
                <c:pt idx="27">
                  <c:v>497</c:v>
                </c:pt>
                <c:pt idx="28">
                  <c:v>456</c:v>
                </c:pt>
                <c:pt idx="29">
                  <c:v>451</c:v>
                </c:pt>
                <c:pt idx="30">
                  <c:v>410</c:v>
                </c:pt>
                <c:pt idx="31">
                  <c:v>478</c:v>
                </c:pt>
                <c:pt idx="32">
                  <c:v>287</c:v>
                </c:pt>
              </c:numCache>
            </c:numRef>
          </c:val>
          <c:smooth val="0"/>
          <c:extLst xmlns:c16r2="http://schemas.microsoft.com/office/drawing/2015/06/chart">
            <c:ext xmlns:c16="http://schemas.microsoft.com/office/drawing/2014/chart" uri="{C3380CC4-5D6E-409C-BE32-E72D297353CC}">
              <c16:uniqueId val="{00000001-714E-4D33-A51B-0083F50C8F2E}"/>
            </c:ext>
          </c:extLst>
        </c:ser>
        <c:ser>
          <c:idx val="2"/>
          <c:order val="2"/>
          <c:tx>
            <c:strRef>
              <c:f>Itraconazole!$D$40</c:f>
              <c:strCache>
                <c:ptCount val="1"/>
                <c:pt idx="0">
                  <c:v>Oesophageal candidiasis</c:v>
                </c:pt>
              </c:strCache>
            </c:strRef>
          </c:tx>
          <c:marker>
            <c:symbol val="none"/>
          </c:marker>
          <c:cat>
            <c:strRef>
              <c:f>Itraconazole!$A$41:$A$73</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Itraconazole!$D$41:$D$73</c:f>
              <c:numCache>
                <c:formatCode>#,##0</c:formatCode>
                <c:ptCount val="33"/>
                <c:pt idx="0">
                  <c:v>33</c:v>
                </c:pt>
                <c:pt idx="1">
                  <c:v>69</c:v>
                </c:pt>
                <c:pt idx="2">
                  <c:v>61</c:v>
                </c:pt>
                <c:pt idx="3">
                  <c:v>60</c:v>
                </c:pt>
                <c:pt idx="4">
                  <c:v>57</c:v>
                </c:pt>
                <c:pt idx="5">
                  <c:v>54</c:v>
                </c:pt>
                <c:pt idx="6">
                  <c:v>66</c:v>
                </c:pt>
                <c:pt idx="7">
                  <c:v>62</c:v>
                </c:pt>
                <c:pt idx="8">
                  <c:v>59</c:v>
                </c:pt>
                <c:pt idx="9">
                  <c:v>66</c:v>
                </c:pt>
                <c:pt idx="10">
                  <c:v>60</c:v>
                </c:pt>
                <c:pt idx="11">
                  <c:v>92</c:v>
                </c:pt>
                <c:pt idx="12">
                  <c:v>61</c:v>
                </c:pt>
                <c:pt idx="13">
                  <c:v>67</c:v>
                </c:pt>
                <c:pt idx="14">
                  <c:v>46</c:v>
                </c:pt>
                <c:pt idx="15">
                  <c:v>101</c:v>
                </c:pt>
                <c:pt idx="16">
                  <c:v>107</c:v>
                </c:pt>
                <c:pt idx="17">
                  <c:v>116</c:v>
                </c:pt>
                <c:pt idx="18">
                  <c:v>111</c:v>
                </c:pt>
                <c:pt idx="19">
                  <c:v>148</c:v>
                </c:pt>
                <c:pt idx="20">
                  <c:v>109</c:v>
                </c:pt>
                <c:pt idx="21">
                  <c:v>141</c:v>
                </c:pt>
                <c:pt idx="22">
                  <c:v>122</c:v>
                </c:pt>
                <c:pt idx="23">
                  <c:v>145</c:v>
                </c:pt>
                <c:pt idx="24">
                  <c:v>126</c:v>
                </c:pt>
                <c:pt idx="25">
                  <c:v>153</c:v>
                </c:pt>
                <c:pt idx="26">
                  <c:v>120</c:v>
                </c:pt>
                <c:pt idx="27">
                  <c:v>141</c:v>
                </c:pt>
                <c:pt idx="28">
                  <c:v>109</c:v>
                </c:pt>
                <c:pt idx="29">
                  <c:v>117</c:v>
                </c:pt>
                <c:pt idx="30">
                  <c:v>146</c:v>
                </c:pt>
                <c:pt idx="31">
                  <c:v>166</c:v>
                </c:pt>
                <c:pt idx="32">
                  <c:v>109</c:v>
                </c:pt>
              </c:numCache>
            </c:numRef>
          </c:val>
          <c:smooth val="0"/>
          <c:extLst xmlns:c16r2="http://schemas.microsoft.com/office/drawing/2015/06/chart">
            <c:ext xmlns:c16="http://schemas.microsoft.com/office/drawing/2014/chart" uri="{C3380CC4-5D6E-409C-BE32-E72D297353CC}">
              <c16:uniqueId val="{00000002-714E-4D33-A51B-0083F50C8F2E}"/>
            </c:ext>
          </c:extLst>
        </c:ser>
        <c:ser>
          <c:idx val="3"/>
          <c:order val="3"/>
          <c:tx>
            <c:strRef>
              <c:f>Itraconazole!$E$40</c:f>
              <c:strCache>
                <c:ptCount val="1"/>
                <c:pt idx="0">
                  <c:v>Systemic sporotrichosis</c:v>
                </c:pt>
              </c:strCache>
            </c:strRef>
          </c:tx>
          <c:marker>
            <c:symbol val="none"/>
          </c:marker>
          <c:cat>
            <c:strRef>
              <c:f>Itraconazole!$A$41:$A$73</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Itraconazole!$E$41:$E$73</c:f>
              <c:numCache>
                <c:formatCode>#,##0</c:formatCode>
                <c:ptCount val="33"/>
                <c:pt idx="0">
                  <c:v>45</c:v>
                </c:pt>
                <c:pt idx="1">
                  <c:v>46</c:v>
                </c:pt>
                <c:pt idx="2">
                  <c:v>66</c:v>
                </c:pt>
                <c:pt idx="3">
                  <c:v>57</c:v>
                </c:pt>
                <c:pt idx="4">
                  <c:v>27</c:v>
                </c:pt>
                <c:pt idx="5">
                  <c:v>47</c:v>
                </c:pt>
                <c:pt idx="6">
                  <c:v>40</c:v>
                </c:pt>
                <c:pt idx="7">
                  <c:v>20</c:v>
                </c:pt>
                <c:pt idx="8">
                  <c:v>22</c:v>
                </c:pt>
                <c:pt idx="9">
                  <c:v>47</c:v>
                </c:pt>
                <c:pt idx="10">
                  <c:v>34</c:v>
                </c:pt>
                <c:pt idx="11">
                  <c:v>34</c:v>
                </c:pt>
                <c:pt idx="12">
                  <c:v>30</c:v>
                </c:pt>
                <c:pt idx="13">
                  <c:v>39</c:v>
                </c:pt>
                <c:pt idx="14">
                  <c:v>32</c:v>
                </c:pt>
                <c:pt idx="15">
                  <c:v>36</c:v>
                </c:pt>
                <c:pt idx="16">
                  <c:v>42</c:v>
                </c:pt>
                <c:pt idx="17">
                  <c:v>57</c:v>
                </c:pt>
                <c:pt idx="18">
                  <c:v>59</c:v>
                </c:pt>
                <c:pt idx="19">
                  <c:v>71</c:v>
                </c:pt>
                <c:pt idx="20">
                  <c:v>107</c:v>
                </c:pt>
                <c:pt idx="21">
                  <c:v>88</c:v>
                </c:pt>
                <c:pt idx="22">
                  <c:v>87</c:v>
                </c:pt>
                <c:pt idx="23">
                  <c:v>119</c:v>
                </c:pt>
                <c:pt idx="24">
                  <c:v>91</c:v>
                </c:pt>
                <c:pt idx="25">
                  <c:v>83</c:v>
                </c:pt>
                <c:pt idx="26">
                  <c:v>103</c:v>
                </c:pt>
                <c:pt idx="27">
                  <c:v>81</c:v>
                </c:pt>
                <c:pt idx="28">
                  <c:v>87</c:v>
                </c:pt>
                <c:pt idx="29">
                  <c:v>86</c:v>
                </c:pt>
                <c:pt idx="30">
                  <c:v>117</c:v>
                </c:pt>
                <c:pt idx="31">
                  <c:v>125</c:v>
                </c:pt>
                <c:pt idx="32">
                  <c:v>118</c:v>
                </c:pt>
              </c:numCache>
            </c:numRef>
          </c:val>
          <c:smooth val="0"/>
          <c:extLst xmlns:c16r2="http://schemas.microsoft.com/office/drawing/2015/06/chart">
            <c:ext xmlns:c16="http://schemas.microsoft.com/office/drawing/2014/chart" uri="{C3380CC4-5D6E-409C-BE32-E72D297353CC}">
              <c16:uniqueId val="{00000003-714E-4D33-A51B-0083F50C8F2E}"/>
            </c:ext>
          </c:extLst>
        </c:ser>
        <c:ser>
          <c:idx val="4"/>
          <c:order val="4"/>
          <c:tx>
            <c:strRef>
              <c:f>Itraconazole!$F$40</c:f>
              <c:strCache>
                <c:ptCount val="1"/>
                <c:pt idx="0">
                  <c:v>Systemic histoplasmosis</c:v>
                </c:pt>
              </c:strCache>
            </c:strRef>
          </c:tx>
          <c:marker>
            <c:symbol val="none"/>
          </c:marker>
          <c:cat>
            <c:strRef>
              <c:f>Itraconazole!$A$41:$A$73</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Itraconazole!$F$41:$F$73</c:f>
              <c:numCache>
                <c:formatCode>#,##0</c:formatCode>
                <c:ptCount val="33"/>
                <c:pt idx="0">
                  <c:v>16</c:v>
                </c:pt>
                <c:pt idx="1">
                  <c:v>15</c:v>
                </c:pt>
                <c:pt idx="2">
                  <c:v>29</c:v>
                </c:pt>
                <c:pt idx="3">
                  <c:v>25</c:v>
                </c:pt>
                <c:pt idx="4">
                  <c:v>19</c:v>
                </c:pt>
                <c:pt idx="5">
                  <c:v>27</c:v>
                </c:pt>
                <c:pt idx="6">
                  <c:v>22</c:v>
                </c:pt>
                <c:pt idx="7">
                  <c:v>38</c:v>
                </c:pt>
                <c:pt idx="8">
                  <c:v>26</c:v>
                </c:pt>
                <c:pt idx="9">
                  <c:v>32</c:v>
                </c:pt>
                <c:pt idx="10">
                  <c:v>44</c:v>
                </c:pt>
                <c:pt idx="11">
                  <c:v>26</c:v>
                </c:pt>
                <c:pt idx="12">
                  <c:v>23</c:v>
                </c:pt>
                <c:pt idx="13">
                  <c:v>34</c:v>
                </c:pt>
                <c:pt idx="14">
                  <c:v>21</c:v>
                </c:pt>
                <c:pt idx="15">
                  <c:v>30</c:v>
                </c:pt>
                <c:pt idx="16">
                  <c:v>32</c:v>
                </c:pt>
                <c:pt idx="17">
                  <c:v>32</c:v>
                </c:pt>
                <c:pt idx="18">
                  <c:v>24</c:v>
                </c:pt>
                <c:pt idx="19">
                  <c:v>45</c:v>
                </c:pt>
                <c:pt idx="20">
                  <c:v>29</c:v>
                </c:pt>
                <c:pt idx="21">
                  <c:v>45</c:v>
                </c:pt>
                <c:pt idx="22">
                  <c:v>55</c:v>
                </c:pt>
                <c:pt idx="23">
                  <c:v>60</c:v>
                </c:pt>
                <c:pt idx="24">
                  <c:v>40</c:v>
                </c:pt>
                <c:pt idx="25">
                  <c:v>45</c:v>
                </c:pt>
                <c:pt idx="26">
                  <c:v>36</c:v>
                </c:pt>
                <c:pt idx="27">
                  <c:v>32</c:v>
                </c:pt>
                <c:pt idx="28">
                  <c:v>28</c:v>
                </c:pt>
                <c:pt idx="29">
                  <c:v>43</c:v>
                </c:pt>
                <c:pt idx="30">
                  <c:v>49</c:v>
                </c:pt>
                <c:pt idx="31">
                  <c:v>58</c:v>
                </c:pt>
                <c:pt idx="32">
                  <c:v>62</c:v>
                </c:pt>
              </c:numCache>
            </c:numRef>
          </c:val>
          <c:smooth val="0"/>
          <c:extLst xmlns:c16r2="http://schemas.microsoft.com/office/drawing/2015/06/chart">
            <c:ext xmlns:c16="http://schemas.microsoft.com/office/drawing/2014/chart" uri="{C3380CC4-5D6E-409C-BE32-E72D297353CC}">
              <c16:uniqueId val="{00000004-714E-4D33-A51B-0083F50C8F2E}"/>
            </c:ext>
          </c:extLst>
        </c:ser>
        <c:ser>
          <c:idx val="5"/>
          <c:order val="5"/>
          <c:tx>
            <c:strRef>
              <c:f>Itraconazole!$I$40</c:f>
              <c:strCache>
                <c:ptCount val="1"/>
                <c:pt idx="0">
                  <c:v>Missing</c:v>
                </c:pt>
              </c:strCache>
            </c:strRef>
          </c:tx>
          <c:spPr>
            <a:ln>
              <a:solidFill>
                <a:schemeClr val="tx1">
                  <a:lumMod val="50000"/>
                  <a:lumOff val="50000"/>
                </a:schemeClr>
              </a:solidFill>
              <a:prstDash val="dash"/>
            </a:ln>
          </c:spPr>
          <c:marker>
            <c:symbol val="none"/>
          </c:marker>
          <c:val>
            <c:numRef>
              <c:f>Itraconazole!$I$41:$I$73</c:f>
              <c:numCache>
                <c:formatCode>#,##0</c:formatCode>
                <c:ptCount val="33"/>
                <c:pt idx="0">
                  <c:v>729</c:v>
                </c:pt>
                <c:pt idx="1">
                  <c:v>261</c:v>
                </c:pt>
                <c:pt idx="2">
                  <c:v>69</c:v>
                </c:pt>
                <c:pt idx="3">
                  <c:v>40</c:v>
                </c:pt>
                <c:pt idx="4">
                  <c:v>14</c:v>
                </c:pt>
                <c:pt idx="5">
                  <c:v>16</c:v>
                </c:pt>
                <c:pt idx="6">
                  <c:v>10</c:v>
                </c:pt>
                <c:pt idx="7">
                  <c:v>14</c:v>
                </c:pt>
                <c:pt idx="8">
                  <c:v>11</c:v>
                </c:pt>
                <c:pt idx="9">
                  <c:v>9</c:v>
                </c:pt>
                <c:pt idx="10">
                  <c:v>23</c:v>
                </c:pt>
                <c:pt idx="11">
                  <c:v>18</c:v>
                </c:pt>
                <c:pt idx="12">
                  <c:v>97</c:v>
                </c:pt>
                <c:pt idx="13">
                  <c:v>224</c:v>
                </c:pt>
                <c:pt idx="14">
                  <c:v>321</c:v>
                </c:pt>
                <c:pt idx="15">
                  <c:v>329</c:v>
                </c:pt>
                <c:pt idx="16">
                  <c:v>72</c:v>
                </c:pt>
                <c:pt idx="17">
                  <c:v>32</c:v>
                </c:pt>
                <c:pt idx="18">
                  <c:v>5</c:v>
                </c:pt>
                <c:pt idx="19">
                  <c:v>8</c:v>
                </c:pt>
                <c:pt idx="20">
                  <c:v>3</c:v>
                </c:pt>
                <c:pt idx="21">
                  <c:v>3</c:v>
                </c:pt>
                <c:pt idx="22">
                  <c:v>1</c:v>
                </c:pt>
                <c:pt idx="23">
                  <c:v>0</c:v>
                </c:pt>
                <c:pt idx="24">
                  <c:v>3</c:v>
                </c:pt>
                <c:pt idx="25">
                  <c:v>4</c:v>
                </c:pt>
                <c:pt idx="26">
                  <c:v>3</c:v>
                </c:pt>
                <c:pt idx="27">
                  <c:v>8</c:v>
                </c:pt>
                <c:pt idx="28">
                  <c:v>5</c:v>
                </c:pt>
                <c:pt idx="29">
                  <c:v>5</c:v>
                </c:pt>
                <c:pt idx="30">
                  <c:v>4</c:v>
                </c:pt>
                <c:pt idx="31">
                  <c:v>2</c:v>
                </c:pt>
                <c:pt idx="32">
                  <c:v>4</c:v>
                </c:pt>
              </c:numCache>
            </c:numRef>
          </c:val>
          <c:smooth val="0"/>
          <c:extLst xmlns:c16r2="http://schemas.microsoft.com/office/drawing/2015/06/chart">
            <c:ext xmlns:c16="http://schemas.microsoft.com/office/drawing/2014/chart" uri="{C3380CC4-5D6E-409C-BE32-E72D297353CC}">
              <c16:uniqueId val="{00000005-714E-4D33-A51B-0083F50C8F2E}"/>
            </c:ext>
          </c:extLst>
        </c:ser>
        <c:dLbls>
          <c:showLegendKey val="0"/>
          <c:showVal val="0"/>
          <c:showCatName val="0"/>
          <c:showSerName val="0"/>
          <c:showPercent val="0"/>
          <c:showBubbleSize val="0"/>
        </c:dLbls>
        <c:marker val="1"/>
        <c:smooth val="0"/>
        <c:axId val="344199552"/>
        <c:axId val="344201472"/>
      </c:lineChart>
      <c:catAx>
        <c:axId val="344199552"/>
        <c:scaling>
          <c:orientation val="minMax"/>
        </c:scaling>
        <c:delete val="0"/>
        <c:axPos val="b"/>
        <c:title>
          <c:tx>
            <c:rich>
              <a:bodyPr/>
              <a:lstStyle/>
              <a:p>
                <a:pPr>
                  <a:defRPr/>
                </a:pPr>
                <a:r>
                  <a:rPr lang="en-AU" b="0"/>
                  <a:t>Quarter</a:t>
                </a:r>
                <a:r>
                  <a:rPr lang="en-AU" b="0" baseline="0"/>
                  <a:t> of supply</a:t>
                </a:r>
                <a:endParaRPr lang="en-AU" b="0"/>
              </a:p>
            </c:rich>
          </c:tx>
          <c:overlay val="0"/>
        </c:title>
        <c:numFmt formatCode="General" sourceLinked="0"/>
        <c:majorTickMark val="out"/>
        <c:minorTickMark val="none"/>
        <c:tickLblPos val="nextTo"/>
        <c:crossAx val="344201472"/>
        <c:crosses val="autoZero"/>
        <c:auto val="1"/>
        <c:lblAlgn val="ctr"/>
        <c:lblOffset val="100"/>
        <c:noMultiLvlLbl val="0"/>
      </c:catAx>
      <c:valAx>
        <c:axId val="344201472"/>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344199552"/>
        <c:crosses val="autoZero"/>
        <c:crossBetween val="midCat"/>
      </c:valAx>
    </c:plotArea>
    <c:legend>
      <c:legendPos val="t"/>
      <c:layout>
        <c:manualLayout>
          <c:xMode val="edge"/>
          <c:yMode val="edge"/>
          <c:x val="2.3254411497100318E-2"/>
          <c:y val="2.561367783842072E-2"/>
          <c:w val="0.97578935798854294"/>
          <c:h val="0.22518153946271108"/>
        </c:manualLayout>
      </c:layout>
      <c:overlay val="0"/>
    </c:legend>
    <c:plotVisOnly val="1"/>
    <c:dispBlanksAs val="gap"/>
    <c:showDLblsOverMax val="0"/>
  </c:chart>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'[D953 - DUSC_SCRPT_SUM.xlsx]Posaconazole'!$F$5</c:f>
              <c:strCache>
                <c:ptCount val="1"/>
                <c:pt idx="0">
                  <c:v>Oral suspension</c:v>
                </c:pt>
              </c:strCache>
            </c:strRef>
          </c:tx>
          <c:marker>
            <c:symbol val="none"/>
          </c:marker>
          <c:cat>
            <c:strRef>
              <c:f>'[D953 - DUSC_SCRPT_SUM.xlsx]Posaconazole'!$E$6:$E$35</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'[D953 - DUSC_SCRPT_SUM.xlsx]Posaconazole'!$F$6:$F$35</c:f>
              <c:numCache>
                <c:formatCode>#,##0</c:formatCode>
                <c:ptCount val="30"/>
                <c:pt idx="0">
                  <c:v>317</c:v>
                </c:pt>
                <c:pt idx="1">
                  <c:v>399</c:v>
                </c:pt>
                <c:pt idx="2">
                  <c:v>413</c:v>
                </c:pt>
                <c:pt idx="3">
                  <c:v>351</c:v>
                </c:pt>
                <c:pt idx="4">
                  <c:v>345</c:v>
                </c:pt>
                <c:pt idx="5">
                  <c:v>329</c:v>
                </c:pt>
                <c:pt idx="6">
                  <c:v>386</c:v>
                </c:pt>
                <c:pt idx="7">
                  <c:v>504</c:v>
                </c:pt>
                <c:pt idx="8">
                  <c:v>518</c:v>
                </c:pt>
                <c:pt idx="9">
                  <c:v>621</c:v>
                </c:pt>
                <c:pt idx="10">
                  <c:v>625</c:v>
                </c:pt>
                <c:pt idx="11">
                  <c:v>785</c:v>
                </c:pt>
                <c:pt idx="12">
                  <c:v>730</c:v>
                </c:pt>
                <c:pt idx="13">
                  <c:v>887</c:v>
                </c:pt>
                <c:pt idx="14">
                  <c:v>942</c:v>
                </c:pt>
                <c:pt idx="15">
                  <c:v>905</c:v>
                </c:pt>
                <c:pt idx="16">
                  <c:v>842</c:v>
                </c:pt>
                <c:pt idx="17">
                  <c:v>948</c:v>
                </c:pt>
                <c:pt idx="18">
                  <c:v>958</c:v>
                </c:pt>
                <c:pt idx="19">
                  <c:v>961</c:v>
                </c:pt>
                <c:pt idx="20">
                  <c:v>946</c:v>
                </c:pt>
                <c:pt idx="21">
                  <c:v>958</c:v>
                </c:pt>
                <c:pt idx="22">
                  <c:v>1041</c:v>
                </c:pt>
                <c:pt idx="23">
                  <c:v>1098</c:v>
                </c:pt>
                <c:pt idx="24">
                  <c:v>1039</c:v>
                </c:pt>
                <c:pt idx="25">
                  <c:v>1190</c:v>
                </c:pt>
                <c:pt idx="26">
                  <c:v>1075</c:v>
                </c:pt>
                <c:pt idx="27">
                  <c:v>648</c:v>
                </c:pt>
                <c:pt idx="28">
                  <c:v>426</c:v>
                </c:pt>
                <c:pt idx="29">
                  <c:v>327</c:v>
                </c:pt>
              </c:numCache>
            </c:numRef>
          </c:val>
          <c:smooth val="0"/>
          <c:extLst xmlns:c16r2="http://schemas.microsoft.com/office/drawing/2015/06/chart">
            <c:ext xmlns:c16="http://schemas.microsoft.com/office/drawing/2014/chart" uri="{C3380CC4-5D6E-409C-BE32-E72D297353CC}">
              <c16:uniqueId val="{00000000-F142-4075-A374-D93AA4F8DE56}"/>
            </c:ext>
          </c:extLst>
        </c:ser>
        <c:ser>
          <c:idx val="1"/>
          <c:order val="1"/>
          <c:tx>
            <c:strRef>
              <c:f>'[D953 - DUSC_SCRPT_SUM.xlsx]Posaconazole'!$G$5</c:f>
              <c:strCache>
                <c:ptCount val="1"/>
                <c:pt idx="0">
                  <c:v>100 mg tablet</c:v>
                </c:pt>
              </c:strCache>
            </c:strRef>
          </c:tx>
          <c:marker>
            <c:symbol val="none"/>
          </c:marker>
          <c:cat>
            <c:strRef>
              <c:f>'[D953 - DUSC_SCRPT_SUM.xlsx]Posaconazole'!$E$6:$E$35</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'[D953 - DUSC_SCRPT_SUM.xlsx]Posaconazole'!$G$6:$G$35</c:f>
              <c:numCache>
                <c:formatCode>General</c:formatCode>
                <c:ptCount val="30"/>
                <c:pt idx="26" formatCode="#,##0">
                  <c:v>166</c:v>
                </c:pt>
                <c:pt idx="27" formatCode="#,##0">
                  <c:v>973</c:v>
                </c:pt>
                <c:pt idx="28" formatCode="#,##0">
                  <c:v>1230</c:v>
                </c:pt>
                <c:pt idx="29">
                  <c:v>1557</c:v>
                </c:pt>
              </c:numCache>
            </c:numRef>
          </c:val>
          <c:smooth val="0"/>
          <c:extLst xmlns:c16r2="http://schemas.microsoft.com/office/drawing/2015/06/chart">
            <c:ext xmlns:c16="http://schemas.microsoft.com/office/drawing/2014/chart" uri="{C3380CC4-5D6E-409C-BE32-E72D297353CC}">
              <c16:uniqueId val="{00000001-F142-4075-A374-D93AA4F8DE56}"/>
            </c:ext>
          </c:extLst>
        </c:ser>
        <c:ser>
          <c:idx val="2"/>
          <c:order val="2"/>
          <c:tx>
            <c:strRef>
              <c:f>'[D953 - DUSC_SCRPT_SUM.xlsx]Posaconazole'!$H$5</c:f>
              <c:strCache>
                <c:ptCount val="1"/>
                <c:pt idx="0">
                  <c:v>Total</c:v>
                </c:pt>
              </c:strCache>
            </c:strRef>
          </c:tx>
          <c:spPr>
            <a:ln>
              <a:solidFill>
                <a:sysClr val="windowText" lastClr="000000">
                  <a:lumMod val="50000"/>
                  <a:lumOff val="50000"/>
                </a:sysClr>
              </a:solidFill>
              <a:prstDash val="sysDash"/>
            </a:ln>
          </c:spPr>
          <c:marker>
            <c:symbol val="none"/>
          </c:marker>
          <c:cat>
            <c:strRef>
              <c:f>'[D953 - DUSC_SCRPT_SUM.xlsx]Posaconazole'!$E$6:$E$35</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'[D953 - DUSC_SCRPT_SUM.xlsx]Posaconazole'!$H$6:$H$35</c:f>
              <c:numCache>
                <c:formatCode>General</c:formatCode>
                <c:ptCount val="30"/>
                <c:pt idx="25" formatCode="#,##0">
                  <c:v>1190</c:v>
                </c:pt>
                <c:pt idx="26" formatCode="#,##0">
                  <c:v>1241</c:v>
                </c:pt>
                <c:pt idx="27" formatCode="#,##0">
                  <c:v>1621</c:v>
                </c:pt>
                <c:pt idx="28" formatCode="#,##0">
                  <c:v>1656</c:v>
                </c:pt>
                <c:pt idx="29">
                  <c:v>1884</c:v>
                </c:pt>
              </c:numCache>
            </c:numRef>
          </c:val>
          <c:smooth val="0"/>
          <c:extLst xmlns:c16r2="http://schemas.microsoft.com/office/drawing/2015/06/chart">
            <c:ext xmlns:c16="http://schemas.microsoft.com/office/drawing/2014/chart" uri="{C3380CC4-5D6E-409C-BE32-E72D297353CC}">
              <c16:uniqueId val="{00000002-F142-4075-A374-D93AA4F8DE56}"/>
            </c:ext>
          </c:extLst>
        </c:ser>
        <c:dLbls>
          <c:showLegendKey val="0"/>
          <c:showVal val="0"/>
          <c:showCatName val="0"/>
          <c:showSerName val="0"/>
          <c:showPercent val="0"/>
          <c:showBubbleSize val="0"/>
        </c:dLbls>
        <c:marker val="1"/>
        <c:smooth val="0"/>
        <c:axId val="344247296"/>
        <c:axId val="344327296"/>
      </c:lineChart>
      <c:catAx>
        <c:axId val="344247296"/>
        <c:scaling>
          <c:orientation val="minMax"/>
        </c:scaling>
        <c:delete val="0"/>
        <c:axPos val="b"/>
        <c:title>
          <c:tx>
            <c:rich>
              <a:bodyPr/>
              <a:lstStyle/>
              <a:p>
                <a:pPr>
                  <a:defRPr/>
                </a:pPr>
                <a:r>
                  <a:rPr lang="en-AU" b="0"/>
                  <a:t>Quarter</a:t>
                </a:r>
              </a:p>
            </c:rich>
          </c:tx>
          <c:overlay val="0"/>
        </c:title>
        <c:numFmt formatCode="General" sourceLinked="0"/>
        <c:majorTickMark val="out"/>
        <c:minorTickMark val="none"/>
        <c:tickLblPos val="nextTo"/>
        <c:crossAx val="344327296"/>
        <c:crosses val="autoZero"/>
        <c:auto val="1"/>
        <c:lblAlgn val="ctr"/>
        <c:lblOffset val="100"/>
        <c:noMultiLvlLbl val="0"/>
      </c:catAx>
      <c:valAx>
        <c:axId val="344327296"/>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344247296"/>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'[D953 - EDW LBL SCRPT_SUM + auth appr rstr num.xlsx]Posaconazole'!$B$37</c:f>
              <c:strCache>
                <c:ptCount val="1"/>
                <c:pt idx="0">
                  <c:v>Treatment (aspergillosis)</c:v>
                </c:pt>
              </c:strCache>
            </c:strRef>
          </c:tx>
          <c:marker>
            <c:symbol val="none"/>
          </c:marker>
          <c:cat>
            <c:strRef>
              <c:f>'[D953 - EDW LBL SCRPT_SUM + auth appr rstr num.xlsx]Posaconazole'!$A$38:$A$67</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'[D953 - EDW LBL SCRPT_SUM + auth appr rstr num.xlsx]Posaconazole'!$B$38:$B$67</c:f>
              <c:numCache>
                <c:formatCode>#,##0</c:formatCode>
                <c:ptCount val="30"/>
                <c:pt idx="0">
                  <c:v>63</c:v>
                </c:pt>
                <c:pt idx="1">
                  <c:v>90</c:v>
                </c:pt>
                <c:pt idx="2">
                  <c:v>109</c:v>
                </c:pt>
                <c:pt idx="3">
                  <c:v>91</c:v>
                </c:pt>
                <c:pt idx="4">
                  <c:v>72</c:v>
                </c:pt>
                <c:pt idx="5">
                  <c:v>87</c:v>
                </c:pt>
                <c:pt idx="6">
                  <c:v>95</c:v>
                </c:pt>
                <c:pt idx="7">
                  <c:v>116</c:v>
                </c:pt>
                <c:pt idx="8">
                  <c:v>107</c:v>
                </c:pt>
                <c:pt idx="9">
                  <c:v>130</c:v>
                </c:pt>
                <c:pt idx="10">
                  <c:v>124</c:v>
                </c:pt>
                <c:pt idx="11">
                  <c:v>163</c:v>
                </c:pt>
                <c:pt idx="12">
                  <c:v>143</c:v>
                </c:pt>
                <c:pt idx="13">
                  <c:v>210</c:v>
                </c:pt>
                <c:pt idx="14">
                  <c:v>234</c:v>
                </c:pt>
                <c:pt idx="15">
                  <c:v>226</c:v>
                </c:pt>
                <c:pt idx="16">
                  <c:v>239</c:v>
                </c:pt>
                <c:pt idx="17">
                  <c:v>256</c:v>
                </c:pt>
                <c:pt idx="18">
                  <c:v>267</c:v>
                </c:pt>
                <c:pt idx="19">
                  <c:v>293</c:v>
                </c:pt>
                <c:pt idx="20">
                  <c:v>278</c:v>
                </c:pt>
                <c:pt idx="21">
                  <c:v>282</c:v>
                </c:pt>
                <c:pt idx="22">
                  <c:v>289</c:v>
                </c:pt>
                <c:pt idx="23">
                  <c:v>328</c:v>
                </c:pt>
                <c:pt idx="24">
                  <c:v>290</c:v>
                </c:pt>
                <c:pt idx="25">
                  <c:v>316</c:v>
                </c:pt>
                <c:pt idx="26">
                  <c:v>325</c:v>
                </c:pt>
                <c:pt idx="27">
                  <c:v>444</c:v>
                </c:pt>
                <c:pt idx="28">
                  <c:v>457</c:v>
                </c:pt>
                <c:pt idx="29">
                  <c:v>495</c:v>
                </c:pt>
              </c:numCache>
            </c:numRef>
          </c:val>
          <c:smooth val="0"/>
          <c:extLst xmlns:c16r2="http://schemas.microsoft.com/office/drawing/2015/06/chart">
            <c:ext xmlns:c16="http://schemas.microsoft.com/office/drawing/2014/chart" uri="{C3380CC4-5D6E-409C-BE32-E72D297353CC}">
              <c16:uniqueId val="{00000000-F585-4478-99EE-9AF766231F02}"/>
            </c:ext>
          </c:extLst>
        </c:ser>
        <c:ser>
          <c:idx val="1"/>
          <c:order val="1"/>
          <c:tx>
            <c:strRef>
              <c:f>'[D953 - EDW LBL SCRPT_SUM + auth appr rstr num.xlsx]Posaconazole'!$C$37</c:f>
              <c:strCache>
                <c:ptCount val="1"/>
                <c:pt idx="0">
                  <c:v>Treatment (other)</c:v>
                </c:pt>
              </c:strCache>
            </c:strRef>
          </c:tx>
          <c:marker>
            <c:symbol val="none"/>
          </c:marker>
          <c:cat>
            <c:strRef>
              <c:f>'[D953 - EDW LBL SCRPT_SUM + auth appr rstr num.xlsx]Posaconazole'!$A$38:$A$67</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'[D953 - EDW LBL SCRPT_SUM + auth appr rstr num.xlsx]Posaconazole'!$C$38:$C$67</c:f>
              <c:numCache>
                <c:formatCode>#,##0</c:formatCode>
                <c:ptCount val="30"/>
                <c:pt idx="0">
                  <c:v>16</c:v>
                </c:pt>
                <c:pt idx="1">
                  <c:v>24</c:v>
                </c:pt>
                <c:pt idx="2">
                  <c:v>15</c:v>
                </c:pt>
                <c:pt idx="3">
                  <c:v>11</c:v>
                </c:pt>
                <c:pt idx="4">
                  <c:v>13</c:v>
                </c:pt>
                <c:pt idx="5">
                  <c:v>24</c:v>
                </c:pt>
                <c:pt idx="6">
                  <c:v>30</c:v>
                </c:pt>
                <c:pt idx="7">
                  <c:v>34</c:v>
                </c:pt>
                <c:pt idx="8">
                  <c:v>41</c:v>
                </c:pt>
                <c:pt idx="9">
                  <c:v>62</c:v>
                </c:pt>
                <c:pt idx="10">
                  <c:v>25</c:v>
                </c:pt>
                <c:pt idx="11">
                  <c:v>40</c:v>
                </c:pt>
                <c:pt idx="12">
                  <c:v>47</c:v>
                </c:pt>
                <c:pt idx="13">
                  <c:v>48</c:v>
                </c:pt>
                <c:pt idx="14">
                  <c:v>24</c:v>
                </c:pt>
                <c:pt idx="15">
                  <c:v>56</c:v>
                </c:pt>
                <c:pt idx="16">
                  <c:v>44</c:v>
                </c:pt>
                <c:pt idx="17">
                  <c:v>35</c:v>
                </c:pt>
                <c:pt idx="18">
                  <c:v>22</c:v>
                </c:pt>
                <c:pt idx="19">
                  <c:v>26</c:v>
                </c:pt>
                <c:pt idx="20">
                  <c:v>41</c:v>
                </c:pt>
                <c:pt idx="21">
                  <c:v>47</c:v>
                </c:pt>
                <c:pt idx="22">
                  <c:v>43</c:v>
                </c:pt>
                <c:pt idx="23">
                  <c:v>51</c:v>
                </c:pt>
                <c:pt idx="24">
                  <c:v>55</c:v>
                </c:pt>
                <c:pt idx="25">
                  <c:v>51</c:v>
                </c:pt>
                <c:pt idx="26">
                  <c:v>57</c:v>
                </c:pt>
                <c:pt idx="27">
                  <c:v>141</c:v>
                </c:pt>
                <c:pt idx="28">
                  <c:v>193</c:v>
                </c:pt>
                <c:pt idx="29">
                  <c:v>222</c:v>
                </c:pt>
              </c:numCache>
            </c:numRef>
          </c:val>
          <c:smooth val="0"/>
          <c:extLst xmlns:c16r2="http://schemas.microsoft.com/office/drawing/2015/06/chart">
            <c:ext xmlns:c16="http://schemas.microsoft.com/office/drawing/2014/chart" uri="{C3380CC4-5D6E-409C-BE32-E72D297353CC}">
              <c16:uniqueId val="{00000001-F585-4478-99EE-9AF766231F02}"/>
            </c:ext>
          </c:extLst>
        </c:ser>
        <c:ser>
          <c:idx val="2"/>
          <c:order val="2"/>
          <c:tx>
            <c:strRef>
              <c:f>'[D953 - EDW LBL SCRPT_SUM + auth appr rstr num.xlsx]Posaconazole'!$D$37</c:f>
              <c:strCache>
                <c:ptCount val="1"/>
                <c:pt idx="0">
                  <c:v>Prophylaxis</c:v>
                </c:pt>
              </c:strCache>
            </c:strRef>
          </c:tx>
          <c:marker>
            <c:symbol val="none"/>
          </c:marker>
          <c:cat>
            <c:strRef>
              <c:f>'[D953 - EDW LBL SCRPT_SUM + auth appr rstr num.xlsx]Posaconazole'!$A$38:$A$67</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'[D953 - EDW LBL SCRPT_SUM + auth appr rstr num.xlsx]Posaconazole'!$D$38:$D$67</c:f>
              <c:numCache>
                <c:formatCode>#,##0</c:formatCode>
                <c:ptCount val="30"/>
                <c:pt idx="0">
                  <c:v>233</c:v>
                </c:pt>
                <c:pt idx="1">
                  <c:v>277</c:v>
                </c:pt>
                <c:pt idx="2">
                  <c:v>280</c:v>
                </c:pt>
                <c:pt idx="3">
                  <c:v>243</c:v>
                </c:pt>
                <c:pt idx="4">
                  <c:v>257</c:v>
                </c:pt>
                <c:pt idx="5">
                  <c:v>214</c:v>
                </c:pt>
                <c:pt idx="6">
                  <c:v>257</c:v>
                </c:pt>
                <c:pt idx="7">
                  <c:v>348</c:v>
                </c:pt>
                <c:pt idx="8">
                  <c:v>359</c:v>
                </c:pt>
                <c:pt idx="9">
                  <c:v>417</c:v>
                </c:pt>
                <c:pt idx="10">
                  <c:v>470</c:v>
                </c:pt>
                <c:pt idx="11">
                  <c:v>578</c:v>
                </c:pt>
                <c:pt idx="12">
                  <c:v>531</c:v>
                </c:pt>
                <c:pt idx="13">
                  <c:v>621</c:v>
                </c:pt>
                <c:pt idx="14">
                  <c:v>676</c:v>
                </c:pt>
                <c:pt idx="15">
                  <c:v>613</c:v>
                </c:pt>
                <c:pt idx="16">
                  <c:v>552</c:v>
                </c:pt>
                <c:pt idx="17">
                  <c:v>650</c:v>
                </c:pt>
                <c:pt idx="18">
                  <c:v>660</c:v>
                </c:pt>
                <c:pt idx="19">
                  <c:v>628</c:v>
                </c:pt>
                <c:pt idx="20">
                  <c:v>617</c:v>
                </c:pt>
                <c:pt idx="21">
                  <c:v>620</c:v>
                </c:pt>
                <c:pt idx="22">
                  <c:v>700</c:v>
                </c:pt>
                <c:pt idx="23">
                  <c:v>709</c:v>
                </c:pt>
                <c:pt idx="24">
                  <c:v>681</c:v>
                </c:pt>
                <c:pt idx="25">
                  <c:v>804</c:v>
                </c:pt>
                <c:pt idx="26">
                  <c:v>833</c:v>
                </c:pt>
                <c:pt idx="27">
                  <c:v>979</c:v>
                </c:pt>
                <c:pt idx="28">
                  <c:v>934</c:v>
                </c:pt>
                <c:pt idx="29">
                  <c:v>1133</c:v>
                </c:pt>
              </c:numCache>
            </c:numRef>
          </c:val>
          <c:smooth val="0"/>
          <c:extLst xmlns:c16r2="http://schemas.microsoft.com/office/drawing/2015/06/chart">
            <c:ext xmlns:c16="http://schemas.microsoft.com/office/drawing/2014/chart" uri="{C3380CC4-5D6E-409C-BE32-E72D297353CC}">
              <c16:uniqueId val="{00000002-F585-4478-99EE-9AF766231F02}"/>
            </c:ext>
          </c:extLst>
        </c:ser>
        <c:dLbls>
          <c:showLegendKey val="0"/>
          <c:showVal val="0"/>
          <c:showCatName val="0"/>
          <c:showSerName val="0"/>
          <c:showPercent val="0"/>
          <c:showBubbleSize val="0"/>
        </c:dLbls>
        <c:marker val="1"/>
        <c:smooth val="0"/>
        <c:axId val="344378368"/>
        <c:axId val="344380544"/>
      </c:lineChart>
      <c:catAx>
        <c:axId val="344378368"/>
        <c:scaling>
          <c:orientation val="minMax"/>
        </c:scaling>
        <c:delete val="0"/>
        <c:axPos val="b"/>
        <c:title>
          <c:tx>
            <c:rich>
              <a:bodyPr/>
              <a:lstStyle/>
              <a:p>
                <a:pPr>
                  <a:defRPr/>
                </a:pPr>
                <a:r>
                  <a:rPr lang="en-AU" b="0"/>
                  <a:t>Quarter</a:t>
                </a:r>
                <a:r>
                  <a:rPr lang="en-AU" b="0" baseline="0"/>
                  <a:t> of supply</a:t>
                </a:r>
                <a:endParaRPr lang="en-AU" b="0"/>
              </a:p>
            </c:rich>
          </c:tx>
          <c:overlay val="0"/>
        </c:title>
        <c:numFmt formatCode="General" sourceLinked="0"/>
        <c:majorTickMark val="out"/>
        <c:minorTickMark val="none"/>
        <c:tickLblPos val="nextTo"/>
        <c:crossAx val="344380544"/>
        <c:crosses val="autoZero"/>
        <c:auto val="1"/>
        <c:lblAlgn val="ctr"/>
        <c:lblOffset val="100"/>
        <c:noMultiLvlLbl val="0"/>
      </c:catAx>
      <c:valAx>
        <c:axId val="344380544"/>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344378368"/>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lineChart>
        <c:grouping val="standard"/>
        <c:varyColors val="0"/>
        <c:ser>
          <c:idx val="0"/>
          <c:order val="0"/>
          <c:tx>
            <c:strRef>
              <c:f>'Posa qty'!$K$5</c:f>
              <c:strCache>
                <c:ptCount val="1"/>
                <c:pt idx="0">
                  <c:v>Suspension doses (600 mg)</c:v>
                </c:pt>
              </c:strCache>
            </c:strRef>
          </c:tx>
          <c:marker>
            <c:symbol val="none"/>
          </c:marker>
          <c:cat>
            <c:numRef>
              <c:f>'Posa qty'!$J$6:$J$25</c:f>
              <c:numCache>
                <c:formatCode>mmm\-yy</c:formatCode>
                <c:ptCount val="20"/>
                <c:pt idx="0">
                  <c:v>41974</c:v>
                </c:pt>
                <c:pt idx="1">
                  <c:v>42005</c:v>
                </c:pt>
                <c:pt idx="2">
                  <c:v>42036</c:v>
                </c:pt>
                <c:pt idx="3">
                  <c:v>42064</c:v>
                </c:pt>
                <c:pt idx="4">
                  <c:v>42095</c:v>
                </c:pt>
                <c:pt idx="5">
                  <c:v>42125</c:v>
                </c:pt>
                <c:pt idx="6">
                  <c:v>42156</c:v>
                </c:pt>
                <c:pt idx="7">
                  <c:v>42186</c:v>
                </c:pt>
                <c:pt idx="8">
                  <c:v>42217</c:v>
                </c:pt>
                <c:pt idx="9">
                  <c:v>42248</c:v>
                </c:pt>
                <c:pt idx="10">
                  <c:v>42278</c:v>
                </c:pt>
                <c:pt idx="11">
                  <c:v>42309</c:v>
                </c:pt>
                <c:pt idx="12">
                  <c:v>42339</c:v>
                </c:pt>
                <c:pt idx="13">
                  <c:v>42370</c:v>
                </c:pt>
                <c:pt idx="14">
                  <c:v>42401</c:v>
                </c:pt>
                <c:pt idx="15">
                  <c:v>42430</c:v>
                </c:pt>
                <c:pt idx="16">
                  <c:v>42461</c:v>
                </c:pt>
                <c:pt idx="17">
                  <c:v>42491</c:v>
                </c:pt>
                <c:pt idx="18">
                  <c:v>42522</c:v>
                </c:pt>
                <c:pt idx="19">
                  <c:v>42552</c:v>
                </c:pt>
              </c:numCache>
            </c:numRef>
          </c:cat>
          <c:val>
            <c:numRef>
              <c:f>'Posa qty'!$K$6:$K$25</c:f>
              <c:numCache>
                <c:formatCode>General</c:formatCode>
                <c:ptCount val="20"/>
                <c:pt idx="0">
                  <c:v>5397</c:v>
                </c:pt>
                <c:pt idx="1">
                  <c:v>5614</c:v>
                </c:pt>
                <c:pt idx="2">
                  <c:v>6643</c:v>
                </c:pt>
                <c:pt idx="3">
                  <c:v>5502</c:v>
                </c:pt>
                <c:pt idx="4">
                  <c:v>5075</c:v>
                </c:pt>
                <c:pt idx="5">
                  <c:v>6055</c:v>
                </c:pt>
                <c:pt idx="6">
                  <c:v>7168</c:v>
                </c:pt>
                <c:pt idx="7">
                  <c:v>6223</c:v>
                </c:pt>
                <c:pt idx="8">
                  <c:v>6776</c:v>
                </c:pt>
                <c:pt idx="9">
                  <c:v>6489</c:v>
                </c:pt>
                <c:pt idx="10">
                  <c:v>6251</c:v>
                </c:pt>
                <c:pt idx="11">
                  <c:v>5215</c:v>
                </c:pt>
                <c:pt idx="12">
                  <c:v>4417</c:v>
                </c:pt>
                <c:pt idx="13">
                  <c:v>3213</c:v>
                </c:pt>
                <c:pt idx="14">
                  <c:v>3682</c:v>
                </c:pt>
                <c:pt idx="15">
                  <c:v>2884</c:v>
                </c:pt>
                <c:pt idx="16">
                  <c:v>1932</c:v>
                </c:pt>
                <c:pt idx="17">
                  <c:v>2317</c:v>
                </c:pt>
                <c:pt idx="18">
                  <c:v>2177</c:v>
                </c:pt>
                <c:pt idx="19">
                  <c:v>1337</c:v>
                </c:pt>
              </c:numCache>
            </c:numRef>
          </c:val>
          <c:smooth val="0"/>
          <c:extLst xmlns:c16r2="http://schemas.microsoft.com/office/drawing/2015/06/chart">
            <c:ext xmlns:c16="http://schemas.microsoft.com/office/drawing/2014/chart" uri="{C3380CC4-5D6E-409C-BE32-E72D297353CC}">
              <c16:uniqueId val="{00000000-586F-44B7-96D4-E1F0EC40BB67}"/>
            </c:ext>
          </c:extLst>
        </c:ser>
        <c:ser>
          <c:idx val="1"/>
          <c:order val="1"/>
          <c:tx>
            <c:strRef>
              <c:f>'Posa qty'!$L$5</c:f>
              <c:strCache>
                <c:ptCount val="1"/>
                <c:pt idx="0">
                  <c:v>Tablet daily doses (300 mg)</c:v>
                </c:pt>
              </c:strCache>
            </c:strRef>
          </c:tx>
          <c:spPr>
            <a:ln>
              <a:solidFill>
                <a:schemeClr val="accent4">
                  <a:lumMod val="60000"/>
                  <a:lumOff val="40000"/>
                </a:schemeClr>
              </a:solidFill>
            </a:ln>
          </c:spPr>
          <c:marker>
            <c:symbol val="none"/>
          </c:marker>
          <c:cat>
            <c:numRef>
              <c:f>'Posa qty'!$J$6:$J$25</c:f>
              <c:numCache>
                <c:formatCode>mmm\-yy</c:formatCode>
                <c:ptCount val="20"/>
                <c:pt idx="0">
                  <c:v>41974</c:v>
                </c:pt>
                <c:pt idx="1">
                  <c:v>42005</c:v>
                </c:pt>
                <c:pt idx="2">
                  <c:v>42036</c:v>
                </c:pt>
                <c:pt idx="3">
                  <c:v>42064</c:v>
                </c:pt>
                <c:pt idx="4">
                  <c:v>42095</c:v>
                </c:pt>
                <c:pt idx="5">
                  <c:v>42125</c:v>
                </c:pt>
                <c:pt idx="6">
                  <c:v>42156</c:v>
                </c:pt>
                <c:pt idx="7">
                  <c:v>42186</c:v>
                </c:pt>
                <c:pt idx="8">
                  <c:v>42217</c:v>
                </c:pt>
                <c:pt idx="9">
                  <c:v>42248</c:v>
                </c:pt>
                <c:pt idx="10">
                  <c:v>42278</c:v>
                </c:pt>
                <c:pt idx="11">
                  <c:v>42309</c:v>
                </c:pt>
                <c:pt idx="12">
                  <c:v>42339</c:v>
                </c:pt>
                <c:pt idx="13">
                  <c:v>42370</c:v>
                </c:pt>
                <c:pt idx="14">
                  <c:v>42401</c:v>
                </c:pt>
                <c:pt idx="15">
                  <c:v>42430</c:v>
                </c:pt>
                <c:pt idx="16">
                  <c:v>42461</c:v>
                </c:pt>
                <c:pt idx="17">
                  <c:v>42491</c:v>
                </c:pt>
                <c:pt idx="18">
                  <c:v>42522</c:v>
                </c:pt>
                <c:pt idx="19">
                  <c:v>42552</c:v>
                </c:pt>
              </c:numCache>
            </c:numRef>
          </c:cat>
          <c:val>
            <c:numRef>
              <c:f>'Posa qty'!$L$6:$L$25</c:f>
              <c:numCache>
                <c:formatCode>General</c:formatCode>
                <c:ptCount val="20"/>
                <c:pt idx="10">
                  <c:v>0</c:v>
                </c:pt>
                <c:pt idx="11">
                  <c:v>2924.6666666666665</c:v>
                </c:pt>
                <c:pt idx="12">
                  <c:v>4028</c:v>
                </c:pt>
                <c:pt idx="13">
                  <c:v>4275.666666666667</c:v>
                </c:pt>
                <c:pt idx="14">
                  <c:v>5724.666666666667</c:v>
                </c:pt>
                <c:pt idx="15">
                  <c:v>4777.333333333333</c:v>
                </c:pt>
                <c:pt idx="16">
                  <c:v>6541</c:v>
                </c:pt>
                <c:pt idx="17">
                  <c:v>7780</c:v>
                </c:pt>
                <c:pt idx="18">
                  <c:v>8082.333333333333</c:v>
                </c:pt>
                <c:pt idx="19">
                  <c:v>8014</c:v>
                </c:pt>
              </c:numCache>
            </c:numRef>
          </c:val>
          <c:smooth val="0"/>
          <c:extLst xmlns:c16r2="http://schemas.microsoft.com/office/drawing/2015/06/chart">
            <c:ext xmlns:c16="http://schemas.microsoft.com/office/drawing/2014/chart" uri="{C3380CC4-5D6E-409C-BE32-E72D297353CC}">
              <c16:uniqueId val="{00000001-586F-44B7-96D4-E1F0EC40BB67}"/>
            </c:ext>
          </c:extLst>
        </c:ser>
        <c:ser>
          <c:idx val="2"/>
          <c:order val="2"/>
          <c:tx>
            <c:strRef>
              <c:f>'Posa qty'!$M$5</c:f>
              <c:strCache>
                <c:ptCount val="1"/>
                <c:pt idx="0">
                  <c:v>Total daily doses</c:v>
                </c:pt>
              </c:strCache>
            </c:strRef>
          </c:tx>
          <c:spPr>
            <a:ln>
              <a:solidFill>
                <a:schemeClr val="tx1">
                  <a:lumMod val="50000"/>
                  <a:lumOff val="50000"/>
                </a:schemeClr>
              </a:solidFill>
              <a:prstDash val="sysDash"/>
            </a:ln>
          </c:spPr>
          <c:marker>
            <c:symbol val="none"/>
          </c:marker>
          <c:cat>
            <c:numRef>
              <c:f>'Posa qty'!$J$6:$J$25</c:f>
              <c:numCache>
                <c:formatCode>mmm\-yy</c:formatCode>
                <c:ptCount val="20"/>
                <c:pt idx="0">
                  <c:v>41974</c:v>
                </c:pt>
                <c:pt idx="1">
                  <c:v>42005</c:v>
                </c:pt>
                <c:pt idx="2">
                  <c:v>42036</c:v>
                </c:pt>
                <c:pt idx="3">
                  <c:v>42064</c:v>
                </c:pt>
                <c:pt idx="4">
                  <c:v>42095</c:v>
                </c:pt>
                <c:pt idx="5">
                  <c:v>42125</c:v>
                </c:pt>
                <c:pt idx="6">
                  <c:v>42156</c:v>
                </c:pt>
                <c:pt idx="7">
                  <c:v>42186</c:v>
                </c:pt>
                <c:pt idx="8">
                  <c:v>42217</c:v>
                </c:pt>
                <c:pt idx="9">
                  <c:v>42248</c:v>
                </c:pt>
                <c:pt idx="10">
                  <c:v>42278</c:v>
                </c:pt>
                <c:pt idx="11">
                  <c:v>42309</c:v>
                </c:pt>
                <c:pt idx="12">
                  <c:v>42339</c:v>
                </c:pt>
                <c:pt idx="13">
                  <c:v>42370</c:v>
                </c:pt>
                <c:pt idx="14">
                  <c:v>42401</c:v>
                </c:pt>
                <c:pt idx="15">
                  <c:v>42430</c:v>
                </c:pt>
                <c:pt idx="16">
                  <c:v>42461</c:v>
                </c:pt>
                <c:pt idx="17">
                  <c:v>42491</c:v>
                </c:pt>
                <c:pt idx="18">
                  <c:v>42522</c:v>
                </c:pt>
                <c:pt idx="19">
                  <c:v>42552</c:v>
                </c:pt>
              </c:numCache>
            </c:numRef>
          </c:cat>
          <c:val>
            <c:numRef>
              <c:f>'Posa qty'!$M$6:$M$25</c:f>
              <c:numCache>
                <c:formatCode>General</c:formatCode>
                <c:ptCount val="20"/>
                <c:pt idx="10" formatCode="_-* #,##0_-;\-* #,##0_-;_-* &quot;-&quot;??_-;_-@_-">
                  <c:v>6251</c:v>
                </c:pt>
                <c:pt idx="11" formatCode="_-* #,##0_-;\-* #,##0_-;_-* &quot;-&quot;??_-;_-@_-">
                  <c:v>8139.6666666666661</c:v>
                </c:pt>
                <c:pt idx="12" formatCode="_-* #,##0_-;\-* #,##0_-;_-* &quot;-&quot;??_-;_-@_-">
                  <c:v>8445</c:v>
                </c:pt>
                <c:pt idx="13" formatCode="_-* #,##0_-;\-* #,##0_-;_-* &quot;-&quot;??_-;_-@_-">
                  <c:v>7488.666666666667</c:v>
                </c:pt>
                <c:pt idx="14" formatCode="_-* #,##0_-;\-* #,##0_-;_-* &quot;-&quot;??_-;_-@_-">
                  <c:v>9406.6666666666679</c:v>
                </c:pt>
                <c:pt idx="15" formatCode="_-* #,##0_-;\-* #,##0_-;_-* &quot;-&quot;??_-;_-@_-">
                  <c:v>7661.333333333333</c:v>
                </c:pt>
                <c:pt idx="16" formatCode="_-* #,##0_-;\-* #,##0_-;_-* &quot;-&quot;??_-;_-@_-">
                  <c:v>8473</c:v>
                </c:pt>
                <c:pt idx="17" formatCode="_-* #,##0_-;\-* #,##0_-;_-* &quot;-&quot;??_-;_-@_-">
                  <c:v>10097</c:v>
                </c:pt>
                <c:pt idx="18" formatCode="_-* #,##0_-;\-* #,##0_-;_-* &quot;-&quot;??_-;_-@_-">
                  <c:v>10259.333333333332</c:v>
                </c:pt>
                <c:pt idx="19" formatCode="_-* #,##0_-;\-* #,##0_-;_-* &quot;-&quot;??_-;_-@_-">
                  <c:v>9351</c:v>
                </c:pt>
              </c:numCache>
            </c:numRef>
          </c:val>
          <c:smooth val="0"/>
          <c:extLst xmlns:c16r2="http://schemas.microsoft.com/office/drawing/2015/06/chart">
            <c:ext xmlns:c16="http://schemas.microsoft.com/office/drawing/2014/chart" uri="{C3380CC4-5D6E-409C-BE32-E72D297353CC}">
              <c16:uniqueId val="{00000002-586F-44B7-96D4-E1F0EC40BB67}"/>
            </c:ext>
          </c:extLst>
        </c:ser>
        <c:dLbls>
          <c:showLegendKey val="0"/>
          <c:showVal val="0"/>
          <c:showCatName val="0"/>
          <c:showSerName val="0"/>
          <c:showPercent val="0"/>
          <c:showBubbleSize val="0"/>
        </c:dLbls>
        <c:marker val="1"/>
        <c:smooth val="0"/>
        <c:axId val="344441984"/>
        <c:axId val="344443520"/>
      </c:lineChart>
      <c:dateAx>
        <c:axId val="344441984"/>
        <c:scaling>
          <c:orientation val="minMax"/>
        </c:scaling>
        <c:delete val="0"/>
        <c:axPos val="b"/>
        <c:numFmt formatCode="mmm\-yy" sourceLinked="1"/>
        <c:majorTickMark val="out"/>
        <c:minorTickMark val="none"/>
        <c:tickLblPos val="nextTo"/>
        <c:crossAx val="344443520"/>
        <c:crosses val="autoZero"/>
        <c:auto val="1"/>
        <c:lblOffset val="100"/>
        <c:baseTimeUnit val="months"/>
      </c:dateAx>
      <c:valAx>
        <c:axId val="344443520"/>
        <c:scaling>
          <c:orientation val="minMax"/>
        </c:scaling>
        <c:delete val="0"/>
        <c:axPos val="l"/>
        <c:majorGridlines/>
        <c:numFmt formatCode="#,##0" sourceLinked="0"/>
        <c:majorTickMark val="out"/>
        <c:minorTickMark val="none"/>
        <c:tickLblPos val="nextTo"/>
        <c:crossAx val="344441984"/>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lineChart>
        <c:grouping val="standard"/>
        <c:varyColors val="0"/>
        <c:ser>
          <c:idx val="0"/>
          <c:order val="0"/>
          <c:tx>
            <c:strRef>
              <c:f>Voriconazole!$H$5</c:f>
              <c:strCache>
                <c:ptCount val="1"/>
                <c:pt idx="0">
                  <c:v>Oral suspension</c:v>
                </c:pt>
              </c:strCache>
            </c:strRef>
          </c:tx>
          <c:spPr>
            <a:ln>
              <a:solidFill>
                <a:schemeClr val="accent6">
                  <a:lumMod val="50000"/>
                </a:schemeClr>
              </a:solidFill>
            </a:ln>
          </c:spPr>
          <c:marker>
            <c:symbol val="none"/>
          </c:marker>
          <c:cat>
            <c:strRef>
              <c:f>Voriconazole!$G$6:$G$35</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Voriconazole!$H$6:$H$35</c:f>
              <c:numCache>
                <c:formatCode>General</c:formatCode>
                <c:ptCount val="30"/>
                <c:pt idx="2" formatCode="#,##0">
                  <c:v>1</c:v>
                </c:pt>
                <c:pt idx="3" formatCode="#,##0">
                  <c:v>11</c:v>
                </c:pt>
                <c:pt idx="4" formatCode="#,##0">
                  <c:v>11</c:v>
                </c:pt>
                <c:pt idx="5" formatCode="#,##0">
                  <c:v>13</c:v>
                </c:pt>
                <c:pt idx="6" formatCode="#,##0">
                  <c:v>16</c:v>
                </c:pt>
                <c:pt idx="7" formatCode="#,##0">
                  <c:v>24</c:v>
                </c:pt>
                <c:pt idx="8" formatCode="#,##0">
                  <c:v>28</c:v>
                </c:pt>
                <c:pt idx="9" formatCode="#,##0">
                  <c:v>29</c:v>
                </c:pt>
                <c:pt idx="10" formatCode="#,##0">
                  <c:v>16</c:v>
                </c:pt>
                <c:pt idx="11" formatCode="#,##0">
                  <c:v>16</c:v>
                </c:pt>
                <c:pt idx="12" formatCode="#,##0">
                  <c:v>13</c:v>
                </c:pt>
                <c:pt idx="13" formatCode="#,##0">
                  <c:v>27</c:v>
                </c:pt>
                <c:pt idx="14" formatCode="#,##0">
                  <c:v>21</c:v>
                </c:pt>
                <c:pt idx="15" formatCode="#,##0">
                  <c:v>22</c:v>
                </c:pt>
                <c:pt idx="16" formatCode="#,##0">
                  <c:v>33</c:v>
                </c:pt>
                <c:pt idx="17" formatCode="#,##0">
                  <c:v>42</c:v>
                </c:pt>
                <c:pt idx="18" formatCode="#,##0">
                  <c:v>33</c:v>
                </c:pt>
                <c:pt idx="19" formatCode="#,##0">
                  <c:v>23</c:v>
                </c:pt>
                <c:pt idx="20" formatCode="#,##0">
                  <c:v>28</c:v>
                </c:pt>
                <c:pt idx="21" formatCode="#,##0">
                  <c:v>29</c:v>
                </c:pt>
                <c:pt idx="22" formatCode="#,##0">
                  <c:v>43</c:v>
                </c:pt>
                <c:pt idx="23" formatCode="#,##0">
                  <c:v>37</c:v>
                </c:pt>
                <c:pt idx="24" formatCode="#,##0">
                  <c:v>43</c:v>
                </c:pt>
                <c:pt idx="25" formatCode="#,##0">
                  <c:v>46</c:v>
                </c:pt>
                <c:pt idx="26" formatCode="#,##0">
                  <c:v>42</c:v>
                </c:pt>
                <c:pt idx="27" formatCode="#,##0">
                  <c:v>48</c:v>
                </c:pt>
                <c:pt idx="28" formatCode="#,##0">
                  <c:v>40</c:v>
                </c:pt>
                <c:pt idx="29">
                  <c:v>37</c:v>
                </c:pt>
              </c:numCache>
            </c:numRef>
          </c:val>
          <c:smooth val="0"/>
          <c:extLst xmlns:c16r2="http://schemas.microsoft.com/office/drawing/2015/06/chart">
            <c:ext xmlns:c16="http://schemas.microsoft.com/office/drawing/2014/chart" uri="{C3380CC4-5D6E-409C-BE32-E72D297353CC}">
              <c16:uniqueId val="{00000000-CD2C-49E6-BFD0-D737BE5DE6F8}"/>
            </c:ext>
          </c:extLst>
        </c:ser>
        <c:ser>
          <c:idx val="1"/>
          <c:order val="1"/>
          <c:tx>
            <c:strRef>
              <c:f>Voriconazole!$I$5</c:f>
              <c:strCache>
                <c:ptCount val="1"/>
                <c:pt idx="0">
                  <c:v>Tablet 200 mg</c:v>
                </c:pt>
              </c:strCache>
            </c:strRef>
          </c:tx>
          <c:spPr>
            <a:ln>
              <a:solidFill>
                <a:schemeClr val="accent6"/>
              </a:solidFill>
            </a:ln>
          </c:spPr>
          <c:marker>
            <c:symbol val="none"/>
          </c:marker>
          <c:cat>
            <c:strRef>
              <c:f>Voriconazole!$G$6:$G$35</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Voriconazole!$I$6:$I$35</c:f>
              <c:numCache>
                <c:formatCode>#,##0</c:formatCode>
                <c:ptCount val="30"/>
                <c:pt idx="0">
                  <c:v>158</c:v>
                </c:pt>
                <c:pt idx="1">
                  <c:v>357</c:v>
                </c:pt>
                <c:pt idx="2">
                  <c:v>484</c:v>
                </c:pt>
                <c:pt idx="3">
                  <c:v>537</c:v>
                </c:pt>
                <c:pt idx="4">
                  <c:v>555</c:v>
                </c:pt>
                <c:pt idx="5">
                  <c:v>626</c:v>
                </c:pt>
                <c:pt idx="6">
                  <c:v>724</c:v>
                </c:pt>
                <c:pt idx="7">
                  <c:v>731</c:v>
                </c:pt>
                <c:pt idx="8">
                  <c:v>696</c:v>
                </c:pt>
                <c:pt idx="9">
                  <c:v>778</c:v>
                </c:pt>
                <c:pt idx="10">
                  <c:v>809</c:v>
                </c:pt>
                <c:pt idx="11">
                  <c:v>844</c:v>
                </c:pt>
                <c:pt idx="12">
                  <c:v>844</c:v>
                </c:pt>
                <c:pt idx="13">
                  <c:v>945</c:v>
                </c:pt>
                <c:pt idx="14">
                  <c:v>984</c:v>
                </c:pt>
                <c:pt idx="15">
                  <c:v>1062</c:v>
                </c:pt>
                <c:pt idx="16">
                  <c:v>1022</c:v>
                </c:pt>
                <c:pt idx="17">
                  <c:v>1208</c:v>
                </c:pt>
                <c:pt idx="18">
                  <c:v>1307</c:v>
                </c:pt>
                <c:pt idx="19">
                  <c:v>1277</c:v>
                </c:pt>
                <c:pt idx="20">
                  <c:v>1131</c:v>
                </c:pt>
                <c:pt idx="21">
                  <c:v>1350</c:v>
                </c:pt>
                <c:pt idx="22">
                  <c:v>1276</c:v>
                </c:pt>
                <c:pt idx="23">
                  <c:v>1227</c:v>
                </c:pt>
                <c:pt idx="24">
                  <c:v>1046</c:v>
                </c:pt>
                <c:pt idx="25">
                  <c:v>1105</c:v>
                </c:pt>
                <c:pt idx="26">
                  <c:v>1116</c:v>
                </c:pt>
                <c:pt idx="27">
                  <c:v>1159</c:v>
                </c:pt>
                <c:pt idx="28">
                  <c:v>870</c:v>
                </c:pt>
                <c:pt idx="29" formatCode="General">
                  <c:v>905</c:v>
                </c:pt>
              </c:numCache>
            </c:numRef>
          </c:val>
          <c:smooth val="0"/>
          <c:extLst xmlns:c16r2="http://schemas.microsoft.com/office/drawing/2015/06/chart">
            <c:ext xmlns:c16="http://schemas.microsoft.com/office/drawing/2014/chart" uri="{C3380CC4-5D6E-409C-BE32-E72D297353CC}">
              <c16:uniqueId val="{00000001-CD2C-49E6-BFD0-D737BE5DE6F8}"/>
            </c:ext>
          </c:extLst>
        </c:ser>
        <c:ser>
          <c:idx val="2"/>
          <c:order val="2"/>
          <c:tx>
            <c:strRef>
              <c:f>Voriconazole!$J$5</c:f>
              <c:strCache>
                <c:ptCount val="1"/>
                <c:pt idx="0">
                  <c:v>Tablet 50 mg</c:v>
                </c:pt>
              </c:strCache>
            </c:strRef>
          </c:tx>
          <c:marker>
            <c:symbol val="none"/>
          </c:marker>
          <c:cat>
            <c:strRef>
              <c:f>Voriconazole!$G$6:$G$35</c:f>
              <c:strCache>
                <c:ptCount val="30"/>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pt idx="29">
                  <c:v> 2016Q2</c:v>
                </c:pt>
              </c:strCache>
            </c:strRef>
          </c:cat>
          <c:val>
            <c:numRef>
              <c:f>Voriconazole!$J$6:$J$35</c:f>
              <c:numCache>
                <c:formatCode>#,##0</c:formatCode>
                <c:ptCount val="30"/>
                <c:pt idx="0">
                  <c:v>19</c:v>
                </c:pt>
                <c:pt idx="1">
                  <c:v>65</c:v>
                </c:pt>
                <c:pt idx="2">
                  <c:v>96</c:v>
                </c:pt>
                <c:pt idx="3">
                  <c:v>106</c:v>
                </c:pt>
                <c:pt idx="4">
                  <c:v>116</c:v>
                </c:pt>
                <c:pt idx="5">
                  <c:v>123</c:v>
                </c:pt>
                <c:pt idx="6">
                  <c:v>163</c:v>
                </c:pt>
                <c:pt idx="7">
                  <c:v>201</c:v>
                </c:pt>
                <c:pt idx="8">
                  <c:v>178</c:v>
                </c:pt>
                <c:pt idx="9">
                  <c:v>167</c:v>
                </c:pt>
                <c:pt idx="10">
                  <c:v>195</c:v>
                </c:pt>
                <c:pt idx="11">
                  <c:v>201</c:v>
                </c:pt>
                <c:pt idx="12">
                  <c:v>193</c:v>
                </c:pt>
                <c:pt idx="13">
                  <c:v>245</c:v>
                </c:pt>
                <c:pt idx="14">
                  <c:v>309</c:v>
                </c:pt>
                <c:pt idx="15">
                  <c:v>343</c:v>
                </c:pt>
                <c:pt idx="16">
                  <c:v>300</c:v>
                </c:pt>
                <c:pt idx="17">
                  <c:v>363</c:v>
                </c:pt>
                <c:pt idx="18">
                  <c:v>333</c:v>
                </c:pt>
                <c:pt idx="19">
                  <c:v>403</c:v>
                </c:pt>
                <c:pt idx="20">
                  <c:v>330</c:v>
                </c:pt>
                <c:pt idx="21">
                  <c:v>377</c:v>
                </c:pt>
                <c:pt idx="22">
                  <c:v>344</c:v>
                </c:pt>
                <c:pt idx="23">
                  <c:v>381</c:v>
                </c:pt>
                <c:pt idx="24">
                  <c:v>331</c:v>
                </c:pt>
                <c:pt idx="25">
                  <c:v>329</c:v>
                </c:pt>
                <c:pt idx="26">
                  <c:v>388</c:v>
                </c:pt>
                <c:pt idx="27">
                  <c:v>355</c:v>
                </c:pt>
                <c:pt idx="28">
                  <c:v>264</c:v>
                </c:pt>
                <c:pt idx="29" formatCode="General">
                  <c:v>309</c:v>
                </c:pt>
              </c:numCache>
            </c:numRef>
          </c:val>
          <c:smooth val="0"/>
          <c:extLst xmlns:c16r2="http://schemas.microsoft.com/office/drawing/2015/06/chart">
            <c:ext xmlns:c16="http://schemas.microsoft.com/office/drawing/2014/chart" uri="{C3380CC4-5D6E-409C-BE32-E72D297353CC}">
              <c16:uniqueId val="{00000002-CD2C-49E6-BFD0-D737BE5DE6F8}"/>
            </c:ext>
          </c:extLst>
        </c:ser>
        <c:dLbls>
          <c:showLegendKey val="0"/>
          <c:showVal val="0"/>
          <c:showCatName val="0"/>
          <c:showSerName val="0"/>
          <c:showPercent val="0"/>
          <c:showBubbleSize val="0"/>
        </c:dLbls>
        <c:marker val="1"/>
        <c:smooth val="0"/>
        <c:axId val="344677376"/>
        <c:axId val="344683648"/>
      </c:lineChart>
      <c:catAx>
        <c:axId val="344677376"/>
        <c:scaling>
          <c:orientation val="minMax"/>
        </c:scaling>
        <c:delete val="0"/>
        <c:axPos val="b"/>
        <c:title>
          <c:tx>
            <c:rich>
              <a:bodyPr/>
              <a:lstStyle/>
              <a:p>
                <a:pPr>
                  <a:defRPr/>
                </a:pPr>
                <a:r>
                  <a:rPr lang="en-AU" b="0"/>
                  <a:t>Quarter of supply</a:t>
                </a:r>
              </a:p>
            </c:rich>
          </c:tx>
          <c:overlay val="0"/>
        </c:title>
        <c:numFmt formatCode="General" sourceLinked="0"/>
        <c:majorTickMark val="out"/>
        <c:minorTickMark val="none"/>
        <c:tickLblPos val="nextTo"/>
        <c:crossAx val="344683648"/>
        <c:crosses val="autoZero"/>
        <c:auto val="1"/>
        <c:lblAlgn val="ctr"/>
        <c:lblOffset val="100"/>
        <c:noMultiLvlLbl val="0"/>
      </c:catAx>
      <c:valAx>
        <c:axId val="344683648"/>
        <c:scaling>
          <c:orientation val="minMax"/>
          <c:max val="1400"/>
        </c:scaling>
        <c:delete val="0"/>
        <c:axPos val="l"/>
        <c:majorGridlines/>
        <c:title>
          <c:tx>
            <c:rich>
              <a:bodyPr rot="-5400000" vert="horz"/>
              <a:lstStyle/>
              <a:p>
                <a:pPr>
                  <a:defRPr/>
                </a:pPr>
                <a:r>
                  <a:rPr lang="en-AU" b="0"/>
                  <a:t>Prescriptions</a:t>
                </a:r>
              </a:p>
            </c:rich>
          </c:tx>
          <c:overlay val="0"/>
        </c:title>
        <c:numFmt formatCode="General" sourceLinked="1"/>
        <c:majorTickMark val="out"/>
        <c:minorTickMark val="none"/>
        <c:tickLblPos val="nextTo"/>
        <c:crossAx val="344677376"/>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Voriconazole!$B$37</c:f>
              <c:strCache>
                <c:ptCount val="1"/>
                <c:pt idx="0">
                  <c:v>Prophylaxis</c:v>
                </c:pt>
              </c:strCache>
            </c:strRef>
          </c:tx>
          <c:marker>
            <c:symbol val="none"/>
          </c:marker>
          <c:cat>
            <c:strRef>
              <c:f>Voriconazole!$A$38:$A$66</c:f>
              <c:strCache>
                <c:ptCount val="29"/>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strCache>
            </c:strRef>
          </c:cat>
          <c:val>
            <c:numRef>
              <c:f>Voriconazole!$B$38:$B$66</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33</c:v>
                </c:pt>
                <c:pt idx="24">
                  <c:v>146</c:v>
                </c:pt>
                <c:pt idx="25">
                  <c:v>215</c:v>
                </c:pt>
                <c:pt idx="26">
                  <c:v>222</c:v>
                </c:pt>
                <c:pt idx="27">
                  <c:v>249</c:v>
                </c:pt>
                <c:pt idx="28">
                  <c:v>198</c:v>
                </c:pt>
              </c:numCache>
            </c:numRef>
          </c:val>
          <c:smooth val="0"/>
          <c:extLst xmlns:c16r2="http://schemas.microsoft.com/office/drawing/2015/06/chart">
            <c:ext xmlns:c16="http://schemas.microsoft.com/office/drawing/2014/chart" uri="{C3380CC4-5D6E-409C-BE32-E72D297353CC}">
              <c16:uniqueId val="{00000000-2306-4F3A-9904-5638FF4139E2}"/>
            </c:ext>
          </c:extLst>
        </c:ser>
        <c:ser>
          <c:idx val="1"/>
          <c:order val="1"/>
          <c:tx>
            <c:strRef>
              <c:f>Voriconazole!$C$37</c:f>
              <c:strCache>
                <c:ptCount val="1"/>
                <c:pt idx="0">
                  <c:v>Treatment (aspergillosis)</c:v>
                </c:pt>
              </c:strCache>
            </c:strRef>
          </c:tx>
          <c:marker>
            <c:symbol val="none"/>
          </c:marker>
          <c:cat>
            <c:strRef>
              <c:f>Voriconazole!$A$38:$A$66</c:f>
              <c:strCache>
                <c:ptCount val="29"/>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strCache>
            </c:strRef>
          </c:cat>
          <c:val>
            <c:numRef>
              <c:f>Voriconazole!$C$38:$C$66</c:f>
              <c:numCache>
                <c:formatCode>General</c:formatCode>
                <c:ptCount val="29"/>
                <c:pt idx="0">
                  <c:v>108</c:v>
                </c:pt>
                <c:pt idx="1">
                  <c:v>266</c:v>
                </c:pt>
                <c:pt idx="2">
                  <c:v>399</c:v>
                </c:pt>
                <c:pt idx="3">
                  <c:v>437</c:v>
                </c:pt>
                <c:pt idx="4">
                  <c:v>462</c:v>
                </c:pt>
                <c:pt idx="5">
                  <c:v>546</c:v>
                </c:pt>
                <c:pt idx="6">
                  <c:v>591</c:v>
                </c:pt>
                <c:pt idx="7">
                  <c:v>631</c:v>
                </c:pt>
                <c:pt idx="8">
                  <c:v>608</c:v>
                </c:pt>
                <c:pt idx="9">
                  <c:v>647</c:v>
                </c:pt>
                <c:pt idx="10">
                  <c:v>690</c:v>
                </c:pt>
                <c:pt idx="11">
                  <c:v>679</c:v>
                </c:pt>
                <c:pt idx="12">
                  <c:v>691</c:v>
                </c:pt>
                <c:pt idx="13">
                  <c:v>821</c:v>
                </c:pt>
                <c:pt idx="14">
                  <c:v>911</c:v>
                </c:pt>
                <c:pt idx="15">
                  <c:v>949</c:v>
                </c:pt>
                <c:pt idx="16">
                  <c:v>921</c:v>
                </c:pt>
                <c:pt idx="17">
                  <c:v>1109</c:v>
                </c:pt>
                <c:pt idx="18">
                  <c:v>1153</c:v>
                </c:pt>
                <c:pt idx="19">
                  <c:v>1150</c:v>
                </c:pt>
                <c:pt idx="20">
                  <c:v>936</c:v>
                </c:pt>
                <c:pt idx="21">
                  <c:v>1109</c:v>
                </c:pt>
                <c:pt idx="22">
                  <c:v>1088</c:v>
                </c:pt>
                <c:pt idx="23">
                  <c:v>1013</c:v>
                </c:pt>
                <c:pt idx="24">
                  <c:v>650</c:v>
                </c:pt>
                <c:pt idx="25">
                  <c:v>617</c:v>
                </c:pt>
                <c:pt idx="26">
                  <c:v>609</c:v>
                </c:pt>
                <c:pt idx="27">
                  <c:v>622</c:v>
                </c:pt>
                <c:pt idx="28">
                  <c:v>449</c:v>
                </c:pt>
              </c:numCache>
            </c:numRef>
          </c:val>
          <c:smooth val="0"/>
          <c:extLst xmlns:c16r2="http://schemas.microsoft.com/office/drawing/2015/06/chart">
            <c:ext xmlns:c16="http://schemas.microsoft.com/office/drawing/2014/chart" uri="{C3380CC4-5D6E-409C-BE32-E72D297353CC}">
              <c16:uniqueId val="{00000001-2306-4F3A-9904-5638FF4139E2}"/>
            </c:ext>
          </c:extLst>
        </c:ser>
        <c:ser>
          <c:idx val="2"/>
          <c:order val="2"/>
          <c:tx>
            <c:strRef>
              <c:f>Voriconazole!$D$37</c:f>
              <c:strCache>
                <c:ptCount val="1"/>
                <c:pt idx="0">
                  <c:v>Treatment (scedosporium or fusarium)</c:v>
                </c:pt>
              </c:strCache>
            </c:strRef>
          </c:tx>
          <c:marker>
            <c:symbol val="none"/>
          </c:marker>
          <c:cat>
            <c:strRef>
              <c:f>Voriconazole!$A$38:$A$66</c:f>
              <c:strCache>
                <c:ptCount val="29"/>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strCache>
            </c:strRef>
          </c:cat>
          <c:val>
            <c:numRef>
              <c:f>Voriconazole!$D$38:$D$66</c:f>
              <c:numCache>
                <c:formatCode>General</c:formatCode>
                <c:ptCount val="29"/>
                <c:pt idx="0">
                  <c:v>27</c:v>
                </c:pt>
                <c:pt idx="1">
                  <c:v>64</c:v>
                </c:pt>
                <c:pt idx="2">
                  <c:v>50</c:v>
                </c:pt>
                <c:pt idx="3">
                  <c:v>72</c:v>
                </c:pt>
                <c:pt idx="4">
                  <c:v>81</c:v>
                </c:pt>
                <c:pt idx="5">
                  <c:v>84</c:v>
                </c:pt>
                <c:pt idx="6">
                  <c:v>118</c:v>
                </c:pt>
                <c:pt idx="7">
                  <c:v>111</c:v>
                </c:pt>
                <c:pt idx="8">
                  <c:v>108</c:v>
                </c:pt>
                <c:pt idx="9">
                  <c:v>113</c:v>
                </c:pt>
                <c:pt idx="10">
                  <c:v>131</c:v>
                </c:pt>
                <c:pt idx="11">
                  <c:v>149</c:v>
                </c:pt>
                <c:pt idx="12">
                  <c:v>130</c:v>
                </c:pt>
                <c:pt idx="13">
                  <c:v>116</c:v>
                </c:pt>
                <c:pt idx="14">
                  <c:v>154</c:v>
                </c:pt>
                <c:pt idx="15">
                  <c:v>180</c:v>
                </c:pt>
                <c:pt idx="16">
                  <c:v>144</c:v>
                </c:pt>
                <c:pt idx="17">
                  <c:v>197</c:v>
                </c:pt>
                <c:pt idx="18">
                  <c:v>142</c:v>
                </c:pt>
                <c:pt idx="19">
                  <c:v>155</c:v>
                </c:pt>
                <c:pt idx="20">
                  <c:v>146</c:v>
                </c:pt>
                <c:pt idx="21">
                  <c:v>140</c:v>
                </c:pt>
                <c:pt idx="22">
                  <c:v>132</c:v>
                </c:pt>
                <c:pt idx="23">
                  <c:v>169</c:v>
                </c:pt>
                <c:pt idx="24">
                  <c:v>190</c:v>
                </c:pt>
                <c:pt idx="25">
                  <c:v>239</c:v>
                </c:pt>
                <c:pt idx="26">
                  <c:v>259</c:v>
                </c:pt>
                <c:pt idx="27">
                  <c:v>216</c:v>
                </c:pt>
                <c:pt idx="28">
                  <c:v>171</c:v>
                </c:pt>
              </c:numCache>
            </c:numRef>
          </c:val>
          <c:smooth val="0"/>
          <c:extLst xmlns:c16r2="http://schemas.microsoft.com/office/drawing/2015/06/chart">
            <c:ext xmlns:c16="http://schemas.microsoft.com/office/drawing/2014/chart" uri="{C3380CC4-5D6E-409C-BE32-E72D297353CC}">
              <c16:uniqueId val="{00000002-2306-4F3A-9904-5638FF4139E2}"/>
            </c:ext>
          </c:extLst>
        </c:ser>
        <c:ser>
          <c:idx val="3"/>
          <c:order val="3"/>
          <c:tx>
            <c:strRef>
              <c:f>Voriconazole!$E$37</c:f>
              <c:strCache>
                <c:ptCount val="1"/>
                <c:pt idx="0">
                  <c:v>Treatment (other)</c:v>
                </c:pt>
              </c:strCache>
            </c:strRef>
          </c:tx>
          <c:marker>
            <c:symbol val="none"/>
          </c:marker>
          <c:cat>
            <c:strRef>
              <c:f>Voriconazole!$A$38:$A$66</c:f>
              <c:strCache>
                <c:ptCount val="29"/>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strCache>
            </c:strRef>
          </c:cat>
          <c:val>
            <c:numRef>
              <c:f>Voriconazole!$E$38:$E$66</c:f>
              <c:numCache>
                <c:formatCode>General</c:formatCode>
                <c:ptCount val="29"/>
                <c:pt idx="0">
                  <c:v>11</c:v>
                </c:pt>
                <c:pt idx="1">
                  <c:v>21</c:v>
                </c:pt>
                <c:pt idx="2">
                  <c:v>33</c:v>
                </c:pt>
                <c:pt idx="3">
                  <c:v>26</c:v>
                </c:pt>
                <c:pt idx="4">
                  <c:v>24</c:v>
                </c:pt>
                <c:pt idx="5">
                  <c:v>44</c:v>
                </c:pt>
                <c:pt idx="6">
                  <c:v>50</c:v>
                </c:pt>
                <c:pt idx="7">
                  <c:v>60</c:v>
                </c:pt>
                <c:pt idx="8">
                  <c:v>56</c:v>
                </c:pt>
                <c:pt idx="9">
                  <c:v>70</c:v>
                </c:pt>
                <c:pt idx="10">
                  <c:v>41</c:v>
                </c:pt>
                <c:pt idx="11">
                  <c:v>62</c:v>
                </c:pt>
                <c:pt idx="12">
                  <c:v>67</c:v>
                </c:pt>
                <c:pt idx="13">
                  <c:v>85</c:v>
                </c:pt>
                <c:pt idx="14">
                  <c:v>78</c:v>
                </c:pt>
                <c:pt idx="15">
                  <c:v>88</c:v>
                </c:pt>
                <c:pt idx="16">
                  <c:v>92</c:v>
                </c:pt>
                <c:pt idx="17">
                  <c:v>99</c:v>
                </c:pt>
                <c:pt idx="18">
                  <c:v>140</c:v>
                </c:pt>
                <c:pt idx="19">
                  <c:v>121</c:v>
                </c:pt>
                <c:pt idx="20">
                  <c:v>180</c:v>
                </c:pt>
                <c:pt idx="21">
                  <c:v>250</c:v>
                </c:pt>
                <c:pt idx="22">
                  <c:v>188</c:v>
                </c:pt>
                <c:pt idx="23">
                  <c:v>164</c:v>
                </c:pt>
                <c:pt idx="24">
                  <c:v>176</c:v>
                </c:pt>
                <c:pt idx="25">
                  <c:v>166</c:v>
                </c:pt>
                <c:pt idx="26">
                  <c:v>203</c:v>
                </c:pt>
                <c:pt idx="27">
                  <c:v>197</c:v>
                </c:pt>
                <c:pt idx="28">
                  <c:v>190</c:v>
                </c:pt>
              </c:numCache>
            </c:numRef>
          </c:val>
          <c:smooth val="0"/>
          <c:extLst xmlns:c16r2="http://schemas.microsoft.com/office/drawing/2015/06/chart">
            <c:ext xmlns:c16="http://schemas.microsoft.com/office/drawing/2014/chart" uri="{C3380CC4-5D6E-409C-BE32-E72D297353CC}">
              <c16:uniqueId val="{00000003-2306-4F3A-9904-5638FF4139E2}"/>
            </c:ext>
          </c:extLst>
        </c:ser>
        <c:ser>
          <c:idx val="4"/>
          <c:order val="4"/>
          <c:tx>
            <c:strRef>
              <c:f>Voriconazole!$F$37</c:f>
              <c:strCache>
                <c:ptCount val="1"/>
                <c:pt idx="0">
                  <c:v>Treatment (candida)</c:v>
                </c:pt>
              </c:strCache>
            </c:strRef>
          </c:tx>
          <c:marker>
            <c:symbol val="none"/>
          </c:marker>
          <c:cat>
            <c:strRef>
              <c:f>Voriconazole!$A$38:$A$66</c:f>
              <c:strCache>
                <c:ptCount val="29"/>
                <c:pt idx="0">
                  <c:v> 2009Q1</c:v>
                </c:pt>
                <c:pt idx="1">
                  <c:v> 2009Q2</c:v>
                </c:pt>
                <c:pt idx="2">
                  <c:v> 2009Q3</c:v>
                </c:pt>
                <c:pt idx="3">
                  <c:v> 2009Q4</c:v>
                </c:pt>
                <c:pt idx="4">
                  <c:v> 2010Q1</c:v>
                </c:pt>
                <c:pt idx="5">
                  <c:v> 2010Q2</c:v>
                </c:pt>
                <c:pt idx="6">
                  <c:v> 2010Q3</c:v>
                </c:pt>
                <c:pt idx="7">
                  <c:v> 2010Q4</c:v>
                </c:pt>
                <c:pt idx="8">
                  <c:v> 2011Q1</c:v>
                </c:pt>
                <c:pt idx="9">
                  <c:v> 2011Q2</c:v>
                </c:pt>
                <c:pt idx="10">
                  <c:v> 2011Q3</c:v>
                </c:pt>
                <c:pt idx="11">
                  <c:v> 2011Q4</c:v>
                </c:pt>
                <c:pt idx="12">
                  <c:v> 2012Q1</c:v>
                </c:pt>
                <c:pt idx="13">
                  <c:v> 2012Q2</c:v>
                </c:pt>
                <c:pt idx="14">
                  <c:v> 2012Q3</c:v>
                </c:pt>
                <c:pt idx="15">
                  <c:v> 2012Q4</c:v>
                </c:pt>
                <c:pt idx="16">
                  <c:v> 2013Q1</c:v>
                </c:pt>
                <c:pt idx="17">
                  <c:v> 2013Q2</c:v>
                </c:pt>
                <c:pt idx="18">
                  <c:v> 2013Q3</c:v>
                </c:pt>
                <c:pt idx="19">
                  <c:v> 2013Q4</c:v>
                </c:pt>
                <c:pt idx="20">
                  <c:v> 2014Q1</c:v>
                </c:pt>
                <c:pt idx="21">
                  <c:v> 2014Q2</c:v>
                </c:pt>
                <c:pt idx="22">
                  <c:v> 2014Q3</c:v>
                </c:pt>
                <c:pt idx="23">
                  <c:v> 2014Q4</c:v>
                </c:pt>
                <c:pt idx="24">
                  <c:v> 2015Q1</c:v>
                </c:pt>
                <c:pt idx="25">
                  <c:v> 2015Q2</c:v>
                </c:pt>
                <c:pt idx="26">
                  <c:v> 2015Q3</c:v>
                </c:pt>
                <c:pt idx="27">
                  <c:v> 2015Q4</c:v>
                </c:pt>
                <c:pt idx="28">
                  <c:v> 2016Q1</c:v>
                </c:pt>
              </c:strCache>
            </c:strRef>
          </c:cat>
          <c:val>
            <c:numRef>
              <c:f>Voriconazole!$F$38:$F$66</c:f>
              <c:numCache>
                <c:formatCode>General</c:formatCode>
                <c:ptCount val="29"/>
                <c:pt idx="0">
                  <c:v>19</c:v>
                </c:pt>
                <c:pt idx="1">
                  <c:v>35</c:v>
                </c:pt>
                <c:pt idx="2">
                  <c:v>65</c:v>
                </c:pt>
                <c:pt idx="3">
                  <c:v>81</c:v>
                </c:pt>
                <c:pt idx="4">
                  <c:v>69</c:v>
                </c:pt>
                <c:pt idx="5">
                  <c:v>47</c:v>
                </c:pt>
                <c:pt idx="6">
                  <c:v>84</c:v>
                </c:pt>
                <c:pt idx="7">
                  <c:v>85</c:v>
                </c:pt>
                <c:pt idx="8">
                  <c:v>87</c:v>
                </c:pt>
                <c:pt idx="9">
                  <c:v>96</c:v>
                </c:pt>
                <c:pt idx="10">
                  <c:v>99</c:v>
                </c:pt>
                <c:pt idx="11">
                  <c:v>104</c:v>
                </c:pt>
                <c:pt idx="12">
                  <c:v>109</c:v>
                </c:pt>
                <c:pt idx="13">
                  <c:v>117</c:v>
                </c:pt>
                <c:pt idx="14">
                  <c:v>92</c:v>
                </c:pt>
                <c:pt idx="15">
                  <c:v>119</c:v>
                </c:pt>
                <c:pt idx="16">
                  <c:v>105</c:v>
                </c:pt>
                <c:pt idx="17">
                  <c:v>113</c:v>
                </c:pt>
                <c:pt idx="18">
                  <c:v>139</c:v>
                </c:pt>
                <c:pt idx="19">
                  <c:v>142</c:v>
                </c:pt>
                <c:pt idx="20">
                  <c:v>129</c:v>
                </c:pt>
                <c:pt idx="21">
                  <c:v>134</c:v>
                </c:pt>
                <c:pt idx="22">
                  <c:v>150</c:v>
                </c:pt>
                <c:pt idx="23">
                  <c:v>132</c:v>
                </c:pt>
                <c:pt idx="24">
                  <c:v>147</c:v>
                </c:pt>
                <c:pt idx="25">
                  <c:v>120</c:v>
                </c:pt>
                <c:pt idx="26">
                  <c:v>128</c:v>
                </c:pt>
                <c:pt idx="27">
                  <c:v>135</c:v>
                </c:pt>
                <c:pt idx="28">
                  <c:v>73</c:v>
                </c:pt>
              </c:numCache>
            </c:numRef>
          </c:val>
          <c:smooth val="0"/>
          <c:extLst xmlns:c16r2="http://schemas.microsoft.com/office/drawing/2015/06/chart">
            <c:ext xmlns:c16="http://schemas.microsoft.com/office/drawing/2014/chart" uri="{C3380CC4-5D6E-409C-BE32-E72D297353CC}">
              <c16:uniqueId val="{00000004-2306-4F3A-9904-5638FF4139E2}"/>
            </c:ext>
          </c:extLst>
        </c:ser>
        <c:ser>
          <c:idx val="5"/>
          <c:order val="5"/>
          <c:tx>
            <c:strRef>
              <c:f>Voriconazole!$J$37</c:f>
              <c:strCache>
                <c:ptCount val="1"/>
                <c:pt idx="0">
                  <c:v>Total</c:v>
                </c:pt>
              </c:strCache>
            </c:strRef>
          </c:tx>
          <c:spPr>
            <a:ln>
              <a:prstDash val="dash"/>
            </a:ln>
          </c:spPr>
          <c:marker>
            <c:symbol val="none"/>
          </c:marker>
          <c:val>
            <c:numRef>
              <c:f>Voriconazole!$J$38:$J$66</c:f>
              <c:numCache>
                <c:formatCode>General</c:formatCode>
                <c:ptCount val="29"/>
                <c:pt idx="0">
                  <c:v>177</c:v>
                </c:pt>
                <c:pt idx="1">
                  <c:v>422</c:v>
                </c:pt>
                <c:pt idx="2">
                  <c:v>581</c:v>
                </c:pt>
                <c:pt idx="3">
                  <c:v>654</c:v>
                </c:pt>
                <c:pt idx="4">
                  <c:v>682</c:v>
                </c:pt>
                <c:pt idx="5">
                  <c:v>763</c:v>
                </c:pt>
                <c:pt idx="6">
                  <c:v>903</c:v>
                </c:pt>
                <c:pt idx="7">
                  <c:v>956</c:v>
                </c:pt>
                <c:pt idx="8">
                  <c:v>902</c:v>
                </c:pt>
                <c:pt idx="9">
                  <c:v>976</c:v>
                </c:pt>
                <c:pt idx="10">
                  <c:v>1020</c:v>
                </c:pt>
                <c:pt idx="11">
                  <c:v>1061</c:v>
                </c:pt>
                <c:pt idx="12">
                  <c:v>1050</c:v>
                </c:pt>
                <c:pt idx="13">
                  <c:v>1217</c:v>
                </c:pt>
                <c:pt idx="14">
                  <c:v>1314</c:v>
                </c:pt>
                <c:pt idx="15">
                  <c:v>1427</c:v>
                </c:pt>
                <c:pt idx="16">
                  <c:v>1355</c:v>
                </c:pt>
                <c:pt idx="17">
                  <c:v>1613</c:v>
                </c:pt>
                <c:pt idx="18">
                  <c:v>1673</c:v>
                </c:pt>
                <c:pt idx="19">
                  <c:v>1703</c:v>
                </c:pt>
                <c:pt idx="20">
                  <c:v>1489</c:v>
                </c:pt>
                <c:pt idx="21">
                  <c:v>1756</c:v>
                </c:pt>
                <c:pt idx="22">
                  <c:v>1662</c:v>
                </c:pt>
                <c:pt idx="23">
                  <c:v>1643</c:v>
                </c:pt>
                <c:pt idx="24">
                  <c:v>1418</c:v>
                </c:pt>
                <c:pt idx="25">
                  <c:v>1470</c:v>
                </c:pt>
                <c:pt idx="26">
                  <c:v>1539</c:v>
                </c:pt>
                <c:pt idx="27">
                  <c:v>1552</c:v>
                </c:pt>
                <c:pt idx="28">
                  <c:v>1166</c:v>
                </c:pt>
              </c:numCache>
            </c:numRef>
          </c:val>
          <c:smooth val="0"/>
          <c:extLst xmlns:c16r2="http://schemas.microsoft.com/office/drawing/2015/06/chart">
            <c:ext xmlns:c16="http://schemas.microsoft.com/office/drawing/2014/chart" uri="{C3380CC4-5D6E-409C-BE32-E72D297353CC}">
              <c16:uniqueId val="{00000005-2306-4F3A-9904-5638FF4139E2}"/>
            </c:ext>
          </c:extLst>
        </c:ser>
        <c:ser>
          <c:idx val="6"/>
          <c:order val="6"/>
          <c:tx>
            <c:strRef>
              <c:f>Voriconazole!$I$37</c:f>
              <c:strCache>
                <c:ptCount val="1"/>
                <c:pt idx="0">
                  <c:v>Missing</c:v>
                </c:pt>
              </c:strCache>
            </c:strRef>
          </c:tx>
          <c:spPr>
            <a:ln>
              <a:solidFill>
                <a:schemeClr val="tx1">
                  <a:lumMod val="50000"/>
                  <a:lumOff val="50000"/>
                </a:schemeClr>
              </a:solidFill>
              <a:prstDash val="sysDash"/>
            </a:ln>
          </c:spPr>
          <c:marker>
            <c:symbol val="none"/>
          </c:marker>
          <c:val>
            <c:numRef>
              <c:f>Voriconazole!$I$38:$I$66</c:f>
              <c:numCache>
                <c:formatCode>General</c:formatCode>
                <c:ptCount val="29"/>
                <c:pt idx="0">
                  <c:v>12</c:v>
                </c:pt>
                <c:pt idx="1">
                  <c:v>36</c:v>
                </c:pt>
                <c:pt idx="2">
                  <c:v>33</c:v>
                </c:pt>
                <c:pt idx="3">
                  <c:v>36</c:v>
                </c:pt>
                <c:pt idx="4">
                  <c:v>46</c:v>
                </c:pt>
                <c:pt idx="5">
                  <c:v>42</c:v>
                </c:pt>
                <c:pt idx="6">
                  <c:v>60</c:v>
                </c:pt>
                <c:pt idx="7">
                  <c:v>68</c:v>
                </c:pt>
                <c:pt idx="8">
                  <c:v>43</c:v>
                </c:pt>
                <c:pt idx="9">
                  <c:v>48</c:v>
                </c:pt>
                <c:pt idx="10">
                  <c:v>56</c:v>
                </c:pt>
                <c:pt idx="11">
                  <c:v>61</c:v>
                </c:pt>
                <c:pt idx="12">
                  <c:v>49</c:v>
                </c:pt>
                <c:pt idx="13">
                  <c:v>76</c:v>
                </c:pt>
                <c:pt idx="14">
                  <c:v>79</c:v>
                </c:pt>
                <c:pt idx="15">
                  <c:v>89</c:v>
                </c:pt>
                <c:pt idx="16">
                  <c:v>92</c:v>
                </c:pt>
                <c:pt idx="17">
                  <c:v>94</c:v>
                </c:pt>
                <c:pt idx="18">
                  <c:v>95</c:v>
                </c:pt>
                <c:pt idx="19">
                  <c:v>131</c:v>
                </c:pt>
                <c:pt idx="20">
                  <c:v>98</c:v>
                </c:pt>
                <c:pt idx="21">
                  <c:v>123</c:v>
                </c:pt>
                <c:pt idx="22">
                  <c:v>101</c:v>
                </c:pt>
                <c:pt idx="23">
                  <c:v>132</c:v>
                </c:pt>
                <c:pt idx="24">
                  <c:v>109</c:v>
                </c:pt>
                <c:pt idx="25">
                  <c:v>113</c:v>
                </c:pt>
                <c:pt idx="26">
                  <c:v>118</c:v>
                </c:pt>
                <c:pt idx="27">
                  <c:v>133</c:v>
                </c:pt>
                <c:pt idx="28">
                  <c:v>85</c:v>
                </c:pt>
              </c:numCache>
            </c:numRef>
          </c:val>
          <c:smooth val="0"/>
          <c:extLst xmlns:c16r2="http://schemas.microsoft.com/office/drawing/2015/06/chart">
            <c:ext xmlns:c16="http://schemas.microsoft.com/office/drawing/2014/chart" uri="{C3380CC4-5D6E-409C-BE32-E72D297353CC}">
              <c16:uniqueId val="{00000006-2306-4F3A-9904-5638FF4139E2}"/>
            </c:ext>
          </c:extLst>
        </c:ser>
        <c:dLbls>
          <c:showLegendKey val="0"/>
          <c:showVal val="0"/>
          <c:showCatName val="0"/>
          <c:showSerName val="0"/>
          <c:showPercent val="0"/>
          <c:showBubbleSize val="0"/>
        </c:dLbls>
        <c:marker val="1"/>
        <c:smooth val="0"/>
        <c:axId val="344480000"/>
        <c:axId val="344482176"/>
      </c:lineChart>
      <c:catAx>
        <c:axId val="344480000"/>
        <c:scaling>
          <c:orientation val="minMax"/>
        </c:scaling>
        <c:delete val="0"/>
        <c:axPos val="b"/>
        <c:title>
          <c:tx>
            <c:rich>
              <a:bodyPr/>
              <a:lstStyle/>
              <a:p>
                <a:pPr>
                  <a:defRPr/>
                </a:pPr>
                <a:r>
                  <a:rPr lang="en-AU" b="0"/>
                  <a:t>Quarter</a:t>
                </a:r>
                <a:r>
                  <a:rPr lang="en-AU" b="0" baseline="0"/>
                  <a:t> of supply</a:t>
                </a:r>
                <a:endParaRPr lang="en-AU" b="0"/>
              </a:p>
            </c:rich>
          </c:tx>
          <c:overlay val="0"/>
        </c:title>
        <c:numFmt formatCode="General" sourceLinked="0"/>
        <c:majorTickMark val="out"/>
        <c:minorTickMark val="none"/>
        <c:tickLblPos val="nextTo"/>
        <c:crossAx val="344482176"/>
        <c:crosses val="autoZero"/>
        <c:auto val="1"/>
        <c:lblAlgn val="ctr"/>
        <c:lblOffset val="100"/>
        <c:noMultiLvlLbl val="0"/>
      </c:catAx>
      <c:valAx>
        <c:axId val="344482176"/>
        <c:scaling>
          <c:orientation val="minMax"/>
          <c:max val="1800"/>
          <c:min val="0"/>
        </c:scaling>
        <c:delete val="0"/>
        <c:axPos val="l"/>
        <c:majorGridlines/>
        <c:title>
          <c:tx>
            <c:rich>
              <a:bodyPr rot="-5400000" vert="horz"/>
              <a:lstStyle/>
              <a:p>
                <a:pPr>
                  <a:defRPr/>
                </a:pPr>
                <a:r>
                  <a:rPr lang="en-AU" b="0"/>
                  <a:t>Prescriptions</a:t>
                </a:r>
              </a:p>
            </c:rich>
          </c:tx>
          <c:overlay val="0"/>
        </c:title>
        <c:numFmt formatCode="#,##0" sourceLinked="0"/>
        <c:majorTickMark val="out"/>
        <c:minorTickMark val="none"/>
        <c:tickLblPos val="nextTo"/>
        <c:crossAx val="344480000"/>
        <c:crosses val="autoZero"/>
        <c:crossBetween val="midCat"/>
        <c:majorUnit val="200"/>
      </c:valAx>
    </c:plotArea>
    <c:legend>
      <c:legendPos val="t"/>
      <c:layout>
        <c:manualLayout>
          <c:xMode val="edge"/>
          <c:yMode val="edge"/>
          <c:x val="0"/>
          <c:y val="2.2422916809507316E-2"/>
          <c:w val="1"/>
          <c:h val="0.26470871248023647"/>
        </c:manualLayout>
      </c:layout>
      <c:overlay val="0"/>
    </c:legend>
    <c:plotVisOnly val="1"/>
    <c:dispBlanksAs val="gap"/>
    <c:showDLblsOverMax val="0"/>
  </c:chart>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10696520672021"/>
          <c:y val="5.1400554097404488E-2"/>
          <c:w val="0.84043549464802758"/>
          <c:h val="0.66377973341567598"/>
        </c:manualLayout>
      </c:layout>
      <c:lineChart>
        <c:grouping val="standard"/>
        <c:varyColors val="0"/>
        <c:ser>
          <c:idx val="0"/>
          <c:order val="0"/>
          <c:marker>
            <c:symbol val="none"/>
          </c:marker>
          <c:cat>
            <c:strRef>
              <c:f>Terbinafine!$H$4:$H$37</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Terbinafine!$I$4:$I$37</c:f>
              <c:numCache>
                <c:formatCode>General</c:formatCode>
                <c:ptCount val="34"/>
                <c:pt idx="0">
                  <c:v>20307</c:v>
                </c:pt>
                <c:pt idx="1">
                  <c:v>19389</c:v>
                </c:pt>
                <c:pt idx="2">
                  <c:v>19316</c:v>
                </c:pt>
                <c:pt idx="3">
                  <c:v>23295</c:v>
                </c:pt>
                <c:pt idx="4">
                  <c:v>21960</c:v>
                </c:pt>
                <c:pt idx="5">
                  <c:v>20810</c:v>
                </c:pt>
                <c:pt idx="6">
                  <c:v>19758</c:v>
                </c:pt>
                <c:pt idx="7">
                  <c:v>22931</c:v>
                </c:pt>
                <c:pt idx="8">
                  <c:v>21733</c:v>
                </c:pt>
                <c:pt idx="9">
                  <c:v>19747</c:v>
                </c:pt>
                <c:pt idx="10">
                  <c:v>19354</c:v>
                </c:pt>
                <c:pt idx="11">
                  <c:v>22330</c:v>
                </c:pt>
                <c:pt idx="12">
                  <c:v>21226</c:v>
                </c:pt>
                <c:pt idx="13">
                  <c:v>20034</c:v>
                </c:pt>
                <c:pt idx="14">
                  <c:v>19693</c:v>
                </c:pt>
                <c:pt idx="15">
                  <c:v>22654</c:v>
                </c:pt>
                <c:pt idx="16">
                  <c:v>21939</c:v>
                </c:pt>
                <c:pt idx="17">
                  <c:v>20178</c:v>
                </c:pt>
                <c:pt idx="18">
                  <c:v>19269</c:v>
                </c:pt>
                <c:pt idx="19">
                  <c:v>22137</c:v>
                </c:pt>
                <c:pt idx="20">
                  <c:v>20532</c:v>
                </c:pt>
                <c:pt idx="21">
                  <c:v>19315</c:v>
                </c:pt>
                <c:pt idx="22">
                  <c:v>17900</c:v>
                </c:pt>
                <c:pt idx="23">
                  <c:v>19640</c:v>
                </c:pt>
                <c:pt idx="24">
                  <c:v>18306</c:v>
                </c:pt>
                <c:pt idx="25">
                  <c:v>17726</c:v>
                </c:pt>
                <c:pt idx="26">
                  <c:v>16710</c:v>
                </c:pt>
                <c:pt idx="27">
                  <c:v>19136</c:v>
                </c:pt>
                <c:pt idx="28">
                  <c:v>18274</c:v>
                </c:pt>
                <c:pt idx="29">
                  <c:v>16680</c:v>
                </c:pt>
                <c:pt idx="30">
                  <c:v>16086</c:v>
                </c:pt>
                <c:pt idx="31">
                  <c:v>18217</c:v>
                </c:pt>
                <c:pt idx="32">
                  <c:v>16834</c:v>
                </c:pt>
                <c:pt idx="33">
                  <c:v>15864</c:v>
                </c:pt>
              </c:numCache>
            </c:numRef>
          </c:val>
          <c:smooth val="0"/>
        </c:ser>
        <c:dLbls>
          <c:showLegendKey val="0"/>
          <c:showVal val="0"/>
          <c:showCatName val="0"/>
          <c:showSerName val="0"/>
          <c:showPercent val="0"/>
          <c:showBubbleSize val="0"/>
        </c:dLbls>
        <c:marker val="1"/>
        <c:smooth val="0"/>
        <c:axId val="344529920"/>
        <c:axId val="344540288"/>
      </c:lineChart>
      <c:catAx>
        <c:axId val="34452992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344540288"/>
        <c:crosses val="autoZero"/>
        <c:auto val="1"/>
        <c:lblAlgn val="ctr"/>
        <c:lblOffset val="100"/>
        <c:noMultiLvlLbl val="0"/>
      </c:catAx>
      <c:valAx>
        <c:axId val="344540288"/>
        <c:scaling>
          <c:orientation val="minMax"/>
        </c:scaling>
        <c:delete val="0"/>
        <c:axPos val="l"/>
        <c:majorGridlines/>
        <c:title>
          <c:tx>
            <c:rich>
              <a:bodyPr rot="-5400000" vert="horz"/>
              <a:lstStyle/>
              <a:p>
                <a:pPr>
                  <a:defRPr/>
                </a:pPr>
                <a:r>
                  <a:rPr lang="en-AU" b="0"/>
                  <a:t>Prescriptions</a:t>
                </a:r>
              </a:p>
            </c:rich>
          </c:tx>
          <c:layout>
            <c:manualLayout>
              <c:xMode val="edge"/>
              <c:yMode val="edge"/>
              <c:x val="7.6928653469065132E-3"/>
              <c:y val="0.2476434563326643"/>
            </c:manualLayout>
          </c:layout>
          <c:overlay val="0"/>
        </c:title>
        <c:numFmt formatCode="#,##0" sourceLinked="0"/>
        <c:majorTickMark val="out"/>
        <c:minorTickMark val="none"/>
        <c:tickLblPos val="nextTo"/>
        <c:crossAx val="344529920"/>
        <c:crosses val="autoZero"/>
        <c:crossBetween val="midCat"/>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Sheet3!$H$5</c:f>
              <c:strCache>
                <c:ptCount val="1"/>
                <c:pt idx="0">
                  <c:v>125 mg tablet</c:v>
                </c:pt>
              </c:strCache>
            </c:strRef>
          </c:tx>
          <c:marker>
            <c:symbol val="none"/>
          </c:marker>
          <c:cat>
            <c:strRef>
              <c:f>Sheet3!$G$6:$G$39</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Sheet3!$H$6:$H$39</c:f>
              <c:numCache>
                <c:formatCode>General</c:formatCode>
                <c:ptCount val="34"/>
                <c:pt idx="0">
                  <c:v>4428</c:v>
                </c:pt>
                <c:pt idx="1">
                  <c:v>3180</c:v>
                </c:pt>
                <c:pt idx="2">
                  <c:v>6347</c:v>
                </c:pt>
                <c:pt idx="3">
                  <c:v>9423</c:v>
                </c:pt>
                <c:pt idx="4">
                  <c:v>8774</c:v>
                </c:pt>
                <c:pt idx="5">
                  <c:v>6737</c:v>
                </c:pt>
                <c:pt idx="6">
                  <c:v>7143</c:v>
                </c:pt>
                <c:pt idx="7">
                  <c:v>5291</c:v>
                </c:pt>
                <c:pt idx="8">
                  <c:v>3207</c:v>
                </c:pt>
                <c:pt idx="9">
                  <c:v>2352</c:v>
                </c:pt>
                <c:pt idx="10">
                  <c:v>1784</c:v>
                </c:pt>
                <c:pt idx="11">
                  <c:v>1909</c:v>
                </c:pt>
                <c:pt idx="12">
                  <c:v>1409</c:v>
                </c:pt>
                <c:pt idx="13">
                  <c:v>2379</c:v>
                </c:pt>
                <c:pt idx="14">
                  <c:v>1658</c:v>
                </c:pt>
                <c:pt idx="15">
                  <c:v>1162</c:v>
                </c:pt>
                <c:pt idx="16">
                  <c:v>1229</c:v>
                </c:pt>
                <c:pt idx="17">
                  <c:v>1226</c:v>
                </c:pt>
                <c:pt idx="18">
                  <c:v>1193</c:v>
                </c:pt>
                <c:pt idx="19">
                  <c:v>1264</c:v>
                </c:pt>
                <c:pt idx="20">
                  <c:v>1034</c:v>
                </c:pt>
                <c:pt idx="21">
                  <c:v>1051</c:v>
                </c:pt>
                <c:pt idx="22">
                  <c:v>1041</c:v>
                </c:pt>
                <c:pt idx="23">
                  <c:v>1017</c:v>
                </c:pt>
                <c:pt idx="24">
                  <c:v>946</c:v>
                </c:pt>
                <c:pt idx="25">
                  <c:v>1392</c:v>
                </c:pt>
                <c:pt idx="26">
                  <c:v>1194</c:v>
                </c:pt>
                <c:pt idx="27">
                  <c:v>1023</c:v>
                </c:pt>
                <c:pt idx="28">
                  <c:v>1555</c:v>
                </c:pt>
                <c:pt idx="29">
                  <c:v>1097</c:v>
                </c:pt>
                <c:pt idx="30">
                  <c:v>1004</c:v>
                </c:pt>
                <c:pt idx="31">
                  <c:v>1007</c:v>
                </c:pt>
                <c:pt idx="32">
                  <c:v>856</c:v>
                </c:pt>
                <c:pt idx="33">
                  <c:v>849</c:v>
                </c:pt>
              </c:numCache>
            </c:numRef>
          </c:val>
          <c:smooth val="0"/>
        </c:ser>
        <c:ser>
          <c:idx val="1"/>
          <c:order val="1"/>
          <c:tx>
            <c:strRef>
              <c:f>Sheet3!$I$5</c:f>
              <c:strCache>
                <c:ptCount val="1"/>
                <c:pt idx="0">
                  <c:v>500 mg tablet</c:v>
                </c:pt>
              </c:strCache>
            </c:strRef>
          </c:tx>
          <c:marker>
            <c:symbol val="none"/>
          </c:marker>
          <c:cat>
            <c:strRef>
              <c:f>Sheet3!$G$6:$G$39</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Sheet3!$I$6:$I$39</c:f>
              <c:numCache>
                <c:formatCode>General</c:formatCode>
                <c:ptCount val="34"/>
                <c:pt idx="0">
                  <c:v>4450</c:v>
                </c:pt>
                <c:pt idx="1">
                  <c:v>1156</c:v>
                </c:pt>
                <c:pt idx="2">
                  <c:v>748</c:v>
                </c:pt>
                <c:pt idx="3">
                  <c:v>776</c:v>
                </c:pt>
                <c:pt idx="4">
                  <c:v>498</c:v>
                </c:pt>
                <c:pt idx="5">
                  <c:v>285</c:v>
                </c:pt>
                <c:pt idx="6">
                  <c:v>2040</c:v>
                </c:pt>
                <c:pt idx="7">
                  <c:v>6959</c:v>
                </c:pt>
                <c:pt idx="8">
                  <c:v>8962</c:v>
                </c:pt>
                <c:pt idx="9">
                  <c:v>9798</c:v>
                </c:pt>
                <c:pt idx="10">
                  <c:v>10265</c:v>
                </c:pt>
                <c:pt idx="11">
                  <c:v>12416</c:v>
                </c:pt>
                <c:pt idx="12">
                  <c:v>12771</c:v>
                </c:pt>
                <c:pt idx="13">
                  <c:v>10537</c:v>
                </c:pt>
                <c:pt idx="14">
                  <c:v>11273</c:v>
                </c:pt>
                <c:pt idx="15">
                  <c:v>13004</c:v>
                </c:pt>
                <c:pt idx="16">
                  <c:v>13341</c:v>
                </c:pt>
                <c:pt idx="17">
                  <c:v>12676</c:v>
                </c:pt>
                <c:pt idx="18">
                  <c:v>13540</c:v>
                </c:pt>
                <c:pt idx="19">
                  <c:v>15186</c:v>
                </c:pt>
                <c:pt idx="20">
                  <c:v>15220</c:v>
                </c:pt>
                <c:pt idx="21">
                  <c:v>14622</c:v>
                </c:pt>
                <c:pt idx="22">
                  <c:v>13896</c:v>
                </c:pt>
                <c:pt idx="23">
                  <c:v>14918</c:v>
                </c:pt>
                <c:pt idx="24">
                  <c:v>15902</c:v>
                </c:pt>
                <c:pt idx="25">
                  <c:v>14638</c:v>
                </c:pt>
                <c:pt idx="26">
                  <c:v>13915</c:v>
                </c:pt>
                <c:pt idx="27">
                  <c:v>15718</c:v>
                </c:pt>
                <c:pt idx="28">
                  <c:v>14384</c:v>
                </c:pt>
                <c:pt idx="29">
                  <c:v>14354</c:v>
                </c:pt>
                <c:pt idx="30">
                  <c:v>13958</c:v>
                </c:pt>
                <c:pt idx="31">
                  <c:v>15403</c:v>
                </c:pt>
                <c:pt idx="32">
                  <c:v>14669</c:v>
                </c:pt>
                <c:pt idx="33">
                  <c:v>13921</c:v>
                </c:pt>
              </c:numCache>
            </c:numRef>
          </c:val>
          <c:smooth val="0"/>
        </c:ser>
        <c:dLbls>
          <c:showLegendKey val="0"/>
          <c:showVal val="0"/>
          <c:showCatName val="0"/>
          <c:showSerName val="0"/>
          <c:showPercent val="0"/>
          <c:showBubbleSize val="0"/>
        </c:dLbls>
        <c:marker val="1"/>
        <c:smooth val="0"/>
        <c:axId val="344565632"/>
        <c:axId val="344576000"/>
      </c:lineChart>
      <c:catAx>
        <c:axId val="344565632"/>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344576000"/>
        <c:crosses val="autoZero"/>
        <c:auto val="1"/>
        <c:lblAlgn val="ctr"/>
        <c:lblOffset val="100"/>
        <c:noMultiLvlLbl val="0"/>
      </c:catAx>
      <c:valAx>
        <c:axId val="344576000"/>
        <c:scaling>
          <c:orientation val="minMax"/>
        </c:scaling>
        <c:delete val="0"/>
        <c:axPos val="l"/>
        <c:majorGridlines/>
        <c:title>
          <c:tx>
            <c:rich>
              <a:bodyPr rot="-5400000" vert="horz"/>
              <a:lstStyle/>
              <a:p>
                <a:pPr>
                  <a:defRPr/>
                </a:pPr>
                <a:r>
                  <a:rPr lang="en-AU" b="0"/>
                  <a:t>Prescriptions</a:t>
                </a:r>
              </a:p>
            </c:rich>
          </c:tx>
          <c:overlay val="0"/>
        </c:title>
        <c:numFmt formatCode="#,##0" sourceLinked="0"/>
        <c:majorTickMark val="out"/>
        <c:minorTickMark val="none"/>
        <c:tickLblPos val="nextTo"/>
        <c:crossAx val="344565632"/>
        <c:crosses val="autoZero"/>
        <c:crossBetween val="midCat"/>
      </c:valAx>
    </c:plotArea>
    <c:legend>
      <c:legendPos val="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Expenditure!$B$42</c:f>
              <c:strCache>
                <c:ptCount val="1"/>
                <c:pt idx="0">
                  <c:v>Amphotericin B</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Expenditure!$B$43:$B$76</c:f>
              <c:numCache>
                <c:formatCode>#,##0</c:formatCode>
                <c:ptCount val="34"/>
                <c:pt idx="0">
                  <c:v>1964.1199999999394</c:v>
                </c:pt>
                <c:pt idx="1">
                  <c:v>1846.7199999999782</c:v>
                </c:pt>
                <c:pt idx="2">
                  <c:v>2150.1799999999489</c:v>
                </c:pt>
                <c:pt idx="3">
                  <c:v>5299.8099999999231</c:v>
                </c:pt>
                <c:pt idx="4">
                  <c:v>4113.5999999999176</c:v>
                </c:pt>
                <c:pt idx="5">
                  <c:v>2064.0999999999431</c:v>
                </c:pt>
                <c:pt idx="6">
                  <c:v>2809.6899999999491</c:v>
                </c:pt>
                <c:pt idx="7">
                  <c:v>2012.74999999996</c:v>
                </c:pt>
                <c:pt idx="8">
                  <c:v>93.149999999999864</c:v>
                </c:pt>
                <c:pt idx="9">
                  <c:v>460.13999999999595</c:v>
                </c:pt>
                <c:pt idx="10">
                  <c:v>58.5</c:v>
                </c:pt>
              </c:numCache>
            </c:numRef>
          </c:val>
          <c:smooth val="0"/>
          <c:extLst xmlns:c16r2="http://schemas.microsoft.com/office/drawing/2015/06/chart">
            <c:ext xmlns:c16="http://schemas.microsoft.com/office/drawing/2014/chart" uri="{C3380CC4-5D6E-409C-BE32-E72D297353CC}">
              <c16:uniqueId val="{00000000-23B4-4AC3-92BE-3C935CA7CC2F}"/>
            </c:ext>
          </c:extLst>
        </c:ser>
        <c:ser>
          <c:idx val="1"/>
          <c:order val="1"/>
          <c:tx>
            <c:strRef>
              <c:f>Expenditure!$C$42</c:f>
              <c:strCache>
                <c:ptCount val="1"/>
                <c:pt idx="0">
                  <c:v>Fluconazole</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Expenditure!$C$43:$C$76</c:f>
              <c:numCache>
                <c:formatCode>#,##0</c:formatCode>
                <c:ptCount val="34"/>
                <c:pt idx="0">
                  <c:v>2012505.8099999779</c:v>
                </c:pt>
                <c:pt idx="1">
                  <c:v>2165632.0499999775</c:v>
                </c:pt>
                <c:pt idx="2">
                  <c:v>2187301.7999999649</c:v>
                </c:pt>
                <c:pt idx="3">
                  <c:v>2373849.6999999601</c:v>
                </c:pt>
                <c:pt idx="4">
                  <c:v>2042856.4899999676</c:v>
                </c:pt>
                <c:pt idx="5">
                  <c:v>2251595.1999999611</c:v>
                </c:pt>
                <c:pt idx="6">
                  <c:v>2244761.0499999593</c:v>
                </c:pt>
                <c:pt idx="7">
                  <c:v>2536062.8999999538</c:v>
                </c:pt>
                <c:pt idx="8">
                  <c:v>2232515.7399999569</c:v>
                </c:pt>
                <c:pt idx="9">
                  <c:v>1174468.729999979</c:v>
                </c:pt>
                <c:pt idx="10">
                  <c:v>1265935.7599999758</c:v>
                </c:pt>
                <c:pt idx="11">
                  <c:v>1339378.0399999723</c:v>
                </c:pt>
                <c:pt idx="12">
                  <c:v>1204783.7099999806</c:v>
                </c:pt>
                <c:pt idx="13">
                  <c:v>812495.53999997966</c:v>
                </c:pt>
                <c:pt idx="14">
                  <c:v>887062.00999997696</c:v>
                </c:pt>
                <c:pt idx="15">
                  <c:v>993863.63999997312</c:v>
                </c:pt>
                <c:pt idx="16">
                  <c:v>836389.30999998667</c:v>
                </c:pt>
                <c:pt idx="17">
                  <c:v>751708.50999998616</c:v>
                </c:pt>
                <c:pt idx="18">
                  <c:v>814850.5499999905</c:v>
                </c:pt>
                <c:pt idx="19">
                  <c:v>928243.67000000097</c:v>
                </c:pt>
                <c:pt idx="20">
                  <c:v>772578.70000000019</c:v>
                </c:pt>
                <c:pt idx="21">
                  <c:v>830153.12</c:v>
                </c:pt>
                <c:pt idx="22">
                  <c:v>758381.0700000003</c:v>
                </c:pt>
                <c:pt idx="23">
                  <c:v>804099.98000000068</c:v>
                </c:pt>
                <c:pt idx="24">
                  <c:v>640888.32000000181</c:v>
                </c:pt>
                <c:pt idx="25">
                  <c:v>562853.86999999976</c:v>
                </c:pt>
                <c:pt idx="26">
                  <c:v>633397.39000000025</c:v>
                </c:pt>
                <c:pt idx="27">
                  <c:v>610364.30999999959</c:v>
                </c:pt>
                <c:pt idx="28">
                  <c:v>485733.63000000059</c:v>
                </c:pt>
                <c:pt idx="29">
                  <c:v>513267.08000000066</c:v>
                </c:pt>
                <c:pt idx="30">
                  <c:v>532058.14999999967</c:v>
                </c:pt>
                <c:pt idx="31">
                  <c:v>533124.16000000027</c:v>
                </c:pt>
                <c:pt idx="32">
                  <c:v>398031.48999999941</c:v>
                </c:pt>
                <c:pt idx="33" formatCode="_(&quot;$&quot;* #,##0.00_);_(&quot;$&quot;* \(#,##0.00\);_(&quot;$&quot;* &quot;-&quot;??_);_(@_)">
                  <c:v>491214.8899999999</c:v>
                </c:pt>
              </c:numCache>
            </c:numRef>
          </c:val>
          <c:smooth val="0"/>
          <c:extLst xmlns:c16r2="http://schemas.microsoft.com/office/drawing/2015/06/chart">
            <c:ext xmlns:c16="http://schemas.microsoft.com/office/drawing/2014/chart" uri="{C3380CC4-5D6E-409C-BE32-E72D297353CC}">
              <c16:uniqueId val="{00000001-23B4-4AC3-92BE-3C935CA7CC2F}"/>
            </c:ext>
          </c:extLst>
        </c:ser>
        <c:ser>
          <c:idx val="2"/>
          <c:order val="2"/>
          <c:tx>
            <c:strRef>
              <c:f>Expenditure!$D$42</c:f>
              <c:strCache>
                <c:ptCount val="1"/>
                <c:pt idx="0">
                  <c:v>Griseofulvin</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Expenditure!$D$43:$D$76</c:f>
              <c:numCache>
                <c:formatCode>#,##0</c:formatCode>
                <c:ptCount val="34"/>
                <c:pt idx="0">
                  <c:v>89997.799999999639</c:v>
                </c:pt>
                <c:pt idx="1">
                  <c:v>43452.319999999898</c:v>
                </c:pt>
                <c:pt idx="2">
                  <c:v>84454.009999998743</c:v>
                </c:pt>
                <c:pt idx="3">
                  <c:v>132474.47999999742</c:v>
                </c:pt>
                <c:pt idx="4">
                  <c:v>103496.57999999702</c:v>
                </c:pt>
                <c:pt idx="5">
                  <c:v>81639.139999997715</c:v>
                </c:pt>
                <c:pt idx="6">
                  <c:v>115765.02999999851</c:v>
                </c:pt>
                <c:pt idx="7">
                  <c:v>166715.83999999781</c:v>
                </c:pt>
                <c:pt idx="8">
                  <c:v>154358.32999999507</c:v>
                </c:pt>
                <c:pt idx="9">
                  <c:v>158020.79999999495</c:v>
                </c:pt>
                <c:pt idx="10">
                  <c:v>168968.53999999512</c:v>
                </c:pt>
                <c:pt idx="11">
                  <c:v>208560.98999999481</c:v>
                </c:pt>
                <c:pt idx="12">
                  <c:v>178321.90999999529</c:v>
                </c:pt>
                <c:pt idx="13">
                  <c:v>166484.12999999576</c:v>
                </c:pt>
                <c:pt idx="14">
                  <c:v>176896.08999999613</c:v>
                </c:pt>
                <c:pt idx="15">
                  <c:v>217123.0799999958</c:v>
                </c:pt>
                <c:pt idx="16">
                  <c:v>193241.30999999575</c:v>
                </c:pt>
                <c:pt idx="17">
                  <c:v>177066.69999999672</c:v>
                </c:pt>
                <c:pt idx="18">
                  <c:v>183455.66999999961</c:v>
                </c:pt>
                <c:pt idx="19">
                  <c:v>228989.24000000209</c:v>
                </c:pt>
                <c:pt idx="20">
                  <c:v>188002.12999999779</c:v>
                </c:pt>
                <c:pt idx="21">
                  <c:v>189687.88999999882</c:v>
                </c:pt>
                <c:pt idx="22">
                  <c:v>189721.7599999994</c:v>
                </c:pt>
                <c:pt idx="23">
                  <c:v>223869.36999999991</c:v>
                </c:pt>
                <c:pt idx="24">
                  <c:v>197061.97000000256</c:v>
                </c:pt>
                <c:pt idx="25">
                  <c:v>190042.31000000049</c:v>
                </c:pt>
                <c:pt idx="26">
                  <c:v>188111.45000000167</c:v>
                </c:pt>
                <c:pt idx="27">
                  <c:v>227922.46000000017</c:v>
                </c:pt>
                <c:pt idx="28">
                  <c:v>185484.34999999779</c:v>
                </c:pt>
                <c:pt idx="29">
                  <c:v>186340.30999999796</c:v>
                </c:pt>
                <c:pt idx="30">
                  <c:v>195082.74999999729</c:v>
                </c:pt>
                <c:pt idx="31">
                  <c:v>233006.11999999793</c:v>
                </c:pt>
                <c:pt idx="32">
                  <c:v>184220.72000000259</c:v>
                </c:pt>
                <c:pt idx="33" formatCode="_(&quot;$&quot;* #,##0.00_);_(&quot;$&quot;* \(#,##0.00\);_(&quot;$&quot;* &quot;-&quot;??_);_(@_)">
                  <c:v>174445.98</c:v>
                </c:pt>
              </c:numCache>
            </c:numRef>
          </c:val>
          <c:smooth val="0"/>
          <c:extLst xmlns:c16r2="http://schemas.microsoft.com/office/drawing/2015/06/chart">
            <c:ext xmlns:c16="http://schemas.microsoft.com/office/drawing/2014/chart" uri="{C3380CC4-5D6E-409C-BE32-E72D297353CC}">
              <c16:uniqueId val="{00000002-23B4-4AC3-92BE-3C935CA7CC2F}"/>
            </c:ext>
          </c:extLst>
        </c:ser>
        <c:ser>
          <c:idx val="3"/>
          <c:order val="3"/>
          <c:tx>
            <c:strRef>
              <c:f>Expenditure!$E$42</c:f>
              <c:strCache>
                <c:ptCount val="1"/>
                <c:pt idx="0">
                  <c:v>Itraconazole</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Expenditure!$E$43:$E$76</c:f>
              <c:numCache>
                <c:formatCode>#,##0</c:formatCode>
                <c:ptCount val="34"/>
                <c:pt idx="0">
                  <c:v>371394.10999999649</c:v>
                </c:pt>
                <c:pt idx="1">
                  <c:v>396010.5299999963</c:v>
                </c:pt>
                <c:pt idx="2">
                  <c:v>434979.93999999459</c:v>
                </c:pt>
                <c:pt idx="3">
                  <c:v>489115.98999999498</c:v>
                </c:pt>
                <c:pt idx="4">
                  <c:v>387447.05999999505</c:v>
                </c:pt>
                <c:pt idx="5">
                  <c:v>419094.34999999433</c:v>
                </c:pt>
                <c:pt idx="6">
                  <c:v>448375.05999999255</c:v>
                </c:pt>
                <c:pt idx="7">
                  <c:v>451696.46999999188</c:v>
                </c:pt>
                <c:pt idx="8">
                  <c:v>388491.92999999551</c:v>
                </c:pt>
                <c:pt idx="9">
                  <c:v>456016.76999999443</c:v>
                </c:pt>
                <c:pt idx="10">
                  <c:v>475369.90999999322</c:v>
                </c:pt>
                <c:pt idx="11">
                  <c:v>511606.61999999208</c:v>
                </c:pt>
                <c:pt idx="12">
                  <c:v>400787.65999999386</c:v>
                </c:pt>
                <c:pt idx="13">
                  <c:v>480690.01999999222</c:v>
                </c:pt>
                <c:pt idx="14">
                  <c:v>488189.46999999182</c:v>
                </c:pt>
                <c:pt idx="15">
                  <c:v>553842.7299999902</c:v>
                </c:pt>
                <c:pt idx="16">
                  <c:v>475144.95999999333</c:v>
                </c:pt>
                <c:pt idx="17">
                  <c:v>543961.68999999156</c:v>
                </c:pt>
                <c:pt idx="18">
                  <c:v>582272.36999999452</c:v>
                </c:pt>
                <c:pt idx="19">
                  <c:v>668068.04</c:v>
                </c:pt>
                <c:pt idx="20">
                  <c:v>524157.37000000034</c:v>
                </c:pt>
                <c:pt idx="21">
                  <c:v>592914.37000000034</c:v>
                </c:pt>
                <c:pt idx="22">
                  <c:v>632657.62999999989</c:v>
                </c:pt>
                <c:pt idx="23">
                  <c:v>702664.94</c:v>
                </c:pt>
                <c:pt idx="24">
                  <c:v>577203.9099999998</c:v>
                </c:pt>
                <c:pt idx="25">
                  <c:v>675808.40999999968</c:v>
                </c:pt>
                <c:pt idx="26">
                  <c:v>702269.44999999984</c:v>
                </c:pt>
                <c:pt idx="27">
                  <c:v>787635.85</c:v>
                </c:pt>
                <c:pt idx="28">
                  <c:v>634509.21</c:v>
                </c:pt>
                <c:pt idx="29">
                  <c:v>704819.52000000014</c:v>
                </c:pt>
                <c:pt idx="30">
                  <c:v>686448.91999999981</c:v>
                </c:pt>
                <c:pt idx="31">
                  <c:v>816565.5299999998</c:v>
                </c:pt>
                <c:pt idx="32">
                  <c:v>615263.76000000024</c:v>
                </c:pt>
                <c:pt idx="33" formatCode="_(&quot;$&quot;* #,##0.00_);_(&quot;$&quot;* \(#,##0.00\);_(&quot;$&quot;* &quot;-&quot;??_);_(@_)">
                  <c:v>691886.99000000034</c:v>
                </c:pt>
              </c:numCache>
            </c:numRef>
          </c:val>
          <c:smooth val="0"/>
          <c:extLst xmlns:c16r2="http://schemas.microsoft.com/office/drawing/2015/06/chart">
            <c:ext xmlns:c16="http://schemas.microsoft.com/office/drawing/2014/chart" uri="{C3380CC4-5D6E-409C-BE32-E72D297353CC}">
              <c16:uniqueId val="{00000003-23B4-4AC3-92BE-3C935CA7CC2F}"/>
            </c:ext>
          </c:extLst>
        </c:ser>
        <c:ser>
          <c:idx val="4"/>
          <c:order val="4"/>
          <c:tx>
            <c:strRef>
              <c:f>Expenditure!$F$42</c:f>
              <c:strCache>
                <c:ptCount val="1"/>
                <c:pt idx="0">
                  <c:v>Ketoconazole</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Expenditure!$F$43:$F$76</c:f>
              <c:numCache>
                <c:formatCode>#,##0</c:formatCode>
                <c:ptCount val="34"/>
                <c:pt idx="0">
                  <c:v>116702.05999999616</c:v>
                </c:pt>
                <c:pt idx="1">
                  <c:v>127512.4699999958</c:v>
                </c:pt>
                <c:pt idx="2">
                  <c:v>138275.97999999792</c:v>
                </c:pt>
                <c:pt idx="3">
                  <c:v>168482.18999999779</c:v>
                </c:pt>
                <c:pt idx="4">
                  <c:v>135244.2099999965</c:v>
                </c:pt>
                <c:pt idx="5">
                  <c:v>139605.64999999627</c:v>
                </c:pt>
                <c:pt idx="6">
                  <c:v>140030.08999999682</c:v>
                </c:pt>
                <c:pt idx="7">
                  <c:v>162483.99999999633</c:v>
                </c:pt>
                <c:pt idx="8">
                  <c:v>128085.11999999656</c:v>
                </c:pt>
                <c:pt idx="9">
                  <c:v>124633.91999999664</c:v>
                </c:pt>
                <c:pt idx="10">
                  <c:v>132150.27999999633</c:v>
                </c:pt>
                <c:pt idx="11">
                  <c:v>156838.48999999557</c:v>
                </c:pt>
                <c:pt idx="12">
                  <c:v>132632.2399999981</c:v>
                </c:pt>
                <c:pt idx="13">
                  <c:v>136266.60999999777</c:v>
                </c:pt>
                <c:pt idx="14">
                  <c:v>146427.10999999702</c:v>
                </c:pt>
                <c:pt idx="15">
                  <c:v>169786.31999999622</c:v>
                </c:pt>
                <c:pt idx="16">
                  <c:v>144021.95999999679</c:v>
                </c:pt>
                <c:pt idx="17">
                  <c:v>145513.39999999673</c:v>
                </c:pt>
                <c:pt idx="18">
                  <c:v>151398.29999999763</c:v>
                </c:pt>
                <c:pt idx="19">
                  <c:v>179812.4699999998</c:v>
                </c:pt>
                <c:pt idx="20">
                  <c:v>147549.81999999942</c:v>
                </c:pt>
                <c:pt idx="21">
                  <c:v>148646.89999999976</c:v>
                </c:pt>
                <c:pt idx="22">
                  <c:v>150584.17999999991</c:v>
                </c:pt>
                <c:pt idx="23">
                  <c:v>92688.37</c:v>
                </c:pt>
              </c:numCache>
            </c:numRef>
          </c:val>
          <c:smooth val="0"/>
          <c:extLst xmlns:c16r2="http://schemas.microsoft.com/office/drawing/2015/06/chart">
            <c:ext xmlns:c16="http://schemas.microsoft.com/office/drawing/2014/chart" uri="{C3380CC4-5D6E-409C-BE32-E72D297353CC}">
              <c16:uniqueId val="{00000004-23B4-4AC3-92BE-3C935CA7CC2F}"/>
            </c:ext>
          </c:extLst>
        </c:ser>
        <c:ser>
          <c:idx val="5"/>
          <c:order val="5"/>
          <c:tx>
            <c:strRef>
              <c:f>Expenditure!$G$42</c:f>
              <c:strCache>
                <c:ptCount val="1"/>
                <c:pt idx="0">
                  <c:v>Posaconazole</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Expenditure!$G$43:$G$76</c:f>
              <c:numCache>
                <c:formatCode>General</c:formatCode>
                <c:ptCount val="34"/>
                <c:pt idx="4" formatCode="#,##0">
                  <c:v>500302.97999999154</c:v>
                </c:pt>
                <c:pt idx="5" formatCode="#,##0">
                  <c:v>720467.21999998647</c:v>
                </c:pt>
                <c:pt idx="6" formatCode="#,##0">
                  <c:v>768190.25999998371</c:v>
                </c:pt>
                <c:pt idx="7" formatCode="#,##0">
                  <c:v>742312.57999998529</c:v>
                </c:pt>
                <c:pt idx="8" formatCode="#,##0">
                  <c:v>1049081.0499999779</c:v>
                </c:pt>
                <c:pt idx="9" formatCode="#,##0">
                  <c:v>1227135.3999999766</c:v>
                </c:pt>
                <c:pt idx="10" formatCode="#,##0">
                  <c:v>1098414.0299999765</c:v>
                </c:pt>
                <c:pt idx="11" formatCode="#,##0">
                  <c:v>1409068.7599999728</c:v>
                </c:pt>
                <c:pt idx="12" formatCode="#,##0">
                  <c:v>1449696.3799999657</c:v>
                </c:pt>
                <c:pt idx="13" formatCode="#,##0">
                  <c:v>1714884.6499999627</c:v>
                </c:pt>
                <c:pt idx="14" formatCode="#,##0">
                  <c:v>1709783.6399999689</c:v>
                </c:pt>
                <c:pt idx="15" formatCode="#,##0">
                  <c:v>1953698.3499999631</c:v>
                </c:pt>
                <c:pt idx="16" formatCode="#,##0">
                  <c:v>1909164.1099999612</c:v>
                </c:pt>
                <c:pt idx="17" formatCode="#,##0">
                  <c:v>2486821.0999999503</c:v>
                </c:pt>
                <c:pt idx="18" formatCode="#,##0">
                  <c:v>2686918.0199999609</c:v>
                </c:pt>
                <c:pt idx="19" formatCode="#,##0">
                  <c:v>2649160.4700000002</c:v>
                </c:pt>
                <c:pt idx="20" formatCode="#,##0">
                  <c:v>2510906.3299999996</c:v>
                </c:pt>
                <c:pt idx="21" formatCode="#,##0">
                  <c:v>2853011.17</c:v>
                </c:pt>
                <c:pt idx="22" formatCode="#,##0">
                  <c:v>2798364.17</c:v>
                </c:pt>
                <c:pt idx="23" formatCode="#,##0">
                  <c:v>2850636.76</c:v>
                </c:pt>
                <c:pt idx="24" formatCode="#,##0">
                  <c:v>2673945.1700000004</c:v>
                </c:pt>
                <c:pt idx="25" formatCode="#,##0">
                  <c:v>2774764.36</c:v>
                </c:pt>
                <c:pt idx="26" formatCode="#,##0">
                  <c:v>2908588.34</c:v>
                </c:pt>
                <c:pt idx="27" formatCode="#,##0">
                  <c:v>3248358.25</c:v>
                </c:pt>
                <c:pt idx="28" formatCode="#,##0">
                  <c:v>2975781.42</c:v>
                </c:pt>
                <c:pt idx="29" formatCode="#,##0">
                  <c:v>3475255.84</c:v>
                </c:pt>
                <c:pt idx="30" formatCode="#,##0">
                  <c:v>3443753.52</c:v>
                </c:pt>
                <c:pt idx="31" formatCode="#,##0">
                  <c:v>4651208.330000001</c:v>
                </c:pt>
                <c:pt idx="32" formatCode="#,##0">
                  <c:v>4832779.1500000004</c:v>
                </c:pt>
                <c:pt idx="33" formatCode="_(&quot;$&quot;* #,##0.00_);_(&quot;$&quot;* \(#,##0.00\);_(&quot;$&quot;* &quot;-&quot;??_);_(@_)">
                  <c:v>5363271.3099999987</c:v>
                </c:pt>
              </c:numCache>
            </c:numRef>
          </c:val>
          <c:smooth val="0"/>
          <c:extLst xmlns:c16r2="http://schemas.microsoft.com/office/drawing/2015/06/chart">
            <c:ext xmlns:c16="http://schemas.microsoft.com/office/drawing/2014/chart" uri="{C3380CC4-5D6E-409C-BE32-E72D297353CC}">
              <c16:uniqueId val="{00000005-23B4-4AC3-92BE-3C935CA7CC2F}"/>
            </c:ext>
          </c:extLst>
        </c:ser>
        <c:ser>
          <c:idx val="6"/>
          <c:order val="6"/>
          <c:tx>
            <c:strRef>
              <c:f>Expenditure!$H$42</c:f>
              <c:strCache>
                <c:ptCount val="1"/>
                <c:pt idx="0">
                  <c:v>Terbinafine</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Expenditure!$H$43:$H$76</c:f>
              <c:numCache>
                <c:formatCode>#,##0</c:formatCode>
                <c:ptCount val="34"/>
                <c:pt idx="0">
                  <c:v>2328479.5599999218</c:v>
                </c:pt>
                <c:pt idx="1">
                  <c:v>2229880.8899999252</c:v>
                </c:pt>
                <c:pt idx="2">
                  <c:v>1822331.3099999672</c:v>
                </c:pt>
                <c:pt idx="3">
                  <c:v>1994430.3499999554</c:v>
                </c:pt>
                <c:pt idx="4">
                  <c:v>1817370.7999999402</c:v>
                </c:pt>
                <c:pt idx="5">
                  <c:v>1727014.7799999453</c:v>
                </c:pt>
                <c:pt idx="6">
                  <c:v>1649416.3099999563</c:v>
                </c:pt>
                <c:pt idx="7">
                  <c:v>1949955.3199999554</c:v>
                </c:pt>
                <c:pt idx="8">
                  <c:v>1800654.6399999447</c:v>
                </c:pt>
                <c:pt idx="9">
                  <c:v>1636552.5099999513</c:v>
                </c:pt>
                <c:pt idx="10">
                  <c:v>1610613.6499999522</c:v>
                </c:pt>
                <c:pt idx="11">
                  <c:v>1893110.7099999504</c:v>
                </c:pt>
                <c:pt idx="12">
                  <c:v>1678479.899999982</c:v>
                </c:pt>
                <c:pt idx="13">
                  <c:v>1560552.2099999932</c:v>
                </c:pt>
                <c:pt idx="14">
                  <c:v>1533611.5099999909</c:v>
                </c:pt>
                <c:pt idx="15">
                  <c:v>1798345.839999988</c:v>
                </c:pt>
                <c:pt idx="16">
                  <c:v>1682260.4199999773</c:v>
                </c:pt>
                <c:pt idx="17">
                  <c:v>987612.81999998831</c:v>
                </c:pt>
                <c:pt idx="18">
                  <c:v>938996.99999999639</c:v>
                </c:pt>
                <c:pt idx="19">
                  <c:v>1112595.8100000035</c:v>
                </c:pt>
                <c:pt idx="20">
                  <c:v>979465.28999998909</c:v>
                </c:pt>
                <c:pt idx="21">
                  <c:v>624953.41000000131</c:v>
                </c:pt>
                <c:pt idx="22">
                  <c:v>579274.54999999714</c:v>
                </c:pt>
                <c:pt idx="23">
                  <c:v>668734.86999999615</c:v>
                </c:pt>
                <c:pt idx="24">
                  <c:v>578318.83999999915</c:v>
                </c:pt>
                <c:pt idx="25">
                  <c:v>421255.47999999113</c:v>
                </c:pt>
                <c:pt idx="26">
                  <c:v>395795.99000000505</c:v>
                </c:pt>
                <c:pt idx="27">
                  <c:v>484989.20000000572</c:v>
                </c:pt>
                <c:pt idx="28">
                  <c:v>424037.27000000427</c:v>
                </c:pt>
                <c:pt idx="29">
                  <c:v>278388.87000000314</c:v>
                </c:pt>
                <c:pt idx="30">
                  <c:v>264011.90999999986</c:v>
                </c:pt>
                <c:pt idx="31">
                  <c:v>315200.22000000044</c:v>
                </c:pt>
                <c:pt idx="32">
                  <c:v>253708.36999999499</c:v>
                </c:pt>
                <c:pt idx="33" formatCode="_(&quot;$&quot;* #,##0.00_);_(&quot;$&quot;* \(#,##0.00\);_(&quot;$&quot;* &quot;-&quot;??_);_(@_)">
                  <c:v>217695.68999999997</c:v>
                </c:pt>
              </c:numCache>
            </c:numRef>
          </c:val>
          <c:smooth val="0"/>
          <c:extLst xmlns:c16r2="http://schemas.microsoft.com/office/drawing/2015/06/chart">
            <c:ext xmlns:c16="http://schemas.microsoft.com/office/drawing/2014/chart" uri="{C3380CC4-5D6E-409C-BE32-E72D297353CC}">
              <c16:uniqueId val="{00000006-23B4-4AC3-92BE-3C935CA7CC2F}"/>
            </c:ext>
          </c:extLst>
        </c:ser>
        <c:ser>
          <c:idx val="7"/>
          <c:order val="7"/>
          <c:tx>
            <c:strRef>
              <c:f>Expenditure!$I$42</c:f>
              <c:strCache>
                <c:ptCount val="1"/>
                <c:pt idx="0">
                  <c:v>Voriconazole</c:v>
                </c:pt>
              </c:strCache>
            </c:strRef>
          </c:tx>
          <c:marker>
            <c:symbol val="none"/>
          </c:marker>
          <c:cat>
            <c:strRef>
              <c:f>Expenditure!$A$43:$A$76</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Expenditure!$I$43:$I$76</c:f>
              <c:numCache>
                <c:formatCode>General</c:formatCode>
                <c:ptCount val="34"/>
                <c:pt idx="4" formatCode="#,##0">
                  <c:v>438926.08999999624</c:v>
                </c:pt>
                <c:pt idx="5" formatCode="#,##0">
                  <c:v>1055261.2599999907</c:v>
                </c:pt>
                <c:pt idx="6" formatCode="#,##0">
                  <c:v>1437065.7299999688</c:v>
                </c:pt>
                <c:pt idx="7" formatCode="#,##0">
                  <c:v>1624807.2899999644</c:v>
                </c:pt>
                <c:pt idx="8" formatCode="#,##0">
                  <c:v>1650508.6799999671</c:v>
                </c:pt>
                <c:pt idx="9" formatCode="#,##0">
                  <c:v>1906621.5799999631</c:v>
                </c:pt>
                <c:pt idx="10" formatCode="#,##0">
                  <c:v>2175150.799999957</c:v>
                </c:pt>
                <c:pt idx="11" formatCode="#,##0">
                  <c:v>2301407.5099999546</c:v>
                </c:pt>
                <c:pt idx="12" formatCode="#,##0">
                  <c:v>2182705.9499999555</c:v>
                </c:pt>
                <c:pt idx="13" formatCode="#,##0">
                  <c:v>2398387.7499999525</c:v>
                </c:pt>
                <c:pt idx="14" formatCode="#,##0">
                  <c:v>2482221.6799999517</c:v>
                </c:pt>
                <c:pt idx="15" formatCode="#,##0">
                  <c:v>2613581.2199999494</c:v>
                </c:pt>
                <c:pt idx="16" formatCode="#,##0">
                  <c:v>2636246.9499999438</c:v>
                </c:pt>
                <c:pt idx="17" formatCode="#,##0">
                  <c:v>2944405.319999937</c:v>
                </c:pt>
                <c:pt idx="18" formatCode="#,##0">
                  <c:v>3131041.0299999435</c:v>
                </c:pt>
                <c:pt idx="19" formatCode="#,##0">
                  <c:v>3469126.8400000003</c:v>
                </c:pt>
                <c:pt idx="20" formatCode="#,##0">
                  <c:v>3307351.7300000018</c:v>
                </c:pt>
                <c:pt idx="21" formatCode="#,##0">
                  <c:v>3940168.78</c:v>
                </c:pt>
                <c:pt idx="22" formatCode="#,##0">
                  <c:v>4139157.1300000004</c:v>
                </c:pt>
                <c:pt idx="23" formatCode="#,##0">
                  <c:v>4172449.0800000005</c:v>
                </c:pt>
                <c:pt idx="24" formatCode="#,##0">
                  <c:v>3650598.91</c:v>
                </c:pt>
                <c:pt idx="25" formatCode="#,##0">
                  <c:v>4288572.32</c:v>
                </c:pt>
                <c:pt idx="26" formatCode="#,##0">
                  <c:v>4041527.9099999997</c:v>
                </c:pt>
                <c:pt idx="27" formatCode="#,##0">
                  <c:v>3716170.28</c:v>
                </c:pt>
                <c:pt idx="28" formatCode="#,##0">
                  <c:v>2877004.1900000004</c:v>
                </c:pt>
                <c:pt idx="29" formatCode="#,##0">
                  <c:v>3023321.8999999994</c:v>
                </c:pt>
                <c:pt idx="30" formatCode="#,##0">
                  <c:v>3124785.2500000005</c:v>
                </c:pt>
                <c:pt idx="31" formatCode="#,##0">
                  <c:v>3217796.8199999994</c:v>
                </c:pt>
                <c:pt idx="32" formatCode="#,##0">
                  <c:v>2178125.5600000005</c:v>
                </c:pt>
                <c:pt idx="33" formatCode="_(&quot;$&quot;* #,##0.00_);_(&quot;$&quot;* \(#,##0.00\);_(&quot;$&quot;* &quot;-&quot;??_);_(@_)">
                  <c:v>2105326.3699999996</c:v>
                </c:pt>
              </c:numCache>
            </c:numRef>
          </c:val>
          <c:smooth val="0"/>
          <c:extLst xmlns:c16r2="http://schemas.microsoft.com/office/drawing/2015/06/chart">
            <c:ext xmlns:c16="http://schemas.microsoft.com/office/drawing/2014/chart" uri="{C3380CC4-5D6E-409C-BE32-E72D297353CC}">
              <c16:uniqueId val="{00000007-23B4-4AC3-92BE-3C935CA7CC2F}"/>
            </c:ext>
          </c:extLst>
        </c:ser>
        <c:dLbls>
          <c:showLegendKey val="0"/>
          <c:showVal val="0"/>
          <c:showCatName val="0"/>
          <c:showSerName val="0"/>
          <c:showPercent val="0"/>
          <c:showBubbleSize val="0"/>
        </c:dLbls>
        <c:marker val="1"/>
        <c:smooth val="0"/>
        <c:axId val="344592768"/>
        <c:axId val="344594688"/>
      </c:lineChart>
      <c:catAx>
        <c:axId val="344592768"/>
        <c:scaling>
          <c:orientation val="minMax"/>
        </c:scaling>
        <c:delete val="0"/>
        <c:axPos val="b"/>
        <c:title>
          <c:tx>
            <c:rich>
              <a:bodyPr/>
              <a:lstStyle/>
              <a:p>
                <a:pPr>
                  <a:defRPr/>
                </a:pPr>
                <a:r>
                  <a:rPr lang="en-AU" b="0"/>
                  <a:t>Quarter</a:t>
                </a:r>
                <a:r>
                  <a:rPr lang="en-AU" b="0" baseline="0"/>
                  <a:t> of supply</a:t>
                </a:r>
                <a:endParaRPr lang="en-AU" b="0"/>
              </a:p>
            </c:rich>
          </c:tx>
          <c:overlay val="0"/>
        </c:title>
        <c:numFmt formatCode="General" sourceLinked="0"/>
        <c:majorTickMark val="out"/>
        <c:minorTickMark val="none"/>
        <c:tickLblPos val="nextTo"/>
        <c:crossAx val="344594688"/>
        <c:crosses val="autoZero"/>
        <c:auto val="1"/>
        <c:lblAlgn val="ctr"/>
        <c:lblOffset val="100"/>
        <c:noMultiLvlLbl val="0"/>
      </c:catAx>
      <c:valAx>
        <c:axId val="344594688"/>
        <c:scaling>
          <c:orientation val="minMax"/>
        </c:scaling>
        <c:delete val="0"/>
        <c:axPos val="l"/>
        <c:majorGridlines/>
        <c:title>
          <c:tx>
            <c:rich>
              <a:bodyPr rot="-5400000" vert="horz"/>
              <a:lstStyle/>
              <a:p>
                <a:pPr>
                  <a:defRPr/>
                </a:pPr>
                <a:r>
                  <a:rPr lang="en-AU" b="0"/>
                  <a:t>Expenditure</a:t>
                </a:r>
              </a:p>
            </c:rich>
          </c:tx>
          <c:overlay val="0"/>
        </c:title>
        <c:numFmt formatCode="&quot;$&quot;#,##0" sourceLinked="0"/>
        <c:majorTickMark val="out"/>
        <c:minorTickMark val="none"/>
        <c:tickLblPos val="nextTo"/>
        <c:crossAx val="344592768"/>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lineChart>
        <c:grouping val="standard"/>
        <c:varyColors val="0"/>
        <c:ser>
          <c:idx val="0"/>
          <c:order val="0"/>
          <c:tx>
            <c:strRef>
              <c:f>'[D953 - EDW LBL SCRPT_SUM - v3 monthly data to May 2016.xlsx]Vori rx by item code'!$J$5</c:f>
              <c:strCache>
                <c:ptCount val="1"/>
                <c:pt idx="0">
                  <c:v>Suspension</c:v>
                </c:pt>
              </c:strCache>
            </c:strRef>
          </c:tx>
          <c:marker>
            <c:symbol val="none"/>
          </c:marker>
          <c:cat>
            <c:numRef>
              <c:f>'[D953 - EDW LBL SCRPT_SUM - v3 monthly data to May 2016.xlsx]Vori rx by item code'!$I$6:$I$23</c:f>
              <c:numCache>
                <c:formatCode>mmm\-yy</c:formatCode>
                <c:ptCount val="18"/>
                <c:pt idx="0">
                  <c:v>41974</c:v>
                </c:pt>
                <c:pt idx="1">
                  <c:v>42005</c:v>
                </c:pt>
                <c:pt idx="2">
                  <c:v>42036</c:v>
                </c:pt>
                <c:pt idx="3">
                  <c:v>42064</c:v>
                </c:pt>
                <c:pt idx="4">
                  <c:v>42095</c:v>
                </c:pt>
                <c:pt idx="5">
                  <c:v>42125</c:v>
                </c:pt>
                <c:pt idx="6">
                  <c:v>42156</c:v>
                </c:pt>
                <c:pt idx="7">
                  <c:v>42186</c:v>
                </c:pt>
                <c:pt idx="8">
                  <c:v>42217</c:v>
                </c:pt>
                <c:pt idx="9">
                  <c:v>42248</c:v>
                </c:pt>
                <c:pt idx="10">
                  <c:v>42278</c:v>
                </c:pt>
                <c:pt idx="11">
                  <c:v>42309</c:v>
                </c:pt>
                <c:pt idx="12">
                  <c:v>42339</c:v>
                </c:pt>
                <c:pt idx="13">
                  <c:v>42370</c:v>
                </c:pt>
                <c:pt idx="14">
                  <c:v>42401</c:v>
                </c:pt>
                <c:pt idx="15">
                  <c:v>42430</c:v>
                </c:pt>
                <c:pt idx="16">
                  <c:v>42461</c:v>
                </c:pt>
                <c:pt idx="17">
                  <c:v>42491</c:v>
                </c:pt>
              </c:numCache>
            </c:numRef>
          </c:cat>
          <c:val>
            <c:numRef>
              <c:f>'[D953 - EDW LBL SCRPT_SUM - v3 monthly data to May 2016.xlsx]Vori rx by item code'!$J$6:$J$23</c:f>
              <c:numCache>
                <c:formatCode>0</c:formatCode>
                <c:ptCount val="18"/>
                <c:pt idx="0">
                  <c:v>2</c:v>
                </c:pt>
                <c:pt idx="1">
                  <c:v>4</c:v>
                </c:pt>
                <c:pt idx="2">
                  <c:v>1</c:v>
                </c:pt>
                <c:pt idx="3">
                  <c:v>6</c:v>
                </c:pt>
                <c:pt idx="4">
                  <c:v>4</c:v>
                </c:pt>
                <c:pt idx="5">
                  <c:v>4</c:v>
                </c:pt>
                <c:pt idx="6">
                  <c:v>7</c:v>
                </c:pt>
                <c:pt idx="7">
                  <c:v>5</c:v>
                </c:pt>
                <c:pt idx="8">
                  <c:v>2</c:v>
                </c:pt>
                <c:pt idx="9">
                  <c:v>1</c:v>
                </c:pt>
                <c:pt idx="10">
                  <c:v>8</c:v>
                </c:pt>
                <c:pt idx="11">
                  <c:v>3</c:v>
                </c:pt>
                <c:pt idx="12">
                  <c:v>9</c:v>
                </c:pt>
                <c:pt idx="13">
                  <c:v>5</c:v>
                </c:pt>
                <c:pt idx="14">
                  <c:v>5</c:v>
                </c:pt>
                <c:pt idx="15">
                  <c:v>8</c:v>
                </c:pt>
                <c:pt idx="16">
                  <c:v>4</c:v>
                </c:pt>
                <c:pt idx="17">
                  <c:v>5</c:v>
                </c:pt>
              </c:numCache>
            </c:numRef>
          </c:val>
          <c:smooth val="0"/>
          <c:extLst xmlns:c16r2="http://schemas.microsoft.com/office/drawing/2015/06/chart">
            <c:ext xmlns:c16="http://schemas.microsoft.com/office/drawing/2014/chart" uri="{C3380CC4-5D6E-409C-BE32-E72D297353CC}">
              <c16:uniqueId val="{00000000-D3CE-4492-87C2-8C74DA5D3A2A}"/>
            </c:ext>
          </c:extLst>
        </c:ser>
        <c:ser>
          <c:idx val="1"/>
          <c:order val="1"/>
          <c:tx>
            <c:strRef>
              <c:f>'[D953 - EDW LBL SCRPT_SUM - v3 monthly data to May 2016.xlsx]Vori rx by item code'!$K$5</c:f>
              <c:strCache>
                <c:ptCount val="1"/>
                <c:pt idx="0">
                  <c:v>200 mg tablet</c:v>
                </c:pt>
              </c:strCache>
            </c:strRef>
          </c:tx>
          <c:marker>
            <c:symbol val="none"/>
          </c:marker>
          <c:cat>
            <c:numRef>
              <c:f>'[D953 - EDW LBL SCRPT_SUM - v3 monthly data to May 2016.xlsx]Vori rx by item code'!$I$6:$I$23</c:f>
              <c:numCache>
                <c:formatCode>mmm\-yy</c:formatCode>
                <c:ptCount val="18"/>
                <c:pt idx="0">
                  <c:v>41974</c:v>
                </c:pt>
                <c:pt idx="1">
                  <c:v>42005</c:v>
                </c:pt>
                <c:pt idx="2">
                  <c:v>42036</c:v>
                </c:pt>
                <c:pt idx="3">
                  <c:v>42064</c:v>
                </c:pt>
                <c:pt idx="4">
                  <c:v>42095</c:v>
                </c:pt>
                <c:pt idx="5">
                  <c:v>42125</c:v>
                </c:pt>
                <c:pt idx="6">
                  <c:v>42156</c:v>
                </c:pt>
                <c:pt idx="7">
                  <c:v>42186</c:v>
                </c:pt>
                <c:pt idx="8">
                  <c:v>42217</c:v>
                </c:pt>
                <c:pt idx="9">
                  <c:v>42248</c:v>
                </c:pt>
                <c:pt idx="10">
                  <c:v>42278</c:v>
                </c:pt>
                <c:pt idx="11">
                  <c:v>42309</c:v>
                </c:pt>
                <c:pt idx="12">
                  <c:v>42339</c:v>
                </c:pt>
                <c:pt idx="13">
                  <c:v>42370</c:v>
                </c:pt>
                <c:pt idx="14">
                  <c:v>42401</c:v>
                </c:pt>
                <c:pt idx="15">
                  <c:v>42430</c:v>
                </c:pt>
                <c:pt idx="16">
                  <c:v>42461</c:v>
                </c:pt>
                <c:pt idx="17">
                  <c:v>42491</c:v>
                </c:pt>
              </c:numCache>
            </c:numRef>
          </c:cat>
          <c:val>
            <c:numRef>
              <c:f>'[D953 - EDW LBL SCRPT_SUM - v3 monthly data to May 2016.xlsx]Vori rx by item code'!$K$6:$K$23</c:f>
              <c:numCache>
                <c:formatCode>0</c:formatCode>
                <c:ptCount val="18"/>
                <c:pt idx="0">
                  <c:v>26</c:v>
                </c:pt>
                <c:pt idx="1">
                  <c:v>32</c:v>
                </c:pt>
                <c:pt idx="2">
                  <c:v>43</c:v>
                </c:pt>
                <c:pt idx="3">
                  <c:v>41</c:v>
                </c:pt>
                <c:pt idx="4">
                  <c:v>62</c:v>
                </c:pt>
                <c:pt idx="5">
                  <c:v>51</c:v>
                </c:pt>
                <c:pt idx="6">
                  <c:v>67</c:v>
                </c:pt>
                <c:pt idx="7">
                  <c:v>60</c:v>
                </c:pt>
                <c:pt idx="8">
                  <c:v>67</c:v>
                </c:pt>
                <c:pt idx="9">
                  <c:v>71</c:v>
                </c:pt>
                <c:pt idx="10">
                  <c:v>69</c:v>
                </c:pt>
                <c:pt idx="11">
                  <c:v>70</c:v>
                </c:pt>
                <c:pt idx="12">
                  <c:v>81</c:v>
                </c:pt>
                <c:pt idx="13">
                  <c:v>54</c:v>
                </c:pt>
                <c:pt idx="14">
                  <c:v>48</c:v>
                </c:pt>
                <c:pt idx="15">
                  <c:v>56</c:v>
                </c:pt>
                <c:pt idx="16">
                  <c:v>58</c:v>
                </c:pt>
                <c:pt idx="17">
                  <c:v>47</c:v>
                </c:pt>
              </c:numCache>
            </c:numRef>
          </c:val>
          <c:smooth val="0"/>
          <c:extLst xmlns:c16r2="http://schemas.microsoft.com/office/drawing/2015/06/chart">
            <c:ext xmlns:c16="http://schemas.microsoft.com/office/drawing/2014/chart" uri="{C3380CC4-5D6E-409C-BE32-E72D297353CC}">
              <c16:uniqueId val="{00000001-D3CE-4492-87C2-8C74DA5D3A2A}"/>
            </c:ext>
          </c:extLst>
        </c:ser>
        <c:ser>
          <c:idx val="2"/>
          <c:order val="2"/>
          <c:tx>
            <c:strRef>
              <c:f>'[D953 - EDW LBL SCRPT_SUM - v3 monthly data to May 2016.xlsx]Vori rx by item code'!$L$5</c:f>
              <c:strCache>
                <c:ptCount val="1"/>
                <c:pt idx="0">
                  <c:v>50 mg tablet</c:v>
                </c:pt>
              </c:strCache>
            </c:strRef>
          </c:tx>
          <c:marker>
            <c:symbol val="none"/>
          </c:marker>
          <c:cat>
            <c:numRef>
              <c:f>'[D953 - EDW LBL SCRPT_SUM - v3 monthly data to May 2016.xlsx]Vori rx by item code'!$I$6:$I$23</c:f>
              <c:numCache>
                <c:formatCode>mmm\-yy</c:formatCode>
                <c:ptCount val="18"/>
                <c:pt idx="0">
                  <c:v>41974</c:v>
                </c:pt>
                <c:pt idx="1">
                  <c:v>42005</c:v>
                </c:pt>
                <c:pt idx="2">
                  <c:v>42036</c:v>
                </c:pt>
                <c:pt idx="3">
                  <c:v>42064</c:v>
                </c:pt>
                <c:pt idx="4">
                  <c:v>42095</c:v>
                </c:pt>
                <c:pt idx="5">
                  <c:v>42125</c:v>
                </c:pt>
                <c:pt idx="6">
                  <c:v>42156</c:v>
                </c:pt>
                <c:pt idx="7">
                  <c:v>42186</c:v>
                </c:pt>
                <c:pt idx="8">
                  <c:v>42217</c:v>
                </c:pt>
                <c:pt idx="9">
                  <c:v>42248</c:v>
                </c:pt>
                <c:pt idx="10">
                  <c:v>42278</c:v>
                </c:pt>
                <c:pt idx="11">
                  <c:v>42309</c:v>
                </c:pt>
                <c:pt idx="12">
                  <c:v>42339</c:v>
                </c:pt>
                <c:pt idx="13">
                  <c:v>42370</c:v>
                </c:pt>
                <c:pt idx="14">
                  <c:v>42401</c:v>
                </c:pt>
                <c:pt idx="15">
                  <c:v>42430</c:v>
                </c:pt>
                <c:pt idx="16">
                  <c:v>42461</c:v>
                </c:pt>
                <c:pt idx="17">
                  <c:v>42491</c:v>
                </c:pt>
              </c:numCache>
            </c:numRef>
          </c:cat>
          <c:val>
            <c:numRef>
              <c:f>'[D953 - EDW LBL SCRPT_SUM - v3 monthly data to May 2016.xlsx]Vori rx by item code'!$L$6:$L$23</c:f>
              <c:numCache>
                <c:formatCode>0</c:formatCode>
                <c:ptCount val="18"/>
                <c:pt idx="0">
                  <c:v>20</c:v>
                </c:pt>
                <c:pt idx="1">
                  <c:v>16</c:v>
                </c:pt>
                <c:pt idx="2">
                  <c:v>19</c:v>
                </c:pt>
                <c:pt idx="3">
                  <c:v>9</c:v>
                </c:pt>
                <c:pt idx="4">
                  <c:v>12</c:v>
                </c:pt>
                <c:pt idx="5">
                  <c:v>21</c:v>
                </c:pt>
                <c:pt idx="6">
                  <c:v>13</c:v>
                </c:pt>
                <c:pt idx="7">
                  <c:v>15</c:v>
                </c:pt>
                <c:pt idx="8">
                  <c:v>19</c:v>
                </c:pt>
                <c:pt idx="9">
                  <c:v>19</c:v>
                </c:pt>
                <c:pt idx="10">
                  <c:v>13</c:v>
                </c:pt>
                <c:pt idx="11">
                  <c:v>17</c:v>
                </c:pt>
                <c:pt idx="12">
                  <c:v>26</c:v>
                </c:pt>
                <c:pt idx="13">
                  <c:v>14</c:v>
                </c:pt>
                <c:pt idx="14">
                  <c:v>21</c:v>
                </c:pt>
                <c:pt idx="15">
                  <c:v>12</c:v>
                </c:pt>
                <c:pt idx="16">
                  <c:v>14</c:v>
                </c:pt>
                <c:pt idx="17">
                  <c:v>13</c:v>
                </c:pt>
              </c:numCache>
            </c:numRef>
          </c:val>
          <c:smooth val="0"/>
          <c:extLst xmlns:c16r2="http://schemas.microsoft.com/office/drawing/2015/06/chart">
            <c:ext xmlns:c16="http://schemas.microsoft.com/office/drawing/2014/chart" uri="{C3380CC4-5D6E-409C-BE32-E72D297353CC}">
              <c16:uniqueId val="{00000002-D3CE-4492-87C2-8C74DA5D3A2A}"/>
            </c:ext>
          </c:extLst>
        </c:ser>
        <c:dLbls>
          <c:showLegendKey val="0"/>
          <c:showVal val="0"/>
          <c:showCatName val="0"/>
          <c:showSerName val="0"/>
          <c:showPercent val="0"/>
          <c:showBubbleSize val="0"/>
        </c:dLbls>
        <c:marker val="1"/>
        <c:smooth val="0"/>
        <c:axId val="344636800"/>
        <c:axId val="344647168"/>
      </c:lineChart>
      <c:dateAx>
        <c:axId val="344636800"/>
        <c:scaling>
          <c:orientation val="minMax"/>
        </c:scaling>
        <c:delete val="0"/>
        <c:axPos val="b"/>
        <c:title>
          <c:tx>
            <c:rich>
              <a:bodyPr/>
              <a:lstStyle/>
              <a:p>
                <a:pPr>
                  <a:defRPr/>
                </a:pPr>
                <a:r>
                  <a:rPr lang="en-AU" b="0"/>
                  <a:t>Month</a:t>
                </a:r>
              </a:p>
            </c:rich>
          </c:tx>
          <c:overlay val="0"/>
        </c:title>
        <c:numFmt formatCode="mmm\-yy" sourceLinked="1"/>
        <c:majorTickMark val="out"/>
        <c:minorTickMark val="none"/>
        <c:tickLblPos val="nextTo"/>
        <c:crossAx val="344647168"/>
        <c:crosses val="autoZero"/>
        <c:auto val="1"/>
        <c:lblOffset val="100"/>
        <c:baseTimeUnit val="months"/>
      </c:dateAx>
      <c:valAx>
        <c:axId val="344647168"/>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344636800"/>
        <c:crosses val="autoZero"/>
        <c:crossBetween val="midCat"/>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Fluconazole!$C$41</c:f>
              <c:strCache>
                <c:ptCount val="1"/>
                <c:pt idx="0">
                  <c:v>Capsule 100 mg</c:v>
                </c:pt>
              </c:strCache>
            </c:strRef>
          </c:tx>
          <c:marker>
            <c:symbol val="none"/>
          </c:marker>
          <c:cat>
            <c:strRef>
              <c:f>Fluconazole!$B$42:$B$75</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Fluconazole!$C$42:$C$75</c:f>
              <c:numCache>
                <c:formatCode>#,##0</c:formatCode>
                <c:ptCount val="34"/>
                <c:pt idx="0">
                  <c:v>2169</c:v>
                </c:pt>
                <c:pt idx="1">
                  <c:v>2316</c:v>
                </c:pt>
                <c:pt idx="2">
                  <c:v>2399</c:v>
                </c:pt>
                <c:pt idx="3">
                  <c:v>2617</c:v>
                </c:pt>
                <c:pt idx="4">
                  <c:v>2187</c:v>
                </c:pt>
                <c:pt idx="5">
                  <c:v>2410</c:v>
                </c:pt>
                <c:pt idx="6">
                  <c:v>2404</c:v>
                </c:pt>
                <c:pt idx="7">
                  <c:v>2632</c:v>
                </c:pt>
                <c:pt idx="8">
                  <c:v>2249</c:v>
                </c:pt>
                <c:pt idx="9">
                  <c:v>2355</c:v>
                </c:pt>
                <c:pt idx="10">
                  <c:v>2374</c:v>
                </c:pt>
                <c:pt idx="11">
                  <c:v>2630</c:v>
                </c:pt>
                <c:pt idx="12">
                  <c:v>2430</c:v>
                </c:pt>
                <c:pt idx="13">
                  <c:v>2538</c:v>
                </c:pt>
                <c:pt idx="14">
                  <c:v>2743</c:v>
                </c:pt>
                <c:pt idx="15">
                  <c:v>3061</c:v>
                </c:pt>
                <c:pt idx="16">
                  <c:v>2579</c:v>
                </c:pt>
                <c:pt idx="17">
                  <c:v>2787</c:v>
                </c:pt>
                <c:pt idx="18">
                  <c:v>2835</c:v>
                </c:pt>
                <c:pt idx="19">
                  <c:v>3078</c:v>
                </c:pt>
                <c:pt idx="20">
                  <c:v>2723</c:v>
                </c:pt>
                <c:pt idx="21">
                  <c:v>2910</c:v>
                </c:pt>
                <c:pt idx="22">
                  <c:v>2975</c:v>
                </c:pt>
                <c:pt idx="23">
                  <c:v>3310</c:v>
                </c:pt>
                <c:pt idx="24">
                  <c:v>2953</c:v>
                </c:pt>
                <c:pt idx="25">
                  <c:v>3202</c:v>
                </c:pt>
                <c:pt idx="26">
                  <c:v>3278</c:v>
                </c:pt>
                <c:pt idx="27">
                  <c:v>3609</c:v>
                </c:pt>
                <c:pt idx="28">
                  <c:v>3007</c:v>
                </c:pt>
                <c:pt idx="29">
                  <c:v>3132</c:v>
                </c:pt>
                <c:pt idx="30">
                  <c:v>3319</c:v>
                </c:pt>
                <c:pt idx="31">
                  <c:v>3602</c:v>
                </c:pt>
                <c:pt idx="32">
                  <c:v>2879</c:v>
                </c:pt>
                <c:pt idx="33" formatCode="General">
                  <c:v>4862</c:v>
                </c:pt>
              </c:numCache>
            </c:numRef>
          </c:val>
          <c:smooth val="0"/>
          <c:extLst xmlns:c16r2="http://schemas.microsoft.com/office/drawing/2015/06/chart">
            <c:ext xmlns:c16="http://schemas.microsoft.com/office/drawing/2014/chart" uri="{C3380CC4-5D6E-409C-BE32-E72D297353CC}">
              <c16:uniqueId val="{00000000-50AD-4D3B-B073-D5D676BD9F20}"/>
            </c:ext>
          </c:extLst>
        </c:ser>
        <c:ser>
          <c:idx val="1"/>
          <c:order val="1"/>
          <c:tx>
            <c:strRef>
              <c:f>Fluconazole!$D$41</c:f>
              <c:strCache>
                <c:ptCount val="1"/>
                <c:pt idx="0">
                  <c:v>Capsule 200 mg</c:v>
                </c:pt>
              </c:strCache>
            </c:strRef>
          </c:tx>
          <c:spPr>
            <a:ln>
              <a:solidFill>
                <a:srgbClr val="0070C0"/>
              </a:solidFill>
            </a:ln>
          </c:spPr>
          <c:marker>
            <c:symbol val="none"/>
          </c:marker>
          <c:cat>
            <c:strRef>
              <c:f>Fluconazole!$B$42:$B$75</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Fluconazole!$D$42:$D$75</c:f>
              <c:numCache>
                <c:formatCode>#,##0</c:formatCode>
                <c:ptCount val="34"/>
                <c:pt idx="0">
                  <c:v>1948</c:v>
                </c:pt>
                <c:pt idx="1">
                  <c:v>2082</c:v>
                </c:pt>
                <c:pt idx="2">
                  <c:v>2086</c:v>
                </c:pt>
                <c:pt idx="3">
                  <c:v>2300</c:v>
                </c:pt>
                <c:pt idx="4">
                  <c:v>2025</c:v>
                </c:pt>
                <c:pt idx="5">
                  <c:v>2201</c:v>
                </c:pt>
                <c:pt idx="6">
                  <c:v>2216</c:v>
                </c:pt>
                <c:pt idx="7">
                  <c:v>2574</c:v>
                </c:pt>
                <c:pt idx="8">
                  <c:v>2423</c:v>
                </c:pt>
                <c:pt idx="9">
                  <c:v>2751</c:v>
                </c:pt>
                <c:pt idx="10">
                  <c:v>3014</c:v>
                </c:pt>
                <c:pt idx="11">
                  <c:v>3189</c:v>
                </c:pt>
                <c:pt idx="12">
                  <c:v>3059</c:v>
                </c:pt>
                <c:pt idx="13">
                  <c:v>3381</c:v>
                </c:pt>
                <c:pt idx="14">
                  <c:v>3718</c:v>
                </c:pt>
                <c:pt idx="15">
                  <c:v>4061</c:v>
                </c:pt>
                <c:pt idx="16">
                  <c:v>3704</c:v>
                </c:pt>
                <c:pt idx="17">
                  <c:v>3778</c:v>
                </c:pt>
                <c:pt idx="18">
                  <c:v>4240</c:v>
                </c:pt>
                <c:pt idx="19">
                  <c:v>4797</c:v>
                </c:pt>
                <c:pt idx="20">
                  <c:v>4213</c:v>
                </c:pt>
                <c:pt idx="21">
                  <c:v>4508</c:v>
                </c:pt>
                <c:pt idx="22">
                  <c:v>4764</c:v>
                </c:pt>
                <c:pt idx="23">
                  <c:v>5533</c:v>
                </c:pt>
                <c:pt idx="24">
                  <c:v>4676</c:v>
                </c:pt>
                <c:pt idx="25">
                  <c:v>5024</c:v>
                </c:pt>
                <c:pt idx="26">
                  <c:v>5474</c:v>
                </c:pt>
                <c:pt idx="27">
                  <c:v>5927</c:v>
                </c:pt>
                <c:pt idx="28">
                  <c:v>5166</c:v>
                </c:pt>
                <c:pt idx="29">
                  <c:v>5469</c:v>
                </c:pt>
                <c:pt idx="30">
                  <c:v>5658</c:v>
                </c:pt>
                <c:pt idx="31">
                  <c:v>5947</c:v>
                </c:pt>
                <c:pt idx="32">
                  <c:v>5201</c:v>
                </c:pt>
                <c:pt idx="33" formatCode="General">
                  <c:v>6309</c:v>
                </c:pt>
              </c:numCache>
            </c:numRef>
          </c:val>
          <c:smooth val="0"/>
          <c:extLst xmlns:c16r2="http://schemas.microsoft.com/office/drawing/2015/06/chart">
            <c:ext xmlns:c16="http://schemas.microsoft.com/office/drawing/2014/chart" uri="{C3380CC4-5D6E-409C-BE32-E72D297353CC}">
              <c16:uniqueId val="{00000001-50AD-4D3B-B073-D5D676BD9F20}"/>
            </c:ext>
          </c:extLst>
        </c:ser>
        <c:ser>
          <c:idx val="2"/>
          <c:order val="2"/>
          <c:tx>
            <c:strRef>
              <c:f>Fluconazole!$E$41</c:f>
              <c:strCache>
                <c:ptCount val="1"/>
                <c:pt idx="0">
                  <c:v>Capsule 50 mg</c:v>
                </c:pt>
              </c:strCache>
            </c:strRef>
          </c:tx>
          <c:spPr>
            <a:ln>
              <a:solidFill>
                <a:srgbClr val="00B050"/>
              </a:solidFill>
            </a:ln>
          </c:spPr>
          <c:marker>
            <c:symbol val="none"/>
          </c:marker>
          <c:cat>
            <c:strRef>
              <c:f>Fluconazole!$B$42:$B$75</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Fluconazole!$E$42:$E$75</c:f>
              <c:numCache>
                <c:formatCode>#,##0</c:formatCode>
                <c:ptCount val="34"/>
                <c:pt idx="0">
                  <c:v>749</c:v>
                </c:pt>
                <c:pt idx="1">
                  <c:v>791</c:v>
                </c:pt>
                <c:pt idx="2">
                  <c:v>807</c:v>
                </c:pt>
                <c:pt idx="3">
                  <c:v>875</c:v>
                </c:pt>
                <c:pt idx="4">
                  <c:v>757</c:v>
                </c:pt>
                <c:pt idx="5">
                  <c:v>903</c:v>
                </c:pt>
                <c:pt idx="6">
                  <c:v>837</c:v>
                </c:pt>
                <c:pt idx="7">
                  <c:v>955</c:v>
                </c:pt>
                <c:pt idx="8">
                  <c:v>909</c:v>
                </c:pt>
                <c:pt idx="9">
                  <c:v>815</c:v>
                </c:pt>
                <c:pt idx="10">
                  <c:v>844</c:v>
                </c:pt>
                <c:pt idx="11">
                  <c:v>962</c:v>
                </c:pt>
                <c:pt idx="12">
                  <c:v>873</c:v>
                </c:pt>
                <c:pt idx="13">
                  <c:v>983</c:v>
                </c:pt>
                <c:pt idx="14">
                  <c:v>1179</c:v>
                </c:pt>
                <c:pt idx="15">
                  <c:v>1224</c:v>
                </c:pt>
                <c:pt idx="16">
                  <c:v>1096</c:v>
                </c:pt>
                <c:pt idx="17">
                  <c:v>1085</c:v>
                </c:pt>
                <c:pt idx="18">
                  <c:v>1187</c:v>
                </c:pt>
                <c:pt idx="19">
                  <c:v>1309</c:v>
                </c:pt>
                <c:pt idx="20">
                  <c:v>1280</c:v>
                </c:pt>
                <c:pt idx="21">
                  <c:v>1306</c:v>
                </c:pt>
                <c:pt idx="22">
                  <c:v>1378</c:v>
                </c:pt>
                <c:pt idx="23">
                  <c:v>1560</c:v>
                </c:pt>
                <c:pt idx="24">
                  <c:v>1500</c:v>
                </c:pt>
                <c:pt idx="25">
                  <c:v>1730</c:v>
                </c:pt>
                <c:pt idx="26">
                  <c:v>1738</c:v>
                </c:pt>
                <c:pt idx="27">
                  <c:v>1966</c:v>
                </c:pt>
                <c:pt idx="28">
                  <c:v>1785</c:v>
                </c:pt>
                <c:pt idx="29">
                  <c:v>1921</c:v>
                </c:pt>
                <c:pt idx="30">
                  <c:v>2055</c:v>
                </c:pt>
                <c:pt idx="31">
                  <c:v>2246</c:v>
                </c:pt>
                <c:pt idx="32">
                  <c:v>2081</c:v>
                </c:pt>
                <c:pt idx="33" formatCode="General">
                  <c:v>6081</c:v>
                </c:pt>
              </c:numCache>
            </c:numRef>
          </c:val>
          <c:smooth val="0"/>
          <c:extLst xmlns:c16r2="http://schemas.microsoft.com/office/drawing/2015/06/chart">
            <c:ext xmlns:c16="http://schemas.microsoft.com/office/drawing/2014/chart" uri="{C3380CC4-5D6E-409C-BE32-E72D297353CC}">
              <c16:uniqueId val="{00000002-50AD-4D3B-B073-D5D676BD9F20}"/>
            </c:ext>
          </c:extLst>
        </c:ser>
        <c:dLbls>
          <c:showLegendKey val="0"/>
          <c:showVal val="0"/>
          <c:showCatName val="0"/>
          <c:showSerName val="0"/>
          <c:showPercent val="0"/>
          <c:showBubbleSize val="0"/>
        </c:dLbls>
        <c:marker val="1"/>
        <c:smooth val="0"/>
        <c:axId val="260238720"/>
        <c:axId val="341575168"/>
      </c:lineChart>
      <c:catAx>
        <c:axId val="260238720"/>
        <c:scaling>
          <c:orientation val="minMax"/>
        </c:scaling>
        <c:delete val="0"/>
        <c:axPos val="b"/>
        <c:title>
          <c:tx>
            <c:rich>
              <a:bodyPr/>
              <a:lstStyle/>
              <a:p>
                <a:pPr>
                  <a:defRPr b="0"/>
                </a:pPr>
                <a:r>
                  <a:rPr lang="en-AU" b="0"/>
                  <a:t>Quarter of supply</a:t>
                </a:r>
              </a:p>
            </c:rich>
          </c:tx>
          <c:overlay val="0"/>
        </c:title>
        <c:numFmt formatCode="General" sourceLinked="1"/>
        <c:majorTickMark val="out"/>
        <c:minorTickMark val="none"/>
        <c:tickLblPos val="nextTo"/>
        <c:crossAx val="341575168"/>
        <c:crosses val="autoZero"/>
        <c:auto val="1"/>
        <c:lblAlgn val="ctr"/>
        <c:lblOffset val="100"/>
        <c:noMultiLvlLbl val="0"/>
      </c:catAx>
      <c:valAx>
        <c:axId val="341575168"/>
        <c:scaling>
          <c:orientation val="minMax"/>
        </c:scaling>
        <c:delete val="0"/>
        <c:axPos val="l"/>
        <c:majorGridlines/>
        <c:title>
          <c:tx>
            <c:rich>
              <a:bodyPr rot="-5400000" vert="horz"/>
              <a:lstStyle/>
              <a:p>
                <a:pPr>
                  <a:defRPr b="0"/>
                </a:pPr>
                <a:r>
                  <a:rPr lang="en-AU" b="0"/>
                  <a:t>Prescriptions</a:t>
                </a:r>
              </a:p>
            </c:rich>
          </c:tx>
          <c:overlay val="0"/>
        </c:title>
        <c:numFmt formatCode="#,##0" sourceLinked="1"/>
        <c:majorTickMark val="out"/>
        <c:minorTickMark val="none"/>
        <c:tickLblPos val="nextTo"/>
        <c:crossAx val="260238720"/>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Fluconazole!$F$41</c:f>
              <c:strCache>
                <c:ptCount val="1"/>
                <c:pt idx="0">
                  <c:v>Oral suspension</c:v>
                </c:pt>
              </c:strCache>
            </c:strRef>
          </c:tx>
          <c:marker>
            <c:symbol val="none"/>
          </c:marker>
          <c:cat>
            <c:strRef>
              <c:f>Fluconazole!$B$42:$B$75</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Fluconazole!$F$42:$F$75</c:f>
              <c:numCache>
                <c:formatCode>General</c:formatCode>
                <c:ptCount val="34"/>
                <c:pt idx="14">
                  <c:v>15</c:v>
                </c:pt>
                <c:pt idx="15">
                  <c:v>48</c:v>
                </c:pt>
                <c:pt idx="16">
                  <c:v>67</c:v>
                </c:pt>
                <c:pt idx="17">
                  <c:v>83</c:v>
                </c:pt>
                <c:pt idx="18">
                  <c:v>60</c:v>
                </c:pt>
                <c:pt idx="19">
                  <c:v>83</c:v>
                </c:pt>
                <c:pt idx="20">
                  <c:v>105</c:v>
                </c:pt>
                <c:pt idx="21">
                  <c:v>124</c:v>
                </c:pt>
                <c:pt idx="22">
                  <c:v>118</c:v>
                </c:pt>
                <c:pt idx="23">
                  <c:v>112</c:v>
                </c:pt>
                <c:pt idx="24">
                  <c:v>100</c:v>
                </c:pt>
                <c:pt idx="25">
                  <c:v>99</c:v>
                </c:pt>
                <c:pt idx="26">
                  <c:v>153</c:v>
                </c:pt>
                <c:pt idx="27">
                  <c:v>183</c:v>
                </c:pt>
                <c:pt idx="28">
                  <c:v>185</c:v>
                </c:pt>
                <c:pt idx="29">
                  <c:v>170</c:v>
                </c:pt>
                <c:pt idx="30">
                  <c:v>138</c:v>
                </c:pt>
                <c:pt idx="31">
                  <c:v>159</c:v>
                </c:pt>
                <c:pt idx="32">
                  <c:v>165</c:v>
                </c:pt>
                <c:pt idx="33">
                  <c:v>205</c:v>
                </c:pt>
              </c:numCache>
            </c:numRef>
          </c:val>
          <c:smooth val="0"/>
          <c:extLst xmlns:c16r2="http://schemas.microsoft.com/office/drawing/2015/06/chart">
            <c:ext xmlns:c16="http://schemas.microsoft.com/office/drawing/2014/chart" uri="{C3380CC4-5D6E-409C-BE32-E72D297353CC}">
              <c16:uniqueId val="{00000000-5A6C-4D7E-B917-EF4625F9D1D8}"/>
            </c:ext>
          </c:extLst>
        </c:ser>
        <c:ser>
          <c:idx val="1"/>
          <c:order val="1"/>
          <c:tx>
            <c:strRef>
              <c:f>Fluconazole!$G$41</c:f>
              <c:strCache>
                <c:ptCount val="1"/>
                <c:pt idx="0">
                  <c:v> 100 mg solution for I.V. infusion</c:v>
                </c:pt>
              </c:strCache>
            </c:strRef>
          </c:tx>
          <c:marker>
            <c:symbol val="none"/>
          </c:marker>
          <c:cat>
            <c:strRef>
              <c:f>Fluconazole!$B$42:$B$75</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Fluconazole!$G$42:$G$75</c:f>
              <c:numCache>
                <c:formatCode>General</c:formatCode>
                <c:ptCount val="34"/>
                <c:pt idx="0">
                  <c:v>23</c:v>
                </c:pt>
                <c:pt idx="1">
                  <c:v>15</c:v>
                </c:pt>
                <c:pt idx="2">
                  <c:v>24</c:v>
                </c:pt>
                <c:pt idx="3">
                  <c:v>34</c:v>
                </c:pt>
                <c:pt idx="4">
                  <c:v>30</c:v>
                </c:pt>
                <c:pt idx="5">
                  <c:v>25</c:v>
                </c:pt>
                <c:pt idx="6">
                  <c:v>27</c:v>
                </c:pt>
                <c:pt idx="7">
                  <c:v>18</c:v>
                </c:pt>
                <c:pt idx="8">
                  <c:v>15</c:v>
                </c:pt>
                <c:pt idx="9">
                  <c:v>21</c:v>
                </c:pt>
                <c:pt idx="10">
                  <c:v>35</c:v>
                </c:pt>
                <c:pt idx="11">
                  <c:v>16</c:v>
                </c:pt>
                <c:pt idx="12">
                  <c:v>13</c:v>
                </c:pt>
                <c:pt idx="13">
                  <c:v>15</c:v>
                </c:pt>
                <c:pt idx="14">
                  <c:v>20</c:v>
                </c:pt>
                <c:pt idx="15">
                  <c:v>20</c:v>
                </c:pt>
                <c:pt idx="16">
                  <c:v>16</c:v>
                </c:pt>
                <c:pt idx="17">
                  <c:v>35</c:v>
                </c:pt>
                <c:pt idx="18">
                  <c:v>33</c:v>
                </c:pt>
                <c:pt idx="19">
                  <c:v>24</c:v>
                </c:pt>
                <c:pt idx="20">
                  <c:v>16</c:v>
                </c:pt>
                <c:pt idx="21">
                  <c:v>28</c:v>
                </c:pt>
                <c:pt idx="22">
                  <c:v>16</c:v>
                </c:pt>
                <c:pt idx="23">
                  <c:v>27</c:v>
                </c:pt>
                <c:pt idx="24">
                  <c:v>18</c:v>
                </c:pt>
                <c:pt idx="25">
                  <c:v>30</c:v>
                </c:pt>
                <c:pt idx="26">
                  <c:v>29</c:v>
                </c:pt>
                <c:pt idx="27">
                  <c:v>17</c:v>
                </c:pt>
                <c:pt idx="28">
                  <c:v>17</c:v>
                </c:pt>
                <c:pt idx="29">
                  <c:v>7</c:v>
                </c:pt>
                <c:pt idx="30">
                  <c:v>3</c:v>
                </c:pt>
                <c:pt idx="31">
                  <c:v>5</c:v>
                </c:pt>
                <c:pt idx="32">
                  <c:v>2</c:v>
                </c:pt>
                <c:pt idx="33">
                  <c:v>8</c:v>
                </c:pt>
              </c:numCache>
            </c:numRef>
          </c:val>
          <c:smooth val="0"/>
          <c:extLst xmlns:c16r2="http://schemas.microsoft.com/office/drawing/2015/06/chart">
            <c:ext xmlns:c16="http://schemas.microsoft.com/office/drawing/2014/chart" uri="{C3380CC4-5D6E-409C-BE32-E72D297353CC}">
              <c16:uniqueId val="{00000001-5A6C-4D7E-B917-EF4625F9D1D8}"/>
            </c:ext>
          </c:extLst>
        </c:ser>
        <c:ser>
          <c:idx val="2"/>
          <c:order val="2"/>
          <c:tx>
            <c:strRef>
              <c:f>Fluconazole!$H$41</c:f>
              <c:strCache>
                <c:ptCount val="1"/>
                <c:pt idx="0">
                  <c:v>200 mg solution for I.V. infusion</c:v>
                </c:pt>
              </c:strCache>
            </c:strRef>
          </c:tx>
          <c:marker>
            <c:symbol val="none"/>
          </c:marker>
          <c:cat>
            <c:strRef>
              <c:f>Fluconazole!$B$42:$B$75</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Fluconazole!$H$42:$H$75</c:f>
              <c:numCache>
                <c:formatCode>General</c:formatCode>
                <c:ptCount val="34"/>
                <c:pt idx="0">
                  <c:v>174</c:v>
                </c:pt>
                <c:pt idx="1">
                  <c:v>200</c:v>
                </c:pt>
                <c:pt idx="2">
                  <c:v>176</c:v>
                </c:pt>
                <c:pt idx="3">
                  <c:v>167</c:v>
                </c:pt>
                <c:pt idx="4">
                  <c:v>151</c:v>
                </c:pt>
                <c:pt idx="5">
                  <c:v>185</c:v>
                </c:pt>
                <c:pt idx="6">
                  <c:v>173</c:v>
                </c:pt>
                <c:pt idx="7">
                  <c:v>157</c:v>
                </c:pt>
                <c:pt idx="8">
                  <c:v>146</c:v>
                </c:pt>
                <c:pt idx="9">
                  <c:v>170</c:v>
                </c:pt>
                <c:pt idx="10">
                  <c:v>162</c:v>
                </c:pt>
                <c:pt idx="11">
                  <c:v>175</c:v>
                </c:pt>
                <c:pt idx="12">
                  <c:v>195</c:v>
                </c:pt>
                <c:pt idx="13">
                  <c:v>225</c:v>
                </c:pt>
                <c:pt idx="14">
                  <c:v>198</c:v>
                </c:pt>
                <c:pt idx="15">
                  <c:v>209</c:v>
                </c:pt>
                <c:pt idx="16">
                  <c:v>199</c:v>
                </c:pt>
                <c:pt idx="17">
                  <c:v>265</c:v>
                </c:pt>
                <c:pt idx="18">
                  <c:v>210</c:v>
                </c:pt>
                <c:pt idx="19">
                  <c:v>233</c:v>
                </c:pt>
                <c:pt idx="20">
                  <c:v>244</c:v>
                </c:pt>
                <c:pt idx="21">
                  <c:v>305</c:v>
                </c:pt>
                <c:pt idx="22">
                  <c:v>289</c:v>
                </c:pt>
                <c:pt idx="23">
                  <c:v>267</c:v>
                </c:pt>
                <c:pt idx="24">
                  <c:v>267</c:v>
                </c:pt>
                <c:pt idx="25">
                  <c:v>318</c:v>
                </c:pt>
                <c:pt idx="26">
                  <c:v>233</c:v>
                </c:pt>
                <c:pt idx="27">
                  <c:v>204</c:v>
                </c:pt>
                <c:pt idx="28">
                  <c:v>192</c:v>
                </c:pt>
                <c:pt idx="29">
                  <c:v>171</c:v>
                </c:pt>
                <c:pt idx="30">
                  <c:v>176</c:v>
                </c:pt>
                <c:pt idx="31">
                  <c:v>140</c:v>
                </c:pt>
                <c:pt idx="32">
                  <c:v>115</c:v>
                </c:pt>
                <c:pt idx="33">
                  <c:v>365</c:v>
                </c:pt>
              </c:numCache>
            </c:numRef>
          </c:val>
          <c:smooth val="0"/>
          <c:extLst xmlns:c16r2="http://schemas.microsoft.com/office/drawing/2015/06/chart">
            <c:ext xmlns:c16="http://schemas.microsoft.com/office/drawing/2014/chart" uri="{C3380CC4-5D6E-409C-BE32-E72D297353CC}">
              <c16:uniqueId val="{00000002-5A6C-4D7E-B917-EF4625F9D1D8}"/>
            </c:ext>
          </c:extLst>
        </c:ser>
        <c:ser>
          <c:idx val="3"/>
          <c:order val="3"/>
          <c:tx>
            <c:strRef>
              <c:f>Fluconazole!$I$41</c:f>
              <c:strCache>
                <c:ptCount val="1"/>
                <c:pt idx="0">
                  <c:v>400 mg solution for I.V. infusion</c:v>
                </c:pt>
              </c:strCache>
            </c:strRef>
          </c:tx>
          <c:marker>
            <c:symbol val="none"/>
          </c:marker>
          <c:cat>
            <c:strRef>
              <c:f>Fluconazole!$B$42:$B$75</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Fluconazole!$I$42:$I$75</c:f>
              <c:numCache>
                <c:formatCode>General</c:formatCode>
                <c:ptCount val="34"/>
                <c:pt idx="0">
                  <c:v>10</c:v>
                </c:pt>
                <c:pt idx="1">
                  <c:v>17</c:v>
                </c:pt>
                <c:pt idx="2">
                  <c:v>22</c:v>
                </c:pt>
                <c:pt idx="3">
                  <c:v>19</c:v>
                </c:pt>
                <c:pt idx="4">
                  <c:v>21</c:v>
                </c:pt>
                <c:pt idx="5">
                  <c:v>10</c:v>
                </c:pt>
                <c:pt idx="6">
                  <c:v>10</c:v>
                </c:pt>
                <c:pt idx="7">
                  <c:v>7</c:v>
                </c:pt>
                <c:pt idx="8">
                  <c:v>8</c:v>
                </c:pt>
                <c:pt idx="9">
                  <c:v>17</c:v>
                </c:pt>
                <c:pt idx="10">
                  <c:v>6</c:v>
                </c:pt>
                <c:pt idx="11">
                  <c:v>11</c:v>
                </c:pt>
                <c:pt idx="12">
                  <c:v>13</c:v>
                </c:pt>
                <c:pt idx="13">
                  <c:v>3</c:v>
                </c:pt>
                <c:pt idx="14">
                  <c:v>16</c:v>
                </c:pt>
                <c:pt idx="15">
                  <c:v>27</c:v>
                </c:pt>
                <c:pt idx="16">
                  <c:v>18</c:v>
                </c:pt>
                <c:pt idx="17">
                  <c:v>5</c:v>
                </c:pt>
                <c:pt idx="18">
                  <c:v>7</c:v>
                </c:pt>
                <c:pt idx="19">
                  <c:v>12</c:v>
                </c:pt>
                <c:pt idx="20">
                  <c:v>5</c:v>
                </c:pt>
                <c:pt idx="21">
                  <c:v>7</c:v>
                </c:pt>
                <c:pt idx="22">
                  <c:v>14</c:v>
                </c:pt>
                <c:pt idx="23">
                  <c:v>1</c:v>
                </c:pt>
                <c:pt idx="24">
                  <c:v>2</c:v>
                </c:pt>
                <c:pt idx="25">
                  <c:v>1</c:v>
                </c:pt>
              </c:numCache>
            </c:numRef>
          </c:val>
          <c:smooth val="0"/>
          <c:extLst xmlns:c16r2="http://schemas.microsoft.com/office/drawing/2015/06/chart">
            <c:ext xmlns:c16="http://schemas.microsoft.com/office/drawing/2014/chart" uri="{C3380CC4-5D6E-409C-BE32-E72D297353CC}">
              <c16:uniqueId val="{00000003-5A6C-4D7E-B917-EF4625F9D1D8}"/>
            </c:ext>
          </c:extLst>
        </c:ser>
        <c:dLbls>
          <c:showLegendKey val="0"/>
          <c:showVal val="0"/>
          <c:showCatName val="0"/>
          <c:showSerName val="0"/>
          <c:showPercent val="0"/>
          <c:showBubbleSize val="0"/>
        </c:dLbls>
        <c:marker val="1"/>
        <c:smooth val="0"/>
        <c:axId val="341635456"/>
        <c:axId val="341637376"/>
      </c:lineChart>
      <c:catAx>
        <c:axId val="341635456"/>
        <c:scaling>
          <c:orientation val="minMax"/>
        </c:scaling>
        <c:delete val="0"/>
        <c:axPos val="b"/>
        <c:title>
          <c:tx>
            <c:rich>
              <a:bodyPr/>
              <a:lstStyle/>
              <a:p>
                <a:pPr>
                  <a:defRPr b="0"/>
                </a:pPr>
                <a:r>
                  <a:rPr lang="en-AU" b="0"/>
                  <a:t>Quarter</a:t>
                </a:r>
                <a:r>
                  <a:rPr lang="en-AU" b="0" baseline="0"/>
                  <a:t> </a:t>
                </a:r>
                <a:endParaRPr lang="en-AU" b="0"/>
              </a:p>
            </c:rich>
          </c:tx>
          <c:overlay val="0"/>
        </c:title>
        <c:numFmt formatCode="General" sourceLinked="0"/>
        <c:majorTickMark val="out"/>
        <c:minorTickMark val="none"/>
        <c:tickLblPos val="nextTo"/>
        <c:crossAx val="341637376"/>
        <c:crosses val="autoZero"/>
        <c:auto val="1"/>
        <c:lblAlgn val="ctr"/>
        <c:lblOffset val="100"/>
        <c:noMultiLvlLbl val="0"/>
      </c:catAx>
      <c:valAx>
        <c:axId val="341637376"/>
        <c:scaling>
          <c:orientation val="minMax"/>
        </c:scaling>
        <c:delete val="0"/>
        <c:axPos val="l"/>
        <c:majorGridlines/>
        <c:title>
          <c:tx>
            <c:rich>
              <a:bodyPr rot="-5400000" vert="horz"/>
              <a:lstStyle/>
              <a:p>
                <a:pPr>
                  <a:defRPr/>
                </a:pPr>
                <a:r>
                  <a:rPr lang="en-AU" b="0"/>
                  <a:t>Prescriptions</a:t>
                </a:r>
              </a:p>
            </c:rich>
          </c:tx>
          <c:overlay val="0"/>
        </c:title>
        <c:numFmt formatCode="General" sourceLinked="1"/>
        <c:majorTickMark val="out"/>
        <c:minorTickMark val="none"/>
        <c:tickLblPos val="nextTo"/>
        <c:crossAx val="341635456"/>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Fluconazole!$B$41</c:f>
              <c:strCache>
                <c:ptCount val="1"/>
                <c:pt idx="0">
                  <c:v>Oropharyngeal candidiasis </c:v>
                </c:pt>
              </c:strCache>
            </c:strRef>
          </c:tx>
          <c:marker>
            <c:symbol val="none"/>
          </c:marker>
          <c:cat>
            <c:strRef>
              <c:f>Fluconazole!$A$42:$A$74</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Fluconazole!$B$42:$B$74</c:f>
              <c:numCache>
                <c:formatCode>#,##0</c:formatCode>
                <c:ptCount val="33"/>
                <c:pt idx="0">
                  <c:v>619</c:v>
                </c:pt>
                <c:pt idx="1">
                  <c:v>848</c:v>
                </c:pt>
                <c:pt idx="2">
                  <c:v>887</c:v>
                </c:pt>
                <c:pt idx="3">
                  <c:v>1057</c:v>
                </c:pt>
                <c:pt idx="4">
                  <c:v>959</c:v>
                </c:pt>
                <c:pt idx="5">
                  <c:v>1075</c:v>
                </c:pt>
                <c:pt idx="6">
                  <c:v>1059</c:v>
                </c:pt>
                <c:pt idx="7">
                  <c:v>1190</c:v>
                </c:pt>
                <c:pt idx="8">
                  <c:v>1443</c:v>
                </c:pt>
                <c:pt idx="9">
                  <c:v>2366</c:v>
                </c:pt>
                <c:pt idx="10">
                  <c:v>2776</c:v>
                </c:pt>
                <c:pt idx="11">
                  <c:v>3112</c:v>
                </c:pt>
                <c:pt idx="12">
                  <c:v>2281</c:v>
                </c:pt>
                <c:pt idx="13">
                  <c:v>2103</c:v>
                </c:pt>
                <c:pt idx="14">
                  <c:v>2058</c:v>
                </c:pt>
                <c:pt idx="15">
                  <c:v>2410</c:v>
                </c:pt>
                <c:pt idx="16">
                  <c:v>2529</c:v>
                </c:pt>
                <c:pt idx="17">
                  <c:v>2730</c:v>
                </c:pt>
                <c:pt idx="18">
                  <c:v>2908</c:v>
                </c:pt>
                <c:pt idx="19">
                  <c:v>3315</c:v>
                </c:pt>
                <c:pt idx="20">
                  <c:v>2809</c:v>
                </c:pt>
                <c:pt idx="21">
                  <c:v>2923</c:v>
                </c:pt>
                <c:pt idx="22">
                  <c:v>3139</c:v>
                </c:pt>
                <c:pt idx="23">
                  <c:v>3528</c:v>
                </c:pt>
                <c:pt idx="24">
                  <c:v>2994</c:v>
                </c:pt>
                <c:pt idx="25">
                  <c:v>3339</c:v>
                </c:pt>
                <c:pt idx="26">
                  <c:v>3355</c:v>
                </c:pt>
                <c:pt idx="27">
                  <c:v>3742</c:v>
                </c:pt>
                <c:pt idx="28">
                  <c:v>3137</c:v>
                </c:pt>
                <c:pt idx="29">
                  <c:v>3237</c:v>
                </c:pt>
                <c:pt idx="30">
                  <c:v>3403</c:v>
                </c:pt>
                <c:pt idx="31">
                  <c:v>3492</c:v>
                </c:pt>
                <c:pt idx="32">
                  <c:v>2376</c:v>
                </c:pt>
              </c:numCache>
            </c:numRef>
          </c:val>
          <c:smooth val="0"/>
          <c:extLst xmlns:c16r2="http://schemas.microsoft.com/office/drawing/2015/06/chart">
            <c:ext xmlns:c16="http://schemas.microsoft.com/office/drawing/2014/chart" uri="{C3380CC4-5D6E-409C-BE32-E72D297353CC}">
              <c16:uniqueId val="{00000000-55C9-4C86-A89E-7C54F7022642}"/>
            </c:ext>
          </c:extLst>
        </c:ser>
        <c:ser>
          <c:idx val="1"/>
          <c:order val="1"/>
          <c:tx>
            <c:strRef>
              <c:f>Fluconazole!$C$41</c:f>
              <c:strCache>
                <c:ptCount val="1"/>
                <c:pt idx="0">
                  <c:v>Oropharyngeal candidiasis prophylaxis</c:v>
                </c:pt>
              </c:strCache>
            </c:strRef>
          </c:tx>
          <c:marker>
            <c:symbol val="none"/>
          </c:marker>
          <c:cat>
            <c:strRef>
              <c:f>Fluconazole!$A$42:$A$74</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Fluconazole!$C$42:$C$74</c:f>
              <c:numCache>
                <c:formatCode>#,##0</c:formatCode>
                <c:ptCount val="33"/>
                <c:pt idx="0">
                  <c:v>1659</c:v>
                </c:pt>
                <c:pt idx="1">
                  <c:v>2593</c:v>
                </c:pt>
                <c:pt idx="2">
                  <c:v>2879</c:v>
                </c:pt>
                <c:pt idx="3">
                  <c:v>3190</c:v>
                </c:pt>
                <c:pt idx="4">
                  <c:v>2734</c:v>
                </c:pt>
                <c:pt idx="5">
                  <c:v>3088</c:v>
                </c:pt>
                <c:pt idx="6">
                  <c:v>3068</c:v>
                </c:pt>
                <c:pt idx="7">
                  <c:v>3354</c:v>
                </c:pt>
                <c:pt idx="8">
                  <c:v>2609</c:v>
                </c:pt>
                <c:pt idx="9">
                  <c:v>1569</c:v>
                </c:pt>
                <c:pt idx="10">
                  <c:v>1307</c:v>
                </c:pt>
                <c:pt idx="11">
                  <c:v>1382</c:v>
                </c:pt>
                <c:pt idx="12">
                  <c:v>1024</c:v>
                </c:pt>
                <c:pt idx="13">
                  <c:v>871</c:v>
                </c:pt>
                <c:pt idx="14">
                  <c:v>807</c:v>
                </c:pt>
                <c:pt idx="15">
                  <c:v>1182</c:v>
                </c:pt>
                <c:pt idx="16">
                  <c:v>1547</c:v>
                </c:pt>
                <c:pt idx="17">
                  <c:v>1974</c:v>
                </c:pt>
                <c:pt idx="18">
                  <c:v>2497</c:v>
                </c:pt>
                <c:pt idx="19">
                  <c:v>2850</c:v>
                </c:pt>
                <c:pt idx="20">
                  <c:v>2543</c:v>
                </c:pt>
                <c:pt idx="21">
                  <c:v>2798</c:v>
                </c:pt>
                <c:pt idx="22">
                  <c:v>2901</c:v>
                </c:pt>
                <c:pt idx="23">
                  <c:v>3329</c:v>
                </c:pt>
                <c:pt idx="24">
                  <c:v>2882</c:v>
                </c:pt>
                <c:pt idx="25">
                  <c:v>2945</c:v>
                </c:pt>
                <c:pt idx="26">
                  <c:v>3225</c:v>
                </c:pt>
                <c:pt idx="27">
                  <c:v>3503</c:v>
                </c:pt>
                <c:pt idx="28">
                  <c:v>3019</c:v>
                </c:pt>
                <c:pt idx="29">
                  <c:v>3393</c:v>
                </c:pt>
                <c:pt idx="30">
                  <c:v>3545</c:v>
                </c:pt>
                <c:pt idx="31">
                  <c:v>3555</c:v>
                </c:pt>
                <c:pt idx="32">
                  <c:v>2802</c:v>
                </c:pt>
              </c:numCache>
            </c:numRef>
          </c:val>
          <c:smooth val="0"/>
          <c:extLst xmlns:c16r2="http://schemas.microsoft.com/office/drawing/2015/06/chart">
            <c:ext xmlns:c16="http://schemas.microsoft.com/office/drawing/2014/chart" uri="{C3380CC4-5D6E-409C-BE32-E72D297353CC}">
              <c16:uniqueId val="{00000001-55C9-4C86-A89E-7C54F7022642}"/>
            </c:ext>
          </c:extLst>
        </c:ser>
        <c:ser>
          <c:idx val="2"/>
          <c:order val="2"/>
          <c:tx>
            <c:strRef>
              <c:f>Fluconazole!$D$41</c:f>
              <c:strCache>
                <c:ptCount val="1"/>
                <c:pt idx="0">
                  <c:v>Serious and life-threatening candida infections</c:v>
                </c:pt>
              </c:strCache>
            </c:strRef>
          </c:tx>
          <c:marker>
            <c:symbol val="none"/>
          </c:marker>
          <c:cat>
            <c:strRef>
              <c:f>Fluconazole!$A$42:$A$74</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Fluconazole!$D$42:$D$74</c:f>
              <c:numCache>
                <c:formatCode>#,##0</c:formatCode>
                <c:ptCount val="33"/>
                <c:pt idx="0">
                  <c:v>345</c:v>
                </c:pt>
                <c:pt idx="1">
                  <c:v>508</c:v>
                </c:pt>
                <c:pt idx="2">
                  <c:v>501</c:v>
                </c:pt>
                <c:pt idx="3">
                  <c:v>542</c:v>
                </c:pt>
                <c:pt idx="4">
                  <c:v>460</c:v>
                </c:pt>
                <c:pt idx="5">
                  <c:v>479</c:v>
                </c:pt>
                <c:pt idx="6">
                  <c:v>458</c:v>
                </c:pt>
                <c:pt idx="7">
                  <c:v>552</c:v>
                </c:pt>
                <c:pt idx="8">
                  <c:v>528</c:v>
                </c:pt>
                <c:pt idx="9">
                  <c:v>681</c:v>
                </c:pt>
                <c:pt idx="10">
                  <c:v>699</c:v>
                </c:pt>
                <c:pt idx="11">
                  <c:v>806</c:v>
                </c:pt>
                <c:pt idx="12">
                  <c:v>507</c:v>
                </c:pt>
                <c:pt idx="13">
                  <c:v>510</c:v>
                </c:pt>
                <c:pt idx="14">
                  <c:v>516</c:v>
                </c:pt>
                <c:pt idx="15">
                  <c:v>783</c:v>
                </c:pt>
                <c:pt idx="16">
                  <c:v>1106</c:v>
                </c:pt>
                <c:pt idx="17">
                  <c:v>1237</c:v>
                </c:pt>
                <c:pt idx="18">
                  <c:v>1315</c:v>
                </c:pt>
                <c:pt idx="19">
                  <c:v>1491</c:v>
                </c:pt>
                <c:pt idx="20">
                  <c:v>1492</c:v>
                </c:pt>
                <c:pt idx="21">
                  <c:v>1637</c:v>
                </c:pt>
                <c:pt idx="22">
                  <c:v>1718</c:v>
                </c:pt>
                <c:pt idx="23">
                  <c:v>1994</c:v>
                </c:pt>
                <c:pt idx="24">
                  <c:v>1909</c:v>
                </c:pt>
                <c:pt idx="25">
                  <c:v>2206</c:v>
                </c:pt>
                <c:pt idx="26">
                  <c:v>2251</c:v>
                </c:pt>
                <c:pt idx="27">
                  <c:v>2356</c:v>
                </c:pt>
                <c:pt idx="28">
                  <c:v>2170</c:v>
                </c:pt>
                <c:pt idx="29">
                  <c:v>2117</c:v>
                </c:pt>
                <c:pt idx="30">
                  <c:v>2229</c:v>
                </c:pt>
                <c:pt idx="31">
                  <c:v>2381</c:v>
                </c:pt>
                <c:pt idx="32">
                  <c:v>2517</c:v>
                </c:pt>
              </c:numCache>
            </c:numRef>
          </c:val>
          <c:smooth val="0"/>
          <c:extLst xmlns:c16r2="http://schemas.microsoft.com/office/drawing/2015/06/chart">
            <c:ext xmlns:c16="http://schemas.microsoft.com/office/drawing/2014/chart" uri="{C3380CC4-5D6E-409C-BE32-E72D297353CC}">
              <c16:uniqueId val="{00000002-55C9-4C86-A89E-7C54F7022642}"/>
            </c:ext>
          </c:extLst>
        </c:ser>
        <c:ser>
          <c:idx val="3"/>
          <c:order val="3"/>
          <c:tx>
            <c:strRef>
              <c:f>Fluconazole!$E$41</c:f>
              <c:strCache>
                <c:ptCount val="1"/>
                <c:pt idx="0">
                  <c:v>Oesophageal candidiasis</c:v>
                </c:pt>
              </c:strCache>
            </c:strRef>
          </c:tx>
          <c:marker>
            <c:symbol val="none"/>
          </c:marker>
          <c:cat>
            <c:strRef>
              <c:f>Fluconazole!$A$42:$A$74</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Fluconazole!$E$42:$E$74</c:f>
              <c:numCache>
                <c:formatCode>#,##0</c:formatCode>
                <c:ptCount val="33"/>
                <c:pt idx="0">
                  <c:v>250</c:v>
                </c:pt>
                <c:pt idx="1">
                  <c:v>367</c:v>
                </c:pt>
                <c:pt idx="2">
                  <c:v>438</c:v>
                </c:pt>
                <c:pt idx="3">
                  <c:v>508</c:v>
                </c:pt>
                <c:pt idx="4">
                  <c:v>417</c:v>
                </c:pt>
                <c:pt idx="5">
                  <c:v>439</c:v>
                </c:pt>
                <c:pt idx="6">
                  <c:v>434</c:v>
                </c:pt>
                <c:pt idx="7">
                  <c:v>466</c:v>
                </c:pt>
                <c:pt idx="8">
                  <c:v>465</c:v>
                </c:pt>
                <c:pt idx="9">
                  <c:v>769</c:v>
                </c:pt>
                <c:pt idx="10">
                  <c:v>893</c:v>
                </c:pt>
                <c:pt idx="11">
                  <c:v>913</c:v>
                </c:pt>
                <c:pt idx="12">
                  <c:v>692</c:v>
                </c:pt>
                <c:pt idx="13">
                  <c:v>624</c:v>
                </c:pt>
                <c:pt idx="14">
                  <c:v>692</c:v>
                </c:pt>
                <c:pt idx="15">
                  <c:v>796</c:v>
                </c:pt>
                <c:pt idx="16">
                  <c:v>740</c:v>
                </c:pt>
                <c:pt idx="17">
                  <c:v>868</c:v>
                </c:pt>
                <c:pt idx="18">
                  <c:v>888</c:v>
                </c:pt>
                <c:pt idx="19">
                  <c:v>1003</c:v>
                </c:pt>
                <c:pt idx="20">
                  <c:v>897</c:v>
                </c:pt>
                <c:pt idx="21">
                  <c:v>968</c:v>
                </c:pt>
                <c:pt idx="22">
                  <c:v>952</c:v>
                </c:pt>
                <c:pt idx="23">
                  <c:v>1066</c:v>
                </c:pt>
                <c:pt idx="24">
                  <c:v>973</c:v>
                </c:pt>
                <c:pt idx="25">
                  <c:v>1054</c:v>
                </c:pt>
                <c:pt idx="26">
                  <c:v>1087</c:v>
                </c:pt>
                <c:pt idx="27">
                  <c:v>1225</c:v>
                </c:pt>
                <c:pt idx="28">
                  <c:v>1082</c:v>
                </c:pt>
                <c:pt idx="29">
                  <c:v>1103</c:v>
                </c:pt>
                <c:pt idx="30">
                  <c:v>1085</c:v>
                </c:pt>
                <c:pt idx="31">
                  <c:v>1202</c:v>
                </c:pt>
                <c:pt idx="32">
                  <c:v>951</c:v>
                </c:pt>
              </c:numCache>
            </c:numRef>
          </c:val>
          <c:smooth val="0"/>
          <c:extLst xmlns:c16r2="http://schemas.microsoft.com/office/drawing/2015/06/chart">
            <c:ext xmlns:c16="http://schemas.microsoft.com/office/drawing/2014/chart" uri="{C3380CC4-5D6E-409C-BE32-E72D297353CC}">
              <c16:uniqueId val="{00000003-55C9-4C86-A89E-7C54F7022642}"/>
            </c:ext>
          </c:extLst>
        </c:ser>
        <c:ser>
          <c:idx val="4"/>
          <c:order val="4"/>
          <c:tx>
            <c:strRef>
              <c:f>Fluconazole!$F$41</c:f>
              <c:strCache>
                <c:ptCount val="1"/>
                <c:pt idx="0">
                  <c:v>Cryptococcal meningitis</c:v>
                </c:pt>
              </c:strCache>
            </c:strRef>
          </c:tx>
          <c:marker>
            <c:symbol val="none"/>
          </c:marker>
          <c:cat>
            <c:strRef>
              <c:f>Fluconazole!$A$42:$A$74</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Fluconazole!$F$42:$F$74</c:f>
              <c:numCache>
                <c:formatCode>#,##0</c:formatCode>
                <c:ptCount val="33"/>
                <c:pt idx="0">
                  <c:v>49</c:v>
                </c:pt>
                <c:pt idx="1">
                  <c:v>92</c:v>
                </c:pt>
                <c:pt idx="2">
                  <c:v>104</c:v>
                </c:pt>
                <c:pt idx="3">
                  <c:v>122</c:v>
                </c:pt>
                <c:pt idx="4">
                  <c:v>119</c:v>
                </c:pt>
                <c:pt idx="5">
                  <c:v>122</c:v>
                </c:pt>
                <c:pt idx="6">
                  <c:v>149</c:v>
                </c:pt>
                <c:pt idx="7">
                  <c:v>165</c:v>
                </c:pt>
                <c:pt idx="8">
                  <c:v>159</c:v>
                </c:pt>
                <c:pt idx="9">
                  <c:v>113</c:v>
                </c:pt>
                <c:pt idx="10">
                  <c:v>110</c:v>
                </c:pt>
                <c:pt idx="11">
                  <c:v>135</c:v>
                </c:pt>
                <c:pt idx="12">
                  <c:v>140</c:v>
                </c:pt>
                <c:pt idx="13">
                  <c:v>200</c:v>
                </c:pt>
                <c:pt idx="14">
                  <c:v>238</c:v>
                </c:pt>
                <c:pt idx="15">
                  <c:v>360</c:v>
                </c:pt>
                <c:pt idx="16">
                  <c:v>609</c:v>
                </c:pt>
                <c:pt idx="17">
                  <c:v>597</c:v>
                </c:pt>
                <c:pt idx="18">
                  <c:v>607</c:v>
                </c:pt>
                <c:pt idx="19">
                  <c:v>533</c:v>
                </c:pt>
                <c:pt idx="20">
                  <c:v>494</c:v>
                </c:pt>
                <c:pt idx="21">
                  <c:v>508</c:v>
                </c:pt>
                <c:pt idx="22">
                  <c:v>484</c:v>
                </c:pt>
                <c:pt idx="23">
                  <c:v>474</c:v>
                </c:pt>
                <c:pt idx="24">
                  <c:v>426</c:v>
                </c:pt>
                <c:pt idx="25">
                  <c:v>449</c:v>
                </c:pt>
                <c:pt idx="26">
                  <c:v>533</c:v>
                </c:pt>
                <c:pt idx="27">
                  <c:v>593</c:v>
                </c:pt>
                <c:pt idx="28">
                  <c:v>476</c:v>
                </c:pt>
                <c:pt idx="29">
                  <c:v>534</c:v>
                </c:pt>
                <c:pt idx="30">
                  <c:v>560</c:v>
                </c:pt>
                <c:pt idx="31">
                  <c:v>922</c:v>
                </c:pt>
                <c:pt idx="32">
                  <c:v>1252</c:v>
                </c:pt>
              </c:numCache>
            </c:numRef>
          </c:val>
          <c:smooth val="0"/>
          <c:extLst xmlns:c16r2="http://schemas.microsoft.com/office/drawing/2015/06/chart">
            <c:ext xmlns:c16="http://schemas.microsoft.com/office/drawing/2014/chart" uri="{C3380CC4-5D6E-409C-BE32-E72D297353CC}">
              <c16:uniqueId val="{00000004-55C9-4C86-A89E-7C54F7022642}"/>
            </c:ext>
          </c:extLst>
        </c:ser>
        <c:ser>
          <c:idx val="5"/>
          <c:order val="5"/>
          <c:tx>
            <c:strRef>
              <c:f>Fluconazole!$G$41</c:f>
              <c:strCache>
                <c:ptCount val="1"/>
                <c:pt idx="0">
                  <c:v>Cryptococcal meningitis (maintenance therapy)</c:v>
                </c:pt>
              </c:strCache>
            </c:strRef>
          </c:tx>
          <c:marker>
            <c:symbol val="none"/>
          </c:marker>
          <c:cat>
            <c:strRef>
              <c:f>Fluconazole!$A$42:$A$74</c:f>
              <c:strCache>
                <c:ptCount val="33"/>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strCache>
            </c:strRef>
          </c:cat>
          <c:val>
            <c:numRef>
              <c:f>Fluconazole!$G$42:$G$74</c:f>
              <c:numCache>
                <c:formatCode>#,##0</c:formatCode>
                <c:ptCount val="33"/>
                <c:pt idx="0">
                  <c:v>176</c:v>
                </c:pt>
                <c:pt idx="1">
                  <c:v>325</c:v>
                </c:pt>
                <c:pt idx="2">
                  <c:v>410</c:v>
                </c:pt>
                <c:pt idx="3">
                  <c:v>430</c:v>
                </c:pt>
                <c:pt idx="4">
                  <c:v>399</c:v>
                </c:pt>
                <c:pt idx="5">
                  <c:v>419</c:v>
                </c:pt>
                <c:pt idx="6">
                  <c:v>399</c:v>
                </c:pt>
                <c:pt idx="7">
                  <c:v>515</c:v>
                </c:pt>
                <c:pt idx="8">
                  <c:v>455</c:v>
                </c:pt>
                <c:pt idx="9">
                  <c:v>498</c:v>
                </c:pt>
                <c:pt idx="10">
                  <c:v>529</c:v>
                </c:pt>
                <c:pt idx="11">
                  <c:v>527</c:v>
                </c:pt>
                <c:pt idx="12">
                  <c:v>347</c:v>
                </c:pt>
                <c:pt idx="13">
                  <c:v>311</c:v>
                </c:pt>
                <c:pt idx="14">
                  <c:v>287</c:v>
                </c:pt>
                <c:pt idx="15">
                  <c:v>310</c:v>
                </c:pt>
                <c:pt idx="16">
                  <c:v>281</c:v>
                </c:pt>
                <c:pt idx="17">
                  <c:v>321</c:v>
                </c:pt>
                <c:pt idx="18">
                  <c:v>329</c:v>
                </c:pt>
                <c:pt idx="19">
                  <c:v>306</c:v>
                </c:pt>
                <c:pt idx="20">
                  <c:v>321</c:v>
                </c:pt>
                <c:pt idx="21">
                  <c:v>326</c:v>
                </c:pt>
                <c:pt idx="22">
                  <c:v>331</c:v>
                </c:pt>
                <c:pt idx="23">
                  <c:v>385</c:v>
                </c:pt>
                <c:pt idx="24">
                  <c:v>271</c:v>
                </c:pt>
                <c:pt idx="25">
                  <c:v>361</c:v>
                </c:pt>
                <c:pt idx="26">
                  <c:v>405</c:v>
                </c:pt>
                <c:pt idx="27">
                  <c:v>419</c:v>
                </c:pt>
                <c:pt idx="28">
                  <c:v>360</c:v>
                </c:pt>
                <c:pt idx="29">
                  <c:v>389</c:v>
                </c:pt>
                <c:pt idx="30">
                  <c:v>399</c:v>
                </c:pt>
                <c:pt idx="31">
                  <c:v>425</c:v>
                </c:pt>
                <c:pt idx="32">
                  <c:v>333</c:v>
                </c:pt>
              </c:numCache>
            </c:numRef>
          </c:val>
          <c:smooth val="0"/>
          <c:extLst xmlns:c16r2="http://schemas.microsoft.com/office/drawing/2015/06/chart">
            <c:ext xmlns:c16="http://schemas.microsoft.com/office/drawing/2014/chart" uri="{C3380CC4-5D6E-409C-BE32-E72D297353CC}">
              <c16:uniqueId val="{00000005-55C9-4C86-A89E-7C54F7022642}"/>
            </c:ext>
          </c:extLst>
        </c:ser>
        <c:ser>
          <c:idx val="6"/>
          <c:order val="6"/>
          <c:tx>
            <c:strRef>
              <c:f>Fluconazole!$J$41</c:f>
              <c:strCache>
                <c:ptCount val="1"/>
                <c:pt idx="0">
                  <c:v>Missing</c:v>
                </c:pt>
              </c:strCache>
            </c:strRef>
          </c:tx>
          <c:spPr>
            <a:ln>
              <a:solidFill>
                <a:schemeClr val="tx1">
                  <a:lumMod val="50000"/>
                  <a:lumOff val="50000"/>
                </a:schemeClr>
              </a:solidFill>
              <a:prstDash val="dash"/>
            </a:ln>
          </c:spPr>
          <c:marker>
            <c:symbol val="none"/>
          </c:marker>
          <c:val>
            <c:numRef>
              <c:f>Fluconazole!$J$42:$J$74</c:f>
              <c:numCache>
                <c:formatCode>#,##0</c:formatCode>
                <c:ptCount val="33"/>
                <c:pt idx="0">
                  <c:v>1952</c:v>
                </c:pt>
                <c:pt idx="1">
                  <c:v>669</c:v>
                </c:pt>
                <c:pt idx="2">
                  <c:v>289</c:v>
                </c:pt>
                <c:pt idx="3">
                  <c:v>162</c:v>
                </c:pt>
                <c:pt idx="4">
                  <c:v>80</c:v>
                </c:pt>
                <c:pt idx="5">
                  <c:v>110</c:v>
                </c:pt>
                <c:pt idx="6">
                  <c:v>94</c:v>
                </c:pt>
                <c:pt idx="7">
                  <c:v>98</c:v>
                </c:pt>
                <c:pt idx="8">
                  <c:v>78</c:v>
                </c:pt>
                <c:pt idx="9">
                  <c:v>128</c:v>
                </c:pt>
                <c:pt idx="10">
                  <c:v>119</c:v>
                </c:pt>
                <c:pt idx="11">
                  <c:v>105</c:v>
                </c:pt>
                <c:pt idx="12">
                  <c:v>1587</c:v>
                </c:pt>
                <c:pt idx="13">
                  <c:v>2514</c:v>
                </c:pt>
                <c:pt idx="14">
                  <c:v>3197</c:v>
                </c:pt>
                <c:pt idx="15">
                  <c:v>2810</c:v>
                </c:pt>
                <c:pt idx="16">
                  <c:v>836</c:v>
                </c:pt>
                <c:pt idx="17">
                  <c:v>319</c:v>
                </c:pt>
                <c:pt idx="18">
                  <c:v>26</c:v>
                </c:pt>
                <c:pt idx="19">
                  <c:v>31</c:v>
                </c:pt>
                <c:pt idx="20">
                  <c:v>24</c:v>
                </c:pt>
                <c:pt idx="21">
                  <c:v>25</c:v>
                </c:pt>
                <c:pt idx="22">
                  <c:v>29</c:v>
                </c:pt>
                <c:pt idx="23">
                  <c:v>28</c:v>
                </c:pt>
                <c:pt idx="24">
                  <c:v>54</c:v>
                </c:pt>
                <c:pt idx="25">
                  <c:v>45</c:v>
                </c:pt>
                <c:pt idx="26">
                  <c:v>44</c:v>
                </c:pt>
                <c:pt idx="27">
                  <c:v>58</c:v>
                </c:pt>
                <c:pt idx="28">
                  <c:v>97</c:v>
                </c:pt>
                <c:pt idx="29">
                  <c:v>53</c:v>
                </c:pt>
                <c:pt idx="30">
                  <c:v>79</c:v>
                </c:pt>
                <c:pt idx="31">
                  <c:v>78</c:v>
                </c:pt>
                <c:pt idx="32">
                  <c:v>79</c:v>
                </c:pt>
              </c:numCache>
            </c:numRef>
          </c:val>
          <c:smooth val="0"/>
          <c:extLst xmlns:c16r2="http://schemas.microsoft.com/office/drawing/2015/06/chart">
            <c:ext xmlns:c16="http://schemas.microsoft.com/office/drawing/2014/chart" uri="{C3380CC4-5D6E-409C-BE32-E72D297353CC}">
              <c16:uniqueId val="{00000006-55C9-4C86-A89E-7C54F7022642}"/>
            </c:ext>
          </c:extLst>
        </c:ser>
        <c:dLbls>
          <c:showLegendKey val="0"/>
          <c:showVal val="0"/>
          <c:showCatName val="0"/>
          <c:showSerName val="0"/>
          <c:showPercent val="0"/>
          <c:showBubbleSize val="0"/>
        </c:dLbls>
        <c:marker val="1"/>
        <c:smooth val="0"/>
        <c:axId val="342765568"/>
        <c:axId val="342767488"/>
      </c:lineChart>
      <c:catAx>
        <c:axId val="342765568"/>
        <c:scaling>
          <c:orientation val="minMax"/>
        </c:scaling>
        <c:delete val="0"/>
        <c:axPos val="b"/>
        <c:title>
          <c:tx>
            <c:rich>
              <a:bodyPr/>
              <a:lstStyle/>
              <a:p>
                <a:pPr>
                  <a:defRPr/>
                </a:pPr>
                <a:r>
                  <a:rPr lang="en-AU" b="0"/>
                  <a:t>Quarter</a:t>
                </a:r>
                <a:r>
                  <a:rPr lang="en-AU" b="0" baseline="0"/>
                  <a:t> of supply</a:t>
                </a:r>
                <a:endParaRPr lang="en-AU" b="0"/>
              </a:p>
            </c:rich>
          </c:tx>
          <c:overlay val="0"/>
        </c:title>
        <c:numFmt formatCode="General" sourceLinked="0"/>
        <c:majorTickMark val="out"/>
        <c:minorTickMark val="none"/>
        <c:tickLblPos val="nextTo"/>
        <c:crossAx val="342767488"/>
        <c:crosses val="autoZero"/>
        <c:auto val="1"/>
        <c:lblAlgn val="ctr"/>
        <c:lblOffset val="100"/>
        <c:noMultiLvlLbl val="0"/>
      </c:catAx>
      <c:valAx>
        <c:axId val="342767488"/>
        <c:scaling>
          <c:orientation val="minMax"/>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342765568"/>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areaChart>
        <c:grouping val="stacked"/>
        <c:varyColors val="0"/>
        <c:ser>
          <c:idx val="1"/>
          <c:order val="0"/>
          <c:tx>
            <c:strRef>
              <c:f>Sheet1!$L$5</c:f>
              <c:strCache>
                <c:ptCount val="1"/>
                <c:pt idx="0">
                  <c:v>Male</c:v>
                </c:pt>
              </c:strCache>
            </c:strRef>
          </c:tx>
          <c:spPr>
            <a:solidFill>
              <a:schemeClr val="accent1">
                <a:lumMod val="75000"/>
              </a:schemeClr>
            </a:solidFill>
          </c:spPr>
          <c:cat>
            <c:strRef>
              <c:f>Sheet1!$J$6:$J$39</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Sheet1!$L$6:$L$39</c:f>
              <c:numCache>
                <c:formatCode>General</c:formatCode>
                <c:ptCount val="34"/>
                <c:pt idx="0">
                  <c:v>1288</c:v>
                </c:pt>
                <c:pt idx="1">
                  <c:v>1358</c:v>
                </c:pt>
                <c:pt idx="2">
                  <c:v>1429</c:v>
                </c:pt>
                <c:pt idx="3">
                  <c:v>1587</c:v>
                </c:pt>
                <c:pt idx="4">
                  <c:v>1317</c:v>
                </c:pt>
                <c:pt idx="5">
                  <c:v>1537</c:v>
                </c:pt>
                <c:pt idx="6">
                  <c:v>1462</c:v>
                </c:pt>
                <c:pt idx="7">
                  <c:v>1612</c:v>
                </c:pt>
                <c:pt idx="8">
                  <c:v>1323</c:v>
                </c:pt>
                <c:pt idx="9">
                  <c:v>1366</c:v>
                </c:pt>
                <c:pt idx="10">
                  <c:v>1377</c:v>
                </c:pt>
                <c:pt idx="11">
                  <c:v>1463</c:v>
                </c:pt>
                <c:pt idx="12">
                  <c:v>1426</c:v>
                </c:pt>
                <c:pt idx="13">
                  <c:v>1512</c:v>
                </c:pt>
                <c:pt idx="14">
                  <c:v>1553</c:v>
                </c:pt>
                <c:pt idx="15">
                  <c:v>1724</c:v>
                </c:pt>
                <c:pt idx="16">
                  <c:v>1531</c:v>
                </c:pt>
                <c:pt idx="17">
                  <c:v>1624</c:v>
                </c:pt>
                <c:pt idx="18">
                  <c:v>1623</c:v>
                </c:pt>
                <c:pt idx="19">
                  <c:v>1773</c:v>
                </c:pt>
                <c:pt idx="20">
                  <c:v>1616</c:v>
                </c:pt>
                <c:pt idx="21">
                  <c:v>1713</c:v>
                </c:pt>
                <c:pt idx="22">
                  <c:v>1724</c:v>
                </c:pt>
                <c:pt idx="23">
                  <c:v>1832</c:v>
                </c:pt>
                <c:pt idx="24">
                  <c:v>1768</c:v>
                </c:pt>
                <c:pt idx="25">
                  <c:v>1837</c:v>
                </c:pt>
                <c:pt idx="26">
                  <c:v>1840</c:v>
                </c:pt>
                <c:pt idx="27">
                  <c:v>2024</c:v>
                </c:pt>
                <c:pt idx="28">
                  <c:v>1815</c:v>
                </c:pt>
                <c:pt idx="29">
                  <c:v>1843</c:v>
                </c:pt>
                <c:pt idx="30">
                  <c:v>1925</c:v>
                </c:pt>
                <c:pt idx="31">
                  <c:v>1963</c:v>
                </c:pt>
                <c:pt idx="32">
                  <c:v>1719</c:v>
                </c:pt>
                <c:pt idx="33">
                  <c:v>2985</c:v>
                </c:pt>
              </c:numCache>
            </c:numRef>
          </c:val>
        </c:ser>
        <c:ser>
          <c:idx val="0"/>
          <c:order val="1"/>
          <c:tx>
            <c:strRef>
              <c:f>Sheet1!$K$5</c:f>
              <c:strCache>
                <c:ptCount val="1"/>
                <c:pt idx="0">
                  <c:v>Female</c:v>
                </c:pt>
              </c:strCache>
            </c:strRef>
          </c:tx>
          <c:spPr>
            <a:solidFill>
              <a:srgbClr val="FF66CC"/>
            </a:solidFill>
          </c:spPr>
          <c:cat>
            <c:strRef>
              <c:f>Sheet1!$J$6:$J$39</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Sheet1!$K$6:$K$39</c:f>
              <c:numCache>
                <c:formatCode>General</c:formatCode>
                <c:ptCount val="34"/>
                <c:pt idx="0">
                  <c:v>1605</c:v>
                </c:pt>
                <c:pt idx="1">
                  <c:v>1712</c:v>
                </c:pt>
                <c:pt idx="2">
                  <c:v>1749</c:v>
                </c:pt>
                <c:pt idx="3">
                  <c:v>1884</c:v>
                </c:pt>
                <c:pt idx="4">
                  <c:v>1613</c:v>
                </c:pt>
                <c:pt idx="5">
                  <c:v>1763</c:v>
                </c:pt>
                <c:pt idx="6">
                  <c:v>1764</c:v>
                </c:pt>
                <c:pt idx="7">
                  <c:v>1960</c:v>
                </c:pt>
                <c:pt idx="8">
                  <c:v>1813</c:v>
                </c:pt>
                <c:pt idx="9">
                  <c:v>1780</c:v>
                </c:pt>
                <c:pt idx="10">
                  <c:v>1828</c:v>
                </c:pt>
                <c:pt idx="11">
                  <c:v>2110</c:v>
                </c:pt>
                <c:pt idx="12">
                  <c:v>1849</c:v>
                </c:pt>
                <c:pt idx="13">
                  <c:v>1968</c:v>
                </c:pt>
                <c:pt idx="14">
                  <c:v>2231</c:v>
                </c:pt>
                <c:pt idx="15">
                  <c:v>2535</c:v>
                </c:pt>
                <c:pt idx="16">
                  <c:v>2103</c:v>
                </c:pt>
                <c:pt idx="17">
                  <c:v>2239</c:v>
                </c:pt>
                <c:pt idx="18">
                  <c:v>2366</c:v>
                </c:pt>
                <c:pt idx="19">
                  <c:v>2590</c:v>
                </c:pt>
                <c:pt idx="20">
                  <c:v>2369</c:v>
                </c:pt>
                <c:pt idx="21">
                  <c:v>2480</c:v>
                </c:pt>
                <c:pt idx="22">
                  <c:v>2606</c:v>
                </c:pt>
                <c:pt idx="23">
                  <c:v>3012</c:v>
                </c:pt>
                <c:pt idx="24">
                  <c:v>2657</c:v>
                </c:pt>
                <c:pt idx="25">
                  <c:v>3047</c:v>
                </c:pt>
                <c:pt idx="26">
                  <c:v>3123</c:v>
                </c:pt>
                <c:pt idx="27">
                  <c:v>3518</c:v>
                </c:pt>
                <c:pt idx="28">
                  <c:v>2946</c:v>
                </c:pt>
                <c:pt idx="29">
                  <c:v>3160</c:v>
                </c:pt>
                <c:pt idx="30">
                  <c:v>3404</c:v>
                </c:pt>
                <c:pt idx="31">
                  <c:v>3846</c:v>
                </c:pt>
                <c:pt idx="32">
                  <c:v>3274</c:v>
                </c:pt>
                <c:pt idx="33">
                  <c:v>7858</c:v>
                </c:pt>
              </c:numCache>
            </c:numRef>
          </c:val>
        </c:ser>
        <c:ser>
          <c:idx val="2"/>
          <c:order val="2"/>
          <c:tx>
            <c:strRef>
              <c:f>Sheet1!$M$5</c:f>
              <c:strCache>
                <c:ptCount val="1"/>
                <c:pt idx="0">
                  <c:v>Unknown</c:v>
                </c:pt>
              </c:strCache>
            </c:strRef>
          </c:tx>
          <c:cat>
            <c:strRef>
              <c:f>Sheet1!$J$6:$J$39</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Sheet1!$M$6:$M$39</c:f>
              <c:numCache>
                <c:formatCode>General</c:formatCode>
                <c:ptCount val="34"/>
                <c:pt idx="0">
                  <c:v>13</c:v>
                </c:pt>
                <c:pt idx="1">
                  <c:v>38</c:v>
                </c:pt>
                <c:pt idx="2">
                  <c:v>30</c:v>
                </c:pt>
                <c:pt idx="3">
                  <c:v>27</c:v>
                </c:pt>
                <c:pt idx="4">
                  <c:v>19</c:v>
                </c:pt>
                <c:pt idx="5">
                  <c:v>16</c:v>
                </c:pt>
                <c:pt idx="6">
                  <c:v>15</c:v>
                </c:pt>
                <c:pt idx="7">
                  <c:v>18</c:v>
                </c:pt>
                <c:pt idx="8">
                  <c:v>23</c:v>
                </c:pt>
                <c:pt idx="9">
                  <c:v>28</c:v>
                </c:pt>
                <c:pt idx="10">
                  <c:v>15</c:v>
                </c:pt>
                <c:pt idx="11">
                  <c:v>22</c:v>
                </c:pt>
                <c:pt idx="12">
                  <c:v>29</c:v>
                </c:pt>
                <c:pt idx="13">
                  <c:v>29</c:v>
                </c:pt>
                <c:pt idx="14">
                  <c:v>45</c:v>
                </c:pt>
                <c:pt idx="15">
                  <c:v>27</c:v>
                </c:pt>
                <c:pt idx="16">
                  <c:v>14</c:v>
                </c:pt>
                <c:pt idx="17">
                  <c:v>16</c:v>
                </c:pt>
                <c:pt idx="18">
                  <c:v>38</c:v>
                </c:pt>
                <c:pt idx="19">
                  <c:v>24</c:v>
                </c:pt>
                <c:pt idx="20">
                  <c:v>19</c:v>
                </c:pt>
                <c:pt idx="21">
                  <c:v>23</c:v>
                </c:pt>
                <c:pt idx="22">
                  <c:v>23</c:v>
                </c:pt>
                <c:pt idx="23">
                  <c:v>26</c:v>
                </c:pt>
                <c:pt idx="24">
                  <c:v>28</c:v>
                </c:pt>
                <c:pt idx="25">
                  <c:v>48</c:v>
                </c:pt>
                <c:pt idx="26">
                  <c:v>53</c:v>
                </c:pt>
                <c:pt idx="27">
                  <c:v>33</c:v>
                </c:pt>
                <c:pt idx="28">
                  <c:v>32</c:v>
                </c:pt>
                <c:pt idx="29">
                  <c:v>37</c:v>
                </c:pt>
                <c:pt idx="30">
                  <c:v>32</c:v>
                </c:pt>
                <c:pt idx="31">
                  <c:v>27</c:v>
                </c:pt>
                <c:pt idx="32">
                  <c:v>18</c:v>
                </c:pt>
                <c:pt idx="33">
                  <c:v>132</c:v>
                </c:pt>
              </c:numCache>
            </c:numRef>
          </c:val>
        </c:ser>
        <c:dLbls>
          <c:showLegendKey val="0"/>
          <c:showVal val="0"/>
          <c:showCatName val="0"/>
          <c:showSerName val="0"/>
          <c:showPercent val="0"/>
          <c:showBubbleSize val="0"/>
        </c:dLbls>
        <c:axId val="342821120"/>
        <c:axId val="342823296"/>
      </c:areaChart>
      <c:catAx>
        <c:axId val="342821120"/>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342823296"/>
        <c:crosses val="autoZero"/>
        <c:auto val="1"/>
        <c:lblAlgn val="ctr"/>
        <c:lblOffset val="100"/>
        <c:noMultiLvlLbl val="0"/>
      </c:catAx>
      <c:valAx>
        <c:axId val="342823296"/>
        <c:scaling>
          <c:orientation val="minMax"/>
        </c:scaling>
        <c:delete val="0"/>
        <c:axPos val="l"/>
        <c:majorGridlines/>
        <c:title>
          <c:tx>
            <c:rich>
              <a:bodyPr rot="-5400000" vert="horz"/>
              <a:lstStyle/>
              <a:p>
                <a:pPr>
                  <a:defRPr/>
                </a:pPr>
                <a:r>
                  <a:rPr lang="en-AU" b="0"/>
                  <a:t>Prescriptions</a:t>
                </a:r>
              </a:p>
            </c:rich>
          </c:tx>
          <c:overlay val="0"/>
        </c:title>
        <c:numFmt formatCode="#,##0" sourceLinked="0"/>
        <c:majorTickMark val="out"/>
        <c:minorTickMark val="none"/>
        <c:tickLblPos val="nextTo"/>
        <c:crossAx val="342821120"/>
        <c:crosses val="autoZero"/>
        <c:crossBetween val="midCat"/>
      </c:valAx>
    </c:plotArea>
    <c:legend>
      <c:legendPos val="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8357207972649732"/>
          <c:y val="3.0397233307795597E-2"/>
          <c:w val="0.58588744246165214"/>
          <c:h val="0.78551745933551642"/>
        </c:manualLayout>
      </c:layout>
      <c:barChart>
        <c:barDir val="bar"/>
        <c:grouping val="clustered"/>
        <c:varyColors val="0"/>
        <c:ser>
          <c:idx val="0"/>
          <c:order val="0"/>
          <c:tx>
            <c:strRef>
              <c:f>'Largest increase numbers'!$B$1</c:f>
              <c:strCache>
                <c:ptCount val="1"/>
                <c:pt idx="0">
                  <c:v>2015 Q1 to Q2</c:v>
                </c:pt>
              </c:strCache>
            </c:strRef>
          </c:tx>
          <c:spPr>
            <a:solidFill>
              <a:srgbClr val="FF9900"/>
            </a:solidFill>
          </c:spPr>
          <c:invertIfNegative val="0"/>
          <c:cat>
            <c:strRef>
              <c:f>'Largest increase numbers'!$A$2:$A$15</c:f>
              <c:strCache>
                <c:ptCount val="14"/>
                <c:pt idx="0">
                  <c:v>GP (VR)</c:v>
                </c:pt>
                <c:pt idx="1">
                  <c:v>Obstetrics and Gynaecology</c:v>
                </c:pt>
                <c:pt idx="2">
                  <c:v>GP (Non VR)</c:v>
                </c:pt>
                <c:pt idx="3">
                  <c:v>Dermatology</c:v>
                </c:pt>
                <c:pt idx="4">
                  <c:v>GP Trainee</c:v>
                </c:pt>
                <c:pt idx="5">
                  <c:v>Haematology</c:v>
                </c:pt>
                <c:pt idx="6">
                  <c:v>GP Unclassified</c:v>
                </c:pt>
                <c:pt idx="7">
                  <c:v>Internal Medicine</c:v>
                </c:pt>
                <c:pt idx="8">
                  <c:v>Surgery</c:v>
                </c:pt>
                <c:pt idx="9">
                  <c:v>Immunology and Allergy</c:v>
                </c:pt>
                <c:pt idx="10">
                  <c:v>Not stated</c:v>
                </c:pt>
                <c:pt idx="11">
                  <c:v>ENT</c:v>
                </c:pt>
                <c:pt idx="12">
                  <c:v>Gastroenterology and Hepatology</c:v>
                </c:pt>
                <c:pt idx="13">
                  <c:v>Sexual Health Medicine</c:v>
                </c:pt>
              </c:strCache>
            </c:strRef>
          </c:cat>
          <c:val>
            <c:numRef>
              <c:f>'Largest increase numbers'!$B$2:$B$15</c:f>
              <c:numCache>
                <c:formatCode>General</c:formatCode>
                <c:ptCount val="14"/>
                <c:pt idx="0">
                  <c:v>160</c:v>
                </c:pt>
                <c:pt idx="1">
                  <c:v>5</c:v>
                </c:pt>
                <c:pt idx="2">
                  <c:v>17</c:v>
                </c:pt>
                <c:pt idx="3">
                  <c:v>13</c:v>
                </c:pt>
                <c:pt idx="4">
                  <c:v>12</c:v>
                </c:pt>
                <c:pt idx="5">
                  <c:v>7</c:v>
                </c:pt>
                <c:pt idx="6">
                  <c:v>20</c:v>
                </c:pt>
                <c:pt idx="7">
                  <c:v>8</c:v>
                </c:pt>
                <c:pt idx="8">
                  <c:v>12</c:v>
                </c:pt>
                <c:pt idx="9">
                  <c:v>7</c:v>
                </c:pt>
                <c:pt idx="10">
                  <c:v>-3</c:v>
                </c:pt>
                <c:pt idx="11">
                  <c:v>5</c:v>
                </c:pt>
                <c:pt idx="12">
                  <c:v>-14</c:v>
                </c:pt>
                <c:pt idx="13">
                  <c:v>-9</c:v>
                </c:pt>
              </c:numCache>
            </c:numRef>
          </c:val>
        </c:ser>
        <c:ser>
          <c:idx val="1"/>
          <c:order val="1"/>
          <c:tx>
            <c:strRef>
              <c:f>'Largest increase numbers'!$C$1</c:f>
              <c:strCache>
                <c:ptCount val="1"/>
                <c:pt idx="0">
                  <c:v>2016 Q1 to Q2</c:v>
                </c:pt>
              </c:strCache>
            </c:strRef>
          </c:tx>
          <c:spPr>
            <a:solidFill>
              <a:srgbClr val="7030A0"/>
            </a:solidFill>
          </c:spPr>
          <c:invertIfNegative val="0"/>
          <c:cat>
            <c:strRef>
              <c:f>'Largest increase numbers'!$A$2:$A$15</c:f>
              <c:strCache>
                <c:ptCount val="14"/>
                <c:pt idx="0">
                  <c:v>GP (VR)</c:v>
                </c:pt>
                <c:pt idx="1">
                  <c:v>Obstetrics and Gynaecology</c:v>
                </c:pt>
                <c:pt idx="2">
                  <c:v>GP (Non VR)</c:v>
                </c:pt>
                <c:pt idx="3">
                  <c:v>Dermatology</c:v>
                </c:pt>
                <c:pt idx="4">
                  <c:v>GP Trainee</c:v>
                </c:pt>
                <c:pt idx="5">
                  <c:v>Haematology</c:v>
                </c:pt>
                <c:pt idx="6">
                  <c:v>GP Unclassified</c:v>
                </c:pt>
                <c:pt idx="7">
                  <c:v>Internal Medicine</c:v>
                </c:pt>
                <c:pt idx="8">
                  <c:v>Surgery</c:v>
                </c:pt>
                <c:pt idx="9">
                  <c:v>Immunology and Allergy</c:v>
                </c:pt>
                <c:pt idx="10">
                  <c:v>Not stated</c:v>
                </c:pt>
                <c:pt idx="11">
                  <c:v>ENT</c:v>
                </c:pt>
                <c:pt idx="12">
                  <c:v>Gastroenterology and Hepatology</c:v>
                </c:pt>
                <c:pt idx="13">
                  <c:v>Sexual Health Medicine</c:v>
                </c:pt>
              </c:strCache>
            </c:strRef>
          </c:cat>
          <c:val>
            <c:numRef>
              <c:f>'Largest increase numbers'!$C$2:$C$15</c:f>
              <c:numCache>
                <c:formatCode>General</c:formatCode>
                <c:ptCount val="14"/>
                <c:pt idx="0">
                  <c:v>2982</c:v>
                </c:pt>
                <c:pt idx="1">
                  <c:v>657</c:v>
                </c:pt>
                <c:pt idx="2">
                  <c:v>647</c:v>
                </c:pt>
                <c:pt idx="3">
                  <c:v>575</c:v>
                </c:pt>
                <c:pt idx="4">
                  <c:v>354</c:v>
                </c:pt>
                <c:pt idx="5">
                  <c:v>76</c:v>
                </c:pt>
                <c:pt idx="6">
                  <c:v>76</c:v>
                </c:pt>
                <c:pt idx="7">
                  <c:v>60</c:v>
                </c:pt>
                <c:pt idx="8">
                  <c:v>57</c:v>
                </c:pt>
                <c:pt idx="9">
                  <c:v>55</c:v>
                </c:pt>
                <c:pt idx="10">
                  <c:v>50</c:v>
                </c:pt>
                <c:pt idx="11">
                  <c:v>49</c:v>
                </c:pt>
                <c:pt idx="12">
                  <c:v>45</c:v>
                </c:pt>
                <c:pt idx="13">
                  <c:v>40</c:v>
                </c:pt>
              </c:numCache>
            </c:numRef>
          </c:val>
        </c:ser>
        <c:dLbls>
          <c:showLegendKey val="0"/>
          <c:showVal val="0"/>
          <c:showCatName val="0"/>
          <c:showSerName val="0"/>
          <c:showPercent val="0"/>
          <c:showBubbleSize val="0"/>
        </c:dLbls>
        <c:gapWidth val="150"/>
        <c:axId val="342861312"/>
        <c:axId val="342862848"/>
      </c:barChart>
      <c:catAx>
        <c:axId val="342861312"/>
        <c:scaling>
          <c:orientation val="minMax"/>
        </c:scaling>
        <c:delete val="0"/>
        <c:axPos val="l"/>
        <c:majorTickMark val="out"/>
        <c:minorTickMark val="none"/>
        <c:tickLblPos val="nextTo"/>
        <c:crossAx val="342862848"/>
        <c:crosses val="autoZero"/>
        <c:auto val="1"/>
        <c:lblAlgn val="ctr"/>
        <c:lblOffset val="50"/>
        <c:noMultiLvlLbl val="0"/>
      </c:catAx>
      <c:valAx>
        <c:axId val="342862848"/>
        <c:scaling>
          <c:orientation val="minMax"/>
          <c:max val="3000"/>
          <c:min val="-50"/>
        </c:scaling>
        <c:delete val="0"/>
        <c:axPos val="b"/>
        <c:majorGridlines>
          <c:spPr>
            <a:ln>
              <a:solidFill>
                <a:schemeClr val="bg1">
                  <a:lumMod val="85000"/>
                </a:schemeClr>
              </a:solidFill>
            </a:ln>
          </c:spPr>
        </c:majorGridlines>
        <c:title>
          <c:tx>
            <c:rich>
              <a:bodyPr/>
              <a:lstStyle/>
              <a:p>
                <a:pPr>
                  <a:defRPr/>
                </a:pPr>
                <a:r>
                  <a:rPr lang="en-AU" b="0"/>
                  <a:t>Change</a:t>
                </a:r>
                <a:r>
                  <a:rPr lang="en-AU" b="0" baseline="0"/>
                  <a:t> in number of prescriptions Q1 to Q2</a:t>
                </a:r>
                <a:endParaRPr lang="en-AU" b="0"/>
              </a:p>
            </c:rich>
          </c:tx>
          <c:layout>
            <c:manualLayout>
              <c:xMode val="edge"/>
              <c:yMode val="edge"/>
              <c:x val="0.39879409722473252"/>
              <c:y val="0.93333397654184702"/>
            </c:manualLayout>
          </c:layout>
          <c:overlay val="0"/>
        </c:title>
        <c:numFmt formatCode="#,##0" sourceLinked="0"/>
        <c:majorTickMark val="out"/>
        <c:minorTickMark val="none"/>
        <c:tickLblPos val="nextTo"/>
        <c:txPr>
          <a:bodyPr rot="-5400000" vert="horz"/>
          <a:lstStyle/>
          <a:p>
            <a:pPr>
              <a:defRPr/>
            </a:pPr>
            <a:endParaRPr lang="en-US"/>
          </a:p>
        </c:txPr>
        <c:crossAx val="342861312"/>
        <c:crosses val="autoZero"/>
        <c:crossBetween val="between"/>
        <c:majorUnit val="500"/>
      </c:valAx>
    </c:plotArea>
    <c:legend>
      <c:legendPos val="r"/>
      <c:layout>
        <c:manualLayout>
          <c:xMode val="edge"/>
          <c:yMode val="edge"/>
          <c:x val="0.73880801633542903"/>
          <c:y val="0.20395624391162251"/>
          <c:w val="0.18703952674667315"/>
          <c:h val="0.15710694864752295"/>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413080862041618"/>
          <c:y val="3.2553404458107574E-2"/>
          <c:w val="0.69521593545567661"/>
          <c:h val="0.83346593983444373"/>
        </c:manualLayout>
      </c:layout>
      <c:barChart>
        <c:barDir val="bar"/>
        <c:grouping val="clustered"/>
        <c:varyColors val="0"/>
        <c:ser>
          <c:idx val="1"/>
          <c:order val="0"/>
          <c:tx>
            <c:strRef>
              <c:f>'Largest IV increases'!$C$1</c:f>
              <c:strCache>
                <c:ptCount val="1"/>
                <c:pt idx="0">
                  <c:v>increase 2016 Q1 to Q2</c:v>
                </c:pt>
              </c:strCache>
            </c:strRef>
          </c:tx>
          <c:spPr>
            <a:solidFill>
              <a:srgbClr val="7030A0"/>
            </a:solidFill>
          </c:spPr>
          <c:invertIfNegative val="0"/>
          <c:dLbls>
            <c:dLblPos val="outEnd"/>
            <c:showLegendKey val="0"/>
            <c:showVal val="1"/>
            <c:showCatName val="0"/>
            <c:showSerName val="0"/>
            <c:showPercent val="0"/>
            <c:showBubbleSize val="0"/>
            <c:showLeaderLines val="0"/>
          </c:dLbls>
          <c:cat>
            <c:strRef>
              <c:f>'Largest IV increases'!$A$2:$A$10</c:f>
              <c:strCache>
                <c:ptCount val="9"/>
                <c:pt idx="0">
                  <c:v>Surgery</c:v>
                </c:pt>
                <c:pt idx="1">
                  <c:v>GP (non-VR)</c:v>
                </c:pt>
                <c:pt idx="2">
                  <c:v>GP Unclassified</c:v>
                </c:pt>
                <c:pt idx="3">
                  <c:v>Medical Oncology</c:v>
                </c:pt>
                <c:pt idx="4">
                  <c:v>Nephrology</c:v>
                </c:pt>
                <c:pt idx="5">
                  <c:v>Pathology</c:v>
                </c:pt>
                <c:pt idx="6">
                  <c:v>Infectious Diseases</c:v>
                </c:pt>
                <c:pt idx="7">
                  <c:v>Internal Medicine</c:v>
                </c:pt>
                <c:pt idx="8">
                  <c:v>Intensive Care</c:v>
                </c:pt>
              </c:strCache>
            </c:strRef>
          </c:cat>
          <c:val>
            <c:numRef>
              <c:f>'Largest IV increases'!$C$2:$C$10</c:f>
              <c:numCache>
                <c:formatCode>0</c:formatCode>
                <c:ptCount val="9"/>
                <c:pt idx="0">
                  <c:v>64</c:v>
                </c:pt>
                <c:pt idx="1">
                  <c:v>51</c:v>
                </c:pt>
                <c:pt idx="2">
                  <c:v>22</c:v>
                </c:pt>
                <c:pt idx="3">
                  <c:v>17</c:v>
                </c:pt>
                <c:pt idx="4">
                  <c:v>16</c:v>
                </c:pt>
                <c:pt idx="5">
                  <c:v>12</c:v>
                </c:pt>
                <c:pt idx="6">
                  <c:v>10</c:v>
                </c:pt>
                <c:pt idx="7">
                  <c:v>10</c:v>
                </c:pt>
                <c:pt idx="8">
                  <c:v>10</c:v>
                </c:pt>
              </c:numCache>
            </c:numRef>
          </c:val>
        </c:ser>
        <c:ser>
          <c:idx val="0"/>
          <c:order val="1"/>
          <c:tx>
            <c:strRef>
              <c:f>'Largest IV increases'!$B$1</c:f>
              <c:strCache>
                <c:ptCount val="1"/>
                <c:pt idx="0">
                  <c:v>increase 2015 Q1 to Q2</c:v>
                </c:pt>
              </c:strCache>
            </c:strRef>
          </c:tx>
          <c:spPr>
            <a:solidFill>
              <a:srgbClr val="FF9900"/>
            </a:solidFill>
          </c:spPr>
          <c:invertIfNegative val="0"/>
          <c:cat>
            <c:strRef>
              <c:f>'Largest IV increases'!$A$2:$A$10</c:f>
              <c:strCache>
                <c:ptCount val="9"/>
                <c:pt idx="0">
                  <c:v>Surgery</c:v>
                </c:pt>
                <c:pt idx="1">
                  <c:v>GP (non-VR)</c:v>
                </c:pt>
                <c:pt idx="2">
                  <c:v>GP Unclassified</c:v>
                </c:pt>
                <c:pt idx="3">
                  <c:v>Medical Oncology</c:v>
                </c:pt>
                <c:pt idx="4">
                  <c:v>Nephrology</c:v>
                </c:pt>
                <c:pt idx="5">
                  <c:v>Pathology</c:v>
                </c:pt>
                <c:pt idx="6">
                  <c:v>Infectious Diseases</c:v>
                </c:pt>
                <c:pt idx="7">
                  <c:v>Internal Medicine</c:v>
                </c:pt>
                <c:pt idx="8">
                  <c:v>Intensive Care</c:v>
                </c:pt>
              </c:strCache>
            </c:strRef>
          </c:cat>
          <c:val>
            <c:numRef>
              <c:f>'Largest IV increases'!$B$2:$B$10</c:f>
              <c:numCache>
                <c:formatCode>0</c:formatCode>
                <c:ptCount val="9"/>
                <c:pt idx="0">
                  <c:v>-8</c:v>
                </c:pt>
                <c:pt idx="1">
                  <c:v>-11</c:v>
                </c:pt>
                <c:pt idx="2">
                  <c:v>14</c:v>
                </c:pt>
                <c:pt idx="3">
                  <c:v>1</c:v>
                </c:pt>
                <c:pt idx="4">
                  <c:v>-3</c:v>
                </c:pt>
                <c:pt idx="5">
                  <c:v>0</c:v>
                </c:pt>
                <c:pt idx="6">
                  <c:v>-10</c:v>
                </c:pt>
                <c:pt idx="7">
                  <c:v>-6</c:v>
                </c:pt>
                <c:pt idx="8">
                  <c:v>-2</c:v>
                </c:pt>
              </c:numCache>
            </c:numRef>
          </c:val>
        </c:ser>
        <c:dLbls>
          <c:showLegendKey val="0"/>
          <c:showVal val="0"/>
          <c:showCatName val="0"/>
          <c:showSerName val="0"/>
          <c:showPercent val="0"/>
          <c:showBubbleSize val="0"/>
        </c:dLbls>
        <c:gapWidth val="150"/>
        <c:axId val="342908928"/>
        <c:axId val="342910464"/>
      </c:barChart>
      <c:catAx>
        <c:axId val="342908928"/>
        <c:scaling>
          <c:orientation val="minMax"/>
        </c:scaling>
        <c:delete val="0"/>
        <c:axPos val="l"/>
        <c:majorTickMark val="none"/>
        <c:minorTickMark val="none"/>
        <c:tickLblPos val="nextTo"/>
        <c:txPr>
          <a:bodyPr rot="0" anchor="ctr" anchorCtr="0"/>
          <a:lstStyle/>
          <a:p>
            <a:pPr>
              <a:defRPr/>
            </a:pPr>
            <a:endParaRPr lang="en-US"/>
          </a:p>
        </c:txPr>
        <c:crossAx val="342910464"/>
        <c:crosses val="autoZero"/>
        <c:auto val="0"/>
        <c:lblAlgn val="l"/>
        <c:lblOffset val="500"/>
        <c:noMultiLvlLbl val="0"/>
      </c:catAx>
      <c:valAx>
        <c:axId val="342910464"/>
        <c:scaling>
          <c:orientation val="minMax"/>
          <c:max val="70"/>
          <c:min val="-0.5"/>
        </c:scaling>
        <c:delete val="0"/>
        <c:axPos val="b"/>
        <c:majorGridlines>
          <c:spPr>
            <a:ln>
              <a:solidFill>
                <a:schemeClr val="bg1">
                  <a:lumMod val="85000"/>
                </a:schemeClr>
              </a:solidFill>
            </a:ln>
          </c:spPr>
        </c:majorGridlines>
        <c:title>
          <c:tx>
            <c:rich>
              <a:bodyPr/>
              <a:lstStyle/>
              <a:p>
                <a:pPr>
                  <a:defRPr/>
                </a:pPr>
                <a:r>
                  <a:rPr lang="en-AU" b="0"/>
                  <a:t>Change</a:t>
                </a:r>
                <a:r>
                  <a:rPr lang="en-AU" b="0" baseline="0"/>
                  <a:t> in prescriptions</a:t>
                </a:r>
                <a:endParaRPr lang="en-AU" b="0"/>
              </a:p>
            </c:rich>
          </c:tx>
          <c:overlay val="0"/>
        </c:title>
        <c:numFmt formatCode="0" sourceLinked="1"/>
        <c:majorTickMark val="out"/>
        <c:minorTickMark val="none"/>
        <c:tickLblPos val="nextTo"/>
        <c:crossAx val="342908928"/>
        <c:crosses val="autoZero"/>
        <c:crossBetween val="between"/>
        <c:majorUnit val="10"/>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 (3)'!$O$6</c:f>
              <c:strCache>
                <c:ptCount val="1"/>
                <c:pt idx="0">
                  <c:v>0</c:v>
                </c:pt>
              </c:strCache>
            </c:strRef>
          </c:tx>
          <c:marker>
            <c:symbol val="none"/>
          </c:marker>
          <c:cat>
            <c:strRef>
              <c:f>'Sheet1 (3)'!$N$7:$N$40</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 (3)'!$O$7:$O$40</c:f>
              <c:numCache>
                <c:formatCode>_-* #,##0_-;\-* #,##0_-;_-* "-"??_-;_-@_-</c:formatCode>
                <c:ptCount val="34"/>
                <c:pt idx="0">
                  <c:v>499</c:v>
                </c:pt>
                <c:pt idx="1">
                  <c:v>468</c:v>
                </c:pt>
                <c:pt idx="2">
                  <c:v>496</c:v>
                </c:pt>
                <c:pt idx="3">
                  <c:v>526</c:v>
                </c:pt>
                <c:pt idx="4">
                  <c:v>512</c:v>
                </c:pt>
                <c:pt idx="5">
                  <c:v>554</c:v>
                </c:pt>
                <c:pt idx="6">
                  <c:v>543</c:v>
                </c:pt>
                <c:pt idx="7">
                  <c:v>542</c:v>
                </c:pt>
                <c:pt idx="8">
                  <c:v>557</c:v>
                </c:pt>
                <c:pt idx="9">
                  <c:v>517</c:v>
                </c:pt>
                <c:pt idx="10">
                  <c:v>576</c:v>
                </c:pt>
                <c:pt idx="11">
                  <c:v>628</c:v>
                </c:pt>
                <c:pt idx="12">
                  <c:v>715</c:v>
                </c:pt>
                <c:pt idx="13">
                  <c:v>665</c:v>
                </c:pt>
                <c:pt idx="14">
                  <c:v>840</c:v>
                </c:pt>
                <c:pt idx="15">
                  <c:v>866</c:v>
                </c:pt>
                <c:pt idx="16">
                  <c:v>831</c:v>
                </c:pt>
                <c:pt idx="17">
                  <c:v>866</c:v>
                </c:pt>
                <c:pt idx="18">
                  <c:v>913</c:v>
                </c:pt>
                <c:pt idx="19">
                  <c:v>908</c:v>
                </c:pt>
                <c:pt idx="20">
                  <c:v>1037</c:v>
                </c:pt>
                <c:pt idx="21">
                  <c:v>1001</c:v>
                </c:pt>
                <c:pt idx="22">
                  <c:v>1015</c:v>
                </c:pt>
                <c:pt idx="23">
                  <c:v>1221</c:v>
                </c:pt>
                <c:pt idx="24">
                  <c:v>1255</c:v>
                </c:pt>
                <c:pt idx="25">
                  <c:v>1288</c:v>
                </c:pt>
                <c:pt idx="26">
                  <c:v>1257</c:v>
                </c:pt>
                <c:pt idx="27">
                  <c:v>1385</c:v>
                </c:pt>
                <c:pt idx="28">
                  <c:v>1323</c:v>
                </c:pt>
                <c:pt idx="29">
                  <c:v>1284</c:v>
                </c:pt>
                <c:pt idx="30">
                  <c:v>1379</c:v>
                </c:pt>
                <c:pt idx="31">
                  <c:v>1405</c:v>
                </c:pt>
                <c:pt idx="32">
                  <c:v>1367</c:v>
                </c:pt>
                <c:pt idx="33">
                  <c:v>4159</c:v>
                </c:pt>
              </c:numCache>
            </c:numRef>
          </c:val>
          <c:smooth val="0"/>
        </c:ser>
        <c:ser>
          <c:idx val="1"/>
          <c:order val="1"/>
          <c:tx>
            <c:strRef>
              <c:f>'Sheet1 (3)'!$P$6</c:f>
              <c:strCache>
                <c:ptCount val="1"/>
                <c:pt idx="0">
                  <c:v>1</c:v>
                </c:pt>
              </c:strCache>
            </c:strRef>
          </c:tx>
          <c:marker>
            <c:symbol val="none"/>
          </c:marker>
          <c:cat>
            <c:strRef>
              <c:f>'Sheet1 (3)'!$N$7:$N$40</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 (3)'!$P$7:$P$40</c:f>
              <c:numCache>
                <c:formatCode>_-* #,##0_-;\-* #,##0_-;_-* "-"??_-;_-@_-</c:formatCode>
                <c:ptCount val="34"/>
                <c:pt idx="0">
                  <c:v>143</c:v>
                </c:pt>
                <c:pt idx="1">
                  <c:v>129</c:v>
                </c:pt>
                <c:pt idx="2">
                  <c:v>139</c:v>
                </c:pt>
                <c:pt idx="3">
                  <c:v>137</c:v>
                </c:pt>
                <c:pt idx="4">
                  <c:v>126</c:v>
                </c:pt>
                <c:pt idx="5">
                  <c:v>134</c:v>
                </c:pt>
                <c:pt idx="6">
                  <c:v>116</c:v>
                </c:pt>
                <c:pt idx="7">
                  <c:v>149</c:v>
                </c:pt>
                <c:pt idx="8">
                  <c:v>144</c:v>
                </c:pt>
                <c:pt idx="9">
                  <c:v>151</c:v>
                </c:pt>
                <c:pt idx="10">
                  <c:v>166</c:v>
                </c:pt>
                <c:pt idx="11">
                  <c:v>134</c:v>
                </c:pt>
                <c:pt idx="12">
                  <c:v>139</c:v>
                </c:pt>
                <c:pt idx="13">
                  <c:v>105</c:v>
                </c:pt>
                <c:pt idx="14">
                  <c:v>118</c:v>
                </c:pt>
                <c:pt idx="15">
                  <c:v>134</c:v>
                </c:pt>
                <c:pt idx="16">
                  <c:v>134</c:v>
                </c:pt>
                <c:pt idx="17">
                  <c:v>125</c:v>
                </c:pt>
                <c:pt idx="18">
                  <c:v>119</c:v>
                </c:pt>
                <c:pt idx="19">
                  <c:v>144</c:v>
                </c:pt>
                <c:pt idx="20">
                  <c:v>115</c:v>
                </c:pt>
                <c:pt idx="21">
                  <c:v>121</c:v>
                </c:pt>
                <c:pt idx="22">
                  <c:v>125</c:v>
                </c:pt>
                <c:pt idx="23">
                  <c:v>141</c:v>
                </c:pt>
                <c:pt idx="24">
                  <c:v>174</c:v>
                </c:pt>
                <c:pt idx="25">
                  <c:v>162</c:v>
                </c:pt>
                <c:pt idx="26">
                  <c:v>171</c:v>
                </c:pt>
                <c:pt idx="27">
                  <c:v>173</c:v>
                </c:pt>
                <c:pt idx="28">
                  <c:v>175</c:v>
                </c:pt>
                <c:pt idx="29">
                  <c:v>177</c:v>
                </c:pt>
                <c:pt idx="30">
                  <c:v>148</c:v>
                </c:pt>
                <c:pt idx="31">
                  <c:v>150</c:v>
                </c:pt>
                <c:pt idx="32">
                  <c:v>185</c:v>
                </c:pt>
                <c:pt idx="33">
                  <c:v>588</c:v>
                </c:pt>
              </c:numCache>
            </c:numRef>
          </c:val>
          <c:smooth val="0"/>
        </c:ser>
        <c:ser>
          <c:idx val="2"/>
          <c:order val="2"/>
          <c:tx>
            <c:strRef>
              <c:f>'Sheet1 (3)'!$Q$6</c:f>
              <c:strCache>
                <c:ptCount val="1"/>
                <c:pt idx="0">
                  <c:v>2</c:v>
                </c:pt>
              </c:strCache>
            </c:strRef>
          </c:tx>
          <c:marker>
            <c:symbol val="none"/>
          </c:marker>
          <c:cat>
            <c:strRef>
              <c:f>'Sheet1 (3)'!$N$7:$N$40</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 (3)'!$Q$7:$Q$40</c:f>
              <c:numCache>
                <c:formatCode>_-* #,##0_-;\-* #,##0_-;_-* "-"??_-;_-@_-</c:formatCode>
                <c:ptCount val="34"/>
                <c:pt idx="0">
                  <c:v>90</c:v>
                </c:pt>
                <c:pt idx="1">
                  <c:v>96</c:v>
                </c:pt>
                <c:pt idx="2">
                  <c:v>99</c:v>
                </c:pt>
                <c:pt idx="3">
                  <c:v>90</c:v>
                </c:pt>
                <c:pt idx="4">
                  <c:v>76</c:v>
                </c:pt>
                <c:pt idx="5">
                  <c:v>79</c:v>
                </c:pt>
                <c:pt idx="6">
                  <c:v>88</c:v>
                </c:pt>
                <c:pt idx="7">
                  <c:v>99</c:v>
                </c:pt>
                <c:pt idx="8">
                  <c:v>100</c:v>
                </c:pt>
                <c:pt idx="9">
                  <c:v>96</c:v>
                </c:pt>
                <c:pt idx="10">
                  <c:v>109</c:v>
                </c:pt>
                <c:pt idx="11">
                  <c:v>99</c:v>
                </c:pt>
                <c:pt idx="12">
                  <c:v>75</c:v>
                </c:pt>
                <c:pt idx="13">
                  <c:v>76</c:v>
                </c:pt>
                <c:pt idx="14">
                  <c:v>66</c:v>
                </c:pt>
                <c:pt idx="15">
                  <c:v>85</c:v>
                </c:pt>
                <c:pt idx="16">
                  <c:v>85</c:v>
                </c:pt>
                <c:pt idx="17">
                  <c:v>83</c:v>
                </c:pt>
                <c:pt idx="18">
                  <c:v>79</c:v>
                </c:pt>
                <c:pt idx="19">
                  <c:v>83</c:v>
                </c:pt>
                <c:pt idx="20">
                  <c:v>83</c:v>
                </c:pt>
                <c:pt idx="21">
                  <c:v>84</c:v>
                </c:pt>
                <c:pt idx="22">
                  <c:v>86</c:v>
                </c:pt>
                <c:pt idx="23">
                  <c:v>79</c:v>
                </c:pt>
                <c:pt idx="24">
                  <c:v>95</c:v>
                </c:pt>
                <c:pt idx="25">
                  <c:v>100</c:v>
                </c:pt>
                <c:pt idx="26">
                  <c:v>89</c:v>
                </c:pt>
                <c:pt idx="27">
                  <c:v>95</c:v>
                </c:pt>
                <c:pt idx="28">
                  <c:v>85</c:v>
                </c:pt>
                <c:pt idx="29">
                  <c:v>86</c:v>
                </c:pt>
                <c:pt idx="30">
                  <c:v>100</c:v>
                </c:pt>
                <c:pt idx="31">
                  <c:v>94</c:v>
                </c:pt>
                <c:pt idx="32">
                  <c:v>105</c:v>
                </c:pt>
                <c:pt idx="33">
                  <c:v>324</c:v>
                </c:pt>
              </c:numCache>
            </c:numRef>
          </c:val>
          <c:smooth val="0"/>
        </c:ser>
        <c:ser>
          <c:idx val="3"/>
          <c:order val="3"/>
          <c:tx>
            <c:strRef>
              <c:f>'Sheet1 (3)'!$R$6</c:f>
              <c:strCache>
                <c:ptCount val="1"/>
                <c:pt idx="0">
                  <c:v>3</c:v>
                </c:pt>
              </c:strCache>
            </c:strRef>
          </c:tx>
          <c:marker>
            <c:symbol val="none"/>
          </c:marker>
          <c:cat>
            <c:strRef>
              <c:f>'Sheet1 (3)'!$N$7:$N$40</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 (3)'!$R$7:$R$40</c:f>
              <c:numCache>
                <c:formatCode>_-* #,##0_-;\-* #,##0_-;_-* "-"??_-;_-@_-</c:formatCode>
                <c:ptCount val="34"/>
                <c:pt idx="0">
                  <c:v>12</c:v>
                </c:pt>
                <c:pt idx="1">
                  <c:v>14</c:v>
                </c:pt>
                <c:pt idx="2">
                  <c:v>22</c:v>
                </c:pt>
                <c:pt idx="3">
                  <c:v>17</c:v>
                </c:pt>
                <c:pt idx="4">
                  <c:v>20</c:v>
                </c:pt>
                <c:pt idx="5">
                  <c:v>18</c:v>
                </c:pt>
                <c:pt idx="6">
                  <c:v>18</c:v>
                </c:pt>
                <c:pt idx="7">
                  <c:v>19</c:v>
                </c:pt>
                <c:pt idx="8">
                  <c:v>18</c:v>
                </c:pt>
                <c:pt idx="9">
                  <c:v>20</c:v>
                </c:pt>
                <c:pt idx="10">
                  <c:v>21</c:v>
                </c:pt>
                <c:pt idx="11">
                  <c:v>19</c:v>
                </c:pt>
                <c:pt idx="12">
                  <c:v>16</c:v>
                </c:pt>
                <c:pt idx="13">
                  <c:v>31</c:v>
                </c:pt>
                <c:pt idx="14">
                  <c:v>23</c:v>
                </c:pt>
                <c:pt idx="15">
                  <c:v>26</c:v>
                </c:pt>
                <c:pt idx="16">
                  <c:v>19</c:v>
                </c:pt>
                <c:pt idx="17">
                  <c:v>29</c:v>
                </c:pt>
                <c:pt idx="18">
                  <c:v>24</c:v>
                </c:pt>
                <c:pt idx="19">
                  <c:v>24</c:v>
                </c:pt>
                <c:pt idx="20">
                  <c:v>18</c:v>
                </c:pt>
                <c:pt idx="21">
                  <c:v>18</c:v>
                </c:pt>
                <c:pt idx="22">
                  <c:v>4</c:v>
                </c:pt>
                <c:pt idx="23">
                  <c:v>21</c:v>
                </c:pt>
                <c:pt idx="24">
                  <c:v>11</c:v>
                </c:pt>
                <c:pt idx="25">
                  <c:v>20</c:v>
                </c:pt>
                <c:pt idx="26">
                  <c:v>27</c:v>
                </c:pt>
                <c:pt idx="27">
                  <c:v>25</c:v>
                </c:pt>
                <c:pt idx="28">
                  <c:v>14</c:v>
                </c:pt>
                <c:pt idx="29">
                  <c:v>14</c:v>
                </c:pt>
                <c:pt idx="30">
                  <c:v>18</c:v>
                </c:pt>
                <c:pt idx="31">
                  <c:v>20</c:v>
                </c:pt>
                <c:pt idx="32">
                  <c:v>16</c:v>
                </c:pt>
                <c:pt idx="33">
                  <c:v>72</c:v>
                </c:pt>
              </c:numCache>
            </c:numRef>
          </c:val>
          <c:smooth val="0"/>
        </c:ser>
        <c:ser>
          <c:idx val="4"/>
          <c:order val="4"/>
          <c:tx>
            <c:strRef>
              <c:f>'Sheet1 (3)'!$S$6</c:f>
              <c:strCache>
                <c:ptCount val="1"/>
                <c:pt idx="0">
                  <c:v>4</c:v>
                </c:pt>
              </c:strCache>
            </c:strRef>
          </c:tx>
          <c:marker>
            <c:symbol val="none"/>
          </c:marker>
          <c:cat>
            <c:strRef>
              <c:f>'Sheet1 (3)'!$N$7:$N$40</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 (3)'!$S$7:$S$40</c:f>
              <c:numCache>
                <c:formatCode>_-* #,##0_-;\-* #,##0_-;_-* "-"??_-;_-@_-</c:formatCode>
                <c:ptCount val="34"/>
                <c:pt idx="0">
                  <c:v>1</c:v>
                </c:pt>
                <c:pt idx="1">
                  <c:v>3</c:v>
                </c:pt>
                <c:pt idx="2">
                  <c:v>4</c:v>
                </c:pt>
                <c:pt idx="3">
                  <c:v>3</c:v>
                </c:pt>
                <c:pt idx="5">
                  <c:v>1</c:v>
                </c:pt>
                <c:pt idx="6">
                  <c:v>1</c:v>
                </c:pt>
                <c:pt idx="7">
                  <c:v>5</c:v>
                </c:pt>
                <c:pt idx="8">
                  <c:v>5</c:v>
                </c:pt>
                <c:pt idx="9">
                  <c:v>2</c:v>
                </c:pt>
                <c:pt idx="10">
                  <c:v>4</c:v>
                </c:pt>
                <c:pt idx="11">
                  <c:v>5</c:v>
                </c:pt>
                <c:pt idx="12">
                  <c:v>4</c:v>
                </c:pt>
                <c:pt idx="13">
                  <c:v>2</c:v>
                </c:pt>
                <c:pt idx="14">
                  <c:v>3</c:v>
                </c:pt>
                <c:pt idx="15">
                  <c:v>2</c:v>
                </c:pt>
                <c:pt idx="17">
                  <c:v>1</c:v>
                </c:pt>
                <c:pt idx="18">
                  <c:v>4</c:v>
                </c:pt>
                <c:pt idx="19">
                  <c:v>1</c:v>
                </c:pt>
                <c:pt idx="20">
                  <c:v>1</c:v>
                </c:pt>
                <c:pt idx="21">
                  <c:v>1</c:v>
                </c:pt>
                <c:pt idx="22">
                  <c:v>2</c:v>
                </c:pt>
                <c:pt idx="23">
                  <c:v>2</c:v>
                </c:pt>
                <c:pt idx="24">
                  <c:v>3</c:v>
                </c:pt>
                <c:pt idx="25">
                  <c:v>2</c:v>
                </c:pt>
                <c:pt idx="27">
                  <c:v>10</c:v>
                </c:pt>
                <c:pt idx="28">
                  <c:v>4</c:v>
                </c:pt>
                <c:pt idx="29">
                  <c:v>4</c:v>
                </c:pt>
                <c:pt idx="30">
                  <c:v>5</c:v>
                </c:pt>
                <c:pt idx="31">
                  <c:v>2</c:v>
                </c:pt>
                <c:pt idx="32">
                  <c:v>2</c:v>
                </c:pt>
                <c:pt idx="33">
                  <c:v>18</c:v>
                </c:pt>
              </c:numCache>
            </c:numRef>
          </c:val>
          <c:smooth val="0"/>
        </c:ser>
        <c:ser>
          <c:idx val="5"/>
          <c:order val="5"/>
          <c:tx>
            <c:strRef>
              <c:f>'Sheet1 (3)'!$T$6</c:f>
              <c:strCache>
                <c:ptCount val="1"/>
                <c:pt idx="0">
                  <c:v>5</c:v>
                </c:pt>
              </c:strCache>
            </c:strRef>
          </c:tx>
          <c:marker>
            <c:symbol val="none"/>
          </c:marker>
          <c:cat>
            <c:strRef>
              <c:f>'Sheet1 (3)'!$N$7:$N$40</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'Sheet1 (3)'!$T$7:$T$40</c:f>
              <c:numCache>
                <c:formatCode>_-* #,##0_-;\-* #,##0_-;_-* "-"??_-;_-@_-</c:formatCode>
                <c:ptCount val="34"/>
                <c:pt idx="0">
                  <c:v>618</c:v>
                </c:pt>
                <c:pt idx="1">
                  <c:v>652</c:v>
                </c:pt>
                <c:pt idx="2">
                  <c:v>678</c:v>
                </c:pt>
                <c:pt idx="3">
                  <c:v>713</c:v>
                </c:pt>
                <c:pt idx="4">
                  <c:v>679</c:v>
                </c:pt>
                <c:pt idx="5">
                  <c:v>704</c:v>
                </c:pt>
                <c:pt idx="6">
                  <c:v>633</c:v>
                </c:pt>
                <c:pt idx="7">
                  <c:v>709</c:v>
                </c:pt>
                <c:pt idx="8">
                  <c:v>644</c:v>
                </c:pt>
                <c:pt idx="9">
                  <c:v>641</c:v>
                </c:pt>
                <c:pt idx="10">
                  <c:v>643</c:v>
                </c:pt>
                <c:pt idx="11">
                  <c:v>668</c:v>
                </c:pt>
                <c:pt idx="12">
                  <c:v>753</c:v>
                </c:pt>
                <c:pt idx="13">
                  <c:v>745</c:v>
                </c:pt>
                <c:pt idx="14">
                  <c:v>831</c:v>
                </c:pt>
                <c:pt idx="15">
                  <c:v>888</c:v>
                </c:pt>
                <c:pt idx="16">
                  <c:v>801</c:v>
                </c:pt>
                <c:pt idx="17">
                  <c:v>810</c:v>
                </c:pt>
                <c:pt idx="18">
                  <c:v>872</c:v>
                </c:pt>
                <c:pt idx="19">
                  <c:v>952</c:v>
                </c:pt>
                <c:pt idx="20">
                  <c:v>924</c:v>
                </c:pt>
                <c:pt idx="21">
                  <c:v>910</c:v>
                </c:pt>
                <c:pt idx="22">
                  <c:v>925</c:v>
                </c:pt>
                <c:pt idx="23">
                  <c:v>1023</c:v>
                </c:pt>
                <c:pt idx="24">
                  <c:v>1012</c:v>
                </c:pt>
                <c:pt idx="25">
                  <c:v>1097</c:v>
                </c:pt>
                <c:pt idx="26">
                  <c:v>1059</c:v>
                </c:pt>
                <c:pt idx="27">
                  <c:v>1110</c:v>
                </c:pt>
                <c:pt idx="28">
                  <c:v>1136</c:v>
                </c:pt>
                <c:pt idx="29">
                  <c:v>1106</c:v>
                </c:pt>
                <c:pt idx="30">
                  <c:v>1172</c:v>
                </c:pt>
                <c:pt idx="31">
                  <c:v>1156</c:v>
                </c:pt>
                <c:pt idx="32">
                  <c:v>1165</c:v>
                </c:pt>
                <c:pt idx="33">
                  <c:v>2491</c:v>
                </c:pt>
              </c:numCache>
            </c:numRef>
          </c:val>
          <c:smooth val="0"/>
        </c:ser>
        <c:dLbls>
          <c:showLegendKey val="0"/>
          <c:showVal val="0"/>
          <c:showCatName val="0"/>
          <c:showSerName val="0"/>
          <c:showPercent val="0"/>
          <c:showBubbleSize val="0"/>
        </c:dLbls>
        <c:marker val="1"/>
        <c:smooth val="0"/>
        <c:axId val="344004096"/>
        <c:axId val="344006016"/>
      </c:lineChart>
      <c:catAx>
        <c:axId val="344004096"/>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344006016"/>
        <c:crosses val="autoZero"/>
        <c:auto val="1"/>
        <c:lblAlgn val="ctr"/>
        <c:lblOffset val="100"/>
        <c:noMultiLvlLbl val="0"/>
      </c:catAx>
      <c:valAx>
        <c:axId val="344006016"/>
        <c:scaling>
          <c:orientation val="minMax"/>
        </c:scaling>
        <c:delete val="0"/>
        <c:axPos val="l"/>
        <c:majorGridlines/>
        <c:title>
          <c:tx>
            <c:rich>
              <a:bodyPr rot="-5400000" vert="horz"/>
              <a:lstStyle/>
              <a:p>
                <a:pPr>
                  <a:defRPr/>
                </a:pPr>
                <a:r>
                  <a:rPr lang="en-AU" b="0"/>
                  <a:t>Original</a:t>
                </a:r>
                <a:r>
                  <a:rPr lang="en-AU" b="0" baseline="0"/>
                  <a:t> prescriptions</a:t>
                </a:r>
                <a:endParaRPr lang="en-AU" b="0"/>
              </a:p>
            </c:rich>
          </c:tx>
          <c:overlay val="0"/>
        </c:title>
        <c:numFmt formatCode="_-* #,##0_-;\-* #,##0_-;_-* &quot;-&quot;??_-;_-@_-" sourceLinked="1"/>
        <c:majorTickMark val="out"/>
        <c:minorTickMark val="none"/>
        <c:tickLblPos val="nextTo"/>
        <c:crossAx val="344004096"/>
        <c:crosses val="autoZero"/>
        <c:crossBetween val="midCat"/>
      </c:valAx>
    </c:plotArea>
    <c:legend>
      <c:legendPos val="r"/>
      <c:overlay val="0"/>
    </c:legend>
    <c:plotVisOnly val="1"/>
    <c:dispBlanksAs val="gap"/>
    <c:showDLblsOverMax val="0"/>
  </c:chart>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'[D953 - DUSC_SCRPT_SUM.xlsx]Itraconazole'!$F$5</c:f>
              <c:strCache>
                <c:ptCount val="1"/>
                <c:pt idx="0">
                  <c:v>100 mg capsule</c:v>
                </c:pt>
              </c:strCache>
            </c:strRef>
          </c:tx>
          <c:cat>
            <c:strRef>
              <c:f>'[D953 - DUSC_SCRPT_SUM.xlsx]Itraconazole'!$E$6:$E$39</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'[D953 - DUSC_SCRPT_SUM.xlsx]Itraconazole'!$F$6:$F$39</c:f>
              <c:numCache>
                <c:formatCode>#,##0</c:formatCode>
                <c:ptCount val="34"/>
                <c:pt idx="0">
                  <c:v>1289</c:v>
                </c:pt>
                <c:pt idx="1">
                  <c:v>1370</c:v>
                </c:pt>
                <c:pt idx="2">
                  <c:v>1475</c:v>
                </c:pt>
                <c:pt idx="3">
                  <c:v>1631</c:v>
                </c:pt>
                <c:pt idx="4">
                  <c:v>1316</c:v>
                </c:pt>
                <c:pt idx="5">
                  <c:v>1395</c:v>
                </c:pt>
                <c:pt idx="6">
                  <c:v>1470</c:v>
                </c:pt>
                <c:pt idx="7">
                  <c:v>1445</c:v>
                </c:pt>
                <c:pt idx="8">
                  <c:v>1290</c:v>
                </c:pt>
                <c:pt idx="9">
                  <c:v>1494</c:v>
                </c:pt>
                <c:pt idx="10">
                  <c:v>1544</c:v>
                </c:pt>
                <c:pt idx="11">
                  <c:v>1628</c:v>
                </c:pt>
                <c:pt idx="12">
                  <c:v>1338</c:v>
                </c:pt>
                <c:pt idx="13">
                  <c:v>1604</c:v>
                </c:pt>
                <c:pt idx="14">
                  <c:v>1607</c:v>
                </c:pt>
                <c:pt idx="15">
                  <c:v>1830</c:v>
                </c:pt>
                <c:pt idx="16">
                  <c:v>1659</c:v>
                </c:pt>
                <c:pt idx="17">
                  <c:v>1876</c:v>
                </c:pt>
                <c:pt idx="18">
                  <c:v>1974</c:v>
                </c:pt>
                <c:pt idx="19">
                  <c:v>2223</c:v>
                </c:pt>
                <c:pt idx="20">
                  <c:v>1859</c:v>
                </c:pt>
                <c:pt idx="21">
                  <c:v>2068</c:v>
                </c:pt>
                <c:pt idx="22">
                  <c:v>2157</c:v>
                </c:pt>
                <c:pt idx="23">
                  <c:v>2341</c:v>
                </c:pt>
                <c:pt idx="24">
                  <c:v>1992</c:v>
                </c:pt>
                <c:pt idx="25">
                  <c:v>2303</c:v>
                </c:pt>
                <c:pt idx="26">
                  <c:v>2398</c:v>
                </c:pt>
                <c:pt idx="27">
                  <c:v>2590</c:v>
                </c:pt>
                <c:pt idx="28">
                  <c:v>2211</c:v>
                </c:pt>
                <c:pt idx="29">
                  <c:v>2417</c:v>
                </c:pt>
                <c:pt idx="30">
                  <c:v>2478</c:v>
                </c:pt>
                <c:pt idx="31">
                  <c:v>2896</c:v>
                </c:pt>
                <c:pt idx="32">
                  <c:v>2292</c:v>
                </c:pt>
                <c:pt idx="33" formatCode="General">
                  <c:v>2765</c:v>
                </c:pt>
              </c:numCache>
            </c:numRef>
          </c:val>
          <c:smooth val="0"/>
          <c:extLst xmlns:c16r2="http://schemas.microsoft.com/office/drawing/2015/06/chart">
            <c:ext xmlns:c16="http://schemas.microsoft.com/office/drawing/2014/chart" uri="{C3380CC4-5D6E-409C-BE32-E72D297353CC}">
              <c16:uniqueId val="{00000000-415E-4AE4-AD35-992378DCC856}"/>
            </c:ext>
          </c:extLst>
        </c:ser>
        <c:ser>
          <c:idx val="1"/>
          <c:order val="1"/>
          <c:tx>
            <c:strRef>
              <c:f>'[D953 - DUSC_SCRPT_SUM.xlsx]Itraconazole'!$G$5</c:f>
              <c:strCache>
                <c:ptCount val="1"/>
                <c:pt idx="0">
                  <c:v>50 mg capsule</c:v>
                </c:pt>
              </c:strCache>
            </c:strRef>
          </c:tx>
          <c:spPr>
            <a:ln>
              <a:solidFill>
                <a:srgbClr val="002060"/>
              </a:solidFill>
            </a:ln>
          </c:spPr>
          <c:marker>
            <c:symbol val="square"/>
            <c:size val="7"/>
            <c:spPr>
              <a:solidFill>
                <a:srgbClr val="1F497D"/>
              </a:solidFill>
              <a:ln>
                <a:solidFill>
                  <a:srgbClr val="002060"/>
                </a:solidFill>
              </a:ln>
            </c:spPr>
          </c:marker>
          <c:dPt>
            <c:idx val="33"/>
            <c:bubble3D val="0"/>
            <c:extLst xmlns:c16r2="http://schemas.microsoft.com/office/drawing/2015/06/chart">
              <c:ext xmlns:c16="http://schemas.microsoft.com/office/drawing/2014/chart" uri="{C3380CC4-5D6E-409C-BE32-E72D297353CC}">
                <c16:uniqueId val="{00000001-415E-4AE4-AD35-992378DCC856}"/>
              </c:ext>
            </c:extLst>
          </c:dPt>
          <c:cat>
            <c:strRef>
              <c:f>'[D953 - DUSC_SCRPT_SUM.xlsx]Itraconazole'!$E$6:$E$39</c:f>
              <c:strCache>
                <c:ptCount val="34"/>
                <c:pt idx="0">
                  <c:v> 2008Q1</c:v>
                </c:pt>
                <c:pt idx="1">
                  <c:v> 2008Q2</c:v>
                </c:pt>
                <c:pt idx="2">
                  <c:v> 2008Q3</c:v>
                </c:pt>
                <c:pt idx="3">
                  <c:v> 2008Q4</c:v>
                </c:pt>
                <c:pt idx="4">
                  <c:v> 2009Q1</c:v>
                </c:pt>
                <c:pt idx="5">
                  <c:v> 2009Q2</c:v>
                </c:pt>
                <c:pt idx="6">
                  <c:v> 2009Q3</c:v>
                </c:pt>
                <c:pt idx="7">
                  <c:v> 2009Q4</c:v>
                </c:pt>
                <c:pt idx="8">
                  <c:v> 2010Q1</c:v>
                </c:pt>
                <c:pt idx="9">
                  <c:v> 2010Q2</c:v>
                </c:pt>
                <c:pt idx="10">
                  <c:v> 2010Q3</c:v>
                </c:pt>
                <c:pt idx="11">
                  <c:v> 2010Q4</c:v>
                </c:pt>
                <c:pt idx="12">
                  <c:v> 2011Q1</c:v>
                </c:pt>
                <c:pt idx="13">
                  <c:v> 2011Q2</c:v>
                </c:pt>
                <c:pt idx="14">
                  <c:v> 2011Q3</c:v>
                </c:pt>
                <c:pt idx="15">
                  <c:v> 2011Q4</c:v>
                </c:pt>
                <c:pt idx="16">
                  <c:v> 2012Q1</c:v>
                </c:pt>
                <c:pt idx="17">
                  <c:v> 2012Q2</c:v>
                </c:pt>
                <c:pt idx="18">
                  <c:v> 2012Q3</c:v>
                </c:pt>
                <c:pt idx="19">
                  <c:v> 2012Q4</c:v>
                </c:pt>
                <c:pt idx="20">
                  <c:v> 2013Q1</c:v>
                </c:pt>
                <c:pt idx="21">
                  <c:v> 2013Q2</c:v>
                </c:pt>
                <c:pt idx="22">
                  <c:v> 2013Q3</c:v>
                </c:pt>
                <c:pt idx="23">
                  <c:v> 2013Q4</c:v>
                </c:pt>
                <c:pt idx="24">
                  <c:v> 2014Q1</c:v>
                </c:pt>
                <c:pt idx="25">
                  <c:v> 2014Q2</c:v>
                </c:pt>
                <c:pt idx="26">
                  <c:v> 2014Q3</c:v>
                </c:pt>
                <c:pt idx="27">
                  <c:v> 2014Q4</c:v>
                </c:pt>
                <c:pt idx="28">
                  <c:v> 2015Q1</c:v>
                </c:pt>
                <c:pt idx="29">
                  <c:v> 2015Q2</c:v>
                </c:pt>
                <c:pt idx="30">
                  <c:v> 2015Q3</c:v>
                </c:pt>
                <c:pt idx="31">
                  <c:v> 2015Q4</c:v>
                </c:pt>
                <c:pt idx="32">
                  <c:v> 2016Q1</c:v>
                </c:pt>
                <c:pt idx="33">
                  <c:v> 2016Q2</c:v>
                </c:pt>
              </c:strCache>
            </c:strRef>
          </c:cat>
          <c:val>
            <c:numRef>
              <c:f>'[D953 - DUSC_SCRPT_SUM.xlsx]Itraconazole'!$G$6:$G$39</c:f>
              <c:numCache>
                <c:formatCode>General</c:formatCode>
                <c:ptCount val="34"/>
                <c:pt idx="33">
                  <c:v>183</c:v>
                </c:pt>
              </c:numCache>
            </c:numRef>
          </c:val>
          <c:smooth val="0"/>
          <c:extLst xmlns:c16r2="http://schemas.microsoft.com/office/drawing/2015/06/chart">
            <c:ext xmlns:c16="http://schemas.microsoft.com/office/drawing/2014/chart" uri="{C3380CC4-5D6E-409C-BE32-E72D297353CC}">
              <c16:uniqueId val="{00000002-415E-4AE4-AD35-992378DCC856}"/>
            </c:ext>
          </c:extLst>
        </c:ser>
        <c:dLbls>
          <c:showLegendKey val="0"/>
          <c:showVal val="0"/>
          <c:showCatName val="0"/>
          <c:showSerName val="0"/>
          <c:showPercent val="0"/>
          <c:showBubbleSize val="0"/>
        </c:dLbls>
        <c:marker val="1"/>
        <c:smooth val="0"/>
        <c:axId val="344051072"/>
        <c:axId val="344135552"/>
      </c:lineChart>
      <c:catAx>
        <c:axId val="344051072"/>
        <c:scaling>
          <c:orientation val="minMax"/>
        </c:scaling>
        <c:delete val="0"/>
        <c:axPos val="b"/>
        <c:title>
          <c:tx>
            <c:rich>
              <a:bodyPr/>
              <a:lstStyle/>
              <a:p>
                <a:pPr>
                  <a:defRPr/>
                </a:pPr>
                <a:r>
                  <a:rPr lang="en-AU" b="0"/>
                  <a:t>Quarter</a:t>
                </a:r>
              </a:p>
            </c:rich>
          </c:tx>
          <c:overlay val="0"/>
        </c:title>
        <c:numFmt formatCode="General" sourceLinked="0"/>
        <c:majorTickMark val="out"/>
        <c:minorTickMark val="none"/>
        <c:tickLblPos val="nextTo"/>
        <c:crossAx val="344135552"/>
        <c:crosses val="autoZero"/>
        <c:auto val="1"/>
        <c:lblAlgn val="ctr"/>
        <c:lblOffset val="100"/>
        <c:noMultiLvlLbl val="0"/>
      </c:catAx>
      <c:valAx>
        <c:axId val="344135552"/>
        <c:scaling>
          <c:orientation val="minMax"/>
          <c:max val="3000"/>
        </c:scaling>
        <c:delete val="0"/>
        <c:axPos val="l"/>
        <c:majorGridlines/>
        <c:title>
          <c:tx>
            <c:rich>
              <a:bodyPr rot="-5400000" vert="horz"/>
              <a:lstStyle/>
              <a:p>
                <a:pPr>
                  <a:defRPr/>
                </a:pPr>
                <a:r>
                  <a:rPr lang="en-AU" b="0"/>
                  <a:t>Prescriptions</a:t>
                </a:r>
              </a:p>
            </c:rich>
          </c:tx>
          <c:overlay val="0"/>
        </c:title>
        <c:numFmt formatCode="#,##0" sourceLinked="1"/>
        <c:majorTickMark val="out"/>
        <c:minorTickMark val="none"/>
        <c:tickLblPos val="nextTo"/>
        <c:crossAx val="344051072"/>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0.3658</cdr:x>
      <cdr:y>0.18548</cdr:y>
    </cdr:from>
    <cdr:to>
      <cdr:x>0.36733</cdr:x>
      <cdr:y>0.73613</cdr:y>
    </cdr:to>
    <cdr:cxnSp macro="">
      <cdr:nvCxnSpPr>
        <cdr:cNvPr id="3" name="Straight Connector 2"/>
        <cdr:cNvCxnSpPr/>
      </cdr:nvCxnSpPr>
      <cdr:spPr>
        <a:xfrm xmlns:a="http://schemas.openxmlformats.org/drawingml/2006/main" flipH="1" flipV="1">
          <a:off x="3076575" y="657225"/>
          <a:ext cx="12860" cy="1951103"/>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0.71383</cdr:x>
      <cdr:y>0.19578</cdr:y>
    </cdr:from>
    <cdr:to>
      <cdr:x>0.71517</cdr:x>
      <cdr:y>0.7587</cdr:y>
    </cdr:to>
    <cdr:cxnSp macro="">
      <cdr:nvCxnSpPr>
        <cdr:cNvPr id="5" name="Straight Connector 4"/>
        <cdr:cNvCxnSpPr/>
      </cdr:nvCxnSpPr>
      <cdr:spPr>
        <a:xfrm xmlns:a="http://schemas.openxmlformats.org/drawingml/2006/main" flipH="1" flipV="1">
          <a:off x="6003742" y="693714"/>
          <a:ext cx="11270" cy="1994594"/>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0.64027</cdr:x>
      <cdr:y>0.14749</cdr:y>
    </cdr:from>
    <cdr:to>
      <cdr:x>0.81074</cdr:x>
      <cdr:y>0.25575</cdr:y>
    </cdr:to>
    <cdr:sp macro="" textlink="">
      <cdr:nvSpPr>
        <cdr:cNvPr id="6" name="TextBox 5"/>
        <cdr:cNvSpPr txBox="1"/>
      </cdr:nvSpPr>
      <cdr:spPr>
        <a:xfrm xmlns:a="http://schemas.openxmlformats.org/drawingml/2006/main">
          <a:off x="4543423" y="519102"/>
          <a:ext cx="1209678" cy="381011"/>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Ketoconazole</a:t>
          </a:r>
          <a:r>
            <a:rPr lang="en-AU" sz="800" baseline="0"/>
            <a:t>  removed</a:t>
          </a:r>
        </a:p>
        <a:p xmlns:a="http://schemas.openxmlformats.org/drawingml/2006/main">
          <a:pPr algn="ctr"/>
          <a:r>
            <a:rPr lang="en-AU" sz="800" baseline="0"/>
            <a:t>Dec 2013</a:t>
          </a:r>
          <a:endParaRPr lang="en-AU" sz="800"/>
        </a:p>
      </cdr:txBody>
    </cdr:sp>
  </cdr:relSizeAnchor>
  <cdr:relSizeAnchor xmlns:cdr="http://schemas.openxmlformats.org/drawingml/2006/chartDrawing">
    <cdr:from>
      <cdr:x>0.26085</cdr:x>
      <cdr:y>0.3392</cdr:y>
    </cdr:from>
    <cdr:to>
      <cdr:x>0.46443</cdr:x>
      <cdr:y>0.40189</cdr:y>
    </cdr:to>
    <cdr:sp macro="" textlink="">
      <cdr:nvSpPr>
        <cdr:cNvPr id="8" name="TextBox 1"/>
        <cdr:cNvSpPr txBox="1"/>
      </cdr:nvSpPr>
      <cdr:spPr>
        <a:xfrm xmlns:a="http://schemas.openxmlformats.org/drawingml/2006/main">
          <a:off x="1851025" y="1193800"/>
          <a:ext cx="1444625" cy="220663"/>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800"/>
            <a:t>Amportericin delisted</a:t>
          </a:r>
        </a:p>
      </cdr:txBody>
    </cdr:sp>
  </cdr:relSizeAnchor>
  <cdr:relSizeAnchor xmlns:cdr="http://schemas.openxmlformats.org/drawingml/2006/chartDrawing">
    <cdr:from>
      <cdr:x>0.55225</cdr:x>
      <cdr:y>0.18412</cdr:y>
    </cdr:from>
    <cdr:to>
      <cdr:x>0.55359</cdr:x>
      <cdr:y>0.74704</cdr:y>
    </cdr:to>
    <cdr:cxnSp macro="">
      <cdr:nvCxnSpPr>
        <cdr:cNvPr id="7" name="Straight Connector 6"/>
        <cdr:cNvCxnSpPr/>
      </cdr:nvCxnSpPr>
      <cdr:spPr>
        <a:xfrm xmlns:a="http://schemas.openxmlformats.org/drawingml/2006/main" flipH="1" flipV="1">
          <a:off x="4644761" y="589262"/>
          <a:ext cx="11270" cy="1801569"/>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0.41783</cdr:x>
      <cdr:y>0.15805</cdr:y>
    </cdr:from>
    <cdr:to>
      <cdr:x>0.63125</cdr:x>
      <cdr:y>0.26089</cdr:y>
    </cdr:to>
    <cdr:sp macro="" textlink="">
      <cdr:nvSpPr>
        <cdr:cNvPr id="4" name="TextBox 3"/>
        <cdr:cNvSpPr txBox="1"/>
      </cdr:nvSpPr>
      <cdr:spPr>
        <a:xfrm xmlns:a="http://schemas.openxmlformats.org/drawingml/2006/main">
          <a:off x="3514170" y="505810"/>
          <a:ext cx="1794985" cy="329129"/>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750"/>
            <a:t>Collection of under copayment data</a:t>
          </a:r>
        </a:p>
        <a:p xmlns:a="http://schemas.openxmlformats.org/drawingml/2006/main">
          <a:pPr algn="ctr"/>
          <a:r>
            <a:rPr lang="en-AU" sz="750"/>
            <a:t>April 2012</a:t>
          </a:r>
        </a:p>
      </cdr:txBody>
    </cdr:sp>
  </cdr:relSizeAnchor>
  <cdr:relSizeAnchor xmlns:cdr="http://schemas.openxmlformats.org/drawingml/2006/chartDrawing">
    <cdr:from>
      <cdr:x>0.97763</cdr:x>
      <cdr:y>0.18493</cdr:y>
    </cdr:from>
    <cdr:to>
      <cdr:x>0.97897</cdr:x>
      <cdr:y>0.74785</cdr:y>
    </cdr:to>
    <cdr:cxnSp macro="">
      <cdr:nvCxnSpPr>
        <cdr:cNvPr id="9" name="Straight Connector 8"/>
        <cdr:cNvCxnSpPr/>
      </cdr:nvCxnSpPr>
      <cdr:spPr>
        <a:xfrm xmlns:a="http://schemas.openxmlformats.org/drawingml/2006/main" flipH="1" flipV="1">
          <a:off x="6937375" y="650875"/>
          <a:ext cx="9509" cy="1981190"/>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0.8443</cdr:x>
      <cdr:y>0.05819</cdr:y>
    </cdr:from>
    <cdr:to>
      <cdr:x>0.99329</cdr:x>
      <cdr:y>0.25034</cdr:y>
    </cdr:to>
    <cdr:sp macro="" textlink="">
      <cdr:nvSpPr>
        <cdr:cNvPr id="2" name="TextBox 1"/>
        <cdr:cNvSpPr txBox="1"/>
      </cdr:nvSpPr>
      <cdr:spPr>
        <a:xfrm xmlns:a="http://schemas.openxmlformats.org/drawingml/2006/main">
          <a:off x="5991225" y="204788"/>
          <a:ext cx="1057274" cy="676275"/>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Restricted</a:t>
          </a:r>
          <a:r>
            <a:rPr lang="en-AU" sz="800" baseline="0"/>
            <a:t> benefit</a:t>
          </a:r>
          <a:br>
            <a:rPr lang="en-AU" sz="800" baseline="0"/>
          </a:br>
          <a:r>
            <a:rPr lang="en-AU" sz="800" baseline="0"/>
            <a:t> listing of fluconazole </a:t>
          </a:r>
          <a:br>
            <a:rPr lang="en-AU" sz="800" baseline="0"/>
          </a:br>
          <a:r>
            <a:rPr lang="en-AU" sz="800" baseline="0"/>
            <a:t>and itraconazole</a:t>
          </a:r>
        </a:p>
        <a:p xmlns:a="http://schemas.openxmlformats.org/drawingml/2006/main">
          <a:pPr algn="ctr"/>
          <a:r>
            <a:rPr lang="en-AU" sz="800" baseline="0"/>
            <a:t>April 2016</a:t>
          </a:r>
          <a:endParaRPr lang="en-AU" sz="800"/>
        </a:p>
      </cdr:txBody>
    </cdr:sp>
  </cdr:relSizeAnchor>
</c:userShapes>
</file>

<file path=word/drawings/drawing10.xml><?xml version="1.0" encoding="utf-8"?>
<c:userShapes xmlns:c="http://schemas.openxmlformats.org/drawingml/2006/chart">
  <cdr:relSizeAnchor xmlns:cdr="http://schemas.openxmlformats.org/drawingml/2006/chartDrawing">
    <cdr:from>
      <cdr:x>0.51412</cdr:x>
      <cdr:y>0.1421</cdr:y>
    </cdr:from>
    <cdr:to>
      <cdr:x>0.51412</cdr:x>
      <cdr:y>0.80965</cdr:y>
    </cdr:to>
    <cdr:cxnSp macro="">
      <cdr:nvCxnSpPr>
        <cdr:cNvPr id="4" name="Straight Connector 3"/>
        <cdr:cNvCxnSpPr/>
      </cdr:nvCxnSpPr>
      <cdr:spPr>
        <a:xfrm xmlns:a="http://schemas.openxmlformats.org/drawingml/2006/main" flipV="1">
          <a:off x="2924175" y="409575"/>
          <a:ext cx="0" cy="192405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0.48706</cdr:x>
      <cdr:y>0.11411</cdr:y>
    </cdr:from>
    <cdr:to>
      <cdr:x>0.72146</cdr:x>
      <cdr:y>0.24324</cdr:y>
    </cdr:to>
    <cdr:sp macro="" textlink="">
      <cdr:nvSpPr>
        <cdr:cNvPr id="3" name="TextBox 2"/>
        <cdr:cNvSpPr txBox="1"/>
      </cdr:nvSpPr>
      <cdr:spPr>
        <a:xfrm xmlns:a="http://schemas.openxmlformats.org/drawingml/2006/main">
          <a:off x="3048001" y="361950"/>
          <a:ext cx="1466850" cy="409575"/>
        </a:xfrm>
        <a:prstGeom xmlns:a="http://schemas.openxmlformats.org/drawingml/2006/main" prst="roundRect">
          <a:avLst/>
        </a:prstGeom>
        <a:solidFill xmlns:a="http://schemas.openxmlformats.org/drawingml/2006/main">
          <a:sysClr val="window" lastClr="FFFFFF"/>
        </a:solidFill>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AU" sz="800" b="0" i="0" u="none" strike="noStrike" kern="0" cap="none" spc="0" normalizeH="0" baseline="0" noProof="0">
              <a:ln>
                <a:noFill/>
              </a:ln>
              <a:solidFill>
                <a:prstClr val="black"/>
              </a:solidFill>
              <a:effectLst/>
              <a:uLnTx/>
              <a:uFillTx/>
              <a:latin typeface="+mn-lt"/>
              <a:ea typeface="+mn-ea"/>
              <a:cs typeface="+mn-cs"/>
            </a:rPr>
            <a:t>Posaconazole tablets listed</a:t>
          </a:r>
        </a:p>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AU" sz="800" b="0" i="0" u="none" strike="noStrike" kern="0" cap="none" spc="0" normalizeH="0" baseline="0" noProof="0">
              <a:ln>
                <a:noFill/>
              </a:ln>
              <a:solidFill>
                <a:prstClr val="black"/>
              </a:solidFill>
              <a:effectLst/>
              <a:uLnTx/>
              <a:uFillTx/>
              <a:latin typeface="+mn-lt"/>
              <a:ea typeface="+mn-ea"/>
              <a:cs typeface="+mn-cs"/>
            </a:rPr>
            <a:t>1 Sept 2015 </a:t>
          </a:r>
        </a:p>
      </cdr:txBody>
    </cdr:sp>
  </cdr:relSizeAnchor>
</c:userShapes>
</file>

<file path=word/drawings/drawing11.xml><?xml version="1.0" encoding="utf-8"?>
<c:userShapes xmlns:c="http://schemas.openxmlformats.org/drawingml/2006/chart">
  <cdr:relSizeAnchor xmlns:cdr="http://schemas.openxmlformats.org/drawingml/2006/chartDrawing">
    <cdr:from>
      <cdr:x>0.82245</cdr:x>
      <cdr:y>0.13897</cdr:y>
    </cdr:from>
    <cdr:to>
      <cdr:x>0.82412</cdr:x>
      <cdr:y>0.71903</cdr:y>
    </cdr:to>
    <cdr:cxnSp macro="">
      <cdr:nvCxnSpPr>
        <cdr:cNvPr id="3" name="Straight Connector 2"/>
        <cdr:cNvCxnSpPr/>
      </cdr:nvCxnSpPr>
      <cdr:spPr>
        <a:xfrm xmlns:a="http://schemas.openxmlformats.org/drawingml/2006/main" flipH="1" flipV="1">
          <a:off x="4676775" y="438150"/>
          <a:ext cx="9525" cy="1828800"/>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0.75042</cdr:x>
      <cdr:y>0.33837</cdr:y>
    </cdr:from>
    <cdr:to>
      <cdr:x>0.9062</cdr:x>
      <cdr:y>0.46828</cdr:y>
    </cdr:to>
    <cdr:sp macro="" textlink="">
      <cdr:nvSpPr>
        <cdr:cNvPr id="4" name="TextBox 3"/>
        <cdr:cNvSpPr txBox="1"/>
      </cdr:nvSpPr>
      <cdr:spPr>
        <a:xfrm xmlns:a="http://schemas.openxmlformats.org/drawingml/2006/main">
          <a:off x="4267200" y="1066800"/>
          <a:ext cx="885825" cy="409575"/>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Propylaxis listing</a:t>
          </a:r>
        </a:p>
        <a:p xmlns:a="http://schemas.openxmlformats.org/drawingml/2006/main">
          <a:pPr algn="ctr"/>
          <a:r>
            <a:rPr lang="en-AU" sz="800"/>
            <a:t>1 Dec 14</a:t>
          </a:r>
        </a:p>
      </cdr:txBody>
    </cdr:sp>
  </cdr:relSizeAnchor>
</c:userShapes>
</file>

<file path=word/drawings/drawing12.xml><?xml version="1.0" encoding="utf-8"?>
<c:userShapes xmlns:c="http://schemas.openxmlformats.org/drawingml/2006/chart">
  <cdr:relSizeAnchor xmlns:cdr="http://schemas.openxmlformats.org/drawingml/2006/chartDrawing">
    <cdr:from>
      <cdr:x>0.82257</cdr:x>
      <cdr:y>0.32137</cdr:y>
    </cdr:from>
    <cdr:to>
      <cdr:x>0.82429</cdr:x>
      <cdr:y>0.72094</cdr:y>
    </cdr:to>
    <cdr:cxnSp macro="">
      <cdr:nvCxnSpPr>
        <cdr:cNvPr id="3" name="Straight Connector 2"/>
        <cdr:cNvCxnSpPr/>
      </cdr:nvCxnSpPr>
      <cdr:spPr>
        <a:xfrm xmlns:a="http://schemas.openxmlformats.org/drawingml/2006/main" flipH="1" flipV="1">
          <a:off x="4678505" y="1013406"/>
          <a:ext cx="9782" cy="1260000"/>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0.80116</cdr:x>
      <cdr:y>0.22633</cdr:y>
    </cdr:from>
    <cdr:to>
      <cdr:x>0.96646</cdr:x>
      <cdr:y>0.35119</cdr:y>
    </cdr:to>
    <cdr:sp macro="" textlink="">
      <cdr:nvSpPr>
        <cdr:cNvPr id="4" name="TextBox 3"/>
        <cdr:cNvSpPr txBox="1"/>
      </cdr:nvSpPr>
      <cdr:spPr>
        <a:xfrm xmlns:a="http://schemas.openxmlformats.org/drawingml/2006/main">
          <a:off x="4556727" y="713720"/>
          <a:ext cx="940176" cy="393735"/>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Prophylaxis listing </a:t>
          </a:r>
        </a:p>
        <a:p xmlns:a="http://schemas.openxmlformats.org/drawingml/2006/main">
          <a:pPr algn="ctr"/>
          <a:r>
            <a:rPr lang="en-AU" sz="800"/>
            <a:t>1 Dec 14</a:t>
          </a:r>
        </a:p>
      </cdr:txBody>
    </cdr:sp>
  </cdr:relSizeAnchor>
</c:userShapes>
</file>

<file path=word/drawings/drawing13.xml><?xml version="1.0" encoding="utf-8"?>
<c:userShapes xmlns:c="http://schemas.openxmlformats.org/drawingml/2006/chart">
  <cdr:relSizeAnchor xmlns:cdr="http://schemas.openxmlformats.org/drawingml/2006/chartDrawing">
    <cdr:from>
      <cdr:x>0.38523</cdr:x>
      <cdr:y>0.18809</cdr:y>
    </cdr:from>
    <cdr:to>
      <cdr:x>0.38658</cdr:x>
      <cdr:y>0.75101</cdr:y>
    </cdr:to>
    <cdr:cxnSp macro="">
      <cdr:nvCxnSpPr>
        <cdr:cNvPr id="3" name="Straight Connector 2"/>
        <cdr:cNvCxnSpPr/>
      </cdr:nvCxnSpPr>
      <cdr:spPr>
        <a:xfrm xmlns:a="http://schemas.openxmlformats.org/drawingml/2006/main" flipH="1" flipV="1">
          <a:off x="2733675" y="661988"/>
          <a:ext cx="9525" cy="1981200"/>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0.72175</cdr:x>
      <cdr:y>0.19035</cdr:y>
    </cdr:from>
    <cdr:to>
      <cdr:x>0.72309</cdr:x>
      <cdr:y>0.75327</cdr:y>
    </cdr:to>
    <cdr:cxnSp macro="">
      <cdr:nvCxnSpPr>
        <cdr:cNvPr id="5" name="Straight Connector 4"/>
        <cdr:cNvCxnSpPr/>
      </cdr:nvCxnSpPr>
      <cdr:spPr>
        <a:xfrm xmlns:a="http://schemas.openxmlformats.org/drawingml/2006/main" flipH="1" flipV="1">
          <a:off x="5960356" y="667215"/>
          <a:ext cx="11066" cy="1973147"/>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0.69024</cdr:x>
      <cdr:y>0.1935</cdr:y>
    </cdr:from>
    <cdr:to>
      <cdr:x>0.89427</cdr:x>
      <cdr:y>0.31258</cdr:y>
    </cdr:to>
    <cdr:sp macro="" textlink="">
      <cdr:nvSpPr>
        <cdr:cNvPr id="6" name="TextBox 5"/>
        <cdr:cNvSpPr txBox="1"/>
      </cdr:nvSpPr>
      <cdr:spPr>
        <a:xfrm xmlns:a="http://schemas.openxmlformats.org/drawingml/2006/main">
          <a:off x="4930878" y="681026"/>
          <a:ext cx="1457540" cy="419101"/>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Ketoconazole</a:t>
          </a:r>
          <a:r>
            <a:rPr lang="en-AU" sz="800" baseline="0"/>
            <a:t>  removed</a:t>
          </a:r>
        </a:p>
        <a:p xmlns:a="http://schemas.openxmlformats.org/drawingml/2006/main">
          <a:pPr algn="ctr"/>
          <a:r>
            <a:rPr lang="en-AU" sz="800" baseline="0"/>
            <a:t>Dec 2013</a:t>
          </a:r>
          <a:endParaRPr lang="en-AU" sz="800"/>
        </a:p>
      </cdr:txBody>
    </cdr:sp>
  </cdr:relSizeAnchor>
  <cdr:relSizeAnchor xmlns:cdr="http://schemas.openxmlformats.org/drawingml/2006/chartDrawing">
    <cdr:from>
      <cdr:x>0.26085</cdr:x>
      <cdr:y>0.3392</cdr:y>
    </cdr:from>
    <cdr:to>
      <cdr:x>0.46443</cdr:x>
      <cdr:y>0.40189</cdr:y>
    </cdr:to>
    <cdr:sp macro="" textlink="">
      <cdr:nvSpPr>
        <cdr:cNvPr id="8" name="TextBox 1"/>
        <cdr:cNvSpPr txBox="1"/>
      </cdr:nvSpPr>
      <cdr:spPr>
        <a:xfrm xmlns:a="http://schemas.openxmlformats.org/drawingml/2006/main">
          <a:off x="1851025" y="1193800"/>
          <a:ext cx="1444625" cy="220663"/>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800"/>
            <a:t>Amportericin delisted</a:t>
          </a:r>
        </a:p>
      </cdr:txBody>
    </cdr:sp>
  </cdr:relSizeAnchor>
  <cdr:relSizeAnchor xmlns:cdr="http://schemas.openxmlformats.org/drawingml/2006/chartDrawing">
    <cdr:from>
      <cdr:x>0.56642</cdr:x>
      <cdr:y>0.18997</cdr:y>
    </cdr:from>
    <cdr:to>
      <cdr:x>0.56776</cdr:x>
      <cdr:y>0.75289</cdr:y>
    </cdr:to>
    <cdr:cxnSp macro="">
      <cdr:nvCxnSpPr>
        <cdr:cNvPr id="7" name="Straight Connector 6"/>
        <cdr:cNvCxnSpPr/>
      </cdr:nvCxnSpPr>
      <cdr:spPr>
        <a:xfrm xmlns:a="http://schemas.openxmlformats.org/drawingml/2006/main" flipH="1" flipV="1">
          <a:off x="4677590" y="665883"/>
          <a:ext cx="11066" cy="1973147"/>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0.46217</cdr:x>
      <cdr:y>0.23036</cdr:y>
    </cdr:from>
    <cdr:to>
      <cdr:x>0.674</cdr:x>
      <cdr:y>0.33422</cdr:y>
    </cdr:to>
    <cdr:sp macro="" textlink="">
      <cdr:nvSpPr>
        <cdr:cNvPr id="2" name="TextBox 1"/>
        <cdr:cNvSpPr txBox="1"/>
      </cdr:nvSpPr>
      <cdr:spPr>
        <a:xfrm xmlns:a="http://schemas.openxmlformats.org/drawingml/2006/main">
          <a:off x="3200399" y="823913"/>
          <a:ext cx="1466851" cy="371475"/>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700"/>
            <a:t>Collection of under copayment data</a:t>
          </a:r>
        </a:p>
        <a:p xmlns:a="http://schemas.openxmlformats.org/drawingml/2006/main">
          <a:pPr algn="ctr"/>
          <a:r>
            <a:rPr lang="en-AU" sz="700"/>
            <a:t>April 2012</a:t>
          </a:r>
        </a:p>
      </cdr:txBody>
    </cdr:sp>
  </cdr:relSizeAnchor>
</c:userShapes>
</file>

<file path=word/drawings/drawing2.xml><?xml version="1.0" encoding="utf-8"?>
<c:userShapes xmlns:c="http://schemas.openxmlformats.org/drawingml/2006/chart">
  <cdr:relSizeAnchor xmlns:cdr="http://schemas.openxmlformats.org/drawingml/2006/chartDrawing">
    <cdr:from>
      <cdr:x>0.55552</cdr:x>
      <cdr:y>0.16358</cdr:y>
    </cdr:from>
    <cdr:to>
      <cdr:x>0.55552</cdr:x>
      <cdr:y>0.69059</cdr:y>
    </cdr:to>
    <cdr:cxnSp macro="">
      <cdr:nvCxnSpPr>
        <cdr:cNvPr id="3" name="Straight Connector 2"/>
        <cdr:cNvCxnSpPr/>
      </cdr:nvCxnSpPr>
      <cdr:spPr>
        <a:xfrm xmlns:a="http://schemas.openxmlformats.org/drawingml/2006/main" flipV="1">
          <a:off x="3079541" y="447175"/>
          <a:ext cx="0" cy="1440674"/>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0.38651</cdr:x>
      <cdr:y>0.1233</cdr:y>
    </cdr:from>
    <cdr:to>
      <cdr:x>0.612</cdr:x>
      <cdr:y>0.31685</cdr:y>
    </cdr:to>
    <cdr:sp macro="" textlink="">
      <cdr:nvSpPr>
        <cdr:cNvPr id="4" name="TextBox 3"/>
        <cdr:cNvSpPr txBox="1"/>
      </cdr:nvSpPr>
      <cdr:spPr>
        <a:xfrm xmlns:a="http://schemas.openxmlformats.org/drawingml/2006/main">
          <a:off x="2059679" y="345424"/>
          <a:ext cx="1201617" cy="542193"/>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Under copayment data </a:t>
          </a:r>
          <a:br>
            <a:rPr lang="en-AU" sz="800"/>
          </a:br>
          <a:r>
            <a:rPr lang="en-AU" sz="800"/>
            <a:t>collection</a:t>
          </a:r>
        </a:p>
        <a:p xmlns:a="http://schemas.openxmlformats.org/drawingml/2006/main">
          <a:pPr algn="ctr"/>
          <a:r>
            <a:rPr lang="en-AU" sz="800"/>
            <a:t>April 2012</a:t>
          </a:r>
        </a:p>
      </cdr:txBody>
    </cdr:sp>
  </cdr:relSizeAnchor>
  <cdr:relSizeAnchor xmlns:cdr="http://schemas.openxmlformats.org/drawingml/2006/chartDrawing">
    <cdr:from>
      <cdr:x>0.95128</cdr:x>
      <cdr:y>0.15777</cdr:y>
    </cdr:from>
    <cdr:to>
      <cdr:x>0.95128</cdr:x>
      <cdr:y>0.68478</cdr:y>
    </cdr:to>
    <cdr:cxnSp macro="">
      <cdr:nvCxnSpPr>
        <cdr:cNvPr id="5" name="Straight Connector 4"/>
        <cdr:cNvCxnSpPr/>
      </cdr:nvCxnSpPr>
      <cdr:spPr>
        <a:xfrm xmlns:a="http://schemas.openxmlformats.org/drawingml/2006/main" flipV="1">
          <a:off x="5273478" y="431300"/>
          <a:ext cx="0" cy="1440674"/>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0.69072</cdr:x>
      <cdr:y>0.09408</cdr:y>
    </cdr:from>
    <cdr:to>
      <cdr:x>0.89691</cdr:x>
      <cdr:y>0.22648</cdr:y>
    </cdr:to>
    <cdr:sp macro="" textlink="">
      <cdr:nvSpPr>
        <cdr:cNvPr id="2" name="Text Box 1"/>
        <cdr:cNvSpPr txBox="1"/>
      </cdr:nvSpPr>
      <cdr:spPr>
        <a:xfrm xmlns:a="http://schemas.openxmlformats.org/drawingml/2006/main">
          <a:off x="3829051" y="257176"/>
          <a:ext cx="1142999" cy="361949"/>
        </a:xfrm>
        <a:prstGeom xmlns:a="http://schemas.openxmlformats.org/drawingml/2006/main" prst="wedgeRoundRectCallout">
          <a:avLst>
            <a:gd name="adj1" fmla="val 70785"/>
            <a:gd name="adj2" fmla="val 10132"/>
            <a:gd name="adj3" fmla="val 16667"/>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nchor="ctr">
          <a:noAutofit/>
        </a:bodyPr>
        <a:lstStyle xmlns:a="http://schemas.openxmlformats.org/drawingml/2006/main"/>
        <a:p xmlns:a="http://schemas.openxmlformats.org/drawingml/2006/main">
          <a:pPr algn="ctr"/>
          <a:r>
            <a:rPr lang="en-AU" sz="700"/>
            <a:t>Restricted benefit listing</a:t>
          </a:r>
        </a:p>
        <a:p xmlns:a="http://schemas.openxmlformats.org/drawingml/2006/main">
          <a:pPr algn="ctr"/>
          <a:r>
            <a:rPr lang="en-AU" sz="700"/>
            <a:t>April 2016</a:t>
          </a:r>
        </a:p>
      </cdr:txBody>
    </cdr:sp>
  </cdr:relSizeAnchor>
</c:userShapes>
</file>

<file path=word/drawings/drawing3.xml><?xml version="1.0" encoding="utf-8"?>
<c:userShapes xmlns:c="http://schemas.openxmlformats.org/drawingml/2006/chart">
  <cdr:relSizeAnchor xmlns:cdr="http://schemas.openxmlformats.org/drawingml/2006/chartDrawing">
    <cdr:from>
      <cdr:x>0.56333</cdr:x>
      <cdr:y>0.19734</cdr:y>
    </cdr:from>
    <cdr:to>
      <cdr:x>0.56389</cdr:x>
      <cdr:y>0.73323</cdr:y>
    </cdr:to>
    <cdr:cxnSp macro="">
      <cdr:nvCxnSpPr>
        <cdr:cNvPr id="2" name="Straight Connector 1"/>
        <cdr:cNvCxnSpPr/>
      </cdr:nvCxnSpPr>
      <cdr:spPr>
        <a:xfrm xmlns:a="http://schemas.openxmlformats.org/drawingml/2006/main" flipV="1">
          <a:off x="3759391" y="655715"/>
          <a:ext cx="3741" cy="1780584"/>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0.36248</cdr:x>
      <cdr:y>0.16868</cdr:y>
    </cdr:from>
    <cdr:to>
      <cdr:x>0.628</cdr:x>
      <cdr:y>0.31593</cdr:y>
    </cdr:to>
    <cdr:sp macro="" textlink="">
      <cdr:nvSpPr>
        <cdr:cNvPr id="4" name="TextBox 3"/>
        <cdr:cNvSpPr txBox="1"/>
      </cdr:nvSpPr>
      <cdr:spPr>
        <a:xfrm xmlns:a="http://schemas.openxmlformats.org/drawingml/2006/main">
          <a:off x="2061675" y="478040"/>
          <a:ext cx="1510199" cy="417310"/>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Under copayment data collection</a:t>
          </a:r>
        </a:p>
        <a:p xmlns:a="http://schemas.openxmlformats.org/drawingml/2006/main">
          <a:pPr algn="ctr"/>
          <a:r>
            <a:rPr lang="en-AU" sz="800"/>
            <a:t>April</a:t>
          </a:r>
          <a:r>
            <a:rPr lang="en-AU" sz="800" baseline="0"/>
            <a:t> 2012</a:t>
          </a:r>
          <a:endParaRPr lang="en-AU" sz="800"/>
        </a:p>
      </cdr:txBody>
    </cdr:sp>
  </cdr:relSizeAnchor>
  <cdr:relSizeAnchor xmlns:cdr="http://schemas.openxmlformats.org/drawingml/2006/chartDrawing">
    <cdr:from>
      <cdr:x>0.95289</cdr:x>
      <cdr:y>0.23863</cdr:y>
    </cdr:from>
    <cdr:to>
      <cdr:x>0.95409</cdr:x>
      <cdr:y>0.71418</cdr:y>
    </cdr:to>
    <cdr:cxnSp macro="">
      <cdr:nvCxnSpPr>
        <cdr:cNvPr id="5" name="Straight Connector 4"/>
        <cdr:cNvCxnSpPr/>
      </cdr:nvCxnSpPr>
      <cdr:spPr>
        <a:xfrm xmlns:a="http://schemas.openxmlformats.org/drawingml/2006/main" flipH="1" flipV="1">
          <a:off x="5419725" y="676275"/>
          <a:ext cx="6824" cy="1347727"/>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0.71676</cdr:x>
      <cdr:y>0.16805</cdr:y>
    </cdr:from>
    <cdr:to>
      <cdr:x>0.91772</cdr:x>
      <cdr:y>0.29577</cdr:y>
    </cdr:to>
    <cdr:sp macro="" textlink="">
      <cdr:nvSpPr>
        <cdr:cNvPr id="3" name="Text Box 2"/>
        <cdr:cNvSpPr txBox="1"/>
      </cdr:nvSpPr>
      <cdr:spPr>
        <a:xfrm xmlns:a="http://schemas.openxmlformats.org/drawingml/2006/main">
          <a:off x="4076700" y="476250"/>
          <a:ext cx="1143000" cy="361950"/>
        </a:xfrm>
        <a:prstGeom xmlns:a="http://schemas.openxmlformats.org/drawingml/2006/main" prst="wedgeRoundRectCallout">
          <a:avLst>
            <a:gd name="adj1" fmla="val 63334"/>
            <a:gd name="adj2" fmla="val 36184"/>
            <a:gd name="adj3" fmla="val 16667"/>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noAutofit/>
        </a:bodyPr>
        <a:lstStyle xmlns:a="http://schemas.openxmlformats.org/drawingml/2006/main"/>
        <a:p xmlns:a="http://schemas.openxmlformats.org/drawingml/2006/main">
          <a:r>
            <a:rPr lang="en-AU" sz="700"/>
            <a:t>Restricted benefit listing</a:t>
          </a:r>
        </a:p>
        <a:p xmlns:a="http://schemas.openxmlformats.org/drawingml/2006/main">
          <a:pPr algn="ctr"/>
          <a:r>
            <a:rPr lang="en-AU" sz="700"/>
            <a:t>April 2012</a:t>
          </a:r>
        </a:p>
      </cdr:txBody>
    </cdr:sp>
  </cdr:relSizeAnchor>
</c:userShapes>
</file>

<file path=word/drawings/drawing4.xml><?xml version="1.0" encoding="utf-8"?>
<c:userShapes xmlns:c="http://schemas.openxmlformats.org/drawingml/2006/chart">
  <cdr:relSizeAnchor xmlns:cdr="http://schemas.openxmlformats.org/drawingml/2006/chartDrawing">
    <cdr:from>
      <cdr:x>0.4208</cdr:x>
      <cdr:y>0.31619</cdr:y>
    </cdr:from>
    <cdr:to>
      <cdr:x>0.42336</cdr:x>
      <cdr:y>0.80782</cdr:y>
    </cdr:to>
    <cdr:cxnSp macro="">
      <cdr:nvCxnSpPr>
        <cdr:cNvPr id="3" name="Straight Connector 2"/>
        <cdr:cNvCxnSpPr/>
      </cdr:nvCxnSpPr>
      <cdr:spPr>
        <a:xfrm xmlns:a="http://schemas.openxmlformats.org/drawingml/2006/main" flipH="1">
          <a:off x="3653790" y="1370330"/>
          <a:ext cx="22229" cy="2130663"/>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0.49978</cdr:x>
      <cdr:y>0.31619</cdr:y>
    </cdr:from>
    <cdr:to>
      <cdr:x>0.50234</cdr:x>
      <cdr:y>0.80783</cdr:y>
    </cdr:to>
    <cdr:cxnSp macro="">
      <cdr:nvCxnSpPr>
        <cdr:cNvPr id="4" name="Straight Connector 3"/>
        <cdr:cNvCxnSpPr/>
      </cdr:nvCxnSpPr>
      <cdr:spPr>
        <a:xfrm xmlns:a="http://schemas.openxmlformats.org/drawingml/2006/main" flipH="1">
          <a:off x="4339590" y="1370330"/>
          <a:ext cx="22228" cy="2130706"/>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0.30026</cdr:x>
      <cdr:y>0.22665</cdr:y>
    </cdr:from>
    <cdr:to>
      <cdr:x>0.47567</cdr:x>
      <cdr:y>0.33131</cdr:y>
    </cdr:to>
    <cdr:sp macro="" textlink="">
      <cdr:nvSpPr>
        <cdr:cNvPr id="5" name="TextBox 4"/>
        <cdr:cNvSpPr txBox="1"/>
      </cdr:nvSpPr>
      <cdr:spPr>
        <a:xfrm xmlns:a="http://schemas.openxmlformats.org/drawingml/2006/main">
          <a:off x="2233612" y="887016"/>
          <a:ext cx="1304925" cy="409575"/>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Steamlined authority listing</a:t>
          </a:r>
        </a:p>
        <a:p xmlns:a="http://schemas.openxmlformats.org/drawingml/2006/main">
          <a:pPr algn="ctr"/>
          <a:r>
            <a:rPr lang="en-AU" sz="800"/>
            <a:t>1 Jan 2011</a:t>
          </a:r>
        </a:p>
      </cdr:txBody>
    </cdr:sp>
  </cdr:relSizeAnchor>
  <cdr:relSizeAnchor xmlns:cdr="http://schemas.openxmlformats.org/drawingml/2006/chartDrawing">
    <cdr:from>
      <cdr:x>0.55244</cdr:x>
      <cdr:y>0.31619</cdr:y>
    </cdr:from>
    <cdr:to>
      <cdr:x>0.555</cdr:x>
      <cdr:y>0.80782</cdr:y>
    </cdr:to>
    <cdr:cxnSp macro="">
      <cdr:nvCxnSpPr>
        <cdr:cNvPr id="7" name="Straight Connector 6"/>
        <cdr:cNvCxnSpPr/>
      </cdr:nvCxnSpPr>
      <cdr:spPr>
        <a:xfrm xmlns:a="http://schemas.openxmlformats.org/drawingml/2006/main" flipH="1">
          <a:off x="4796790" y="1370330"/>
          <a:ext cx="22229" cy="2130663"/>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0.49303</cdr:x>
      <cdr:y>0.18528</cdr:y>
    </cdr:from>
    <cdr:to>
      <cdr:x>0.7442</cdr:x>
      <cdr:y>0.32938</cdr:y>
    </cdr:to>
    <cdr:sp macro="" textlink="">
      <cdr:nvSpPr>
        <cdr:cNvPr id="6" name="TextBox 1"/>
        <cdr:cNvSpPr txBox="1"/>
      </cdr:nvSpPr>
      <cdr:spPr>
        <a:xfrm xmlns:a="http://schemas.openxmlformats.org/drawingml/2006/main">
          <a:off x="4280932" y="802980"/>
          <a:ext cx="2180907" cy="624512"/>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800"/>
            <a:t>Steamlined code  required</a:t>
          </a:r>
        </a:p>
        <a:p xmlns:a="http://schemas.openxmlformats.org/drawingml/2006/main">
          <a:pPr algn="ctr"/>
          <a:r>
            <a:rPr lang="en-AU" sz="800"/>
            <a:t>entered by pharmacist (Dec 11)</a:t>
          </a:r>
        </a:p>
        <a:p xmlns:a="http://schemas.openxmlformats.org/drawingml/2006/main">
          <a:pPr algn="ctr"/>
          <a:r>
            <a:rPr lang="en-AU" sz="800"/>
            <a:t>DHS reimbusement</a:t>
          </a:r>
          <a:r>
            <a:rPr lang="en-AU" sz="800" baseline="0"/>
            <a:t> rejection  (Jul 12)</a:t>
          </a:r>
          <a:endParaRPr lang="en-AU" sz="800"/>
        </a:p>
      </cdr:txBody>
    </cdr:sp>
  </cdr:relSizeAnchor>
</c:userShapes>
</file>

<file path=word/drawings/drawing5.xml><?xml version="1.0" encoding="utf-8"?>
<c:userShapes xmlns:c="http://schemas.openxmlformats.org/drawingml/2006/chart">
  <cdr:relSizeAnchor xmlns:cdr="http://schemas.openxmlformats.org/drawingml/2006/chartDrawing">
    <cdr:from>
      <cdr:x>0.41697</cdr:x>
      <cdr:y>0.04348</cdr:y>
    </cdr:from>
    <cdr:to>
      <cdr:x>0.41882</cdr:x>
      <cdr:y>0.71118</cdr:y>
    </cdr:to>
    <cdr:cxnSp macro="">
      <cdr:nvCxnSpPr>
        <cdr:cNvPr id="3" name="Straight Connector 2"/>
        <cdr:cNvCxnSpPr/>
      </cdr:nvCxnSpPr>
      <cdr:spPr>
        <a:xfrm xmlns:a="http://schemas.openxmlformats.org/drawingml/2006/main" flipH="1" flipV="1">
          <a:off x="2152650" y="133350"/>
          <a:ext cx="9525" cy="2047875"/>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0.87146</cdr:x>
      <cdr:y>0.04451</cdr:y>
    </cdr:from>
    <cdr:to>
      <cdr:x>0.87331</cdr:x>
      <cdr:y>0.71222</cdr:y>
    </cdr:to>
    <cdr:cxnSp macro="">
      <cdr:nvCxnSpPr>
        <cdr:cNvPr id="4" name="Straight Connector 3"/>
        <cdr:cNvCxnSpPr/>
      </cdr:nvCxnSpPr>
      <cdr:spPr>
        <a:xfrm xmlns:a="http://schemas.openxmlformats.org/drawingml/2006/main" flipH="1" flipV="1">
          <a:off x="4498975" y="136525"/>
          <a:ext cx="9525" cy="2047875"/>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0.60886</cdr:x>
      <cdr:y>0.11491</cdr:y>
    </cdr:from>
    <cdr:to>
      <cdr:x>0.84133</cdr:x>
      <cdr:y>0.28888</cdr:y>
    </cdr:to>
    <cdr:sp macro="" textlink="">
      <cdr:nvSpPr>
        <cdr:cNvPr id="5" name="TextBox 4"/>
        <cdr:cNvSpPr txBox="1"/>
      </cdr:nvSpPr>
      <cdr:spPr>
        <a:xfrm xmlns:a="http://schemas.openxmlformats.org/drawingml/2006/main">
          <a:off x="3143270" y="352362"/>
          <a:ext cx="1200138" cy="533463"/>
        </a:xfrm>
        <a:prstGeom xmlns:a="http://schemas.openxmlformats.org/drawingml/2006/main" prst="wedgeRoundRectCallout">
          <a:avLst>
            <a:gd name="adj1" fmla="val 56805"/>
            <a:gd name="adj2" fmla="val -89161"/>
            <a:gd name="adj3" fmla="val 16667"/>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noAutofit/>
        </a:bodyPr>
        <a:lstStyle xmlns:a="http://schemas.openxmlformats.org/drawingml/2006/main"/>
        <a:p xmlns:a="http://schemas.openxmlformats.org/drawingml/2006/main">
          <a:pPr algn="ctr"/>
          <a:r>
            <a:rPr lang="en-AU" sz="800"/>
            <a:t>Restricted benefit listing</a:t>
          </a:r>
        </a:p>
        <a:p xmlns:a="http://schemas.openxmlformats.org/drawingml/2006/main">
          <a:pPr algn="ctr"/>
          <a:r>
            <a:rPr lang="en-AU" sz="800"/>
            <a:t>April 2016</a:t>
          </a:r>
        </a:p>
      </cdr:txBody>
    </cdr:sp>
  </cdr:relSizeAnchor>
  <cdr:relSizeAnchor xmlns:cdr="http://schemas.openxmlformats.org/drawingml/2006/chartDrawing">
    <cdr:from>
      <cdr:x>0.31365</cdr:x>
      <cdr:y>0.10559</cdr:y>
    </cdr:from>
    <cdr:to>
      <cdr:x>0.55904</cdr:x>
      <cdr:y>0.24845</cdr:y>
    </cdr:to>
    <cdr:sp macro="" textlink="">
      <cdr:nvSpPr>
        <cdr:cNvPr id="6" name="TextBox 5"/>
        <cdr:cNvSpPr txBox="1"/>
      </cdr:nvSpPr>
      <cdr:spPr>
        <a:xfrm xmlns:a="http://schemas.openxmlformats.org/drawingml/2006/main">
          <a:off x="1619250" y="323851"/>
          <a:ext cx="1266826" cy="438150"/>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Streamline</a:t>
          </a:r>
          <a:r>
            <a:rPr lang="en-AU" sz="800" baseline="0"/>
            <a:t>d authority</a:t>
          </a:r>
        </a:p>
        <a:p xmlns:a="http://schemas.openxmlformats.org/drawingml/2006/main">
          <a:pPr algn="ctr"/>
          <a:r>
            <a:rPr lang="en-AU" sz="800" baseline="0"/>
            <a:t>January 2016</a:t>
          </a:r>
          <a:endParaRPr lang="en-AU" sz="800"/>
        </a:p>
      </cdr:txBody>
    </cdr:sp>
  </cdr:relSizeAnchor>
</c:userShapes>
</file>

<file path=word/drawings/drawing6.xml><?xml version="1.0" encoding="utf-8"?>
<c:userShapes xmlns:c="http://schemas.openxmlformats.org/drawingml/2006/chart">
  <cdr:relSizeAnchor xmlns:cdr="http://schemas.openxmlformats.org/drawingml/2006/chartDrawing">
    <cdr:from>
      <cdr:x>0.78009</cdr:x>
      <cdr:y>0.52547</cdr:y>
    </cdr:from>
    <cdr:to>
      <cdr:x>0.94131</cdr:x>
      <cdr:y>0.62851</cdr:y>
    </cdr:to>
    <cdr:sp macro="" textlink="">
      <cdr:nvSpPr>
        <cdr:cNvPr id="2" name="TextBox 1"/>
        <cdr:cNvSpPr txBox="1"/>
      </cdr:nvSpPr>
      <cdr:spPr>
        <a:xfrm xmlns:a="http://schemas.openxmlformats.org/drawingml/2006/main">
          <a:off x="4376468" y="1381416"/>
          <a:ext cx="904481" cy="270882"/>
        </a:xfrm>
        <a:prstGeom xmlns:a="http://schemas.openxmlformats.org/drawingml/2006/main" prst="roundRect">
          <a:avLst/>
        </a:prstGeom>
        <a:solidFill xmlns:a="http://schemas.openxmlformats.org/drawingml/2006/main">
          <a:schemeClr val="bg1"/>
        </a:solidFill>
        <a:ln xmlns:a="http://schemas.openxmlformats.org/drawingml/2006/main" w="9525">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AU" sz="800"/>
            <a:t>50 mg capsule listed</a:t>
          </a:r>
        </a:p>
        <a:p xmlns:a="http://schemas.openxmlformats.org/drawingml/2006/main">
          <a:pPr algn="ctr"/>
          <a:r>
            <a:rPr lang="en-AU" sz="800"/>
            <a:t>April</a:t>
          </a:r>
          <a:r>
            <a:rPr lang="en-AU" sz="800" baseline="0"/>
            <a:t> 2016</a:t>
          </a:r>
          <a:endParaRPr lang="en-AU" sz="800"/>
        </a:p>
      </cdr:txBody>
    </cdr:sp>
  </cdr:relSizeAnchor>
</c:userShapes>
</file>

<file path=word/drawings/drawing7.xml><?xml version="1.0" encoding="utf-8"?>
<c:userShapes xmlns:c="http://schemas.openxmlformats.org/drawingml/2006/chart">
  <cdr:relSizeAnchor xmlns:cdr="http://schemas.openxmlformats.org/drawingml/2006/chartDrawing">
    <cdr:from>
      <cdr:x>0.44074</cdr:x>
      <cdr:y>0.2728</cdr:y>
    </cdr:from>
    <cdr:to>
      <cdr:x>0.44074</cdr:x>
      <cdr:y>0.73264</cdr:y>
    </cdr:to>
    <cdr:cxnSp macro="">
      <cdr:nvCxnSpPr>
        <cdr:cNvPr id="3" name="Straight Connector 2"/>
        <cdr:cNvCxnSpPr/>
      </cdr:nvCxnSpPr>
      <cdr:spPr>
        <a:xfrm xmlns:a="http://schemas.openxmlformats.org/drawingml/2006/main" flipV="1">
          <a:off x="2544489" y="811580"/>
          <a:ext cx="0" cy="13680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0.32963</cdr:x>
      <cdr:y>0.26651</cdr:y>
    </cdr:from>
    <cdr:to>
      <cdr:x>0.51019</cdr:x>
      <cdr:y>0.40838</cdr:y>
    </cdr:to>
    <cdr:sp macro="" textlink="">
      <cdr:nvSpPr>
        <cdr:cNvPr id="5" name="TextBox 4"/>
        <cdr:cNvSpPr txBox="1"/>
      </cdr:nvSpPr>
      <cdr:spPr>
        <a:xfrm xmlns:a="http://schemas.openxmlformats.org/drawingml/2006/main">
          <a:off x="1883833" y="760411"/>
          <a:ext cx="1031875" cy="404812"/>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Streamlined</a:t>
          </a:r>
          <a:r>
            <a:rPr lang="en-AU" sz="800" baseline="0"/>
            <a:t> listing</a:t>
          </a:r>
        </a:p>
        <a:p xmlns:a="http://schemas.openxmlformats.org/drawingml/2006/main">
          <a:pPr algn="ctr"/>
          <a:r>
            <a:rPr lang="en-AU" sz="800" baseline="0"/>
            <a:t>1 Jan 2011</a:t>
          </a:r>
          <a:endParaRPr lang="en-AU" sz="800"/>
        </a:p>
      </cdr:txBody>
    </cdr:sp>
  </cdr:relSizeAnchor>
</c:userShapes>
</file>

<file path=word/drawings/drawing8.xml><?xml version="1.0" encoding="utf-8"?>
<c:userShapes xmlns:c="http://schemas.openxmlformats.org/drawingml/2006/chart">
  <cdr:relSizeAnchor xmlns:cdr="http://schemas.openxmlformats.org/drawingml/2006/chartDrawing">
    <cdr:from>
      <cdr:x>0.91334</cdr:x>
      <cdr:y>0.15294</cdr:y>
    </cdr:from>
    <cdr:to>
      <cdr:x>0.91765</cdr:x>
      <cdr:y>0.7049</cdr:y>
    </cdr:to>
    <cdr:cxnSp macro="">
      <cdr:nvCxnSpPr>
        <cdr:cNvPr id="3" name="Straight Connector 2"/>
        <cdr:cNvCxnSpPr/>
      </cdr:nvCxnSpPr>
      <cdr:spPr>
        <a:xfrm xmlns:a="http://schemas.openxmlformats.org/drawingml/2006/main" flipV="1">
          <a:off x="5053014" y="450851"/>
          <a:ext cx="23812" cy="1627187"/>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0.67948</cdr:x>
      <cdr:y>0.09639</cdr:y>
    </cdr:from>
    <cdr:to>
      <cdr:x>0.92253</cdr:x>
      <cdr:y>0.23371</cdr:y>
    </cdr:to>
    <cdr:sp macro="" textlink="">
      <cdr:nvSpPr>
        <cdr:cNvPr id="4" name="TextBox 3"/>
        <cdr:cNvSpPr txBox="1"/>
      </cdr:nvSpPr>
      <cdr:spPr>
        <a:xfrm xmlns:a="http://schemas.openxmlformats.org/drawingml/2006/main">
          <a:off x="3759200" y="284164"/>
          <a:ext cx="1344615" cy="404812"/>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r>
            <a:rPr lang="en-AU" sz="800"/>
            <a:t>Posaconazole tablets listed</a:t>
          </a:r>
        </a:p>
        <a:p xmlns:a="http://schemas.openxmlformats.org/drawingml/2006/main">
          <a:pPr algn="ctr"/>
          <a:r>
            <a:rPr lang="en-AU" sz="800"/>
            <a:t>1</a:t>
          </a:r>
          <a:r>
            <a:rPr lang="en-AU" sz="800" baseline="0"/>
            <a:t> Sept 15</a:t>
          </a:r>
          <a:endParaRPr lang="en-AU" sz="800"/>
        </a:p>
      </cdr:txBody>
    </cdr:sp>
  </cdr:relSizeAnchor>
  <cdr:relSizeAnchor xmlns:cdr="http://schemas.openxmlformats.org/drawingml/2006/chartDrawing">
    <cdr:from>
      <cdr:x>0.2559</cdr:x>
      <cdr:y>0.15114</cdr:y>
    </cdr:from>
    <cdr:to>
      <cdr:x>0.25618</cdr:x>
      <cdr:y>0.70067</cdr:y>
    </cdr:to>
    <cdr:cxnSp macro="">
      <cdr:nvCxnSpPr>
        <cdr:cNvPr id="5" name="Straight Connector 4"/>
        <cdr:cNvCxnSpPr/>
      </cdr:nvCxnSpPr>
      <cdr:spPr>
        <a:xfrm xmlns:a="http://schemas.openxmlformats.org/drawingml/2006/main" flipV="1">
          <a:off x="1416410" y="445558"/>
          <a:ext cx="1589" cy="1620000"/>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0.31572</cdr:x>
      <cdr:y>0.14647</cdr:y>
    </cdr:from>
    <cdr:to>
      <cdr:x>0.31601</cdr:x>
      <cdr:y>0.696</cdr:y>
    </cdr:to>
    <cdr:cxnSp macro="">
      <cdr:nvCxnSpPr>
        <cdr:cNvPr id="9" name="Straight Connector 8"/>
        <cdr:cNvCxnSpPr/>
      </cdr:nvCxnSpPr>
      <cdr:spPr>
        <a:xfrm xmlns:a="http://schemas.openxmlformats.org/drawingml/2006/main" flipV="1">
          <a:off x="1747528" y="431800"/>
          <a:ext cx="1589" cy="1620000"/>
        </a:xfrm>
        <a:prstGeom xmlns:a="http://schemas.openxmlformats.org/drawingml/2006/main" prst="line">
          <a:avLst/>
        </a:prstGeom>
        <a:ln xmlns:a="http://schemas.openxmlformats.org/drawingml/2006/main">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0.14426</cdr:x>
      <cdr:y>0.14109</cdr:y>
    </cdr:from>
    <cdr:to>
      <cdr:x>0.28924</cdr:x>
      <cdr:y>0.28756</cdr:y>
    </cdr:to>
    <cdr:sp macro="" textlink="">
      <cdr:nvSpPr>
        <cdr:cNvPr id="10" name="TextBox 1"/>
        <cdr:cNvSpPr txBox="1"/>
      </cdr:nvSpPr>
      <cdr:spPr>
        <a:xfrm xmlns:a="http://schemas.openxmlformats.org/drawingml/2006/main">
          <a:off x="798136" y="415925"/>
          <a:ext cx="802065" cy="431801"/>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750"/>
            <a:t>Max</a:t>
          </a:r>
          <a:r>
            <a:rPr lang="en-AU" sz="750" baseline="0"/>
            <a:t> qty increased </a:t>
          </a:r>
          <a:br>
            <a:rPr lang="en-AU" sz="750" baseline="0"/>
          </a:br>
          <a:r>
            <a:rPr lang="en-AU" sz="750" baseline="0"/>
            <a:t>to 6</a:t>
          </a:r>
        </a:p>
        <a:p xmlns:a="http://schemas.openxmlformats.org/drawingml/2006/main">
          <a:pPr algn="ctr"/>
          <a:r>
            <a:rPr lang="en-AU" sz="750" baseline="0"/>
            <a:t>1 Jan 2010</a:t>
          </a:r>
          <a:endParaRPr lang="en-AU" sz="750"/>
        </a:p>
      </cdr:txBody>
    </cdr:sp>
  </cdr:relSizeAnchor>
  <cdr:relSizeAnchor xmlns:cdr="http://schemas.openxmlformats.org/drawingml/2006/chartDrawing">
    <cdr:from>
      <cdr:x>0.3065</cdr:x>
      <cdr:y>0.14378</cdr:y>
    </cdr:from>
    <cdr:to>
      <cdr:x>0.4571</cdr:x>
      <cdr:y>0.29295</cdr:y>
    </cdr:to>
    <cdr:sp macro="" textlink="">
      <cdr:nvSpPr>
        <cdr:cNvPr id="11" name="TextBox 1"/>
        <cdr:cNvSpPr txBox="1"/>
      </cdr:nvSpPr>
      <cdr:spPr>
        <a:xfrm xmlns:a="http://schemas.openxmlformats.org/drawingml/2006/main">
          <a:off x="1695698" y="423862"/>
          <a:ext cx="833192" cy="439738"/>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750"/>
            <a:t>Max</a:t>
          </a:r>
          <a:r>
            <a:rPr lang="en-AU" sz="750" baseline="0"/>
            <a:t> qty decreased </a:t>
          </a:r>
          <a:br>
            <a:rPr lang="en-AU" sz="750" baseline="0"/>
          </a:br>
          <a:r>
            <a:rPr lang="en-AU" sz="750" baseline="0"/>
            <a:t>to 1</a:t>
          </a:r>
        </a:p>
        <a:p xmlns:a="http://schemas.openxmlformats.org/drawingml/2006/main">
          <a:pPr algn="ctr"/>
          <a:r>
            <a:rPr lang="en-AU" sz="750" baseline="0"/>
            <a:t>1 Jul 2010</a:t>
          </a:r>
          <a:endParaRPr lang="en-AU" sz="750"/>
        </a:p>
      </cdr:txBody>
    </cdr:sp>
  </cdr:relSizeAnchor>
</c:userShapes>
</file>

<file path=word/drawings/drawing9.xml><?xml version="1.0" encoding="utf-8"?>
<c:userShapes xmlns:c="http://schemas.openxmlformats.org/drawingml/2006/chart">
  <cdr:relSizeAnchor xmlns:cdr="http://schemas.openxmlformats.org/drawingml/2006/chartDrawing">
    <cdr:from>
      <cdr:x>0.25229</cdr:x>
      <cdr:y>0.14736</cdr:y>
    </cdr:from>
    <cdr:to>
      <cdr:x>0.25229</cdr:x>
      <cdr:y>0.69868</cdr:y>
    </cdr:to>
    <cdr:cxnSp macro="">
      <cdr:nvCxnSpPr>
        <cdr:cNvPr id="3" name="Straight Connector 2"/>
        <cdr:cNvCxnSpPr/>
      </cdr:nvCxnSpPr>
      <cdr:spPr>
        <a:xfrm xmlns:a="http://schemas.openxmlformats.org/drawingml/2006/main" flipV="1">
          <a:off x="1449533" y="435120"/>
          <a:ext cx="0" cy="1627909"/>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0.88853</cdr:x>
      <cdr:y>0.13968</cdr:y>
    </cdr:from>
    <cdr:to>
      <cdr:x>0.88853</cdr:x>
      <cdr:y>0.691</cdr:y>
    </cdr:to>
    <cdr:cxnSp macro="">
      <cdr:nvCxnSpPr>
        <cdr:cNvPr id="6" name="Straight Connector 5"/>
        <cdr:cNvCxnSpPr/>
      </cdr:nvCxnSpPr>
      <cdr:spPr>
        <a:xfrm xmlns:a="http://schemas.openxmlformats.org/drawingml/2006/main" flipV="1">
          <a:off x="5053709" y="375017"/>
          <a:ext cx="0" cy="1480173"/>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0.31237</cdr:x>
      <cdr:y>0.1499</cdr:y>
    </cdr:from>
    <cdr:to>
      <cdr:x>0.31237</cdr:x>
      <cdr:y>0.70122</cdr:y>
    </cdr:to>
    <cdr:cxnSp macro="">
      <cdr:nvCxnSpPr>
        <cdr:cNvPr id="7" name="Straight Connector 6"/>
        <cdr:cNvCxnSpPr/>
      </cdr:nvCxnSpPr>
      <cdr:spPr>
        <a:xfrm xmlns:a="http://schemas.openxmlformats.org/drawingml/2006/main" flipV="1">
          <a:off x="1794742" y="442624"/>
          <a:ext cx="0" cy="1627909"/>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0.13996</cdr:x>
      <cdr:y>0.13157</cdr:y>
    </cdr:from>
    <cdr:to>
      <cdr:x>0.30353</cdr:x>
      <cdr:y>0.27053</cdr:y>
    </cdr:to>
    <cdr:sp macro="" textlink="">
      <cdr:nvSpPr>
        <cdr:cNvPr id="8" name="TextBox 1"/>
        <cdr:cNvSpPr txBox="1"/>
      </cdr:nvSpPr>
      <cdr:spPr>
        <a:xfrm xmlns:a="http://schemas.openxmlformats.org/drawingml/2006/main">
          <a:off x="804141" y="388505"/>
          <a:ext cx="939802" cy="410298"/>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750"/>
            <a:t>Max</a:t>
          </a:r>
          <a:r>
            <a:rPr lang="en-AU" sz="750" baseline="0"/>
            <a:t> qty increase d</a:t>
          </a:r>
          <a:br>
            <a:rPr lang="en-AU" sz="750" baseline="0"/>
          </a:br>
          <a:r>
            <a:rPr lang="en-AU" sz="750" baseline="0"/>
            <a:t>to 6</a:t>
          </a:r>
        </a:p>
        <a:p xmlns:a="http://schemas.openxmlformats.org/drawingml/2006/main">
          <a:pPr algn="ctr"/>
          <a:r>
            <a:rPr lang="en-AU" sz="750" baseline="0"/>
            <a:t>1 Jan 2010</a:t>
          </a:r>
          <a:endParaRPr lang="en-AU" sz="750"/>
        </a:p>
      </cdr:txBody>
    </cdr:sp>
  </cdr:relSizeAnchor>
  <cdr:relSizeAnchor xmlns:cdr="http://schemas.openxmlformats.org/drawingml/2006/chartDrawing">
    <cdr:from>
      <cdr:x>0.30875</cdr:x>
      <cdr:y>0.13451</cdr:y>
    </cdr:from>
    <cdr:to>
      <cdr:x>0.47233</cdr:x>
      <cdr:y>0.27346</cdr:y>
    </cdr:to>
    <cdr:sp macro="" textlink="">
      <cdr:nvSpPr>
        <cdr:cNvPr id="10" name="TextBox 1"/>
        <cdr:cNvSpPr txBox="1"/>
      </cdr:nvSpPr>
      <cdr:spPr>
        <a:xfrm xmlns:a="http://schemas.openxmlformats.org/drawingml/2006/main">
          <a:off x="1773959" y="397164"/>
          <a:ext cx="939802" cy="410298"/>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non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AU" sz="750"/>
            <a:t>Max</a:t>
          </a:r>
          <a:r>
            <a:rPr lang="en-AU" sz="750" baseline="0"/>
            <a:t> qty decrease d</a:t>
          </a:r>
          <a:br>
            <a:rPr lang="en-AU" sz="750" baseline="0"/>
          </a:br>
          <a:r>
            <a:rPr lang="en-AU" sz="750" baseline="0"/>
            <a:t>to 1</a:t>
          </a:r>
        </a:p>
        <a:p xmlns:a="http://schemas.openxmlformats.org/drawingml/2006/main">
          <a:pPr algn="ctr"/>
          <a:r>
            <a:rPr lang="en-AU" sz="750" baseline="0"/>
            <a:t>1 Jul 2010</a:t>
          </a:r>
          <a:endParaRPr lang="en-AU" sz="750"/>
        </a:p>
      </cdr:txBody>
    </cdr:sp>
  </cdr:relSizeAnchor>
  <cdr:relSizeAnchor xmlns:cdr="http://schemas.openxmlformats.org/drawingml/2006/chartDrawing">
    <cdr:from>
      <cdr:x>0.70291</cdr:x>
      <cdr:y>0.10338</cdr:y>
    </cdr:from>
    <cdr:to>
      <cdr:x>0.93199</cdr:x>
      <cdr:y>0.26467</cdr:y>
    </cdr:to>
    <cdr:sp macro="" textlink="">
      <cdr:nvSpPr>
        <cdr:cNvPr id="4" name="TextBox 3"/>
        <cdr:cNvSpPr txBox="1"/>
      </cdr:nvSpPr>
      <cdr:spPr>
        <a:xfrm xmlns:a="http://schemas.openxmlformats.org/drawingml/2006/main">
          <a:off x="4038609" y="305241"/>
          <a:ext cx="1316185" cy="476249"/>
        </a:xfrm>
        <a:prstGeom xmlns:a="http://schemas.openxmlformats.org/drawingml/2006/main" prst="roundRect">
          <a:avLst/>
        </a:prstGeom>
        <a:ln xmlns:a="http://schemas.openxmlformats.org/drawingml/2006/main" w="9525"/>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none" rtlCol="0" anchor="ctr"/>
        <a:lstStyle xmlns:a="http://schemas.openxmlformats.org/drawingml/2006/main"/>
        <a:p xmlns:a="http://schemas.openxmlformats.org/drawingml/2006/main">
          <a:pPr algn="ctr"/>
          <a:r>
            <a:rPr lang="en-AU" sz="800"/>
            <a:t>Posaconazole</a:t>
          </a:r>
          <a:r>
            <a:rPr lang="en-AU" sz="800" baseline="0"/>
            <a:t> tablet listed</a:t>
          </a:r>
        </a:p>
        <a:p xmlns:a="http://schemas.openxmlformats.org/drawingml/2006/main">
          <a:pPr algn="ctr"/>
          <a:r>
            <a:rPr lang="en-AU" sz="800" baseline="0"/>
            <a:t>1 Sept 2015</a:t>
          </a:r>
          <a:endParaRPr lang="en-AU"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B070-F50D-4387-8287-7128ABE4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10249</Words>
  <Characters>58423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2017-02-22T03:28:00Z</dcterms:created>
  <dcterms:modified xsi:type="dcterms:W3CDTF">2017-02-26T23:51:00Z</dcterms:modified>
</cp:coreProperties>
</file>